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olor w:val="auto"/>
          <w:sz w:val="32"/>
          <w:szCs w:val="32"/>
          <w:highlight w:val="none"/>
        </w:rPr>
      </w:pPr>
      <w:r>
        <w:rPr>
          <w:rFonts w:ascii="Times New Roman" w:hAnsi="Times New Roman"/>
          <w:color w:val="auto"/>
          <w:sz w:val="32"/>
          <w:szCs w:val="32"/>
          <w:highlight w:val="none"/>
        </w:rPr>
        <w:t>附件1：</w:t>
      </w:r>
    </w:p>
    <w:p>
      <w:pPr>
        <w:adjustRightInd w:val="0"/>
        <w:snapToGrid w:val="0"/>
        <w:spacing w:line="360" w:lineRule="auto"/>
        <w:jc w:val="center"/>
        <w:rPr>
          <w:rFonts w:ascii="Times New Roman" w:hAnsi="Times New Roman"/>
          <w:b/>
          <w:bCs/>
          <w:color w:val="auto"/>
          <w:highlight w:val="none"/>
        </w:rPr>
      </w:pPr>
    </w:p>
    <w:p>
      <w:pPr>
        <w:adjustRightInd w:val="0"/>
        <w:snapToGrid w:val="0"/>
        <w:spacing w:line="360" w:lineRule="auto"/>
        <w:jc w:val="center"/>
        <w:rPr>
          <w:rFonts w:ascii="Times New Roman" w:hAnsi="Times New Roman"/>
          <w:b/>
          <w:bCs/>
          <w:color w:val="auto"/>
          <w:highlight w:val="none"/>
        </w:rPr>
      </w:pPr>
    </w:p>
    <w:p>
      <w:pPr>
        <w:adjustRightInd w:val="0"/>
        <w:snapToGrid w:val="0"/>
        <w:spacing w:line="360" w:lineRule="auto"/>
        <w:jc w:val="center"/>
        <w:rPr>
          <w:rFonts w:ascii="Times New Roman" w:hAnsi="Times New Roman"/>
          <w:color w:val="auto"/>
          <w:highlight w:val="none"/>
        </w:rPr>
      </w:pPr>
      <w:r>
        <w:rPr>
          <w:rFonts w:ascii="Times New Roman" w:hAnsi="Times New Roman"/>
          <w:b/>
          <w:bCs/>
          <w:color w:val="auto"/>
          <w:highlight w:val="none"/>
        </w:rPr>
        <w:t>附</w:t>
      </w:r>
      <w:r>
        <w:rPr>
          <w:rFonts w:hint="eastAsia" w:ascii="Times New Roman" w:hAnsi="Times New Roman"/>
          <w:b/>
          <w:bCs/>
          <w:color w:val="auto"/>
          <w:highlight w:val="none"/>
        </w:rPr>
        <w:t>录1</w:t>
      </w:r>
      <w:r>
        <w:rPr>
          <w:rFonts w:ascii="Times New Roman" w:hAnsi="Times New Roman"/>
          <w:b/>
          <w:bCs/>
          <w:color w:val="auto"/>
          <w:highlight w:val="none"/>
        </w:rPr>
        <w:t xml:space="preserve">  资质最低要求</w:t>
      </w:r>
    </w:p>
    <w:tbl>
      <w:tblPr>
        <w:tblStyle w:val="6"/>
        <w:tblW w:w="0" w:type="auto"/>
        <w:tblInd w:w="93" w:type="dxa"/>
        <w:tblLayout w:type="fixed"/>
        <w:tblCellMar>
          <w:top w:w="0" w:type="dxa"/>
          <w:left w:w="108" w:type="dxa"/>
          <w:bottom w:w="0" w:type="dxa"/>
          <w:right w:w="108" w:type="dxa"/>
        </w:tblCellMar>
      </w:tblPr>
      <w:tblGrid>
        <w:gridCol w:w="9087"/>
      </w:tblGrid>
      <w:tr>
        <w:trPr>
          <w:trHeight w:val="495" w:hRule="atLeast"/>
        </w:trPr>
        <w:tc>
          <w:tcPr>
            <w:tcW w:w="90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资质要求</w:t>
            </w:r>
          </w:p>
        </w:tc>
      </w:tr>
      <w:tr>
        <w:trPr>
          <w:trHeight w:val="2598" w:hRule="atLeast"/>
        </w:trPr>
        <w:tc>
          <w:tcPr>
            <w:tcW w:w="908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line="360" w:lineRule="auto"/>
              <w:ind w:firstLine="420" w:firstLineChars="200"/>
              <w:jc w:val="both"/>
              <w:textAlignment w:val="auto"/>
              <w:rPr>
                <w:rFonts w:hint="eastAsia" w:ascii="宋体" w:hAnsi="宋体" w:eastAsia="宋体" w:cs="宋体"/>
                <w:strike w:val="0"/>
                <w:color w:val="auto"/>
                <w:kern w:val="0"/>
                <w:szCs w:val="21"/>
                <w:highlight w:val="none"/>
              </w:rPr>
            </w:pPr>
            <w:r>
              <w:rPr>
                <w:rFonts w:hint="eastAsia" w:ascii="宋体" w:hAnsi="宋体" w:eastAsia="宋体" w:cs="宋体"/>
                <w:strike w:val="0"/>
                <w:color w:val="auto"/>
                <w:kern w:val="0"/>
                <w:szCs w:val="21"/>
                <w:highlight w:val="none"/>
              </w:rPr>
              <w:t>在中华人民共和国境内成立并有效存续、由</w:t>
            </w:r>
            <w:r>
              <w:rPr>
                <w:rFonts w:hint="eastAsia" w:ascii="宋体" w:hAnsi="宋体" w:cs="宋体"/>
                <w:strike w:val="0"/>
                <w:color w:val="auto"/>
                <w:kern w:val="0"/>
                <w:szCs w:val="21"/>
                <w:highlight w:val="none"/>
                <w:lang w:eastAsia="zh-CN"/>
              </w:rPr>
              <w:t>中国银行保险监督管理委员会</w:t>
            </w:r>
            <w:r>
              <w:rPr>
                <w:rFonts w:hint="eastAsia" w:ascii="宋体" w:hAnsi="宋体" w:cs="宋体"/>
                <w:strike w:val="0"/>
                <w:color w:val="auto"/>
                <w:kern w:val="0"/>
                <w:szCs w:val="21"/>
                <w:highlight w:val="none"/>
                <w:lang w:val="en-US" w:eastAsia="zh-CN"/>
              </w:rPr>
              <w:t>或</w:t>
            </w:r>
            <w:r>
              <w:rPr>
                <w:rFonts w:hint="eastAsia" w:ascii="宋体" w:hAnsi="宋体" w:cs="宋体"/>
                <w:strike w:val="0"/>
                <w:color w:val="auto"/>
                <w:kern w:val="0"/>
                <w:szCs w:val="21"/>
                <w:highlight w:val="none"/>
                <w:lang w:eastAsia="zh-CN"/>
              </w:rPr>
              <w:t>中国保险监督管理委员会</w:t>
            </w:r>
            <w:r>
              <w:rPr>
                <w:rFonts w:hint="eastAsia" w:ascii="宋体" w:hAnsi="宋体" w:eastAsia="宋体" w:cs="宋体"/>
                <w:strike w:val="0"/>
                <w:color w:val="auto"/>
                <w:kern w:val="0"/>
                <w:szCs w:val="21"/>
                <w:highlight w:val="none"/>
              </w:rPr>
              <w:t>批准开展财产保险业务、并具有独立法人资格的保险公司；若投标人为该保险公司之分支机构，</w:t>
            </w:r>
            <w:r>
              <w:rPr>
                <w:rFonts w:hint="eastAsia" w:ascii="宋体" w:hAnsi="宋体" w:eastAsia="宋体" w:cs="宋体"/>
                <w:strike w:val="0"/>
                <w:color w:val="auto"/>
                <w:szCs w:val="21"/>
                <w:highlight w:val="none"/>
              </w:rPr>
              <w:t>需为经投标人总公司唯一授权的省级分公司或以上的分支机构</w:t>
            </w:r>
            <w:r>
              <w:rPr>
                <w:rFonts w:hint="eastAsia" w:ascii="宋体" w:hAnsi="宋体" w:eastAsia="宋体" w:cs="宋体"/>
                <w:strike w:val="0"/>
                <w:color w:val="auto"/>
                <w:kern w:val="0"/>
                <w:szCs w:val="21"/>
                <w:highlight w:val="none"/>
              </w:rPr>
              <w:t>。</w:t>
            </w:r>
          </w:p>
          <w:p>
            <w:pPr>
              <w:widowControl/>
              <w:numPr>
                <w:ilvl w:val="0"/>
                <w:numId w:val="0"/>
              </w:numPr>
              <w:adjustRightInd w:val="0"/>
              <w:snapToGrid w:val="0"/>
              <w:spacing w:line="360" w:lineRule="auto"/>
              <w:ind w:leftChars="0" w:firstLine="420" w:firstLineChars="200"/>
              <w:rPr>
                <w:rFonts w:hint="eastAsia" w:ascii="Times New Roman" w:hAnsi="Times New Roman"/>
                <w:color w:val="auto"/>
                <w:kern w:val="0"/>
                <w:szCs w:val="21"/>
                <w:highlight w:val="none"/>
              </w:rPr>
            </w:pPr>
            <w:r>
              <w:rPr>
                <w:rFonts w:hint="eastAsia" w:ascii="宋体" w:hAnsi="宋体" w:eastAsia="宋体" w:cs="宋体"/>
                <w:strike w:val="0"/>
                <w:color w:val="auto"/>
                <w:kern w:val="0"/>
                <w:szCs w:val="21"/>
                <w:highlight w:val="none"/>
              </w:rPr>
              <w:t>投标人在广东省内设有分支机构。</w:t>
            </w:r>
          </w:p>
        </w:tc>
      </w:tr>
    </w:tbl>
    <w:p>
      <w:pPr>
        <w:widowControl/>
        <w:spacing w:before="0" w:beforeLines="0" w:line="360" w:lineRule="auto"/>
        <w:ind w:firstLine="361" w:firstLineChars="200"/>
        <w:jc w:val="both"/>
        <w:rPr>
          <w:rFonts w:hint="eastAsia" w:ascii="宋体" w:hAnsi="宋体" w:cs="宋体"/>
          <w:b/>
          <w:bCs w:val="0"/>
          <w:color w:val="auto"/>
          <w:kern w:val="0"/>
          <w:sz w:val="18"/>
          <w:szCs w:val="18"/>
          <w:highlight w:val="none"/>
          <w:lang w:val="en-US" w:eastAsia="zh-CN"/>
        </w:rPr>
      </w:pPr>
    </w:p>
    <w:p>
      <w:pPr>
        <w:snapToGrid w:val="0"/>
        <w:spacing w:line="360" w:lineRule="auto"/>
        <w:ind w:firstLine="42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 xml:space="preserve">注：投标人应根据招标文件第二章“投标人须知”第3.5.1项的要求附相关证明材料。 </w:t>
      </w:r>
    </w:p>
    <w:p>
      <w:pPr>
        <w:adjustRightInd w:val="0"/>
        <w:snapToGrid w:val="0"/>
        <w:spacing w:line="360" w:lineRule="auto"/>
        <w:jc w:val="center"/>
        <w:rPr>
          <w:rFonts w:ascii="Times New Roman" w:hAnsi="Times New Roman"/>
          <w:b/>
          <w:bCs/>
          <w:color w:val="auto"/>
          <w:highlight w:val="none"/>
        </w:rPr>
      </w:pPr>
    </w:p>
    <w:p>
      <w:pPr>
        <w:adjustRightInd w:val="0"/>
        <w:snapToGrid w:val="0"/>
        <w:spacing w:line="360" w:lineRule="auto"/>
        <w:jc w:val="center"/>
        <w:rPr>
          <w:rFonts w:ascii="Times New Roman" w:hAnsi="Times New Roman"/>
          <w:b/>
          <w:bCs/>
          <w:color w:val="auto"/>
          <w:highlight w:val="none"/>
        </w:rPr>
      </w:pPr>
    </w:p>
    <w:p>
      <w:pPr>
        <w:adjustRightInd w:val="0"/>
        <w:snapToGrid w:val="0"/>
        <w:spacing w:line="360" w:lineRule="auto"/>
        <w:jc w:val="center"/>
        <w:rPr>
          <w:rFonts w:ascii="Times New Roman" w:hAnsi="Times New Roman"/>
          <w:b/>
          <w:bCs/>
          <w:color w:val="auto"/>
          <w:highlight w:val="none"/>
        </w:rPr>
      </w:pPr>
    </w:p>
    <w:p>
      <w:pPr>
        <w:adjustRightInd w:val="0"/>
        <w:snapToGrid w:val="0"/>
        <w:spacing w:line="360" w:lineRule="auto"/>
        <w:jc w:val="center"/>
        <w:rPr>
          <w:rFonts w:ascii="Times New Roman" w:hAnsi="Times New Roman"/>
          <w:b/>
          <w:bCs/>
          <w:color w:val="auto"/>
          <w:highlight w:val="none"/>
        </w:rPr>
      </w:pPr>
      <w:r>
        <w:rPr>
          <w:rFonts w:ascii="Times New Roman" w:hAnsi="Times New Roman"/>
          <w:b/>
          <w:bCs/>
          <w:color w:val="auto"/>
          <w:highlight w:val="none"/>
        </w:rPr>
        <w:br w:type="page"/>
      </w:r>
      <w:r>
        <w:rPr>
          <w:rFonts w:ascii="Times New Roman" w:hAnsi="Times New Roman"/>
          <w:b/>
          <w:bCs/>
          <w:color w:val="auto"/>
          <w:highlight w:val="none"/>
        </w:rPr>
        <w:t>附</w:t>
      </w:r>
      <w:r>
        <w:rPr>
          <w:rFonts w:hint="eastAsia" w:ascii="Times New Roman" w:hAnsi="Times New Roman"/>
          <w:b/>
          <w:bCs/>
          <w:color w:val="auto"/>
          <w:highlight w:val="none"/>
        </w:rPr>
        <w:t>录</w:t>
      </w:r>
      <w:r>
        <w:rPr>
          <w:rFonts w:ascii="Times New Roman" w:hAnsi="Times New Roman"/>
          <w:b/>
          <w:bCs/>
          <w:color w:val="auto"/>
          <w:highlight w:val="none"/>
        </w:rPr>
        <w:t>2 财务最低要求</w:t>
      </w:r>
    </w:p>
    <w:tbl>
      <w:tblPr>
        <w:tblStyle w:val="6"/>
        <w:tblW w:w="0" w:type="auto"/>
        <w:tblInd w:w="93" w:type="dxa"/>
        <w:tblLayout w:type="fixed"/>
        <w:tblCellMar>
          <w:top w:w="0" w:type="dxa"/>
          <w:left w:w="108" w:type="dxa"/>
          <w:bottom w:w="0" w:type="dxa"/>
          <w:right w:w="108" w:type="dxa"/>
        </w:tblCellMar>
      </w:tblPr>
      <w:tblGrid>
        <w:gridCol w:w="9087"/>
      </w:tblGrid>
      <w:tr>
        <w:tblPrEx>
          <w:tblCellMar>
            <w:top w:w="0" w:type="dxa"/>
            <w:left w:w="108" w:type="dxa"/>
            <w:bottom w:w="0" w:type="dxa"/>
            <w:right w:w="108" w:type="dxa"/>
          </w:tblCellMar>
        </w:tblPrEx>
        <w:trPr>
          <w:trHeight w:val="420" w:hRule="atLeast"/>
        </w:trPr>
        <w:tc>
          <w:tcPr>
            <w:tcW w:w="90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center"/>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财务</w:t>
            </w:r>
            <w:r>
              <w:rPr>
                <w:rFonts w:ascii="Times New Roman" w:hAnsi="Times New Roman"/>
                <w:color w:val="auto"/>
                <w:kern w:val="0"/>
                <w:szCs w:val="21"/>
                <w:highlight w:val="none"/>
              </w:rPr>
              <w:t>要求</w:t>
            </w:r>
          </w:p>
        </w:tc>
      </w:tr>
      <w:tr>
        <w:tblPrEx>
          <w:tblCellMar>
            <w:top w:w="0" w:type="dxa"/>
            <w:left w:w="108" w:type="dxa"/>
            <w:bottom w:w="0" w:type="dxa"/>
            <w:right w:w="108" w:type="dxa"/>
          </w:tblCellMar>
        </w:tblPrEx>
        <w:trPr>
          <w:trHeight w:val="1736" w:hRule="atLeast"/>
        </w:trPr>
        <w:tc>
          <w:tcPr>
            <w:tcW w:w="9087" w:type="dxa"/>
            <w:tcBorders>
              <w:top w:val="nil"/>
              <w:left w:val="single" w:color="auto" w:sz="4" w:space="0"/>
              <w:bottom w:val="single" w:color="000000" w:sz="4" w:space="0"/>
              <w:right w:val="single" w:color="auto" w:sz="4" w:space="0"/>
            </w:tcBorders>
            <w:noWrap w:val="0"/>
            <w:vAlign w:val="center"/>
          </w:tcPr>
          <w:p>
            <w:pPr>
              <w:widowControl/>
              <w:numPr>
                <w:ilvl w:val="0"/>
                <w:numId w:val="1"/>
              </w:num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投标人总公司注册资本金不少于人民币</w:t>
            </w:r>
            <w:r>
              <w:rPr>
                <w:rFonts w:hint="eastAsia" w:ascii="宋体" w:hAnsi="宋体" w:cs="宋体"/>
                <w:color w:val="auto"/>
                <w:kern w:val="0"/>
                <w:szCs w:val="21"/>
                <w:highlight w:val="none"/>
                <w:lang w:val="en-US" w:eastAsia="zh-CN"/>
              </w:rPr>
              <w:t>50</w:t>
            </w:r>
            <w:r>
              <w:rPr>
                <w:rFonts w:hint="eastAsia" w:ascii="宋体" w:hAnsi="宋体" w:cs="宋体"/>
                <w:color w:val="auto"/>
                <w:kern w:val="0"/>
                <w:szCs w:val="21"/>
                <w:highlight w:val="none"/>
              </w:rPr>
              <w:t>亿元。</w:t>
            </w:r>
          </w:p>
          <w:p>
            <w:pPr>
              <w:widowControl/>
              <w:numPr>
                <w:ilvl w:val="0"/>
                <w:numId w:val="1"/>
              </w:numPr>
              <w:adjustRightInd w:val="0"/>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投标人总公司近三年的国内财产保险业务</w:t>
            </w:r>
            <w:r>
              <w:rPr>
                <w:rFonts w:hint="eastAsia" w:ascii="宋体" w:hAnsi="宋体" w:cs="宋体"/>
                <w:color w:val="auto"/>
                <w:kern w:val="0"/>
                <w:szCs w:val="21"/>
                <w:highlight w:val="none"/>
                <w:lang w:val="en-US" w:eastAsia="zh-CN"/>
              </w:rPr>
              <w:t>平均</w:t>
            </w:r>
            <w:r>
              <w:rPr>
                <w:rFonts w:hint="eastAsia" w:ascii="宋体" w:hAnsi="宋体" w:cs="宋体"/>
                <w:color w:val="auto"/>
                <w:kern w:val="0"/>
                <w:szCs w:val="21"/>
                <w:highlight w:val="none"/>
              </w:rPr>
              <w:t>收入不低于</w:t>
            </w:r>
            <w:r>
              <w:rPr>
                <w:rFonts w:hint="eastAsia" w:ascii="宋体" w:hAnsi="宋体" w:cs="宋体"/>
                <w:color w:val="auto"/>
                <w:kern w:val="0"/>
                <w:szCs w:val="21"/>
                <w:highlight w:val="none"/>
                <w:lang w:val="en-US" w:eastAsia="zh-CN"/>
              </w:rPr>
              <w:t>100</w:t>
            </w:r>
            <w:r>
              <w:rPr>
                <w:rFonts w:hint="eastAsia" w:ascii="宋体" w:hAnsi="宋体" w:cs="宋体"/>
                <w:color w:val="auto"/>
                <w:kern w:val="0"/>
                <w:szCs w:val="21"/>
                <w:highlight w:val="none"/>
              </w:rPr>
              <w:t>亿元。</w:t>
            </w:r>
          </w:p>
        </w:tc>
      </w:tr>
    </w:tbl>
    <w:p>
      <w:pPr>
        <w:snapToGrid w:val="0"/>
        <w:spacing w:line="360" w:lineRule="auto"/>
        <w:rPr>
          <w:rFonts w:hint="eastAsia" w:ascii="宋体" w:hAnsi="宋体"/>
          <w:color w:val="auto"/>
          <w:highlight w:val="none"/>
        </w:rPr>
      </w:pPr>
      <w:r>
        <w:rPr>
          <w:rFonts w:hint="eastAsia" w:ascii="宋体" w:hAnsi="宋体"/>
          <w:color w:val="auto"/>
          <w:highlight w:val="none"/>
        </w:rPr>
        <w:t>注：</w:t>
      </w:r>
    </w:p>
    <w:p>
      <w:pPr>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s="宋体"/>
          <w:color w:val="auto"/>
          <w:kern w:val="0"/>
          <w:szCs w:val="21"/>
          <w:highlight w:val="none"/>
        </w:rPr>
        <w:t>注册资本金以营业执照所列注册资本或中国银行保险监督管理委员会（原“中国保险监督管理委员会”）</w:t>
      </w:r>
      <w:r>
        <w:rPr>
          <w:rFonts w:hint="eastAsia" w:ascii="宋体" w:hAnsi="宋体"/>
          <w:color w:val="auto"/>
          <w:szCs w:val="21"/>
          <w:highlight w:val="none"/>
        </w:rPr>
        <w:t>关于注册资本的批复函</w:t>
      </w:r>
      <w:r>
        <w:rPr>
          <w:rFonts w:hint="eastAsia" w:ascii="宋体" w:hAnsi="宋体" w:cs="宋体"/>
          <w:color w:val="auto"/>
          <w:kern w:val="0"/>
          <w:szCs w:val="21"/>
          <w:highlight w:val="none"/>
        </w:rPr>
        <w:t>为准，如不一致则以两者中最新的文件为准。</w:t>
      </w:r>
    </w:p>
    <w:p>
      <w:pPr>
        <w:snapToGrid w:val="0"/>
        <w:spacing w:line="360" w:lineRule="auto"/>
        <w:ind w:firstLine="420"/>
        <w:rPr>
          <w:rFonts w:ascii="宋体" w:hAnsi="宋体"/>
          <w:color w:val="auto"/>
          <w:highlight w:val="none"/>
        </w:rPr>
      </w:pPr>
      <w:r>
        <w:rPr>
          <w:rFonts w:hint="eastAsia" w:ascii="宋体" w:hAnsi="宋体"/>
          <w:color w:val="auto"/>
          <w:highlight w:val="none"/>
        </w:rPr>
        <w:t>（2）</w:t>
      </w:r>
      <w:r>
        <w:rPr>
          <w:rFonts w:hint="eastAsia" w:ascii="宋体" w:hAnsi="宋体"/>
          <w:color w:val="auto"/>
          <w:szCs w:val="21"/>
          <w:highlight w:val="none"/>
        </w:rPr>
        <w:t>近三年指</w:t>
      </w:r>
      <w:r>
        <w:rPr>
          <w:rFonts w:hint="eastAsia" w:ascii="宋体" w:hAnsi="宋体"/>
          <w:color w:val="auto"/>
          <w:szCs w:val="21"/>
          <w:highlight w:val="none"/>
          <w:u w:val="single"/>
        </w:rPr>
        <w:t xml:space="preserve"> 2019 </w:t>
      </w:r>
      <w:r>
        <w:rPr>
          <w:rFonts w:hint="eastAsia" w:ascii="宋体" w:hAnsi="宋体"/>
          <w:color w:val="auto"/>
          <w:szCs w:val="21"/>
          <w:highlight w:val="none"/>
        </w:rPr>
        <w:t>、</w:t>
      </w:r>
      <w:r>
        <w:rPr>
          <w:rFonts w:hint="eastAsia" w:ascii="宋体" w:hAnsi="宋体"/>
          <w:color w:val="auto"/>
          <w:szCs w:val="21"/>
          <w:highlight w:val="none"/>
          <w:u w:val="single"/>
        </w:rPr>
        <w:t xml:space="preserve"> 20</w:t>
      </w:r>
      <w:r>
        <w:rPr>
          <w:rFonts w:hint="eastAsia" w:ascii="宋体" w:hAnsi="宋体"/>
          <w:color w:val="auto"/>
          <w:szCs w:val="21"/>
          <w:highlight w:val="none"/>
          <w:u w:val="single"/>
          <w:lang w:val="en-US" w:eastAsia="zh-CN"/>
        </w:rPr>
        <w:t>20</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20</w:t>
      </w:r>
      <w:r>
        <w:rPr>
          <w:rFonts w:hint="eastAsia" w:ascii="宋体" w:hAnsi="宋体"/>
          <w:color w:val="auto"/>
          <w:szCs w:val="21"/>
          <w:highlight w:val="none"/>
          <w:u w:val="single"/>
          <w:lang w:val="en-US" w:eastAsia="zh-CN"/>
        </w:rPr>
        <w:t>21</w:t>
      </w:r>
      <w:r>
        <w:rPr>
          <w:rFonts w:hint="eastAsia" w:ascii="宋体" w:hAnsi="宋体"/>
          <w:color w:val="auto"/>
          <w:szCs w:val="21"/>
          <w:highlight w:val="none"/>
          <w:u w:val="single"/>
        </w:rPr>
        <w:t xml:space="preserve"> </w:t>
      </w:r>
      <w:r>
        <w:rPr>
          <w:rFonts w:hint="eastAsia" w:ascii="宋体" w:hAnsi="宋体"/>
          <w:color w:val="auto"/>
          <w:szCs w:val="21"/>
          <w:highlight w:val="none"/>
        </w:rPr>
        <w:t>年度。</w:t>
      </w:r>
    </w:p>
    <w:p>
      <w:pPr>
        <w:snapToGrid w:val="0"/>
        <w:spacing w:line="360" w:lineRule="auto"/>
        <w:ind w:firstLine="420"/>
        <w:rPr>
          <w:rFonts w:hint="eastAsia" w:ascii="宋体" w:hAnsi="宋体"/>
          <w:color w:val="auto"/>
          <w:highlight w:val="none"/>
        </w:rPr>
      </w:pPr>
      <w:r>
        <w:rPr>
          <w:rFonts w:hint="eastAsia" w:ascii="宋体" w:hAnsi="宋体"/>
          <w:color w:val="auto"/>
          <w:highlight w:val="none"/>
        </w:rPr>
        <w:t>（3）</w:t>
      </w:r>
      <w:bookmarkStart w:id="0" w:name="_Hlk50664734"/>
      <w:r>
        <w:rPr>
          <w:rFonts w:hint="eastAsia" w:ascii="宋体" w:hAnsi="宋体"/>
          <w:color w:val="auto"/>
          <w:highlight w:val="none"/>
          <w:lang w:val="en-US" w:eastAsia="zh-CN"/>
        </w:rPr>
        <w:t>投标人应根据招标文件第二章“投标人须知”第3.5.2项的要求附相关证明材料</w:t>
      </w:r>
      <w:r>
        <w:rPr>
          <w:rFonts w:hint="eastAsia" w:ascii="宋体" w:hAnsi="宋体"/>
          <w:color w:val="auto"/>
          <w:szCs w:val="21"/>
          <w:highlight w:val="none"/>
        </w:rPr>
        <w:t>。</w:t>
      </w:r>
      <w:bookmarkEnd w:id="0"/>
    </w:p>
    <w:p>
      <w:pPr>
        <w:snapToGrid w:val="0"/>
        <w:rPr>
          <w:rFonts w:hint="eastAsia" w:ascii="宋体" w:hAnsi="宋体"/>
          <w:color w:val="auto"/>
          <w:highlight w:val="none"/>
        </w:rPr>
      </w:pPr>
    </w:p>
    <w:p>
      <w:pPr>
        <w:adjustRightInd w:val="0"/>
        <w:snapToGrid w:val="0"/>
        <w:spacing w:line="360" w:lineRule="auto"/>
        <w:jc w:val="center"/>
        <w:rPr>
          <w:rFonts w:ascii="Times New Roman" w:hAnsi="Times New Roman"/>
          <w:b/>
          <w:bCs/>
          <w:color w:val="auto"/>
          <w:highlight w:val="none"/>
        </w:rPr>
      </w:pPr>
    </w:p>
    <w:p>
      <w:pPr>
        <w:adjustRightInd w:val="0"/>
        <w:snapToGrid w:val="0"/>
        <w:spacing w:line="360" w:lineRule="auto"/>
        <w:jc w:val="center"/>
        <w:rPr>
          <w:rFonts w:hint="eastAsia" w:ascii="Times New Roman" w:hAnsi="Times New Roman"/>
          <w:b/>
          <w:bCs/>
          <w:color w:val="auto"/>
          <w:highlight w:val="none"/>
        </w:rPr>
      </w:pPr>
    </w:p>
    <w:p>
      <w:pPr>
        <w:adjustRightInd w:val="0"/>
        <w:snapToGrid w:val="0"/>
        <w:spacing w:line="360" w:lineRule="auto"/>
        <w:jc w:val="center"/>
        <w:rPr>
          <w:rFonts w:hint="eastAsia" w:ascii="Times New Roman" w:hAnsi="Times New Roman"/>
          <w:b/>
          <w:bCs/>
          <w:color w:val="auto"/>
          <w:highlight w:val="none"/>
        </w:rPr>
      </w:pPr>
    </w:p>
    <w:p>
      <w:pPr>
        <w:adjustRightInd w:val="0"/>
        <w:snapToGrid w:val="0"/>
        <w:spacing w:line="360" w:lineRule="auto"/>
        <w:jc w:val="center"/>
        <w:rPr>
          <w:rFonts w:ascii="Times New Roman" w:hAnsi="Times New Roman"/>
          <w:b/>
          <w:bCs/>
          <w:color w:val="auto"/>
          <w:highlight w:val="none"/>
        </w:rPr>
      </w:pPr>
      <w:r>
        <w:rPr>
          <w:rFonts w:ascii="Times New Roman" w:hAnsi="Times New Roman"/>
          <w:b/>
          <w:bCs/>
          <w:color w:val="auto"/>
          <w:highlight w:val="none"/>
        </w:rPr>
        <w:br w:type="page"/>
      </w:r>
      <w:r>
        <w:rPr>
          <w:rFonts w:ascii="Times New Roman" w:hAnsi="Times New Roman"/>
          <w:b/>
          <w:bCs/>
          <w:color w:val="auto"/>
          <w:highlight w:val="none"/>
        </w:rPr>
        <w:t>附</w:t>
      </w:r>
      <w:r>
        <w:rPr>
          <w:rFonts w:hint="eastAsia" w:ascii="Times New Roman" w:hAnsi="Times New Roman"/>
          <w:b/>
          <w:bCs/>
          <w:color w:val="auto"/>
          <w:highlight w:val="none"/>
        </w:rPr>
        <w:t>录</w:t>
      </w:r>
      <w:r>
        <w:rPr>
          <w:rFonts w:ascii="Times New Roman" w:hAnsi="Times New Roman"/>
          <w:b/>
          <w:bCs/>
          <w:color w:val="auto"/>
          <w:highlight w:val="none"/>
        </w:rPr>
        <w:t>3 业绩最低要求</w:t>
      </w:r>
    </w:p>
    <w:tbl>
      <w:tblPr>
        <w:tblStyle w:val="6"/>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0" w:hRule="atLeast"/>
        </w:trPr>
        <w:tc>
          <w:tcPr>
            <w:tcW w:w="8946" w:type="dxa"/>
            <w:noWrap w:val="0"/>
            <w:vAlign w:val="center"/>
          </w:tcPr>
          <w:p>
            <w:pPr>
              <w:widowControl/>
              <w:adjustRightInd w:val="0"/>
              <w:snapToGrid w:val="0"/>
              <w:spacing w:line="360" w:lineRule="auto"/>
              <w:jc w:val="center"/>
              <w:rPr>
                <w:rFonts w:hint="eastAsia" w:ascii="Times New Roman" w:hAnsi="Times New Roman"/>
                <w:color w:val="auto"/>
                <w:kern w:val="0"/>
                <w:szCs w:val="21"/>
                <w:highlight w:val="none"/>
              </w:rPr>
            </w:pPr>
            <w:r>
              <w:rPr>
                <w:rFonts w:hint="eastAsia" w:ascii="Times New Roman" w:hAnsi="Times New Roman"/>
                <w:color w:val="auto"/>
                <w:kern w:val="0"/>
                <w:szCs w:val="21"/>
                <w:highlight w:val="none"/>
              </w:rPr>
              <w:t>业绩</w:t>
            </w:r>
            <w:r>
              <w:rPr>
                <w:rFonts w:ascii="Times New Roman" w:hAnsi="Times New Roman"/>
                <w:color w:val="auto"/>
                <w:kern w:val="0"/>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9" w:hRule="atLeast"/>
        </w:trPr>
        <w:tc>
          <w:tcPr>
            <w:tcW w:w="8946" w:type="dxa"/>
            <w:noWrap w:val="0"/>
            <w:vAlign w:val="center"/>
          </w:tcPr>
          <w:p>
            <w:pPr>
              <w:widowControl/>
              <w:adjustRightInd w:val="0"/>
              <w:snapToGrid w:val="0"/>
              <w:spacing w:line="360" w:lineRule="auto"/>
              <w:jc w:val="center"/>
              <w:rPr>
                <w:rFonts w:ascii="Times New Roman" w:hAnsi="Times New Roman"/>
                <w:color w:val="auto"/>
                <w:kern w:val="0"/>
                <w:szCs w:val="21"/>
                <w:highlight w:val="none"/>
              </w:rPr>
            </w:pPr>
            <w:r>
              <w:rPr>
                <w:rFonts w:ascii="Times New Roman" w:hAnsi="Times New Roman"/>
                <w:color w:val="auto"/>
                <w:kern w:val="0"/>
                <w:szCs w:val="21"/>
                <w:highlight w:val="none"/>
              </w:rPr>
              <w:t>20</w:t>
            </w:r>
            <w:r>
              <w:rPr>
                <w:rFonts w:hint="eastAsia" w:ascii="Times New Roman" w:hAnsi="Times New Roman"/>
                <w:color w:val="auto"/>
                <w:kern w:val="0"/>
                <w:szCs w:val="21"/>
                <w:highlight w:val="none"/>
                <w:lang w:val="en-US" w:eastAsia="zh-CN"/>
              </w:rPr>
              <w:t>20</w:t>
            </w:r>
            <w:r>
              <w:rPr>
                <w:rFonts w:ascii="Times New Roman" w:hAnsi="Times New Roman"/>
                <w:color w:val="auto"/>
                <w:kern w:val="0"/>
                <w:szCs w:val="21"/>
                <w:highlight w:val="none"/>
              </w:rPr>
              <w:t>年</w:t>
            </w:r>
            <w:r>
              <w:rPr>
                <w:rFonts w:hint="eastAsia" w:ascii="Times New Roman" w:hAnsi="Times New Roman"/>
                <w:color w:val="auto"/>
                <w:kern w:val="0"/>
                <w:szCs w:val="21"/>
                <w:highlight w:val="none"/>
              </w:rPr>
              <w:t>1</w:t>
            </w:r>
            <w:r>
              <w:rPr>
                <w:rFonts w:ascii="Times New Roman" w:hAnsi="Times New Roman"/>
                <w:color w:val="auto"/>
                <w:kern w:val="0"/>
                <w:szCs w:val="21"/>
                <w:highlight w:val="none"/>
              </w:rPr>
              <w:t>月1日至投标截止日止，至少成功承保过1个</w:t>
            </w:r>
            <w:r>
              <w:rPr>
                <w:rFonts w:hint="eastAsia" w:ascii="Times New Roman" w:hAnsi="Times New Roman"/>
                <w:color w:val="auto"/>
                <w:kern w:val="0"/>
                <w:szCs w:val="21"/>
                <w:highlight w:val="none"/>
              </w:rPr>
              <w:t>单位的</w:t>
            </w:r>
            <w:r>
              <w:rPr>
                <w:rFonts w:hint="eastAsia" w:ascii="宋体" w:hAnsi="宋体"/>
                <w:color w:val="auto"/>
                <w:highlight w:val="none"/>
              </w:rPr>
              <w:t>车辆保险项目</w:t>
            </w:r>
            <w:r>
              <w:rPr>
                <w:rFonts w:ascii="Times New Roman" w:hAnsi="Times New Roman"/>
                <w:color w:val="auto"/>
                <w:kern w:val="0"/>
                <w:szCs w:val="21"/>
                <w:highlight w:val="none"/>
              </w:rPr>
              <w:t>。</w:t>
            </w:r>
          </w:p>
        </w:tc>
      </w:tr>
    </w:tbl>
    <w:p>
      <w:pPr>
        <w:adjustRightInd w:val="0"/>
        <w:snapToGrid w:val="0"/>
        <w:spacing w:line="360" w:lineRule="auto"/>
        <w:ind w:firstLine="297" w:firstLineChars="150"/>
        <w:rPr>
          <w:rFonts w:ascii="Times New Roman" w:hAnsi="Times New Roman"/>
          <w:bCs/>
          <w:color w:val="auto"/>
          <w:spacing w:val="-6"/>
          <w:szCs w:val="21"/>
          <w:highlight w:val="none"/>
        </w:rPr>
      </w:pPr>
    </w:p>
    <w:p>
      <w:pPr>
        <w:snapToGrid w:val="0"/>
        <w:spacing w:line="360" w:lineRule="auto"/>
        <w:ind w:firstLine="42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 xml:space="preserve">注：投标人应根据招标文件第二章“投标人须知”第3.5.3项的要求附相关证明材料。 </w:t>
      </w:r>
    </w:p>
    <w:p>
      <w:pPr>
        <w:adjustRightInd w:val="0"/>
        <w:snapToGrid w:val="0"/>
        <w:spacing w:line="360" w:lineRule="auto"/>
        <w:ind w:firstLine="297" w:firstLineChars="150"/>
        <w:rPr>
          <w:rFonts w:ascii="Times New Roman" w:hAnsi="Times New Roman"/>
          <w:bCs/>
          <w:color w:val="auto"/>
          <w:spacing w:val="-6"/>
          <w:szCs w:val="21"/>
          <w:highlight w:val="none"/>
        </w:rPr>
      </w:pPr>
    </w:p>
    <w:p>
      <w:pPr>
        <w:adjustRightInd w:val="0"/>
        <w:snapToGrid w:val="0"/>
        <w:spacing w:line="360" w:lineRule="auto"/>
        <w:ind w:firstLine="297" w:firstLineChars="150"/>
        <w:rPr>
          <w:rFonts w:ascii="Times New Roman" w:hAnsi="Times New Roman"/>
          <w:bCs/>
          <w:color w:val="auto"/>
          <w:spacing w:val="-6"/>
          <w:szCs w:val="21"/>
          <w:highlight w:val="none"/>
        </w:rPr>
      </w:pPr>
    </w:p>
    <w:p>
      <w:pPr>
        <w:adjustRightInd w:val="0"/>
        <w:snapToGrid w:val="0"/>
        <w:spacing w:line="360" w:lineRule="auto"/>
        <w:ind w:firstLine="297" w:firstLineChars="150"/>
        <w:rPr>
          <w:rFonts w:ascii="Times New Roman" w:hAnsi="Times New Roman"/>
          <w:bCs/>
          <w:color w:val="auto"/>
          <w:spacing w:val="-6"/>
          <w:szCs w:val="21"/>
          <w:highlight w:val="none"/>
        </w:rPr>
      </w:pPr>
    </w:p>
    <w:p>
      <w:pPr>
        <w:adjustRightInd w:val="0"/>
        <w:snapToGrid w:val="0"/>
        <w:spacing w:line="360" w:lineRule="auto"/>
        <w:ind w:firstLine="297" w:firstLineChars="150"/>
        <w:rPr>
          <w:rFonts w:hint="eastAsia" w:ascii="Times New Roman" w:hAnsi="Times New Roman"/>
          <w:bCs/>
          <w:color w:val="auto"/>
          <w:spacing w:val="-6"/>
          <w:szCs w:val="21"/>
          <w:highlight w:val="none"/>
        </w:rPr>
      </w:pPr>
      <w:r>
        <w:rPr>
          <w:rFonts w:hint="eastAsia" w:ascii="Times New Roman" w:hAnsi="Times New Roman"/>
          <w:bCs/>
          <w:color w:val="auto"/>
          <w:spacing w:val="-6"/>
          <w:szCs w:val="21"/>
          <w:highlight w:val="none"/>
        </w:rPr>
        <w:t xml:space="preserve"> </w:t>
      </w:r>
    </w:p>
    <w:p>
      <w:pPr>
        <w:adjustRightInd w:val="0"/>
        <w:snapToGrid w:val="0"/>
        <w:spacing w:line="360" w:lineRule="auto"/>
        <w:ind w:firstLine="297" w:firstLineChars="150"/>
        <w:rPr>
          <w:rFonts w:ascii="Times New Roman" w:hAnsi="Times New Roman"/>
          <w:bCs/>
          <w:color w:val="auto"/>
          <w:spacing w:val="-6"/>
          <w:szCs w:val="21"/>
          <w:highlight w:val="none"/>
        </w:rPr>
      </w:pPr>
    </w:p>
    <w:p>
      <w:pPr>
        <w:adjustRightInd w:val="0"/>
        <w:snapToGrid w:val="0"/>
        <w:spacing w:line="360" w:lineRule="auto"/>
        <w:ind w:firstLine="297" w:firstLineChars="150"/>
        <w:rPr>
          <w:rFonts w:ascii="Times New Roman" w:hAnsi="Times New Roman"/>
          <w:bCs/>
          <w:color w:val="auto"/>
          <w:spacing w:val="-6"/>
          <w:szCs w:val="21"/>
          <w:highlight w:val="none"/>
        </w:rPr>
      </w:pPr>
    </w:p>
    <w:p>
      <w:pPr>
        <w:adjustRightInd w:val="0"/>
        <w:snapToGrid w:val="0"/>
        <w:spacing w:line="360" w:lineRule="auto"/>
        <w:jc w:val="center"/>
        <w:rPr>
          <w:rFonts w:ascii="Times New Roman" w:hAnsi="Times New Roman"/>
          <w:b/>
          <w:bCs/>
          <w:color w:val="auto"/>
          <w:highlight w:val="none"/>
        </w:rPr>
      </w:pPr>
      <w:r>
        <w:rPr>
          <w:rFonts w:ascii="Times New Roman" w:hAnsi="Times New Roman"/>
          <w:b/>
          <w:bCs/>
          <w:color w:val="auto"/>
          <w:highlight w:val="none"/>
        </w:rPr>
        <w:t>附</w:t>
      </w:r>
      <w:r>
        <w:rPr>
          <w:rFonts w:hint="eastAsia" w:ascii="Times New Roman" w:hAnsi="Times New Roman"/>
          <w:b/>
          <w:bCs/>
          <w:color w:val="auto"/>
          <w:highlight w:val="none"/>
        </w:rPr>
        <w:t>录</w:t>
      </w:r>
      <w:r>
        <w:rPr>
          <w:rFonts w:ascii="Times New Roman" w:hAnsi="Times New Roman"/>
          <w:b/>
          <w:bCs/>
          <w:color w:val="auto"/>
          <w:highlight w:val="none"/>
        </w:rPr>
        <w:t>4 信誉最低要求</w:t>
      </w:r>
    </w:p>
    <w:tbl>
      <w:tblPr>
        <w:tblStyle w:val="6"/>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908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line="240" w:lineRule="auto"/>
              <w:jc w:val="center"/>
              <w:textAlignment w:val="auto"/>
              <w:rPr>
                <w:rFonts w:ascii="宋体" w:hAnsi="宋体" w:eastAsia="宋体" w:cs="宋体"/>
                <w:color w:val="auto"/>
                <w:kern w:val="0"/>
                <w:szCs w:val="21"/>
                <w:highlight w:val="none"/>
              </w:rPr>
            </w:pPr>
            <w:r>
              <w:rPr>
                <w:rFonts w:hint="eastAsia" w:ascii="宋体" w:hAnsi="宋体" w:eastAsia="宋体" w:cs="Times New Roman"/>
                <w:color w:val="auto"/>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jc w:val="center"/>
        </w:trPr>
        <w:tc>
          <w:tcPr>
            <w:tcW w:w="9087" w:type="dxa"/>
            <w:noWrap w:val="0"/>
            <w:vAlign w:val="center"/>
          </w:tcPr>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1、未</w:t>
            </w:r>
            <w:r>
              <w:rPr>
                <w:rFonts w:hint="eastAsia" w:ascii="宋体" w:hAnsi="宋体" w:eastAsia="宋体" w:cs="宋体"/>
                <w:bCs/>
                <w:color w:val="auto"/>
                <w:szCs w:val="21"/>
                <w:highlight w:val="none"/>
              </w:rPr>
              <w:t>被省级及以上交通运输主管部门取消招标项目所在地的投标资格且处于有效期内；</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2、未</w:t>
            </w:r>
            <w:r>
              <w:rPr>
                <w:rFonts w:hint="eastAsia" w:ascii="宋体" w:hAnsi="宋体" w:eastAsia="宋体" w:cs="宋体"/>
                <w:bCs/>
                <w:color w:val="auto"/>
                <w:szCs w:val="21"/>
                <w:highlight w:val="none"/>
              </w:rPr>
              <w:t>被责令停业，暂扣或吊销执照，或吊销资质证书；</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未</w:t>
            </w:r>
            <w:r>
              <w:rPr>
                <w:rFonts w:hint="eastAsia" w:ascii="宋体" w:hAnsi="宋体" w:eastAsia="宋体" w:cs="宋体"/>
                <w:bCs/>
                <w:color w:val="auto"/>
                <w:szCs w:val="21"/>
                <w:highlight w:val="none"/>
              </w:rPr>
              <w:t>进入清算程序，或被宣告破产，或其他丧失履约能力的情形；</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在国家企业信用信息公示系统（</w:t>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"http://www.gsxt.gov.cn/"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rPr>
              <w:t>http://www.gsxt.gov.cn/</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未</w:t>
            </w:r>
            <w:r>
              <w:rPr>
                <w:rFonts w:hint="eastAsia" w:ascii="宋体" w:hAnsi="宋体" w:eastAsia="宋体" w:cs="宋体"/>
                <w:bCs/>
                <w:color w:val="auto"/>
                <w:szCs w:val="21"/>
                <w:highlight w:val="none"/>
              </w:rPr>
              <w:t>被列入严重违法失信企业名单；</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在“信用中国”网站（</w:t>
            </w:r>
            <w:r>
              <w:rPr>
                <w:rFonts w:hint="eastAsia" w:ascii="宋体" w:hAnsi="宋体" w:eastAsia="宋体" w:cs="宋体"/>
                <w:bCs/>
                <w:color w:val="auto"/>
                <w:szCs w:val="21"/>
                <w:highlight w:val="none"/>
              </w:rPr>
              <w:fldChar w:fldCharType="begin"/>
            </w:r>
            <w:r>
              <w:rPr>
                <w:rFonts w:hint="eastAsia" w:ascii="宋体" w:hAnsi="宋体" w:eastAsia="宋体" w:cs="宋体"/>
                <w:bCs/>
                <w:color w:val="auto"/>
                <w:szCs w:val="21"/>
                <w:highlight w:val="none"/>
              </w:rPr>
              <w:instrText xml:space="preserve"> HYPERLINK "http://www.creditchina.gov.cn/" </w:instrText>
            </w:r>
            <w:r>
              <w:rPr>
                <w:rFonts w:hint="eastAsia" w:ascii="宋体" w:hAnsi="宋体" w:eastAsia="宋体" w:cs="宋体"/>
                <w:bCs/>
                <w:color w:val="auto"/>
                <w:szCs w:val="21"/>
                <w:highlight w:val="none"/>
              </w:rPr>
              <w:fldChar w:fldCharType="separate"/>
            </w:r>
            <w:r>
              <w:rPr>
                <w:rFonts w:hint="eastAsia" w:ascii="宋体" w:hAnsi="宋体" w:eastAsia="宋体" w:cs="宋体"/>
                <w:bCs/>
                <w:color w:val="auto"/>
                <w:szCs w:val="21"/>
                <w:highlight w:val="none"/>
              </w:rPr>
              <w:t>http://www.creditchina.gov.cn/</w:t>
            </w:r>
            <w:r>
              <w:rPr>
                <w:rFonts w:hint="eastAsia" w:ascii="宋体" w:hAnsi="宋体" w:eastAsia="宋体" w:cs="宋体"/>
                <w:bCs/>
                <w:color w:val="auto"/>
                <w:szCs w:val="21"/>
                <w:highlight w:val="none"/>
              </w:rPr>
              <w:fldChar w:fldCharType="end"/>
            </w:r>
            <w:r>
              <w:rPr>
                <w:rFonts w:hint="eastAsia" w:ascii="宋体" w:hAnsi="宋体" w:eastAsia="宋体" w:cs="宋体"/>
                <w:bCs/>
                <w:color w:val="auto"/>
                <w:szCs w:val="21"/>
                <w:highlight w:val="none"/>
              </w:rPr>
              <w:t>）中</w:t>
            </w:r>
            <w:r>
              <w:rPr>
                <w:rFonts w:hint="eastAsia" w:ascii="宋体" w:hAnsi="宋体" w:eastAsia="宋体" w:cs="宋体"/>
                <w:bCs/>
                <w:color w:val="auto"/>
                <w:szCs w:val="21"/>
                <w:highlight w:val="none"/>
                <w:lang w:val="en-US" w:eastAsia="zh-CN"/>
              </w:rPr>
              <w:t>未</w:t>
            </w:r>
            <w:r>
              <w:rPr>
                <w:rFonts w:hint="eastAsia" w:ascii="宋体" w:hAnsi="宋体" w:eastAsia="宋体" w:cs="宋体"/>
                <w:bCs/>
                <w:color w:val="auto"/>
                <w:szCs w:val="21"/>
                <w:highlight w:val="none"/>
              </w:rPr>
              <w:t>被列入失信被执行</w:t>
            </w:r>
            <w:r>
              <w:rPr>
                <w:rFonts w:hint="eastAsia" w:ascii="宋体" w:hAnsi="宋体" w:cs="宋体"/>
                <w:bCs/>
                <w:color w:val="auto"/>
                <w:szCs w:val="21"/>
                <w:highlight w:val="none"/>
                <w:lang w:val="en-US" w:eastAsia="zh-CN"/>
              </w:rPr>
              <w:t>人</w:t>
            </w:r>
            <w:r>
              <w:rPr>
                <w:rFonts w:hint="eastAsia" w:ascii="宋体" w:hAnsi="宋体" w:eastAsia="宋体" w:cs="宋体"/>
                <w:bCs/>
                <w:color w:val="auto"/>
                <w:szCs w:val="21"/>
                <w:highlight w:val="none"/>
              </w:rPr>
              <w:t>名单；</w:t>
            </w:r>
          </w:p>
          <w:p>
            <w:pPr>
              <w:numPr>
                <w:ilvl w:val="0"/>
                <w:numId w:val="0"/>
              </w:numPr>
              <w:kinsoku/>
              <w:overflowPunct/>
              <w:adjustRightInd w:val="0"/>
              <w:snapToGrid w:val="0"/>
              <w:spacing w:before="0" w:beforeLines="0" w:after="0" w:line="360" w:lineRule="auto"/>
              <w:jc w:val="both"/>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6</w:t>
            </w:r>
            <w:r>
              <w:rPr>
                <w:rFonts w:hint="eastAsia" w:ascii="宋体" w:hAnsi="宋体" w:eastAsia="宋体" w:cs="宋体"/>
                <w:bCs/>
                <w:color w:val="auto"/>
                <w:szCs w:val="21"/>
                <w:highlight w:val="none"/>
                <w:lang w:eastAsia="zh-CN"/>
              </w:rPr>
              <w:t>、</w:t>
            </w:r>
            <w:r>
              <w:rPr>
                <w:rFonts w:hint="eastAsia" w:ascii="宋体" w:hAnsi="宋体" w:eastAsia="宋体" w:cs="宋体"/>
                <w:bCs/>
                <w:strike w:val="0"/>
                <w:color w:val="auto"/>
                <w:szCs w:val="21"/>
                <w:highlight w:val="none"/>
              </w:rPr>
              <w:t>投标人近三年内没有因行贿犯罪而被人民法院判决、裁定生效的行为，投标人的</w:t>
            </w:r>
            <w:r>
              <w:rPr>
                <w:rFonts w:hint="eastAsia" w:ascii="宋体" w:hAnsi="宋体" w:eastAsia="宋体" w:cs="宋体"/>
                <w:strike w:val="0"/>
                <w:color w:val="auto"/>
                <w:szCs w:val="20"/>
                <w:highlight w:val="none"/>
              </w:rPr>
              <w:t>法定代表（负责）人</w:t>
            </w:r>
            <w:r>
              <w:rPr>
                <w:rFonts w:hint="eastAsia" w:ascii="宋体" w:hAnsi="宋体" w:eastAsia="宋体" w:cs="宋体"/>
                <w:bCs/>
                <w:strike w:val="0"/>
                <w:color w:val="auto"/>
                <w:szCs w:val="21"/>
                <w:highlight w:val="none"/>
              </w:rPr>
              <w:t>近三年内没有因行贿犯罪而被判刑的行为</w:t>
            </w:r>
            <w:r>
              <w:rPr>
                <w:rFonts w:hint="eastAsia" w:ascii="宋体" w:hAnsi="宋体" w:eastAsia="宋体" w:cs="宋体"/>
                <w:bCs/>
                <w:strike w:val="0"/>
                <w:color w:val="auto"/>
                <w:szCs w:val="21"/>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0" w:beforeLines="0"/>
              <w:jc w:val="both"/>
              <w:textAlignment w:val="auto"/>
              <w:rPr>
                <w:rFonts w:ascii="宋体" w:hAnsi="宋体" w:eastAsia="宋体" w:cs="宋体"/>
                <w:color w:val="auto"/>
                <w:szCs w:val="21"/>
                <w:highlight w:val="none"/>
              </w:rPr>
            </w:pPr>
            <w:r>
              <w:rPr>
                <w:rFonts w:hint="eastAsia" w:ascii="宋体" w:hAnsi="宋体" w:eastAsia="宋体" w:cs="宋体"/>
                <w:bCs/>
                <w:color w:val="auto"/>
                <w:szCs w:val="21"/>
                <w:highlight w:val="none"/>
              </w:rPr>
              <w:t>7</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lang w:val="en-US" w:eastAsia="zh-CN"/>
              </w:rPr>
              <w:t>未违反</w:t>
            </w:r>
            <w:r>
              <w:rPr>
                <w:rFonts w:hint="eastAsia" w:ascii="宋体" w:hAnsi="宋体" w:eastAsia="宋体" w:cs="宋体"/>
                <w:bCs/>
                <w:color w:val="auto"/>
                <w:szCs w:val="21"/>
                <w:highlight w:val="none"/>
              </w:rPr>
              <w:t>法律法规或投标人须知前附表规定的其他情形。</w:t>
            </w:r>
          </w:p>
        </w:tc>
      </w:tr>
    </w:tbl>
    <w:p>
      <w:pPr>
        <w:snapToGrid w:val="0"/>
        <w:spacing w:line="360" w:lineRule="auto"/>
        <w:ind w:firstLine="42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注：</w:t>
      </w:r>
    </w:p>
    <w:p>
      <w:pPr>
        <w:snapToGrid w:val="0"/>
        <w:spacing w:line="360" w:lineRule="auto"/>
        <w:ind w:firstLine="42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（1）投标人应根据第八篇“投标文件格式”中“四、资格审查资料的表（四）投标人的信誉情况”逐条填写说明信誉情况。</w:t>
      </w:r>
    </w:p>
    <w:p>
      <w:pPr>
        <w:snapToGrid w:val="0"/>
        <w:spacing w:line="360" w:lineRule="auto"/>
        <w:ind w:firstLine="420"/>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（2）投标人应根据招标文件第二章“投标人须知”第3.5.4项的要求附相关证明材料。</w:t>
      </w:r>
    </w:p>
    <w:p>
      <w:pPr>
        <w:rPr>
          <w:rFonts w:ascii="Times New Roman" w:hAnsi="Times New Roman"/>
          <w:color w:val="auto"/>
          <w:sz w:val="32"/>
          <w:szCs w:val="32"/>
          <w:highlight w:val="none"/>
        </w:rPr>
      </w:pPr>
      <w:r>
        <w:rPr>
          <w:rFonts w:ascii="Times New Roman" w:hAnsi="Times New Roman"/>
          <w:color w:val="auto"/>
          <w:sz w:val="32"/>
          <w:szCs w:val="32"/>
          <w:highlight w:val="none"/>
        </w:rPr>
        <w:br w:type="page"/>
      </w:r>
    </w:p>
    <w:p>
      <w:pPr>
        <w:rPr>
          <w:rFonts w:ascii="Times New Roman" w:hAnsi="Times New Roman"/>
          <w:color w:val="auto"/>
          <w:sz w:val="32"/>
          <w:szCs w:val="32"/>
          <w:highlight w:val="none"/>
        </w:rPr>
      </w:pPr>
      <w:r>
        <w:rPr>
          <w:rFonts w:ascii="Times New Roman" w:hAnsi="Times New Roman"/>
          <w:color w:val="auto"/>
          <w:sz w:val="32"/>
          <w:szCs w:val="32"/>
          <w:highlight w:val="none"/>
        </w:rPr>
        <w:t>附件</w:t>
      </w:r>
      <w:r>
        <w:rPr>
          <w:rFonts w:hint="eastAsia" w:ascii="Times New Roman" w:hAnsi="Times New Roman"/>
          <w:color w:val="auto"/>
          <w:sz w:val="32"/>
          <w:szCs w:val="32"/>
          <w:highlight w:val="none"/>
          <w:lang w:val="en-US" w:eastAsia="zh-CN"/>
        </w:rPr>
        <w:t>2</w:t>
      </w:r>
      <w:r>
        <w:rPr>
          <w:rFonts w:ascii="Times New Roman" w:hAnsi="Times New Roman"/>
          <w:color w:val="auto"/>
          <w:sz w:val="32"/>
          <w:szCs w:val="32"/>
          <w:highlight w:val="none"/>
        </w:rPr>
        <w:t>：</w:t>
      </w:r>
    </w:p>
    <w:p>
      <w:pPr>
        <w:pStyle w:val="2"/>
        <w:snapToGrid w:val="0"/>
        <w:spacing w:before="0" w:beforeLines="0" w:line="360" w:lineRule="auto"/>
        <w:ind w:left="0" w:firstLine="0"/>
        <w:rPr>
          <w:rFonts w:ascii="Times New Roman" w:hAnsi="Times New Roman"/>
          <w:color w:val="auto"/>
          <w:sz w:val="18"/>
          <w:szCs w:val="18"/>
          <w:highlight w:val="none"/>
        </w:rPr>
      </w:pPr>
      <w:bookmarkStart w:id="1" w:name="_Toc17659"/>
      <w:r>
        <w:rPr>
          <w:rFonts w:hint="eastAsia" w:ascii="宋体" w:hAnsi="宋体"/>
          <w:color w:val="auto"/>
          <w:sz w:val="44"/>
          <w:szCs w:val="44"/>
          <w:highlight w:val="none"/>
        </w:rPr>
        <w:t>（综合评分法）</w:t>
      </w:r>
      <w:bookmarkEnd w:id="1"/>
    </w:p>
    <w:p>
      <w:pPr>
        <w:snapToGrid w:val="0"/>
        <w:ind w:firstLine="480" w:firstLineChars="200"/>
        <w:jc w:val="center"/>
        <w:rPr>
          <w:rFonts w:hint="eastAsia" w:ascii="宋体" w:hAnsi="宋体"/>
          <w:color w:val="auto"/>
          <w:sz w:val="24"/>
          <w:highlight w:val="none"/>
        </w:rPr>
      </w:pPr>
      <w:r>
        <w:rPr>
          <w:rFonts w:ascii="宋体" w:hAnsi="宋体"/>
          <w:color w:val="auto"/>
          <w:sz w:val="24"/>
          <w:highlight w:val="none"/>
        </w:rPr>
        <w:t>评标办法前附表</w:t>
      </w:r>
    </w:p>
    <w:tbl>
      <w:tblPr>
        <w:tblStyle w:val="6"/>
        <w:tblW w:w="94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8"/>
        <w:gridCol w:w="900"/>
        <w:gridCol w:w="75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908" w:type="dxa"/>
            <w:gridSpan w:val="2"/>
            <w:tcBorders>
              <w:top w:val="single" w:color="auto" w:sz="4" w:space="0"/>
              <w:bottom w:val="single" w:color="auto" w:sz="4" w:space="0"/>
              <w:right w:val="single" w:color="auto" w:sz="4" w:space="0"/>
            </w:tcBorders>
            <w:noWrap w:val="0"/>
            <w:vAlign w:val="center"/>
          </w:tcPr>
          <w:p>
            <w:pPr>
              <w:snapToGrid w:val="0"/>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b/>
                <w:color w:val="auto"/>
                <w:szCs w:val="21"/>
                <w:highlight w:val="none"/>
              </w:rPr>
            </w:pPr>
            <w:r>
              <w:rPr>
                <w:rFonts w:hint="eastAsia" w:ascii="宋体" w:hAnsi="宋体"/>
                <w:b/>
                <w:color w:val="auto"/>
                <w:szCs w:val="21"/>
                <w:highlight w:val="none"/>
              </w:rPr>
              <w:t>评审因素与评审标准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008" w:type="dxa"/>
            <w:tcBorders>
              <w:top w:val="single" w:color="auto" w:sz="4" w:space="0"/>
              <w:bottom w:val="single" w:color="auto" w:sz="4" w:space="0"/>
              <w:right w:val="single" w:color="auto" w:sz="4" w:space="0"/>
            </w:tcBorders>
            <w:noWrap w:val="0"/>
            <w:vAlign w:val="center"/>
          </w:tcPr>
          <w:p>
            <w:pPr>
              <w:spacing w:before="480" w:beforeLines="0" w:line="360" w:lineRule="auto"/>
              <w:jc w:val="center"/>
              <w:rPr>
                <w:rFonts w:hint="eastAsia" w:ascii="宋体" w:hAnsi="宋体"/>
                <w:b/>
                <w:color w:val="auto"/>
                <w:szCs w:val="21"/>
                <w:highlight w:val="none"/>
              </w:rPr>
            </w:pPr>
            <w:r>
              <w:rPr>
                <w:rFonts w:hint="eastAsia" w:ascii="宋体" w:hAnsi="宋体" w:eastAsia="宋体" w:cs="宋体"/>
                <w:strike w:val="0"/>
                <w:color w:val="auto"/>
                <w:kern w:val="0"/>
                <w:szCs w:val="21"/>
                <w:highlight w:val="none"/>
                <w:lang w:val="zh-CN"/>
              </w:rPr>
              <w:t>1</w:t>
            </w:r>
          </w:p>
        </w:tc>
        <w:tc>
          <w:tcPr>
            <w:tcW w:w="900" w:type="dxa"/>
            <w:tcBorders>
              <w:top w:val="single" w:color="auto" w:sz="4" w:space="0"/>
              <w:bottom w:val="single" w:color="auto" w:sz="4" w:space="0"/>
              <w:right w:val="single" w:color="auto" w:sz="4" w:space="0"/>
            </w:tcBorders>
            <w:noWrap w:val="0"/>
            <w:vAlign w:val="center"/>
          </w:tcPr>
          <w:p>
            <w:pPr>
              <w:spacing w:before="480" w:beforeLines="0" w:line="360" w:lineRule="auto"/>
              <w:jc w:val="center"/>
              <w:rPr>
                <w:rFonts w:hint="eastAsia" w:ascii="宋体" w:hAnsi="宋体"/>
                <w:b/>
                <w:color w:val="auto"/>
                <w:szCs w:val="21"/>
                <w:highlight w:val="none"/>
              </w:rPr>
            </w:pPr>
            <w:r>
              <w:rPr>
                <w:rFonts w:hint="eastAsia" w:ascii="宋体" w:hAnsi="宋体" w:eastAsia="宋体" w:cs="宋体"/>
                <w:strike w:val="0"/>
                <w:color w:val="auto"/>
                <w:kern w:val="0"/>
                <w:szCs w:val="21"/>
                <w:highlight w:val="none"/>
                <w:lang w:val="zh-CN"/>
              </w:rPr>
              <w:t>评标方法</w:t>
            </w:r>
          </w:p>
        </w:tc>
        <w:tc>
          <w:tcPr>
            <w:tcW w:w="7560" w:type="dxa"/>
            <w:tcBorders>
              <w:top w:val="single" w:color="auto" w:sz="4" w:space="0"/>
              <w:left w:val="single" w:color="auto" w:sz="4" w:space="0"/>
              <w:bottom w:val="single" w:color="auto" w:sz="4" w:space="0"/>
              <w:right w:val="single" w:color="auto" w:sz="4" w:space="0"/>
            </w:tcBorders>
            <w:noWrap w:val="0"/>
            <w:vAlign w:val="center"/>
          </w:tcPr>
          <w:p>
            <w:pPr>
              <w:widowControl/>
              <w:spacing w:before="0" w:beforeLines="0" w:line="360" w:lineRule="auto"/>
              <w:ind w:left="0" w:leftChars="0" w:right="218" w:rightChars="104" w:firstLine="210" w:firstLineChars="10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综合评分相等时，评标委员会依次按照以下优先顺序推荐中标候选人或确定中标人：</w:t>
            </w:r>
          </w:p>
          <w:p>
            <w:pPr>
              <w:widowControl/>
              <w:adjustRightInd/>
              <w:snapToGrid/>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（1）以投标人注册资本金较高的优先；</w:t>
            </w:r>
          </w:p>
          <w:p>
            <w:pPr>
              <w:widowControl/>
              <w:spacing w:before="0" w:beforeLines="0" w:line="360" w:lineRule="auto"/>
              <w:ind w:left="218" w:leftChars="104" w:right="218" w:rightChars="104" w:firstLine="0" w:firstLineChars="0"/>
              <w:jc w:val="both"/>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w:t>
            </w:r>
            <w:r>
              <w:rPr>
                <w:rFonts w:hint="eastAsia" w:ascii="宋体" w:hAnsi="宋体" w:eastAsia="宋体" w:cs="宋体"/>
                <w:strike w:val="0"/>
                <w:color w:val="auto"/>
                <w:kern w:val="0"/>
                <w:szCs w:val="21"/>
                <w:highlight w:val="none"/>
                <w:lang w:val="en-US" w:eastAsia="zh-CN"/>
              </w:rPr>
              <w:t>2</w:t>
            </w:r>
            <w:r>
              <w:rPr>
                <w:rFonts w:hint="eastAsia" w:ascii="宋体" w:hAnsi="宋体" w:eastAsia="宋体" w:cs="宋体"/>
                <w:strike w:val="0"/>
                <w:color w:val="auto"/>
                <w:kern w:val="0"/>
                <w:szCs w:val="21"/>
                <w:highlight w:val="none"/>
                <w:lang w:val="zh-CN"/>
              </w:rPr>
              <w:t>）以投标人总公司2019年至2021年的年平均原保险费收入较高的优先；</w:t>
            </w:r>
          </w:p>
          <w:p>
            <w:pPr>
              <w:widowControl/>
              <w:spacing w:before="0" w:beforeLines="0" w:line="360" w:lineRule="auto"/>
              <w:ind w:left="218" w:leftChars="104" w:right="218" w:rightChars="104" w:firstLine="0" w:firstLineChars="0"/>
              <w:jc w:val="both"/>
              <w:rPr>
                <w:rFonts w:hint="eastAsia" w:ascii="宋体" w:hAnsi="宋体"/>
                <w:b/>
                <w:color w:val="auto"/>
                <w:szCs w:val="21"/>
                <w:highlight w:val="none"/>
              </w:rPr>
            </w:pPr>
            <w:r>
              <w:rPr>
                <w:rFonts w:hint="eastAsia" w:ascii="宋体" w:hAnsi="宋体" w:eastAsia="宋体" w:cs="宋体"/>
                <w:strike w:val="0"/>
                <w:color w:val="auto"/>
                <w:kern w:val="0"/>
                <w:szCs w:val="21"/>
                <w:highlight w:val="none"/>
                <w:lang w:val="zh-CN"/>
              </w:rPr>
              <w:t>（3）评标委员会视投标人情况综合比较，投票确定其名次。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8" w:type="dxa"/>
            <w:tcBorders>
              <w:top w:val="single" w:color="auto" w:sz="4" w:space="0"/>
              <w:bottom w:val="single" w:color="auto" w:sz="4" w:space="0"/>
              <w:right w:val="single" w:color="auto" w:sz="4" w:space="0"/>
            </w:tcBorders>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2.1.1～2.1.3</w:t>
            </w:r>
          </w:p>
        </w:tc>
        <w:tc>
          <w:tcPr>
            <w:tcW w:w="900" w:type="dxa"/>
            <w:tcBorders>
              <w:top w:val="single" w:color="auto" w:sz="4" w:space="0"/>
              <w:bottom w:val="single" w:color="auto" w:sz="4" w:space="0"/>
              <w:right w:val="single" w:color="auto" w:sz="4" w:space="0"/>
            </w:tcBorders>
            <w:noWrap w:val="0"/>
            <w:vAlign w:val="center"/>
          </w:tcPr>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p>
          <w:p>
            <w:pPr>
              <w:snapToGrid w:val="0"/>
              <w:rPr>
                <w:rFonts w:hint="eastAsia" w:ascii="宋体" w:hAnsi="宋体"/>
                <w:color w:val="auto"/>
                <w:szCs w:val="21"/>
                <w:highlight w:val="none"/>
              </w:rPr>
            </w:pPr>
            <w:r>
              <w:rPr>
                <w:rFonts w:hint="eastAsia" w:ascii="宋体" w:hAnsi="宋体"/>
                <w:color w:val="auto"/>
                <w:szCs w:val="21"/>
                <w:highlight w:val="none"/>
              </w:rPr>
              <w:t>形式评审与响应性评审标准</w:t>
            </w:r>
          </w:p>
        </w:tc>
        <w:tc>
          <w:tcPr>
            <w:tcW w:w="7560" w:type="dxa"/>
            <w:tcBorders>
              <w:top w:val="single" w:color="auto" w:sz="4" w:space="0"/>
              <w:left w:val="single" w:color="auto" w:sz="4" w:space="0"/>
              <w:right w:val="single" w:color="auto" w:sz="4" w:space="0"/>
            </w:tcBorders>
            <w:noWrap w:val="0"/>
            <w:vAlign w:val="center"/>
          </w:tcPr>
          <w:p>
            <w:pPr>
              <w:spacing w:line="320" w:lineRule="exact"/>
              <w:rPr>
                <w:rFonts w:hint="eastAsia" w:ascii="宋体" w:hAnsi="宋体" w:cs="宋体"/>
                <w:b/>
                <w:color w:val="auto"/>
                <w:szCs w:val="21"/>
                <w:highlight w:val="none"/>
              </w:rPr>
            </w:pPr>
            <w:r>
              <w:rPr>
                <w:rFonts w:hint="eastAsia" w:ascii="宋体" w:hAnsi="宋体" w:cs="宋体"/>
                <w:b/>
                <w:color w:val="auto"/>
                <w:szCs w:val="21"/>
                <w:highlight w:val="none"/>
              </w:rPr>
              <w:t>第一个信封（商务及</w:t>
            </w:r>
            <w:r>
              <w:rPr>
                <w:rFonts w:hint="eastAsia" w:ascii="宋体" w:hAnsi="宋体" w:cs="宋体"/>
                <w:b/>
                <w:color w:val="auto"/>
                <w:szCs w:val="21"/>
                <w:highlight w:val="none"/>
                <w:lang w:eastAsia="zh-CN"/>
              </w:rPr>
              <w:t>方案</w:t>
            </w:r>
            <w:r>
              <w:rPr>
                <w:rFonts w:hint="eastAsia" w:ascii="宋体" w:hAnsi="宋体" w:cs="宋体"/>
                <w:b/>
                <w:color w:val="auto"/>
                <w:szCs w:val="21"/>
                <w:highlight w:val="none"/>
              </w:rPr>
              <w:t>文件）的评审</w:t>
            </w:r>
          </w:p>
          <w:p>
            <w:pPr>
              <w:adjustRightInd w:val="0"/>
              <w:snapToGrid w:val="0"/>
              <w:spacing w:line="360" w:lineRule="auto"/>
              <w:ind w:firstLine="396" w:firstLineChars="200"/>
              <w:rPr>
                <w:rFonts w:ascii="Times New Roman" w:hAnsi="Times New Roman"/>
                <w:color w:val="auto"/>
                <w:szCs w:val="21"/>
                <w:highlight w:val="none"/>
              </w:rPr>
            </w:pPr>
            <w:r>
              <w:rPr>
                <w:rFonts w:ascii="Times New Roman" w:hAnsi="Times New Roman"/>
                <w:bCs/>
                <w:color w:val="auto"/>
                <w:spacing w:val="-6"/>
                <w:szCs w:val="21"/>
                <w:highlight w:val="none"/>
              </w:rPr>
              <w:t>（1）</w:t>
            </w:r>
            <w:r>
              <w:rPr>
                <w:rFonts w:ascii="Times New Roman" w:hAnsi="Times New Roman"/>
                <w:color w:val="auto"/>
                <w:szCs w:val="21"/>
                <w:highlight w:val="none"/>
              </w:rPr>
              <w:t>投标文件按照招标文件规定的格式、内容和要求编制，字迹清晰可辨，</w:t>
            </w:r>
            <w:r>
              <w:rPr>
                <w:rFonts w:hint="eastAsia"/>
                <w:color w:val="auto"/>
                <w:highlight w:val="none"/>
              </w:rPr>
              <w:t>投标文件组成齐全完整，内容均按规定填写</w:t>
            </w:r>
            <w:r>
              <w:rPr>
                <w:rFonts w:ascii="Times New Roman" w:hAnsi="Times New Roman"/>
                <w:color w:val="auto"/>
                <w:szCs w:val="21"/>
                <w:highlight w:val="none"/>
              </w:rPr>
              <w:t>；</w:t>
            </w:r>
          </w:p>
          <w:p>
            <w:pPr>
              <w:adjustRightInd w:val="0"/>
              <w:snapToGrid w:val="0"/>
              <w:spacing w:line="360" w:lineRule="auto"/>
              <w:ind w:firstLine="396" w:firstLineChars="200"/>
              <w:rPr>
                <w:rFonts w:hint="eastAsia" w:ascii="Times New Roman" w:hAnsi="Times New Roman"/>
                <w:color w:val="auto"/>
                <w:spacing w:val="2"/>
                <w:szCs w:val="21"/>
                <w:highlight w:val="none"/>
              </w:rPr>
            </w:pPr>
            <w:r>
              <w:rPr>
                <w:rFonts w:ascii="Times New Roman" w:hAnsi="Times New Roman"/>
                <w:bCs/>
                <w:color w:val="auto"/>
                <w:spacing w:val="-6"/>
                <w:szCs w:val="21"/>
                <w:highlight w:val="none"/>
              </w:rPr>
              <w:t>（2）</w:t>
            </w:r>
            <w:r>
              <w:rPr>
                <w:rFonts w:hint="eastAsia" w:ascii="宋体" w:hAnsi="宋体" w:eastAsia="宋体" w:cs="宋体"/>
                <w:strike w:val="0"/>
                <w:color w:val="auto"/>
                <w:kern w:val="0"/>
                <w:szCs w:val="21"/>
                <w:highlight w:val="none"/>
                <w:lang w:val="zh-CN"/>
              </w:rPr>
              <w:t>投标文件上</w:t>
            </w:r>
            <w:r>
              <w:rPr>
                <w:rFonts w:hint="eastAsia" w:ascii="宋体" w:hAnsi="宋体" w:eastAsia="宋体" w:cs="宋体"/>
                <w:strike w:val="0"/>
                <w:color w:val="auto"/>
                <w:szCs w:val="20"/>
                <w:highlight w:val="none"/>
              </w:rPr>
              <w:t>法定代表（负责）人</w:t>
            </w:r>
            <w:r>
              <w:rPr>
                <w:rFonts w:hint="eastAsia" w:ascii="宋体" w:hAnsi="宋体" w:eastAsia="宋体" w:cs="宋体"/>
                <w:strike w:val="0"/>
                <w:color w:val="auto"/>
                <w:kern w:val="0"/>
                <w:szCs w:val="21"/>
                <w:highlight w:val="none"/>
                <w:lang w:val="zh-CN"/>
              </w:rPr>
              <w:t>或其委托代理人的签字、投标人的单位章盖章齐全，符合招标文件规定；</w:t>
            </w:r>
          </w:p>
          <w:p>
            <w:pPr>
              <w:adjustRightInd w:val="0"/>
              <w:snapToGrid w:val="0"/>
              <w:spacing w:line="360" w:lineRule="auto"/>
              <w:ind w:firstLine="396" w:firstLineChars="200"/>
              <w:rPr>
                <w:rFonts w:hint="eastAsia" w:ascii="Times New Roman" w:hAnsi="Times New Roman"/>
                <w:color w:val="auto"/>
                <w:szCs w:val="21"/>
                <w:highlight w:val="none"/>
              </w:rPr>
            </w:pPr>
            <w:r>
              <w:rPr>
                <w:rFonts w:ascii="Times New Roman" w:hAnsi="Times New Roman"/>
                <w:bCs/>
                <w:color w:val="auto"/>
                <w:spacing w:val="-6"/>
                <w:szCs w:val="21"/>
                <w:highlight w:val="none"/>
              </w:rPr>
              <w:t>（3）</w:t>
            </w:r>
            <w:r>
              <w:rPr>
                <w:rFonts w:ascii="Times New Roman" w:hAnsi="Times New Roman"/>
                <w:color w:val="auto"/>
                <w:szCs w:val="21"/>
                <w:highlight w:val="none"/>
              </w:rPr>
              <w:t>投标人按照招标文件规定的形式、时限和要求提供了投标保证金；</w:t>
            </w:r>
          </w:p>
          <w:p>
            <w:pPr>
              <w:adjustRightInd w:val="0"/>
              <w:snapToGrid w:val="0"/>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a.投标保证金金额符合招标文件规定的金额，且投标保证金有效期不少于投标有效期；</w:t>
            </w:r>
          </w:p>
          <w:p>
            <w:pPr>
              <w:adjustRightInd w:val="0"/>
              <w:snapToGrid w:val="0"/>
              <w:spacing w:line="360" w:lineRule="auto"/>
              <w:ind w:firstLine="420" w:firstLineChars="200"/>
              <w:rPr>
                <w:rFonts w:ascii="Times New Roman" w:hAnsi="Times New Roman"/>
                <w:color w:val="auto"/>
                <w:szCs w:val="21"/>
                <w:highlight w:val="none"/>
              </w:rPr>
            </w:pPr>
            <w:r>
              <w:rPr>
                <w:rFonts w:ascii="宋体" w:hAnsi="Times New Roman" w:cs="宋体"/>
                <w:color w:val="auto"/>
                <w:kern w:val="0"/>
                <w:szCs w:val="21"/>
                <w:highlight w:val="none"/>
              </w:rPr>
              <w:t>b.</w:t>
            </w:r>
            <w:r>
              <w:rPr>
                <w:rFonts w:hint="eastAsia" w:ascii="宋体" w:hAnsi="Times New Roman" w:cs="宋体"/>
                <w:color w:val="auto"/>
                <w:kern w:val="0"/>
                <w:szCs w:val="21"/>
                <w:highlight w:val="none"/>
              </w:rPr>
              <w:t>若投标保证金采用现金形式提交，投标人应在投标人须知</w:t>
            </w:r>
            <w:r>
              <w:rPr>
                <w:rFonts w:hint="eastAsia" w:ascii="宋体" w:hAnsi="Times New Roman" w:cs="宋体"/>
                <w:color w:val="auto"/>
                <w:kern w:val="0"/>
                <w:szCs w:val="21"/>
                <w:highlight w:val="none"/>
                <w:lang w:val="en-US" w:eastAsia="zh-CN"/>
              </w:rPr>
              <w:t>3.3.1</w:t>
            </w:r>
            <w:r>
              <w:rPr>
                <w:rFonts w:hint="eastAsia" w:ascii="宋体" w:hAnsi="Times New Roman" w:cs="宋体"/>
                <w:color w:val="auto"/>
                <w:kern w:val="0"/>
                <w:szCs w:val="21"/>
                <w:highlight w:val="none"/>
              </w:rPr>
              <w:t>款规定的时间，将投标保</w:t>
            </w:r>
            <w:r>
              <w:rPr>
                <w:rFonts w:hint="eastAsia" w:ascii="Times New Roman" w:hAnsi="Times New Roman"/>
                <w:color w:val="auto"/>
                <w:szCs w:val="21"/>
                <w:highlight w:val="none"/>
              </w:rPr>
              <w:t>证金由投标人的基本账户转入招标人指定账户；</w:t>
            </w:r>
          </w:p>
          <w:p>
            <w:pPr>
              <w:adjustRightInd w:val="0"/>
              <w:snapToGrid w:val="0"/>
              <w:spacing w:line="360" w:lineRule="auto"/>
              <w:ind w:firstLine="420" w:firstLineChars="200"/>
              <w:rPr>
                <w:rFonts w:hint="eastAsia" w:ascii="Times New Roman" w:hAnsi="Times New Roman"/>
                <w:color w:val="auto"/>
                <w:szCs w:val="21"/>
                <w:highlight w:val="none"/>
              </w:rPr>
            </w:pPr>
            <w:r>
              <w:rPr>
                <w:rFonts w:hint="eastAsia" w:ascii="Times New Roman" w:hAnsi="Times New Roman"/>
                <w:color w:val="auto"/>
                <w:szCs w:val="21"/>
                <w:highlight w:val="none"/>
              </w:rPr>
              <w:t>c</w:t>
            </w:r>
            <w:r>
              <w:rPr>
                <w:rFonts w:ascii="Times New Roman" w:hAnsi="Times New Roman"/>
                <w:color w:val="auto"/>
                <w:szCs w:val="21"/>
                <w:highlight w:val="none"/>
              </w:rPr>
              <w:t>.</w:t>
            </w:r>
            <w:r>
              <w:rPr>
                <w:rFonts w:hint="eastAsia" w:ascii="Times New Roman" w:hAnsi="Times New Roman"/>
                <w:color w:val="auto"/>
                <w:szCs w:val="21"/>
                <w:highlight w:val="none"/>
              </w:rPr>
              <w:t>若投标保证金采用银行保函形式提交，银行保函的格式、开具保函的银行均满足招标文件要求，银行保函原件在递交投标文件时单独密封递交，其复印件装订在投标文件中。</w:t>
            </w:r>
            <w:r>
              <w:rPr>
                <w:rFonts w:ascii="Times New Roman" w:hAnsi="Times New Roman"/>
                <w:color w:val="auto"/>
                <w:szCs w:val="21"/>
                <w:highlight w:val="none"/>
              </w:rPr>
              <w:tab/>
            </w:r>
          </w:p>
          <w:p>
            <w:pPr>
              <w:adjustRightInd w:val="0"/>
              <w:snapToGrid w:val="0"/>
              <w:spacing w:line="360" w:lineRule="auto"/>
              <w:ind w:firstLine="396" w:firstLineChars="200"/>
              <w:rPr>
                <w:rFonts w:ascii="Times New Roman" w:hAnsi="Times New Roman"/>
                <w:color w:val="auto"/>
                <w:szCs w:val="21"/>
                <w:highlight w:val="none"/>
              </w:rPr>
            </w:pPr>
            <w:r>
              <w:rPr>
                <w:rFonts w:ascii="Times New Roman" w:hAnsi="Times New Roman"/>
                <w:bCs/>
                <w:color w:val="auto"/>
                <w:spacing w:val="-6"/>
                <w:szCs w:val="21"/>
                <w:highlight w:val="none"/>
              </w:rPr>
              <w:t>（4）</w:t>
            </w:r>
            <w:r>
              <w:rPr>
                <w:rFonts w:hint="eastAsia" w:ascii="Times New Roman" w:hAnsi="Times New Roman"/>
                <w:bCs/>
                <w:color w:val="auto"/>
                <w:spacing w:val="-6"/>
                <w:szCs w:val="21"/>
                <w:highlight w:val="none"/>
                <w:lang w:val="zh-CN"/>
              </w:rPr>
              <w:t>投标人</w:t>
            </w:r>
            <w:r>
              <w:rPr>
                <w:rFonts w:hint="eastAsia" w:ascii="Times New Roman" w:hAnsi="Times New Roman"/>
                <w:bCs/>
                <w:color w:val="auto"/>
                <w:spacing w:val="-6"/>
                <w:szCs w:val="21"/>
                <w:highlight w:val="none"/>
              </w:rPr>
              <w:t>法定代表（负责）人</w:t>
            </w:r>
            <w:r>
              <w:rPr>
                <w:rFonts w:hint="eastAsia" w:ascii="Times New Roman" w:hAnsi="Times New Roman"/>
                <w:bCs/>
                <w:color w:val="auto"/>
                <w:spacing w:val="-6"/>
                <w:szCs w:val="21"/>
                <w:highlight w:val="none"/>
                <w:lang w:val="zh-CN"/>
              </w:rPr>
              <w:t>授权委托代理人签署投标文件的，需提交授权委托书，且授权人和被授权人均在授权委托书上签名，未使用印章、签名章或其他电子制版签名代替</w:t>
            </w:r>
            <w:r>
              <w:rPr>
                <w:rFonts w:ascii="Times New Roman" w:hAnsi="Times New Roman"/>
                <w:color w:val="auto"/>
                <w:szCs w:val="21"/>
                <w:highlight w:val="none"/>
              </w:rPr>
              <w:t>；</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（5）投标人</w:t>
            </w:r>
            <w:r>
              <w:rPr>
                <w:rFonts w:hint="eastAsia" w:ascii="Times New Roman" w:hAnsi="Times New Roman"/>
                <w:color w:val="auto"/>
                <w:szCs w:val="21"/>
                <w:highlight w:val="none"/>
              </w:rPr>
              <w:t>法定代表（负责）人</w:t>
            </w:r>
            <w:r>
              <w:rPr>
                <w:rFonts w:hint="eastAsia" w:ascii="Times New Roman" w:hAnsi="Times New Roman"/>
                <w:color w:val="auto"/>
                <w:szCs w:val="21"/>
                <w:highlight w:val="none"/>
                <w:lang w:val="zh-CN"/>
              </w:rPr>
              <w:t>亲自签署投标文件的，提供了</w:t>
            </w:r>
            <w:r>
              <w:rPr>
                <w:rFonts w:hint="eastAsia" w:ascii="Times New Roman" w:hAnsi="Times New Roman"/>
                <w:color w:val="auto"/>
                <w:szCs w:val="21"/>
                <w:highlight w:val="none"/>
              </w:rPr>
              <w:t>法定代表（负责）人</w:t>
            </w:r>
            <w:r>
              <w:rPr>
                <w:rFonts w:hint="eastAsia" w:ascii="Times New Roman" w:hAnsi="Times New Roman"/>
                <w:color w:val="auto"/>
                <w:szCs w:val="21"/>
                <w:highlight w:val="none"/>
                <w:lang w:val="zh-CN"/>
              </w:rPr>
              <w:t>身份证明，且</w:t>
            </w:r>
            <w:r>
              <w:rPr>
                <w:rFonts w:hint="eastAsia" w:ascii="Times New Roman" w:hAnsi="Times New Roman"/>
                <w:color w:val="auto"/>
                <w:szCs w:val="21"/>
                <w:highlight w:val="none"/>
              </w:rPr>
              <w:t>法定代表（负责）人</w:t>
            </w:r>
            <w:r>
              <w:rPr>
                <w:rFonts w:hint="eastAsia" w:ascii="Times New Roman" w:hAnsi="Times New Roman"/>
                <w:color w:val="auto"/>
                <w:szCs w:val="21"/>
                <w:highlight w:val="none"/>
                <w:lang w:val="zh-CN"/>
              </w:rPr>
              <w:t>在</w:t>
            </w:r>
            <w:r>
              <w:rPr>
                <w:rFonts w:hint="eastAsia" w:ascii="Times New Roman" w:hAnsi="Times New Roman"/>
                <w:color w:val="auto"/>
                <w:szCs w:val="21"/>
                <w:highlight w:val="none"/>
              </w:rPr>
              <w:t>法定代表（负责）人</w:t>
            </w:r>
            <w:r>
              <w:rPr>
                <w:rFonts w:hint="eastAsia" w:ascii="Times New Roman" w:hAnsi="Times New Roman"/>
                <w:color w:val="auto"/>
                <w:szCs w:val="21"/>
                <w:highlight w:val="none"/>
                <w:lang w:val="zh-CN"/>
              </w:rPr>
              <w:t>身份证明上签名，未使用印章、签名章或其他电子制版签名代替；</w:t>
            </w:r>
          </w:p>
          <w:p>
            <w:pPr>
              <w:adjustRightInd w:val="0"/>
              <w:snapToGrid w:val="0"/>
              <w:spacing w:line="360" w:lineRule="auto"/>
              <w:ind w:firstLine="420" w:firstLineChars="200"/>
              <w:rPr>
                <w:rFonts w:hint="default" w:ascii="Times New Roman" w:hAnsi="Times New Roman"/>
                <w:color w:val="auto"/>
                <w:szCs w:val="21"/>
                <w:highlight w:val="none"/>
                <w:lang w:val="en-US" w:eastAsia="zh-CN"/>
              </w:rPr>
            </w:pPr>
            <w:r>
              <w:rPr>
                <w:rFonts w:hint="eastAsia" w:ascii="Times New Roman" w:hAnsi="Times New Roman"/>
                <w:color w:val="auto"/>
                <w:szCs w:val="21"/>
                <w:highlight w:val="none"/>
                <w:lang w:val="zh-CN"/>
              </w:rPr>
              <w:t>（6）</w:t>
            </w:r>
            <w:r>
              <w:rPr>
                <w:rFonts w:hint="eastAsia" w:ascii="Times New Roman" w:hAnsi="Times New Roman"/>
                <w:color w:val="auto"/>
                <w:szCs w:val="21"/>
                <w:highlight w:val="none"/>
                <w:lang w:val="en-US" w:eastAsia="zh-CN"/>
              </w:rPr>
              <w:t>投标人未以联合体形式投标。</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w:t>
            </w:r>
            <w:r>
              <w:rPr>
                <w:rFonts w:hint="eastAsia" w:ascii="Times New Roman" w:hAnsi="Times New Roman"/>
                <w:color w:val="auto"/>
                <w:szCs w:val="21"/>
                <w:highlight w:val="none"/>
                <w:lang w:val="en-US" w:eastAsia="zh-CN"/>
              </w:rPr>
              <w:t>7</w:t>
            </w:r>
            <w:r>
              <w:rPr>
                <w:rFonts w:hint="eastAsia" w:ascii="Times New Roman" w:hAnsi="Times New Roman"/>
                <w:color w:val="auto"/>
                <w:szCs w:val="21"/>
                <w:highlight w:val="none"/>
                <w:lang w:val="zh-CN"/>
              </w:rPr>
              <w:t>）同一投标人未提交两个以上不同的投标文件，但招标文件要求提交备选投标的除外。</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w:t>
            </w:r>
            <w:r>
              <w:rPr>
                <w:rFonts w:hint="eastAsia" w:ascii="Times New Roman" w:hAnsi="Times New Roman"/>
                <w:color w:val="auto"/>
                <w:szCs w:val="21"/>
                <w:highlight w:val="none"/>
                <w:lang w:val="zh-CN" w:eastAsia="zh-CN"/>
              </w:rPr>
              <w:t>8</w:t>
            </w:r>
            <w:r>
              <w:rPr>
                <w:rFonts w:hint="eastAsia" w:ascii="Times New Roman" w:hAnsi="Times New Roman"/>
                <w:color w:val="auto"/>
                <w:szCs w:val="21"/>
                <w:highlight w:val="none"/>
                <w:lang w:val="zh-CN"/>
              </w:rPr>
              <w:t>）投标文件中未出现有关投标报价的内容。</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w:t>
            </w:r>
            <w:r>
              <w:rPr>
                <w:rFonts w:hint="eastAsia" w:ascii="Times New Roman" w:hAnsi="Times New Roman"/>
                <w:color w:val="auto"/>
                <w:szCs w:val="21"/>
                <w:highlight w:val="none"/>
                <w:lang w:val="zh-CN" w:eastAsia="zh-CN"/>
              </w:rPr>
              <w:t>9</w:t>
            </w:r>
            <w:r>
              <w:rPr>
                <w:rFonts w:hint="eastAsia" w:ascii="Times New Roman" w:hAnsi="Times New Roman"/>
                <w:color w:val="auto"/>
                <w:szCs w:val="21"/>
                <w:highlight w:val="none"/>
                <w:lang w:val="zh-CN"/>
              </w:rPr>
              <w:t>）投标文件载明的保险期限满足招标文件规定的时限要求。</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w:t>
            </w:r>
            <w:r>
              <w:rPr>
                <w:rFonts w:hint="eastAsia" w:ascii="Times New Roman" w:hAnsi="Times New Roman"/>
                <w:color w:val="auto"/>
                <w:szCs w:val="21"/>
                <w:highlight w:val="none"/>
                <w:lang w:val="zh-CN" w:eastAsia="zh-CN"/>
              </w:rPr>
              <w:t>10</w:t>
            </w:r>
            <w:r>
              <w:rPr>
                <w:rFonts w:hint="eastAsia" w:ascii="Times New Roman" w:hAnsi="Times New Roman"/>
                <w:color w:val="auto"/>
                <w:szCs w:val="21"/>
                <w:highlight w:val="none"/>
                <w:lang w:val="zh-CN"/>
              </w:rPr>
              <w:t>）投标文件对招标文件的实质性要求和条件作出响应。</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（1</w:t>
            </w:r>
            <w:r>
              <w:rPr>
                <w:rFonts w:hint="eastAsia" w:ascii="Times New Roman" w:hAnsi="Times New Roman"/>
                <w:color w:val="auto"/>
                <w:szCs w:val="21"/>
                <w:highlight w:val="none"/>
                <w:lang w:val="zh-CN" w:eastAsia="zh-CN"/>
              </w:rPr>
              <w:t>1</w:t>
            </w:r>
            <w:r>
              <w:rPr>
                <w:rFonts w:hint="eastAsia" w:ascii="Times New Roman" w:hAnsi="Times New Roman"/>
                <w:color w:val="auto"/>
                <w:szCs w:val="21"/>
                <w:highlight w:val="none"/>
                <w:lang w:val="zh-CN"/>
              </w:rPr>
              <w:t>）权利义务符合招标文件规定：</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a.投标人应接受招标文件规定的风险划分原则，未提出新的风险划分办法；</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b.投标人未增加发包人的责任范围，或减少投标人义务；</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eastAsia="zh-CN"/>
              </w:rPr>
              <w:t>c</w:t>
            </w:r>
            <w:r>
              <w:rPr>
                <w:rFonts w:hint="eastAsia" w:ascii="Times New Roman" w:hAnsi="Times New Roman"/>
                <w:color w:val="auto"/>
                <w:szCs w:val="21"/>
                <w:highlight w:val="none"/>
                <w:lang w:val="zh-CN"/>
              </w:rPr>
              <w:t>.投标人未提出不同的验收、计量、支付办法；</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d.投标人对合同纠纷、事故处理办法未提出异议；</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e.投标人在投标活动中无欺诈行为；</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f.投标人未对合同条款有重要保留。</w:t>
            </w:r>
          </w:p>
          <w:p>
            <w:pPr>
              <w:adjustRightInd w:val="0"/>
              <w:snapToGrid w:val="0"/>
              <w:spacing w:line="360" w:lineRule="auto"/>
              <w:ind w:firstLine="420" w:firstLineChars="200"/>
              <w:rPr>
                <w:rFonts w:hint="eastAsia" w:ascii="Times New Roman" w:hAnsi="Times New Roman"/>
                <w:color w:val="auto"/>
                <w:szCs w:val="21"/>
                <w:highlight w:val="none"/>
                <w:lang w:val="zh-CN"/>
              </w:rPr>
            </w:pPr>
            <w:r>
              <w:rPr>
                <w:rFonts w:hint="eastAsia" w:ascii="Times New Roman" w:hAnsi="Times New Roman"/>
                <w:color w:val="auto"/>
                <w:szCs w:val="21"/>
                <w:highlight w:val="none"/>
                <w:lang w:val="zh-CN"/>
              </w:rPr>
              <w:t>（1</w:t>
            </w:r>
            <w:r>
              <w:rPr>
                <w:rFonts w:hint="eastAsia" w:ascii="Times New Roman" w:hAnsi="Times New Roman"/>
                <w:color w:val="auto"/>
                <w:szCs w:val="21"/>
                <w:highlight w:val="none"/>
                <w:lang w:val="zh-CN" w:eastAsia="zh-CN"/>
              </w:rPr>
              <w:t>2</w:t>
            </w:r>
            <w:r>
              <w:rPr>
                <w:rFonts w:hint="eastAsia" w:ascii="Times New Roman" w:hAnsi="Times New Roman"/>
                <w:color w:val="auto"/>
                <w:szCs w:val="21"/>
                <w:highlight w:val="none"/>
                <w:lang w:val="zh-CN"/>
              </w:rPr>
              <w:t>）投标文件正、副本份数符合招标文件第二章“投标人须知”第</w:t>
            </w:r>
            <w:r>
              <w:rPr>
                <w:rFonts w:hint="eastAsia" w:ascii="Times New Roman" w:hAnsi="Times New Roman"/>
                <w:color w:val="auto"/>
                <w:szCs w:val="21"/>
                <w:highlight w:val="none"/>
                <w:lang w:val="en-US" w:eastAsia="zh-CN"/>
              </w:rPr>
              <w:t>3.6.4</w:t>
            </w:r>
            <w:r>
              <w:rPr>
                <w:rFonts w:hint="eastAsia" w:ascii="Times New Roman" w:hAnsi="Times New Roman"/>
                <w:color w:val="auto"/>
                <w:szCs w:val="21"/>
                <w:highlight w:val="none"/>
                <w:lang w:val="zh-CN"/>
              </w:rPr>
              <w:t>项规定。</w:t>
            </w:r>
          </w:p>
          <w:p>
            <w:pPr>
              <w:adjustRightInd w:val="0"/>
              <w:snapToGrid w:val="0"/>
              <w:spacing w:line="360" w:lineRule="auto"/>
              <w:ind w:firstLine="420" w:firstLineChars="200"/>
              <w:rPr>
                <w:rFonts w:hint="eastAsia" w:ascii="宋体" w:hAnsi="宋体"/>
                <w:b/>
                <w:bCs/>
                <w:color w:val="auto"/>
                <w:szCs w:val="21"/>
                <w:highlight w:val="none"/>
              </w:rPr>
            </w:pPr>
            <w:r>
              <w:rPr>
                <w:rFonts w:hint="eastAsia" w:ascii="Times New Roman" w:hAnsi="Times New Roman"/>
                <w:color w:val="auto"/>
                <w:szCs w:val="21"/>
                <w:highlight w:val="none"/>
                <w:lang w:val="zh-CN"/>
              </w:rPr>
              <w:t>（1</w:t>
            </w:r>
            <w:r>
              <w:rPr>
                <w:rFonts w:hint="eastAsia" w:ascii="Times New Roman" w:hAnsi="Times New Roman"/>
                <w:color w:val="auto"/>
                <w:szCs w:val="21"/>
                <w:highlight w:val="none"/>
                <w:lang w:val="zh-CN" w:eastAsia="zh-CN"/>
              </w:rPr>
              <w:t>3</w:t>
            </w:r>
            <w:r>
              <w:rPr>
                <w:rFonts w:hint="eastAsia" w:ascii="Times New Roman" w:hAnsi="Times New Roman"/>
                <w:color w:val="auto"/>
                <w:szCs w:val="21"/>
                <w:highlight w:val="none"/>
                <w:lang w:val="zh-CN"/>
              </w:rPr>
              <w:t>）投标文件未附有招标人不能接受的条件。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84" w:hRule="atLeast"/>
        </w:trPr>
        <w:tc>
          <w:tcPr>
            <w:tcW w:w="1008" w:type="dxa"/>
            <w:tcBorders>
              <w:top w:val="single" w:color="auto" w:sz="4" w:space="0"/>
              <w:bottom w:val="single" w:color="auto" w:sz="4" w:space="0"/>
              <w:right w:val="single" w:color="auto" w:sz="4" w:space="0"/>
            </w:tcBorders>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2.1.1～2.1.3</w:t>
            </w:r>
          </w:p>
        </w:tc>
        <w:tc>
          <w:tcPr>
            <w:tcW w:w="900" w:type="dxa"/>
            <w:tcBorders>
              <w:top w:val="single" w:color="auto" w:sz="4" w:space="0"/>
              <w:bottom w:val="single" w:color="auto" w:sz="4" w:space="0"/>
              <w:right w:val="single" w:color="auto" w:sz="4" w:space="0"/>
            </w:tcBorders>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形式评审与响应性评审标准</w:t>
            </w:r>
          </w:p>
        </w:tc>
        <w:tc>
          <w:tcPr>
            <w:tcW w:w="7560"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594" w:firstLineChars="300"/>
              <w:rPr>
                <w:rFonts w:hint="eastAsia" w:ascii="Times New Roman" w:hAnsi="Times New Roman"/>
                <w:bCs/>
                <w:color w:val="auto"/>
                <w:spacing w:val="-6"/>
                <w:szCs w:val="21"/>
                <w:highlight w:val="none"/>
              </w:rPr>
            </w:pPr>
            <w:r>
              <w:rPr>
                <w:rFonts w:hint="eastAsia" w:ascii="Times New Roman" w:hAnsi="Times New Roman"/>
                <w:bCs/>
                <w:color w:val="auto"/>
                <w:spacing w:val="-6"/>
                <w:szCs w:val="21"/>
                <w:highlight w:val="none"/>
              </w:rPr>
              <w:t>第二信封（报价文件）的评审：</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zh-CN" w:eastAsia="zh-CN"/>
              </w:rPr>
              <w:t>） 投标文件按照招标文件规定的格式、内容填写，字迹清晰可辨：</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a.报价函按招标文件规定填报了项目名称、补遗书编号（如有）；</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b.投标价报价函文字与招标文件规定一致，未进行修改和删减；</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zh-CN" w:eastAsia="zh-CN"/>
              </w:rPr>
              <w:t>）投标文件（正本）按招标文件规定加盖投标单位公章并由法定代表（负责）人或其授权代理人签名；</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（3）投标报价中的报价未超过招标文件设定的最高投标限价（如有）。</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（4）同一投标人未提交两个以上不同的投标报价，但招标文件要求提交备选投标的除外。</w:t>
            </w:r>
          </w:p>
          <w:p>
            <w:pPr>
              <w:adjustRightInd w:val="0"/>
              <w:snapToGrid w:val="0"/>
              <w:spacing w:line="360" w:lineRule="auto"/>
              <w:ind w:firstLine="420" w:firstLineChars="200"/>
              <w:rPr>
                <w:rFonts w:hint="eastAsia" w:ascii="Times New Roman" w:hAnsi="Times New Roman" w:eastAsia="宋体" w:cs="Times New Roman"/>
                <w:color w:val="auto"/>
                <w:szCs w:val="21"/>
                <w:highlight w:val="none"/>
                <w:lang w:val="zh-CN" w:eastAsia="zh-CN"/>
              </w:rPr>
            </w:pPr>
            <w:r>
              <w:rPr>
                <w:rFonts w:hint="eastAsia" w:ascii="Times New Roman" w:hAnsi="Times New Roman" w:eastAsia="宋体" w:cs="Times New Roman"/>
                <w:color w:val="auto"/>
                <w:szCs w:val="21"/>
                <w:highlight w:val="none"/>
                <w:lang w:val="zh-CN" w:eastAsia="zh-CN"/>
              </w:rPr>
              <w:t>（5）投标人未提交调价函。</w:t>
            </w:r>
          </w:p>
          <w:p>
            <w:pPr>
              <w:adjustRightInd w:val="0"/>
              <w:snapToGrid w:val="0"/>
              <w:spacing w:line="360" w:lineRule="auto"/>
              <w:ind w:firstLine="420" w:firstLineChars="200"/>
              <w:rPr>
                <w:rFonts w:hint="eastAsia" w:ascii="Times New Roman" w:hAnsi="Times New Roman"/>
                <w:bCs/>
                <w:color w:val="auto"/>
                <w:spacing w:val="-6"/>
                <w:szCs w:val="21"/>
                <w:highlight w:val="none"/>
              </w:rPr>
            </w:pPr>
            <w:r>
              <w:rPr>
                <w:rFonts w:hint="eastAsia" w:ascii="Times New Roman" w:hAnsi="Times New Roman" w:eastAsia="宋体" w:cs="Times New Roman"/>
                <w:color w:val="auto"/>
                <w:szCs w:val="21"/>
                <w:highlight w:val="none"/>
                <w:lang w:val="zh-CN" w:eastAsia="zh-CN"/>
              </w:rPr>
              <w:t>（6）</w:t>
            </w:r>
            <w:r>
              <w:rPr>
                <w:rFonts w:hint="eastAsia" w:ascii="Times New Roman" w:hAnsi="Times New Roman"/>
                <w:bCs/>
                <w:color w:val="auto"/>
                <w:spacing w:val="-6"/>
                <w:szCs w:val="21"/>
                <w:highlight w:val="none"/>
              </w:rPr>
              <w:t>投标文件正、副本份数符合招标文件第二章“投标人须知 第</w:t>
            </w:r>
            <w:r>
              <w:rPr>
                <w:rFonts w:hint="eastAsia" w:ascii="Times New Roman" w:hAnsi="Times New Roman"/>
                <w:color w:val="auto"/>
                <w:szCs w:val="21"/>
                <w:highlight w:val="none"/>
                <w:lang w:val="en-US" w:eastAsia="zh-CN"/>
              </w:rPr>
              <w:t>3.6.4</w:t>
            </w:r>
            <w:r>
              <w:rPr>
                <w:rFonts w:hint="eastAsia" w:ascii="Times New Roman" w:hAnsi="Times New Roman"/>
                <w:bCs/>
                <w:color w:val="auto"/>
                <w:spacing w:val="-6"/>
                <w:szCs w:val="21"/>
                <w:highlight w:val="none"/>
              </w:rPr>
              <w:t>项规定</w:t>
            </w:r>
            <w:r>
              <w:rPr>
                <w:rFonts w:hint="eastAsia" w:ascii="Times New Roman" w:hAnsi="Times New Roman"/>
                <w:bCs/>
                <w:color w:val="auto"/>
                <w:spacing w:val="-6"/>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2" w:hRule="atLeast"/>
        </w:trPr>
        <w:tc>
          <w:tcPr>
            <w:tcW w:w="1008" w:type="dxa"/>
            <w:tcBorders>
              <w:top w:val="single" w:color="auto" w:sz="4" w:space="0"/>
              <w:bottom w:val="single" w:color="auto" w:sz="4" w:space="0"/>
              <w:right w:val="single" w:color="auto" w:sz="4" w:space="0"/>
            </w:tcBorders>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2.1.2</w:t>
            </w:r>
          </w:p>
        </w:tc>
        <w:tc>
          <w:tcPr>
            <w:tcW w:w="900" w:type="dxa"/>
            <w:tcBorders>
              <w:top w:val="single" w:color="auto" w:sz="4" w:space="0"/>
              <w:bottom w:val="single" w:color="auto" w:sz="4" w:space="0"/>
              <w:right w:val="single" w:color="auto" w:sz="4" w:space="0"/>
            </w:tcBorders>
            <w:noWrap w:val="0"/>
            <w:vAlign w:val="center"/>
          </w:tcPr>
          <w:p>
            <w:pPr>
              <w:snapToGrid w:val="0"/>
              <w:jc w:val="center"/>
              <w:rPr>
                <w:rFonts w:ascii="宋体" w:hAnsi="宋体"/>
                <w:color w:val="auto"/>
                <w:szCs w:val="21"/>
                <w:highlight w:val="none"/>
              </w:rPr>
            </w:pPr>
            <w:r>
              <w:rPr>
                <w:rFonts w:ascii="宋体" w:hAnsi="宋体"/>
                <w:color w:val="auto"/>
                <w:szCs w:val="21"/>
                <w:highlight w:val="none"/>
              </w:rPr>
              <w:t>资格评审标准</w:t>
            </w:r>
          </w:p>
        </w:tc>
        <w:tc>
          <w:tcPr>
            <w:tcW w:w="7560"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20" w:firstLineChars="200"/>
              <w:rPr>
                <w:rFonts w:ascii="Times New Roman" w:hAnsi="Times New Roman"/>
                <w:bCs/>
                <w:color w:val="auto"/>
                <w:spacing w:val="-6"/>
                <w:szCs w:val="21"/>
                <w:highlight w:val="none"/>
              </w:rPr>
            </w:pPr>
            <w:r>
              <w:rPr>
                <w:rFonts w:hint="eastAsia" w:ascii="Times New Roman" w:hAnsi="Times New Roman" w:eastAsia="宋体" w:cs="Times New Roman"/>
                <w:color w:val="auto"/>
                <w:szCs w:val="21"/>
                <w:highlight w:val="none"/>
                <w:lang w:val="zh-CN" w:eastAsia="zh-CN"/>
              </w:rPr>
              <w:t>（</w:t>
            </w:r>
            <w:r>
              <w:rPr>
                <w:rFonts w:hint="eastAsia" w:ascii="Times New Roman" w:hAnsi="Times New Roman" w:eastAsia="宋体" w:cs="Times New Roman"/>
                <w:color w:val="auto"/>
                <w:szCs w:val="21"/>
                <w:highlight w:val="none"/>
                <w:lang w:val="en-US" w:eastAsia="zh-CN"/>
              </w:rPr>
              <w:t>1</w:t>
            </w:r>
            <w:r>
              <w:rPr>
                <w:rFonts w:hint="eastAsia" w:ascii="Times New Roman" w:hAnsi="Times New Roman" w:eastAsia="宋体" w:cs="Times New Roman"/>
                <w:color w:val="auto"/>
                <w:szCs w:val="21"/>
                <w:highlight w:val="none"/>
                <w:lang w:val="zh-CN" w:eastAsia="zh-CN"/>
              </w:rPr>
              <w:t xml:space="preserve">） </w:t>
            </w:r>
            <w:r>
              <w:rPr>
                <w:rFonts w:hint="eastAsia" w:ascii="Times New Roman" w:hAnsi="Times New Roman"/>
                <w:bCs/>
                <w:color w:val="auto"/>
                <w:spacing w:val="-6"/>
                <w:szCs w:val="21"/>
                <w:highlight w:val="none"/>
                <w:lang w:val="zh-CN"/>
              </w:rPr>
              <w:t>投标人具备有效的营业执照、基本账户开户许可证（如企业所在地已取消企业银行账户许可而无法提供开户许可证的，则需附上开户银行出具的“基本存款账户信息”或“人民银行账户管理系统查询的基本账户信息截图”）；</w:t>
            </w:r>
          </w:p>
          <w:p>
            <w:pPr>
              <w:adjustRightInd w:val="0"/>
              <w:snapToGrid w:val="0"/>
              <w:spacing w:line="360" w:lineRule="auto"/>
              <w:ind w:firstLine="420" w:firstLineChars="200"/>
              <w:rPr>
                <w:rFonts w:ascii="Times New Roman" w:hAnsi="Times New Roman"/>
                <w:bCs/>
                <w:color w:val="auto"/>
                <w:spacing w:val="-6"/>
                <w:szCs w:val="21"/>
                <w:highlight w:val="none"/>
              </w:rPr>
            </w:pPr>
            <w:r>
              <w:rPr>
                <w:rFonts w:hint="eastAsia" w:ascii="Times New Roman" w:hAnsi="Times New Roman" w:eastAsia="宋体" w:cs="Times New Roman"/>
                <w:color w:val="auto"/>
                <w:szCs w:val="21"/>
                <w:highlight w:val="none"/>
                <w:lang w:val="zh-CN" w:eastAsia="zh-CN"/>
              </w:rPr>
              <w:t>（</w:t>
            </w:r>
            <w:r>
              <w:rPr>
                <w:rFonts w:hint="eastAsia" w:ascii="Times New Roman" w:hAnsi="Times New Roman" w:eastAsia="宋体" w:cs="Times New Roman"/>
                <w:color w:val="auto"/>
                <w:szCs w:val="21"/>
                <w:highlight w:val="none"/>
                <w:lang w:val="en-US" w:eastAsia="zh-CN"/>
              </w:rPr>
              <w:t>2</w:t>
            </w:r>
            <w:r>
              <w:rPr>
                <w:rFonts w:hint="eastAsia" w:ascii="Times New Roman" w:hAnsi="Times New Roman" w:eastAsia="宋体" w:cs="Times New Roman"/>
                <w:color w:val="auto"/>
                <w:szCs w:val="21"/>
                <w:highlight w:val="none"/>
                <w:lang w:val="zh-CN" w:eastAsia="zh-CN"/>
              </w:rPr>
              <w:t>）</w:t>
            </w:r>
            <w:r>
              <w:rPr>
                <w:rFonts w:hint="eastAsia" w:ascii="Times New Roman" w:hAnsi="Times New Roman"/>
                <w:bCs/>
                <w:color w:val="auto"/>
                <w:spacing w:val="-6"/>
                <w:szCs w:val="21"/>
                <w:highlight w:val="none"/>
              </w:rPr>
              <w:t>投标人的资质符合招标文件规定；</w:t>
            </w:r>
          </w:p>
          <w:p>
            <w:pPr>
              <w:adjustRightInd w:val="0"/>
              <w:snapToGrid w:val="0"/>
              <w:spacing w:line="360" w:lineRule="auto"/>
              <w:ind w:firstLine="420" w:firstLineChars="200"/>
              <w:rPr>
                <w:rFonts w:hint="eastAsia" w:ascii="Times New Roman" w:hAnsi="Times New Roman"/>
                <w:bCs/>
                <w:color w:val="auto"/>
                <w:spacing w:val="-6"/>
                <w:szCs w:val="21"/>
                <w:highlight w:val="none"/>
              </w:rPr>
            </w:pPr>
            <w:r>
              <w:rPr>
                <w:rFonts w:hint="eastAsia" w:ascii="Times New Roman" w:hAnsi="Times New Roman" w:eastAsia="宋体" w:cs="Times New Roman"/>
                <w:color w:val="auto"/>
                <w:szCs w:val="21"/>
                <w:highlight w:val="none"/>
                <w:lang w:val="zh-CN" w:eastAsia="zh-CN"/>
              </w:rPr>
              <w:t>（3）</w:t>
            </w:r>
            <w:r>
              <w:rPr>
                <w:rFonts w:hint="eastAsia" w:ascii="Times New Roman" w:hAnsi="Times New Roman"/>
                <w:bCs/>
                <w:color w:val="auto"/>
                <w:spacing w:val="-6"/>
                <w:szCs w:val="21"/>
                <w:highlight w:val="none"/>
              </w:rPr>
              <w:t>投标人的财务状况符合招标文件规定</w:t>
            </w:r>
            <w:r>
              <w:rPr>
                <w:rFonts w:ascii="Times New Roman" w:hAnsi="Times New Roman"/>
                <w:bCs/>
                <w:color w:val="auto"/>
                <w:spacing w:val="-6"/>
                <w:szCs w:val="21"/>
                <w:highlight w:val="none"/>
              </w:rPr>
              <w:t>；</w:t>
            </w:r>
          </w:p>
          <w:p>
            <w:pPr>
              <w:adjustRightInd w:val="0"/>
              <w:snapToGrid w:val="0"/>
              <w:spacing w:line="360" w:lineRule="auto"/>
              <w:ind w:firstLine="420" w:firstLineChars="200"/>
              <w:rPr>
                <w:rFonts w:hint="eastAsia" w:ascii="Times New Roman" w:hAnsi="Times New Roman"/>
                <w:bCs/>
                <w:color w:val="auto"/>
                <w:spacing w:val="-6"/>
                <w:szCs w:val="21"/>
                <w:highlight w:val="none"/>
              </w:rPr>
            </w:pPr>
            <w:r>
              <w:rPr>
                <w:rFonts w:hint="eastAsia" w:ascii="Times New Roman" w:hAnsi="Times New Roman" w:eastAsia="宋体" w:cs="Times New Roman"/>
                <w:color w:val="auto"/>
                <w:szCs w:val="21"/>
                <w:highlight w:val="none"/>
                <w:lang w:val="zh-CN" w:eastAsia="zh-CN"/>
              </w:rPr>
              <w:t>（4）</w:t>
            </w:r>
            <w:r>
              <w:rPr>
                <w:rFonts w:hint="eastAsia" w:ascii="Times New Roman" w:hAnsi="Times New Roman"/>
                <w:bCs/>
                <w:color w:val="auto"/>
                <w:spacing w:val="-6"/>
                <w:szCs w:val="21"/>
                <w:highlight w:val="none"/>
              </w:rPr>
              <w:t>投标人的业绩符合招标文件规定；</w:t>
            </w:r>
          </w:p>
          <w:p>
            <w:pPr>
              <w:adjustRightInd w:val="0"/>
              <w:snapToGrid w:val="0"/>
              <w:spacing w:line="360" w:lineRule="auto"/>
              <w:ind w:firstLine="420" w:firstLineChars="200"/>
              <w:rPr>
                <w:rFonts w:hint="eastAsia" w:ascii="Times New Roman" w:hAnsi="Times New Roman"/>
                <w:bCs/>
                <w:color w:val="auto"/>
                <w:spacing w:val="-6"/>
                <w:szCs w:val="21"/>
                <w:highlight w:val="none"/>
              </w:rPr>
            </w:pPr>
            <w:r>
              <w:rPr>
                <w:rFonts w:hint="eastAsia" w:ascii="Times New Roman" w:hAnsi="Times New Roman" w:eastAsia="宋体" w:cs="Times New Roman"/>
                <w:color w:val="auto"/>
                <w:szCs w:val="21"/>
                <w:highlight w:val="none"/>
                <w:lang w:val="zh-CN" w:eastAsia="zh-CN"/>
              </w:rPr>
              <w:t>（5）</w:t>
            </w:r>
            <w:r>
              <w:rPr>
                <w:rFonts w:hint="eastAsia" w:ascii="Times New Roman" w:hAnsi="Times New Roman"/>
                <w:bCs/>
                <w:color w:val="auto"/>
                <w:spacing w:val="-6"/>
                <w:szCs w:val="21"/>
                <w:highlight w:val="none"/>
              </w:rPr>
              <w:t>投标人的信誉符合招标文件规定；</w:t>
            </w:r>
          </w:p>
          <w:p>
            <w:pPr>
              <w:adjustRightInd w:val="0"/>
              <w:snapToGrid w:val="0"/>
              <w:spacing w:line="360" w:lineRule="auto"/>
              <w:ind w:firstLine="420" w:firstLineChars="200"/>
              <w:rPr>
                <w:rFonts w:hint="eastAsia" w:ascii="Times New Roman" w:hAnsi="Times New Roman"/>
                <w:bCs/>
                <w:color w:val="auto"/>
                <w:spacing w:val="-6"/>
                <w:szCs w:val="21"/>
                <w:highlight w:val="none"/>
              </w:rPr>
            </w:pPr>
            <w:r>
              <w:rPr>
                <w:rFonts w:hint="eastAsia" w:ascii="Times New Roman" w:hAnsi="Times New Roman" w:eastAsia="宋体" w:cs="Times New Roman"/>
                <w:color w:val="auto"/>
                <w:szCs w:val="21"/>
                <w:highlight w:val="none"/>
                <w:lang w:val="zh-CN" w:eastAsia="zh-CN"/>
              </w:rPr>
              <w:t>（6）</w:t>
            </w:r>
            <w:r>
              <w:rPr>
                <w:rFonts w:ascii="Times New Roman" w:hAnsi="Times New Roman"/>
                <w:bCs/>
                <w:color w:val="auto"/>
                <w:spacing w:val="-6"/>
                <w:szCs w:val="21"/>
                <w:highlight w:val="none"/>
              </w:rPr>
              <w:t>投标人的其他要求符合招标文件规定；</w:t>
            </w:r>
          </w:p>
          <w:p>
            <w:pPr>
              <w:adjustRightInd w:val="0"/>
              <w:snapToGrid w:val="0"/>
              <w:spacing w:line="360" w:lineRule="auto"/>
              <w:ind w:firstLine="420" w:firstLineChars="200"/>
              <w:rPr>
                <w:rFonts w:ascii="宋体" w:hAnsi="宋体"/>
                <w:color w:val="auto"/>
                <w:szCs w:val="21"/>
                <w:highlight w:val="none"/>
              </w:rPr>
            </w:pPr>
            <w:r>
              <w:rPr>
                <w:rFonts w:hint="eastAsia" w:ascii="Times New Roman" w:hAnsi="Times New Roman" w:eastAsia="宋体" w:cs="Times New Roman"/>
                <w:color w:val="auto"/>
                <w:szCs w:val="21"/>
                <w:highlight w:val="none"/>
                <w:lang w:val="zh-CN" w:eastAsia="zh-CN"/>
              </w:rPr>
              <w:t>（</w:t>
            </w:r>
            <w:r>
              <w:rPr>
                <w:rFonts w:hint="eastAsia" w:ascii="Times New Roman" w:hAnsi="Times New Roman" w:eastAsia="宋体" w:cs="Times New Roman"/>
                <w:color w:val="auto"/>
                <w:szCs w:val="21"/>
                <w:highlight w:val="none"/>
                <w:lang w:val="en-US" w:eastAsia="zh-CN"/>
              </w:rPr>
              <w:t>7</w:t>
            </w:r>
            <w:r>
              <w:rPr>
                <w:rFonts w:hint="eastAsia" w:ascii="Times New Roman" w:hAnsi="Times New Roman" w:eastAsia="宋体" w:cs="Times New Roman"/>
                <w:color w:val="auto"/>
                <w:szCs w:val="21"/>
                <w:highlight w:val="none"/>
                <w:lang w:val="zh-CN" w:eastAsia="zh-CN"/>
              </w:rPr>
              <w:t>）</w:t>
            </w:r>
            <w:r>
              <w:rPr>
                <w:rFonts w:hint="eastAsia" w:ascii="Times New Roman" w:hAnsi="Times New Roman"/>
                <w:bCs/>
                <w:color w:val="auto"/>
                <w:spacing w:val="-6"/>
                <w:szCs w:val="21"/>
                <w:highlight w:val="none"/>
              </w:rPr>
              <w:t>投标人不存在第二章“投标人须知”第1.3.5项规定的任何情形。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79" w:hRule="atLeast"/>
        </w:trPr>
        <w:tc>
          <w:tcPr>
            <w:tcW w:w="1008" w:type="dxa"/>
            <w:tcBorders>
              <w:top w:val="single" w:color="auto" w:sz="4" w:space="0"/>
              <w:right w:val="single" w:color="auto" w:sz="4" w:space="0"/>
            </w:tcBorders>
            <w:noWrap w:val="0"/>
            <w:vAlign w:val="center"/>
          </w:tcPr>
          <w:p>
            <w:pPr>
              <w:snapToGrid w:val="0"/>
              <w:rPr>
                <w:rFonts w:hint="eastAsia" w:ascii="宋体" w:hAnsi="宋体"/>
                <w:color w:val="auto"/>
                <w:szCs w:val="21"/>
                <w:highlight w:val="none"/>
              </w:rPr>
            </w:pPr>
            <w:r>
              <w:rPr>
                <w:rFonts w:hint="eastAsia" w:ascii="宋体" w:hAnsi="宋体"/>
                <w:color w:val="auto"/>
                <w:szCs w:val="21"/>
                <w:highlight w:val="none"/>
              </w:rPr>
              <w:t>2.2.1</w:t>
            </w:r>
          </w:p>
        </w:tc>
        <w:tc>
          <w:tcPr>
            <w:tcW w:w="900" w:type="dxa"/>
            <w:tcBorders>
              <w:top w:val="single" w:color="auto" w:sz="4" w:space="0"/>
              <w:right w:val="single" w:color="auto" w:sz="4" w:space="0"/>
            </w:tcBorders>
            <w:noWrap w:val="0"/>
            <w:vAlign w:val="center"/>
          </w:tcPr>
          <w:p>
            <w:pPr>
              <w:snapToGrid w:val="0"/>
              <w:jc w:val="center"/>
              <w:rPr>
                <w:rFonts w:hint="eastAsia" w:ascii="宋体" w:hAnsi="宋体"/>
                <w:color w:val="auto"/>
                <w:szCs w:val="21"/>
                <w:highlight w:val="none"/>
              </w:rPr>
            </w:pPr>
            <w:r>
              <w:rPr>
                <w:rFonts w:hint="eastAsia" w:ascii="宋体" w:hAnsi="宋体"/>
                <w:color w:val="auto"/>
                <w:szCs w:val="21"/>
                <w:highlight w:val="none"/>
              </w:rPr>
              <w:t>分值 构成</w:t>
            </w:r>
          </w:p>
          <w:p>
            <w:pPr>
              <w:snapToGrid w:val="0"/>
              <w:rPr>
                <w:rFonts w:hint="eastAsia" w:ascii="宋体" w:hAnsi="宋体"/>
                <w:color w:val="auto"/>
                <w:szCs w:val="21"/>
                <w:highlight w:val="none"/>
              </w:rPr>
            </w:pPr>
            <w:r>
              <w:rPr>
                <w:rFonts w:hint="eastAsia" w:ascii="宋体" w:hAnsi="宋体"/>
                <w:color w:val="auto"/>
                <w:szCs w:val="21"/>
                <w:highlight w:val="none"/>
              </w:rPr>
              <w:t>(总分100分)</w:t>
            </w:r>
          </w:p>
        </w:tc>
        <w:tc>
          <w:tcPr>
            <w:tcW w:w="7560" w:type="dxa"/>
            <w:tcBorders>
              <w:top w:val="single" w:color="auto" w:sz="4" w:space="0"/>
              <w:left w:val="single" w:color="auto" w:sz="4" w:space="0"/>
              <w:right w:val="single" w:color="auto" w:sz="4" w:space="0"/>
            </w:tcBorders>
            <w:noWrap w:val="0"/>
            <w:vAlign w:val="center"/>
          </w:tcPr>
          <w:p>
            <w:pPr>
              <w:snapToGrid w:val="0"/>
              <w:rPr>
                <w:rFonts w:hint="eastAsia" w:ascii="宋体" w:hAnsi="宋体"/>
                <w:color w:val="auto"/>
                <w:szCs w:val="21"/>
                <w:highlight w:val="none"/>
              </w:rPr>
            </w:pPr>
            <w:r>
              <w:rPr>
                <w:rFonts w:hint="eastAsia" w:ascii="宋体" w:hAnsi="宋体"/>
                <w:b/>
                <w:color w:val="auto"/>
                <w:szCs w:val="21"/>
                <w:highlight w:val="none"/>
              </w:rPr>
              <w:t>商务</w:t>
            </w:r>
            <w:r>
              <w:rPr>
                <w:rFonts w:hint="eastAsia" w:ascii="宋体" w:hAnsi="宋体"/>
                <w:b/>
                <w:color w:val="auto"/>
                <w:szCs w:val="21"/>
                <w:highlight w:val="none"/>
                <w:lang w:val="en-US" w:eastAsia="zh-CN"/>
              </w:rPr>
              <w:t>与方案</w:t>
            </w:r>
            <w:r>
              <w:rPr>
                <w:rFonts w:hint="eastAsia" w:ascii="宋体" w:hAnsi="宋体"/>
                <w:b/>
                <w:color w:val="auto"/>
                <w:szCs w:val="21"/>
                <w:highlight w:val="none"/>
              </w:rPr>
              <w:t>部分的分值（90分）</w:t>
            </w:r>
            <w:r>
              <w:rPr>
                <w:rFonts w:hint="eastAsia" w:ascii="宋体" w:hAnsi="宋体"/>
                <w:color w:val="auto"/>
                <w:szCs w:val="21"/>
                <w:highlight w:val="none"/>
              </w:rPr>
              <w:t>：</w:t>
            </w:r>
          </w:p>
          <w:p>
            <w:pPr>
              <w:snapToGrid w:val="0"/>
              <w:rPr>
                <w:rFonts w:hint="eastAsia" w:ascii="宋体" w:hAnsi="宋体"/>
                <w:bCs/>
                <w:color w:val="auto"/>
                <w:szCs w:val="21"/>
                <w:highlight w:val="none"/>
              </w:rPr>
            </w:pPr>
            <w:r>
              <w:rPr>
                <w:rFonts w:hint="eastAsia" w:ascii="宋体" w:hAnsi="宋体"/>
                <w:bCs/>
                <w:color w:val="auto"/>
                <w:szCs w:val="21"/>
                <w:highlight w:val="none"/>
              </w:rPr>
              <w:t>商务评分（</w:t>
            </w:r>
            <w:r>
              <w:rPr>
                <w:rFonts w:hint="eastAsia" w:ascii="宋体" w:hAnsi="宋体"/>
                <w:bCs/>
                <w:color w:val="auto"/>
                <w:szCs w:val="21"/>
                <w:highlight w:val="none"/>
                <w:lang w:val="en-US" w:eastAsia="zh-CN"/>
              </w:rPr>
              <w:t>60</w:t>
            </w:r>
            <w:r>
              <w:rPr>
                <w:rFonts w:hint="eastAsia" w:ascii="宋体" w:hAnsi="宋体"/>
                <w:bCs/>
                <w:color w:val="auto"/>
                <w:szCs w:val="21"/>
                <w:highlight w:val="none"/>
              </w:rPr>
              <w:t>分）</w:t>
            </w:r>
          </w:p>
          <w:p>
            <w:pPr>
              <w:numPr>
                <w:ins w:id="0" w:author="代胜果" w:date="2015-01-20T19:24:00Z"/>
              </w:numPr>
              <w:snapToGrid w:val="0"/>
              <w:rPr>
                <w:rFonts w:hint="eastAsia" w:ascii="宋体" w:hAnsi="宋体"/>
                <w:color w:val="auto"/>
                <w:szCs w:val="21"/>
                <w:highlight w:val="none"/>
              </w:rPr>
            </w:pPr>
            <w:r>
              <w:rPr>
                <w:rFonts w:hint="eastAsia" w:ascii="宋体" w:hAnsi="宋体"/>
                <w:color w:val="auto"/>
                <w:szCs w:val="21"/>
                <w:highlight w:val="none"/>
                <w:lang w:val="en-US" w:eastAsia="zh-CN"/>
              </w:rPr>
              <w:t>方案</w:t>
            </w:r>
            <w:r>
              <w:rPr>
                <w:rFonts w:hint="eastAsia" w:ascii="宋体" w:hAnsi="宋体"/>
                <w:color w:val="auto"/>
                <w:szCs w:val="21"/>
                <w:highlight w:val="none"/>
              </w:rPr>
              <w:t>评分（</w:t>
            </w:r>
            <w:r>
              <w:rPr>
                <w:rFonts w:hint="eastAsia" w:ascii="宋体" w:hAnsi="宋体"/>
                <w:color w:val="auto"/>
                <w:szCs w:val="21"/>
                <w:highlight w:val="none"/>
                <w:lang w:val="en-US" w:eastAsia="zh-CN"/>
              </w:rPr>
              <w:t>30</w:t>
            </w:r>
            <w:r>
              <w:rPr>
                <w:rFonts w:hint="eastAsia" w:ascii="宋体" w:hAnsi="宋体"/>
                <w:color w:val="auto"/>
                <w:szCs w:val="21"/>
                <w:highlight w:val="none"/>
              </w:rPr>
              <w:t>分）</w:t>
            </w:r>
          </w:p>
          <w:p>
            <w:pPr>
              <w:snapToGrid w:val="0"/>
              <w:rPr>
                <w:rFonts w:hint="eastAsia" w:ascii="宋体" w:hAnsi="宋体"/>
                <w:b/>
                <w:color w:val="auto"/>
                <w:szCs w:val="21"/>
                <w:highlight w:val="none"/>
              </w:rPr>
            </w:pPr>
            <w:r>
              <w:rPr>
                <w:rFonts w:hint="eastAsia" w:ascii="宋体" w:hAnsi="宋体"/>
                <w:b/>
                <w:color w:val="auto"/>
                <w:szCs w:val="21"/>
                <w:highlight w:val="none"/>
              </w:rPr>
              <w:t>投标报价部分的分值（1</w:t>
            </w:r>
            <w:r>
              <w:rPr>
                <w:rFonts w:ascii="宋体" w:hAnsi="宋体"/>
                <w:b/>
                <w:color w:val="auto"/>
                <w:szCs w:val="21"/>
                <w:highlight w:val="none"/>
              </w:rPr>
              <w:t>0</w:t>
            </w:r>
            <w:r>
              <w:rPr>
                <w:rFonts w:hint="eastAsia" w:ascii="宋体" w:hAnsi="宋体"/>
                <w:b/>
                <w:color w:val="auto"/>
                <w:szCs w:val="21"/>
                <w:highlight w:val="none"/>
              </w:rPr>
              <w:t>分）：</w:t>
            </w:r>
          </w:p>
          <w:p>
            <w:pPr>
              <w:snapToGrid w:val="0"/>
              <w:rPr>
                <w:rFonts w:hint="eastAsia" w:ascii="宋体" w:hAnsi="宋体"/>
                <w:color w:val="auto"/>
                <w:szCs w:val="21"/>
                <w:highlight w:val="none"/>
              </w:rPr>
            </w:pPr>
            <w:r>
              <w:rPr>
                <w:rFonts w:hint="eastAsia" w:ascii="宋体" w:hAnsi="宋体"/>
                <w:color w:val="auto"/>
                <w:szCs w:val="21"/>
                <w:highlight w:val="none"/>
              </w:rPr>
              <w:t>评标价得分（1</w:t>
            </w:r>
            <w:r>
              <w:rPr>
                <w:rFonts w:ascii="宋体" w:hAnsi="宋体"/>
                <w:color w:val="auto"/>
                <w:szCs w:val="21"/>
                <w:highlight w:val="none"/>
              </w:rPr>
              <w:t>0</w:t>
            </w:r>
            <w:r>
              <w:rPr>
                <w:rFonts w:hint="eastAsia" w:ascii="宋体" w:hAnsi="宋体"/>
                <w:color w:val="auto"/>
                <w:szCs w:val="21"/>
                <w:highlight w:val="none"/>
              </w:rPr>
              <w:t>分）</w:t>
            </w:r>
          </w:p>
        </w:tc>
      </w:tr>
    </w:tbl>
    <w:p>
      <w:pPr>
        <w:snapToGrid w:val="0"/>
        <w:rPr>
          <w:color w:val="auto"/>
          <w:highlight w:val="none"/>
        </w:rPr>
      </w:pPr>
    </w:p>
    <w:p>
      <w:pPr>
        <w:snapToGrid w:val="0"/>
        <w:rPr>
          <w:color w:val="auto"/>
          <w:highlight w:val="none"/>
        </w:rPr>
      </w:pPr>
    </w:p>
    <w:p>
      <w:pPr>
        <w:snapToGrid w:val="0"/>
        <w:rPr>
          <w:color w:val="auto"/>
          <w:highlight w:val="none"/>
        </w:rPr>
      </w:pPr>
    </w:p>
    <w:p>
      <w:pPr>
        <w:snapToGrid w:val="0"/>
        <w:rPr>
          <w:color w:val="auto"/>
          <w:highlight w:val="none"/>
        </w:rPr>
      </w:pPr>
    </w:p>
    <w:p>
      <w:pPr>
        <w:snapToGrid w:val="0"/>
        <w:rPr>
          <w:color w:val="auto"/>
          <w:highlight w:val="none"/>
        </w:rPr>
        <w:sectPr>
          <w:pgSz w:w="11906" w:h="16838"/>
          <w:pgMar w:top="1418" w:right="1418" w:bottom="1418" w:left="1418" w:header="851" w:footer="851" w:gutter="0"/>
          <w:cols w:space="720" w:num="1"/>
          <w:titlePg/>
          <w:docGrid w:type="lines" w:linePitch="285" w:charSpace="0"/>
        </w:sectPr>
      </w:pPr>
    </w:p>
    <w:tbl>
      <w:tblPr>
        <w:tblStyle w:val="6"/>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1172"/>
        <w:gridCol w:w="1676"/>
        <w:gridCol w:w="9767"/>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78" w:type="dxa"/>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条款号</w:t>
            </w:r>
          </w:p>
        </w:tc>
        <w:tc>
          <w:tcPr>
            <w:tcW w:w="1172" w:type="dxa"/>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评分因素</w:t>
            </w: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评审内容</w:t>
            </w:r>
          </w:p>
        </w:tc>
        <w:tc>
          <w:tcPr>
            <w:tcW w:w="9767" w:type="dxa"/>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评分细则</w:t>
            </w:r>
          </w:p>
        </w:tc>
        <w:tc>
          <w:tcPr>
            <w:tcW w:w="840" w:type="dxa"/>
            <w:noWrap w:val="0"/>
            <w:vAlign w:val="center"/>
          </w:tcPr>
          <w:p>
            <w:pPr>
              <w:jc w:val="center"/>
              <w:rPr>
                <w:rFonts w:hint="eastAsia" w:ascii="宋体" w:cs="宋体"/>
                <w:b/>
                <w:color w:val="auto"/>
                <w:szCs w:val="21"/>
                <w:highlight w:val="none"/>
              </w:rPr>
            </w:pPr>
            <w:r>
              <w:rPr>
                <w:rFonts w:hint="eastAsia" w:ascii="宋体" w:hAnsi="宋体" w:cs="宋体"/>
                <w:b/>
                <w:color w:val="auto"/>
                <w:szCs w:val="21"/>
                <w:highlight w:val="none"/>
                <w:lang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078" w:type="dxa"/>
            <w:vMerge w:val="restart"/>
            <w:noWrap w:val="0"/>
            <w:vAlign w:val="center"/>
          </w:tcPr>
          <w:p>
            <w:pPr>
              <w:snapToGrid w:val="0"/>
              <w:jc w:val="center"/>
              <w:rPr>
                <w:rFonts w:hint="eastAsia" w:ascii="宋体" w:hAnsi="宋体"/>
                <w:b/>
                <w:bCs/>
                <w:color w:val="auto"/>
                <w:szCs w:val="21"/>
                <w:highlight w:val="none"/>
              </w:rPr>
            </w:pP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w:t>
            </w:r>
          </w:p>
        </w:tc>
        <w:tc>
          <w:tcPr>
            <w:tcW w:w="1172" w:type="dxa"/>
            <w:vMerge w:val="restart"/>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商务评分（</w:t>
            </w:r>
            <w:r>
              <w:rPr>
                <w:rFonts w:hint="eastAsia" w:ascii="宋体" w:hAnsi="宋体"/>
                <w:b/>
                <w:bCs/>
                <w:color w:val="auto"/>
                <w:szCs w:val="21"/>
                <w:highlight w:val="none"/>
                <w:lang w:val="en-US" w:eastAsia="zh-CN"/>
              </w:rPr>
              <w:t>60</w:t>
            </w:r>
            <w:r>
              <w:rPr>
                <w:rFonts w:hint="eastAsia" w:ascii="宋体" w:hAnsi="宋体"/>
                <w:b/>
                <w:bCs/>
                <w:color w:val="auto"/>
                <w:szCs w:val="21"/>
                <w:highlight w:val="none"/>
              </w:rPr>
              <w:t>分）</w:t>
            </w: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color w:val="auto"/>
                <w:szCs w:val="21"/>
                <w:highlight w:val="none"/>
              </w:rPr>
              <w:t>注册资本金</w:t>
            </w:r>
          </w:p>
        </w:tc>
        <w:tc>
          <w:tcPr>
            <w:tcW w:w="9767" w:type="dxa"/>
            <w:noWrap w:val="0"/>
            <w:vAlign w:val="center"/>
          </w:tcPr>
          <w:p>
            <w:pPr>
              <w:spacing w:line="288" w:lineRule="auto"/>
              <w:rPr>
                <w:rFonts w:hint="eastAsia" w:ascii="宋体" w:hAnsi="宋体"/>
                <w:color w:val="auto"/>
                <w:highlight w:val="none"/>
              </w:rPr>
            </w:pPr>
            <w:r>
              <w:rPr>
                <w:rFonts w:hint="eastAsia" w:ascii="宋体" w:hAnsi="宋体"/>
                <w:color w:val="auto"/>
                <w:szCs w:val="21"/>
                <w:highlight w:val="none"/>
              </w:rPr>
              <w:t>投标人总公司的注册资本金金额：</w:t>
            </w:r>
          </w:p>
          <w:p>
            <w:pPr>
              <w:numPr>
                <w:ilvl w:val="0"/>
                <w:numId w:val="2"/>
              </w:numPr>
              <w:spacing w:line="288" w:lineRule="auto"/>
              <w:rPr>
                <w:rFonts w:ascii="宋体" w:hAnsi="宋体"/>
                <w:color w:val="auto"/>
                <w:highlight w:val="none"/>
              </w:rPr>
            </w:pPr>
            <w:r>
              <w:rPr>
                <w:rFonts w:hint="eastAsia" w:ascii="宋体" w:hAnsi="宋体"/>
                <w:color w:val="auto"/>
                <w:highlight w:val="none"/>
              </w:rPr>
              <w:t>满足资格要求最低标准得</w:t>
            </w:r>
            <w:r>
              <w:rPr>
                <w:rFonts w:hint="eastAsia" w:ascii="宋体" w:hAnsi="宋体"/>
                <w:color w:val="auto"/>
                <w:highlight w:val="none"/>
                <w:lang w:val="en-US" w:eastAsia="zh-CN"/>
              </w:rPr>
              <w:t>6</w:t>
            </w:r>
            <w:r>
              <w:rPr>
                <w:rFonts w:hint="eastAsia" w:ascii="宋体" w:hAnsi="宋体"/>
                <w:color w:val="auto"/>
                <w:highlight w:val="none"/>
              </w:rPr>
              <w:t>分；</w:t>
            </w:r>
          </w:p>
          <w:p>
            <w:pPr>
              <w:numPr>
                <w:ilvl w:val="0"/>
                <w:numId w:val="2"/>
              </w:numPr>
              <w:spacing w:line="288" w:lineRule="auto"/>
              <w:rPr>
                <w:rFonts w:hint="eastAsia" w:ascii="宋体" w:hAnsi="宋体"/>
                <w:color w:val="auto"/>
                <w:highlight w:val="none"/>
              </w:rPr>
            </w:pPr>
            <w:r>
              <w:rPr>
                <w:rFonts w:hint="eastAsia" w:ascii="宋体" w:hAnsi="宋体"/>
                <w:color w:val="auto"/>
                <w:highlight w:val="none"/>
              </w:rPr>
              <w:t>在此基础上，每增加</w:t>
            </w:r>
            <w:r>
              <w:rPr>
                <w:rFonts w:ascii="宋体" w:hAnsi="宋体"/>
                <w:color w:val="auto"/>
                <w:highlight w:val="none"/>
              </w:rPr>
              <w:t>3</w:t>
            </w:r>
            <w:r>
              <w:rPr>
                <w:rFonts w:hint="eastAsia" w:ascii="宋体" w:hAnsi="宋体"/>
                <w:color w:val="auto"/>
                <w:highlight w:val="none"/>
              </w:rPr>
              <w:t>0亿</w:t>
            </w:r>
            <w:r>
              <w:rPr>
                <w:rFonts w:hint="eastAsia" w:ascii="宋体" w:hAnsi="宋体"/>
                <w:color w:val="auto"/>
                <w:highlight w:val="none"/>
                <w:lang w:eastAsia="zh-CN"/>
              </w:rPr>
              <w:t>（尾数不计）</w:t>
            </w:r>
            <w:r>
              <w:rPr>
                <w:rFonts w:hint="eastAsia" w:ascii="宋体" w:hAnsi="宋体"/>
                <w:color w:val="auto"/>
                <w:highlight w:val="none"/>
              </w:rPr>
              <w:t>加</w:t>
            </w:r>
            <w:r>
              <w:rPr>
                <w:rFonts w:ascii="宋体" w:hAnsi="宋体"/>
                <w:color w:val="auto"/>
                <w:highlight w:val="none"/>
              </w:rPr>
              <w:t>1</w:t>
            </w:r>
            <w:r>
              <w:rPr>
                <w:rFonts w:hint="eastAsia" w:ascii="宋体" w:hAnsi="宋体"/>
                <w:color w:val="auto"/>
                <w:highlight w:val="none"/>
              </w:rPr>
              <w:t>分，最高加分不超过</w:t>
            </w:r>
            <w:r>
              <w:rPr>
                <w:rFonts w:hint="eastAsia" w:ascii="宋体" w:hAnsi="宋体"/>
                <w:color w:val="auto"/>
                <w:highlight w:val="none"/>
                <w:lang w:val="en-US" w:eastAsia="zh-CN"/>
              </w:rPr>
              <w:t>4</w:t>
            </w:r>
            <w:r>
              <w:rPr>
                <w:rFonts w:hint="eastAsia" w:ascii="宋体" w:hAnsi="宋体"/>
                <w:color w:val="auto"/>
                <w:highlight w:val="none"/>
              </w:rPr>
              <w:t>分。</w:t>
            </w:r>
          </w:p>
        </w:tc>
        <w:tc>
          <w:tcPr>
            <w:tcW w:w="840" w:type="dxa"/>
            <w:noWrap w:val="0"/>
            <w:vAlign w:val="center"/>
          </w:tcPr>
          <w:p>
            <w:pPr>
              <w:jc w:val="center"/>
              <w:rPr>
                <w:rFonts w:hint="eastAsia" w:ascii="宋体" w:hAnsi="宋体" w:cs="宋体"/>
                <w:b/>
                <w:color w:val="auto"/>
                <w:szCs w:val="21"/>
                <w:highlight w:val="none"/>
                <w:lang w:bidi="ar"/>
              </w:rPr>
            </w:pPr>
            <w:r>
              <w:rPr>
                <w:rFonts w:ascii="宋体" w:hAnsi="宋体" w:cs="宋体"/>
                <w:b/>
                <w:color w:val="auto"/>
                <w:szCs w:val="21"/>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078" w:type="dxa"/>
            <w:vMerge w:val="continue"/>
            <w:noWrap w:val="0"/>
            <w:vAlign w:val="center"/>
          </w:tcPr>
          <w:p>
            <w:pPr>
              <w:snapToGrid w:val="0"/>
              <w:jc w:val="center"/>
              <w:rPr>
                <w:rFonts w:ascii="宋体" w:hAnsi="宋体"/>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color w:val="auto"/>
                <w:szCs w:val="21"/>
                <w:highlight w:val="none"/>
              </w:rPr>
              <w:t>财产保险公司财产保险业务收入</w:t>
            </w:r>
          </w:p>
        </w:tc>
        <w:tc>
          <w:tcPr>
            <w:tcW w:w="9767" w:type="dxa"/>
            <w:noWrap w:val="0"/>
            <w:vAlign w:val="center"/>
          </w:tcPr>
          <w:p>
            <w:pPr>
              <w:spacing w:line="288" w:lineRule="auto"/>
              <w:rPr>
                <w:rFonts w:hint="eastAsia" w:ascii="宋体" w:hAnsi="宋体"/>
                <w:color w:val="auto"/>
                <w:highlight w:val="none"/>
              </w:rPr>
            </w:pPr>
            <w:r>
              <w:rPr>
                <w:rFonts w:hint="eastAsia" w:ascii="宋体" w:hAnsi="宋体"/>
                <w:color w:val="auto"/>
                <w:highlight w:val="none"/>
              </w:rPr>
              <w:t>投标人按其所属的总公司</w:t>
            </w:r>
            <w:r>
              <w:rPr>
                <w:rFonts w:hint="eastAsia" w:ascii="宋体" w:hAnsi="宋体"/>
                <w:color w:val="auto"/>
                <w:szCs w:val="21"/>
                <w:highlight w:val="none"/>
                <w:lang w:val="en-US" w:eastAsia="zh-CN"/>
              </w:rPr>
              <w:t>近三</w:t>
            </w:r>
            <w:r>
              <w:rPr>
                <w:rFonts w:hint="eastAsia" w:ascii="宋体" w:hAnsi="宋体"/>
                <w:color w:val="auto"/>
                <w:szCs w:val="21"/>
                <w:highlight w:val="none"/>
              </w:rPr>
              <w:t>年国内财产保险业务</w:t>
            </w:r>
            <w:r>
              <w:rPr>
                <w:rFonts w:hint="eastAsia" w:ascii="宋体" w:hAnsi="宋体"/>
                <w:color w:val="auto"/>
                <w:szCs w:val="21"/>
                <w:highlight w:val="none"/>
                <w:lang w:val="en-US" w:eastAsia="zh-CN"/>
              </w:rPr>
              <w:t>平均</w:t>
            </w:r>
            <w:r>
              <w:rPr>
                <w:rFonts w:hint="eastAsia" w:ascii="宋体" w:hAnsi="宋体"/>
                <w:color w:val="auto"/>
                <w:szCs w:val="21"/>
                <w:highlight w:val="none"/>
              </w:rPr>
              <w:t>收入情况：</w:t>
            </w:r>
          </w:p>
          <w:p>
            <w:pPr>
              <w:numPr>
                <w:ilvl w:val="0"/>
                <w:numId w:val="3"/>
              </w:numPr>
              <w:spacing w:line="288" w:lineRule="auto"/>
              <w:rPr>
                <w:rFonts w:ascii="宋体" w:hAnsi="宋体"/>
                <w:color w:val="auto"/>
                <w:highlight w:val="none"/>
              </w:rPr>
            </w:pPr>
            <w:r>
              <w:rPr>
                <w:rFonts w:hint="eastAsia" w:ascii="宋体" w:hAnsi="宋体"/>
                <w:color w:val="auto"/>
                <w:highlight w:val="none"/>
              </w:rPr>
              <w:t>满足资格要求最低标准得</w:t>
            </w:r>
            <w:r>
              <w:rPr>
                <w:rFonts w:hint="eastAsia" w:ascii="宋体" w:hAnsi="宋体"/>
                <w:color w:val="auto"/>
                <w:highlight w:val="none"/>
                <w:lang w:val="en-US" w:eastAsia="zh-CN"/>
              </w:rPr>
              <w:t>6</w:t>
            </w:r>
            <w:r>
              <w:rPr>
                <w:rFonts w:hint="eastAsia" w:ascii="宋体" w:hAnsi="宋体"/>
                <w:color w:val="auto"/>
                <w:highlight w:val="none"/>
              </w:rPr>
              <w:t>分；</w:t>
            </w:r>
          </w:p>
          <w:p>
            <w:pPr>
              <w:numPr>
                <w:ilvl w:val="0"/>
                <w:numId w:val="3"/>
              </w:numPr>
              <w:spacing w:line="288" w:lineRule="auto"/>
              <w:rPr>
                <w:rFonts w:hint="eastAsia" w:ascii="宋体" w:hAnsi="宋体"/>
                <w:color w:val="auto"/>
                <w:highlight w:val="none"/>
              </w:rPr>
            </w:pPr>
            <w:r>
              <w:rPr>
                <w:rFonts w:hint="eastAsia" w:ascii="宋体" w:hAnsi="宋体"/>
                <w:color w:val="auto"/>
                <w:highlight w:val="none"/>
              </w:rPr>
              <w:t>在此基础上，每增加</w:t>
            </w:r>
            <w:r>
              <w:rPr>
                <w:rFonts w:hint="eastAsia" w:ascii="宋体" w:hAnsi="宋体"/>
                <w:color w:val="auto"/>
                <w:highlight w:val="none"/>
                <w:lang w:val="en-US" w:eastAsia="zh-CN"/>
              </w:rPr>
              <w:t>100</w:t>
            </w:r>
            <w:r>
              <w:rPr>
                <w:rFonts w:hint="eastAsia" w:ascii="宋体" w:hAnsi="宋体"/>
                <w:color w:val="auto"/>
                <w:highlight w:val="none"/>
              </w:rPr>
              <w:t>亿</w:t>
            </w:r>
            <w:r>
              <w:rPr>
                <w:rFonts w:hint="eastAsia" w:ascii="宋体" w:hAnsi="宋体"/>
                <w:color w:val="auto"/>
                <w:highlight w:val="none"/>
                <w:lang w:eastAsia="zh-CN"/>
              </w:rPr>
              <w:t>（尾数不计）</w:t>
            </w:r>
            <w:r>
              <w:rPr>
                <w:rFonts w:hint="eastAsia" w:ascii="宋体" w:hAnsi="宋体"/>
                <w:color w:val="auto"/>
                <w:highlight w:val="none"/>
              </w:rPr>
              <w:t>加</w:t>
            </w:r>
            <w:r>
              <w:rPr>
                <w:rFonts w:ascii="宋体" w:hAnsi="宋体"/>
                <w:color w:val="auto"/>
                <w:highlight w:val="none"/>
              </w:rPr>
              <w:t>1</w:t>
            </w:r>
            <w:r>
              <w:rPr>
                <w:rFonts w:hint="eastAsia" w:ascii="宋体" w:hAnsi="宋体"/>
                <w:color w:val="auto"/>
                <w:highlight w:val="none"/>
              </w:rPr>
              <w:t>分，最高加分不超过</w:t>
            </w:r>
            <w:r>
              <w:rPr>
                <w:rFonts w:hint="eastAsia" w:ascii="宋体" w:hAnsi="宋体"/>
                <w:color w:val="auto"/>
                <w:highlight w:val="none"/>
                <w:lang w:val="en-US" w:eastAsia="zh-CN"/>
              </w:rPr>
              <w:t>4</w:t>
            </w:r>
            <w:r>
              <w:rPr>
                <w:rFonts w:hint="eastAsia" w:ascii="宋体" w:hAnsi="宋体"/>
                <w:color w:val="auto"/>
                <w:highlight w:val="none"/>
              </w:rPr>
              <w:t>分。</w:t>
            </w:r>
          </w:p>
          <w:p>
            <w:pPr>
              <w:spacing w:line="288" w:lineRule="auto"/>
              <w:rPr>
                <w:rFonts w:hint="eastAsia" w:ascii="宋体" w:hAnsi="宋体"/>
                <w:color w:val="auto"/>
                <w:szCs w:val="21"/>
                <w:highlight w:val="none"/>
              </w:rPr>
            </w:pPr>
            <w:r>
              <w:rPr>
                <w:rFonts w:hint="eastAsia" w:ascii="宋体" w:hAnsi="宋体"/>
                <w:color w:val="auto"/>
                <w:highlight w:val="none"/>
              </w:rPr>
              <w:t>注：以经会计师事务所或审计机构审计的</w:t>
            </w:r>
            <w:r>
              <w:rPr>
                <w:rFonts w:hint="eastAsia" w:ascii="宋体" w:hAnsi="宋体"/>
                <w:color w:val="auto"/>
                <w:szCs w:val="21"/>
                <w:highlight w:val="none"/>
              </w:rPr>
              <w:t>投标人所属总公司</w:t>
            </w:r>
            <w:r>
              <w:rPr>
                <w:rFonts w:hint="eastAsia" w:ascii="宋体" w:hAnsi="宋体"/>
                <w:color w:val="auto"/>
                <w:szCs w:val="21"/>
                <w:highlight w:val="none"/>
                <w:lang w:val="en-US" w:eastAsia="zh-CN"/>
              </w:rPr>
              <w:t>近三</w:t>
            </w:r>
            <w:r>
              <w:rPr>
                <w:rFonts w:hint="eastAsia" w:ascii="宋体" w:hAnsi="宋体"/>
                <w:color w:val="auto"/>
                <w:szCs w:val="21"/>
                <w:highlight w:val="none"/>
              </w:rPr>
              <w:t>年</w:t>
            </w:r>
            <w:r>
              <w:rPr>
                <w:rFonts w:hint="eastAsia" w:ascii="宋体" w:hAnsi="宋体"/>
                <w:color w:val="auto"/>
                <w:highlight w:val="none"/>
              </w:rPr>
              <w:t>财务会计报表</w:t>
            </w:r>
            <w:r>
              <w:rPr>
                <w:rFonts w:hint="eastAsia" w:ascii="宋体" w:hAnsi="宋体"/>
                <w:color w:val="auto"/>
                <w:szCs w:val="21"/>
                <w:highlight w:val="none"/>
              </w:rPr>
              <w:t>中“利润表”</w:t>
            </w:r>
            <w:r>
              <w:rPr>
                <w:rFonts w:hint="eastAsia" w:ascii="宋体" w:hAnsi="宋体"/>
                <w:color w:val="auto"/>
                <w:highlight w:val="none"/>
              </w:rPr>
              <w:t>为准。</w:t>
            </w:r>
          </w:p>
        </w:tc>
        <w:tc>
          <w:tcPr>
            <w:tcW w:w="840" w:type="dxa"/>
            <w:noWrap w:val="0"/>
            <w:vAlign w:val="center"/>
          </w:tcPr>
          <w:p>
            <w:pPr>
              <w:jc w:val="center"/>
              <w:rPr>
                <w:rFonts w:hint="eastAsia" w:ascii="宋体" w:hAnsi="宋体" w:cs="宋体"/>
                <w:b/>
                <w:color w:val="auto"/>
                <w:szCs w:val="21"/>
                <w:highlight w:val="none"/>
                <w:lang w:bidi="ar"/>
              </w:rPr>
            </w:pPr>
            <w:r>
              <w:rPr>
                <w:rFonts w:ascii="宋体" w:hAnsi="宋体" w:cs="宋体"/>
                <w:b/>
                <w:color w:val="auto"/>
                <w:szCs w:val="21"/>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0" w:hRule="atLeast"/>
        </w:trPr>
        <w:tc>
          <w:tcPr>
            <w:tcW w:w="1078" w:type="dxa"/>
            <w:vMerge w:val="continue"/>
            <w:noWrap w:val="0"/>
            <w:vAlign w:val="center"/>
          </w:tcPr>
          <w:p>
            <w:pPr>
              <w:snapToGrid w:val="0"/>
              <w:jc w:val="center"/>
              <w:rPr>
                <w:rFonts w:hint="eastAsia" w:ascii="宋体" w:hAnsi="宋体"/>
                <w:b/>
                <w:bCs/>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color w:val="auto"/>
                <w:szCs w:val="21"/>
                <w:highlight w:val="none"/>
              </w:rPr>
              <w:t>业绩</w:t>
            </w:r>
          </w:p>
        </w:tc>
        <w:tc>
          <w:tcPr>
            <w:tcW w:w="9767" w:type="dxa"/>
            <w:noWrap w:val="0"/>
            <w:vAlign w:val="center"/>
          </w:tcPr>
          <w:p>
            <w:pPr>
              <w:spacing w:line="288" w:lineRule="auto"/>
              <w:rPr>
                <w:rFonts w:hint="eastAsia" w:ascii="宋体" w:hAnsi="宋体"/>
                <w:color w:val="auto"/>
                <w:highlight w:val="none"/>
              </w:rPr>
            </w:pP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年1月1日至投标截止日止，投标人总公司或属下经营单位承保过的</w:t>
            </w:r>
            <w:r>
              <w:rPr>
                <w:rFonts w:hint="eastAsia" w:ascii="宋体" w:hAnsi="宋体" w:cs="宋体"/>
                <w:color w:val="auto"/>
                <w:szCs w:val="21"/>
                <w:highlight w:val="none"/>
              </w:rPr>
              <w:t>全省车辆统保项目的承保业绩案例</w:t>
            </w:r>
            <w:r>
              <w:rPr>
                <w:rFonts w:hint="eastAsia" w:ascii="宋体" w:hAnsi="宋体"/>
                <w:color w:val="auto"/>
                <w:szCs w:val="21"/>
                <w:highlight w:val="none"/>
              </w:rPr>
              <w:t>，按以下原则计分：</w:t>
            </w:r>
          </w:p>
          <w:p>
            <w:pPr>
              <w:numPr>
                <w:ilvl w:val="0"/>
                <w:numId w:val="4"/>
              </w:numPr>
              <w:spacing w:line="288" w:lineRule="auto"/>
              <w:rPr>
                <w:rFonts w:hint="eastAsia" w:ascii="宋体" w:hAnsi="宋体"/>
                <w:color w:val="auto"/>
                <w:highlight w:val="none"/>
              </w:rPr>
            </w:pPr>
            <w:r>
              <w:rPr>
                <w:rFonts w:ascii="Times New Roman" w:hAnsi="Times New Roman"/>
                <w:color w:val="auto"/>
                <w:kern w:val="0"/>
                <w:szCs w:val="21"/>
                <w:highlight w:val="none"/>
              </w:rPr>
              <w:t>成功承保过1个</w:t>
            </w:r>
            <w:r>
              <w:rPr>
                <w:rFonts w:hint="eastAsia" w:ascii="Times New Roman" w:hAnsi="Times New Roman"/>
                <w:color w:val="auto"/>
                <w:kern w:val="0"/>
                <w:szCs w:val="21"/>
                <w:highlight w:val="none"/>
              </w:rPr>
              <w:t>单位的</w:t>
            </w:r>
            <w:r>
              <w:rPr>
                <w:rFonts w:hint="eastAsia" w:ascii="宋体" w:hAnsi="宋体"/>
                <w:color w:val="auto"/>
                <w:highlight w:val="none"/>
              </w:rPr>
              <w:t>车辆保险项目</w:t>
            </w:r>
            <w:r>
              <w:rPr>
                <w:rFonts w:hint="eastAsia" w:ascii="宋体" w:hAnsi="宋体" w:cs="宋体"/>
                <w:color w:val="auto"/>
                <w:szCs w:val="21"/>
                <w:highlight w:val="none"/>
              </w:rPr>
              <w:t>可得基础分</w:t>
            </w:r>
            <w:r>
              <w:rPr>
                <w:rFonts w:hint="eastAsia" w:ascii="宋体" w:hAnsi="宋体" w:cs="宋体"/>
                <w:color w:val="auto"/>
                <w:szCs w:val="21"/>
                <w:highlight w:val="none"/>
                <w:lang w:val="en-US" w:eastAsia="zh-CN"/>
              </w:rPr>
              <w:t>6</w:t>
            </w:r>
            <w:r>
              <w:rPr>
                <w:rFonts w:hint="eastAsia" w:ascii="宋体" w:hAnsi="宋体"/>
                <w:color w:val="auto"/>
                <w:highlight w:val="none"/>
              </w:rPr>
              <w:t>分</w:t>
            </w:r>
            <w:r>
              <w:rPr>
                <w:rFonts w:hint="eastAsia" w:ascii="宋体" w:hAnsi="宋体"/>
                <w:color w:val="auto"/>
                <w:szCs w:val="21"/>
                <w:highlight w:val="none"/>
              </w:rPr>
              <w:t>，</w:t>
            </w:r>
            <w:r>
              <w:rPr>
                <w:rFonts w:hint="eastAsia" w:ascii="宋体" w:hAnsi="宋体" w:cs="宋体"/>
                <w:color w:val="auto"/>
                <w:szCs w:val="21"/>
                <w:highlight w:val="none"/>
                <w:lang w:val="en-US" w:eastAsia="zh-CN"/>
              </w:rPr>
              <w:t>在此基础上每增加1个单位的车辆保险项目案例加4分</w:t>
            </w:r>
            <w:r>
              <w:rPr>
                <w:rFonts w:hint="eastAsia" w:ascii="宋体" w:hAnsi="宋体" w:cs="宋体"/>
                <w:color w:val="auto"/>
                <w:szCs w:val="21"/>
                <w:highlight w:val="none"/>
              </w:rPr>
              <w:t>，</w:t>
            </w:r>
            <w:r>
              <w:rPr>
                <w:rFonts w:hint="eastAsia" w:ascii="宋体" w:hAnsi="宋体"/>
                <w:color w:val="auto"/>
                <w:szCs w:val="21"/>
                <w:highlight w:val="none"/>
              </w:rPr>
              <w:t>最多加分不超过</w:t>
            </w:r>
            <w:r>
              <w:rPr>
                <w:rFonts w:hint="eastAsia" w:ascii="宋体" w:hAnsi="宋体"/>
                <w:color w:val="auto"/>
                <w:szCs w:val="21"/>
                <w:highlight w:val="none"/>
                <w:lang w:val="en-US" w:eastAsia="zh-CN"/>
              </w:rPr>
              <w:t>4</w:t>
            </w:r>
            <w:r>
              <w:rPr>
                <w:rFonts w:hint="eastAsia" w:ascii="宋体" w:hAnsi="宋体"/>
                <w:color w:val="auto"/>
                <w:szCs w:val="21"/>
                <w:highlight w:val="none"/>
              </w:rPr>
              <w:t>分。</w:t>
            </w:r>
          </w:p>
          <w:p>
            <w:pPr>
              <w:spacing w:line="288" w:lineRule="auto"/>
              <w:rPr>
                <w:rFonts w:hint="eastAsia" w:ascii="宋体" w:hAnsi="宋体"/>
                <w:color w:val="auto"/>
                <w:szCs w:val="21"/>
                <w:highlight w:val="none"/>
              </w:rPr>
            </w:pPr>
            <w:r>
              <w:rPr>
                <w:rFonts w:hint="eastAsia" w:ascii="宋体" w:hAnsi="宋体"/>
                <w:color w:val="auto"/>
                <w:highlight w:val="none"/>
              </w:rPr>
              <w:t>注：投标人须提交相关证明资料，以确保业绩的真实性。（证明资料：保险协议（合同）复印件并加盖公章），若投标文件没有提供相关有效证明资料，则视为无效资料。</w:t>
            </w:r>
          </w:p>
        </w:tc>
        <w:tc>
          <w:tcPr>
            <w:tcW w:w="840" w:type="dxa"/>
            <w:noWrap w:val="0"/>
            <w:vAlign w:val="center"/>
          </w:tcPr>
          <w:p>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078" w:type="dxa"/>
            <w:vMerge w:val="continue"/>
            <w:noWrap w:val="0"/>
            <w:vAlign w:val="center"/>
          </w:tcPr>
          <w:p>
            <w:pPr>
              <w:snapToGrid w:val="0"/>
              <w:jc w:val="center"/>
              <w:rPr>
                <w:rFonts w:hint="default" w:ascii="宋体" w:hAnsi="宋体" w:eastAsia="宋体"/>
                <w:b/>
                <w:bCs/>
                <w:color w:val="auto"/>
                <w:szCs w:val="21"/>
                <w:highlight w:val="none"/>
                <w:lang w:val="en-US" w:eastAsia="zh-CN"/>
              </w:rPr>
            </w:pPr>
          </w:p>
        </w:tc>
        <w:tc>
          <w:tcPr>
            <w:tcW w:w="1172" w:type="dxa"/>
            <w:vMerge w:val="continue"/>
            <w:noWrap w:val="0"/>
            <w:vAlign w:val="center"/>
          </w:tcPr>
          <w:p>
            <w:pPr>
              <w:snapToGrid w:val="0"/>
              <w:jc w:val="center"/>
              <w:rPr>
                <w:rFonts w:hint="default" w:ascii="宋体" w:hAnsi="宋体" w:eastAsia="宋体"/>
                <w:b/>
                <w:bCs/>
                <w:color w:val="auto"/>
                <w:szCs w:val="21"/>
                <w:highlight w:val="none"/>
                <w:lang w:val="en-US" w:eastAsia="zh-CN"/>
              </w:rPr>
            </w:pP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cs="宋体"/>
                <w:color w:val="auto"/>
                <w:kern w:val="0"/>
                <w:szCs w:val="21"/>
                <w:highlight w:val="none"/>
                <w:lang w:bidi="ar"/>
              </w:rPr>
              <w:t>投标人免现场查勘次数</w:t>
            </w:r>
          </w:p>
        </w:tc>
        <w:tc>
          <w:tcPr>
            <w:tcW w:w="9767" w:type="dxa"/>
            <w:noWrap w:val="0"/>
            <w:vAlign w:val="center"/>
          </w:tcPr>
          <w:p>
            <w:pPr>
              <w:numPr>
                <w:ilvl w:val="0"/>
                <w:numId w:val="5"/>
              </w:numPr>
              <w:spacing w:line="288" w:lineRule="auto"/>
              <w:rPr>
                <w:rFonts w:hint="eastAsia" w:ascii="宋体" w:hAnsi="宋体"/>
                <w:color w:val="auto"/>
                <w:szCs w:val="21"/>
                <w:highlight w:val="none"/>
              </w:rPr>
            </w:pPr>
            <w:r>
              <w:rPr>
                <w:rFonts w:hint="eastAsia" w:ascii="宋体" w:hAnsi="宋体"/>
                <w:color w:val="auto"/>
                <w:szCs w:val="21"/>
                <w:highlight w:val="none"/>
              </w:rPr>
              <w:t>投标人对各合同段发包人免现场查勘</w:t>
            </w:r>
            <w:r>
              <w:rPr>
                <w:rFonts w:hint="eastAsia" w:ascii="宋体" w:hAnsi="宋体"/>
                <w:color w:val="auto"/>
                <w:szCs w:val="21"/>
                <w:highlight w:val="none"/>
                <w:lang w:val="en-US" w:eastAsia="zh-CN"/>
              </w:rPr>
              <w:t>次数为在该合同段承保车辆总数的100%</w:t>
            </w:r>
            <w:r>
              <w:rPr>
                <w:rFonts w:hint="eastAsia" w:ascii="宋体" w:hAnsi="宋体"/>
                <w:color w:val="auto"/>
                <w:szCs w:val="21"/>
                <w:highlight w:val="none"/>
              </w:rPr>
              <w:t>，得</w:t>
            </w:r>
            <w:r>
              <w:rPr>
                <w:rFonts w:hint="eastAsia" w:ascii="宋体" w:hAnsi="宋体"/>
                <w:color w:val="auto"/>
                <w:szCs w:val="21"/>
                <w:highlight w:val="none"/>
                <w:lang w:val="en-US" w:eastAsia="zh-CN"/>
              </w:rPr>
              <w:t>6</w:t>
            </w:r>
            <w:r>
              <w:rPr>
                <w:rFonts w:hint="eastAsia" w:ascii="宋体" w:hAnsi="宋体"/>
                <w:color w:val="auto"/>
                <w:szCs w:val="21"/>
                <w:highlight w:val="none"/>
              </w:rPr>
              <w:t>分；</w:t>
            </w:r>
          </w:p>
          <w:p>
            <w:pPr>
              <w:numPr>
                <w:ilvl w:val="0"/>
                <w:numId w:val="5"/>
              </w:numPr>
              <w:spacing w:line="288" w:lineRule="auto"/>
              <w:rPr>
                <w:rFonts w:hint="eastAsia" w:ascii="宋体" w:hAnsi="宋体"/>
                <w:color w:val="auto"/>
                <w:szCs w:val="21"/>
                <w:highlight w:val="none"/>
              </w:rPr>
            </w:pPr>
            <w:r>
              <w:rPr>
                <w:rFonts w:hint="eastAsia" w:ascii="宋体" w:hAnsi="宋体"/>
                <w:color w:val="auto"/>
                <w:szCs w:val="21"/>
                <w:highlight w:val="none"/>
              </w:rPr>
              <w:t>在此基础上，免现场查勘</w:t>
            </w:r>
            <w:r>
              <w:rPr>
                <w:rFonts w:hint="eastAsia" w:ascii="宋体" w:hAnsi="宋体"/>
                <w:color w:val="auto"/>
                <w:szCs w:val="21"/>
                <w:highlight w:val="none"/>
                <w:lang w:val="en-US" w:eastAsia="zh-CN"/>
              </w:rPr>
              <w:t>次数与承保车辆比例</w:t>
            </w:r>
            <w:r>
              <w:rPr>
                <w:rFonts w:hint="eastAsia" w:ascii="宋体" w:hAnsi="宋体"/>
                <w:color w:val="auto"/>
                <w:szCs w:val="21"/>
                <w:highlight w:val="none"/>
              </w:rPr>
              <w:t>每增加</w:t>
            </w:r>
            <w:r>
              <w:rPr>
                <w:rFonts w:hint="eastAsia" w:ascii="宋体" w:hAnsi="宋体"/>
                <w:color w:val="auto"/>
                <w:szCs w:val="21"/>
                <w:highlight w:val="none"/>
                <w:lang w:val="en-US" w:eastAsia="zh-CN"/>
              </w:rPr>
              <w:t>50%</w:t>
            </w:r>
            <w:r>
              <w:rPr>
                <w:rFonts w:hint="eastAsia" w:ascii="宋体" w:hAnsi="宋体"/>
                <w:color w:val="auto"/>
                <w:szCs w:val="21"/>
                <w:highlight w:val="none"/>
              </w:rPr>
              <w:t>加</w:t>
            </w:r>
            <w:r>
              <w:rPr>
                <w:rFonts w:hint="eastAsia" w:ascii="宋体" w:hAnsi="宋体"/>
                <w:color w:val="auto"/>
                <w:szCs w:val="21"/>
                <w:highlight w:val="none"/>
                <w:lang w:val="en-US" w:eastAsia="zh-CN"/>
              </w:rPr>
              <w:t>2</w:t>
            </w:r>
            <w:r>
              <w:rPr>
                <w:rFonts w:hint="eastAsia" w:ascii="宋体" w:hAnsi="宋体"/>
                <w:color w:val="auto"/>
                <w:szCs w:val="21"/>
                <w:highlight w:val="none"/>
              </w:rPr>
              <w:t>分，最高加分不超过</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c>
          <w:tcPr>
            <w:tcW w:w="840" w:type="dxa"/>
            <w:noWrap w:val="0"/>
            <w:vAlign w:val="center"/>
          </w:tcPr>
          <w:p>
            <w:pPr>
              <w:jc w:val="center"/>
              <w:rPr>
                <w:rFonts w:hint="eastAsia" w:ascii="宋体" w:hAnsi="宋体" w:cs="宋体"/>
                <w:b/>
                <w:color w:val="auto"/>
                <w:szCs w:val="21"/>
                <w:highlight w:val="none"/>
              </w:rPr>
            </w:pPr>
            <w:r>
              <w:rPr>
                <w:rFonts w:ascii="宋体" w:hAnsi="宋体" w:cs="宋体"/>
                <w:b/>
                <w:color w:val="auto"/>
                <w:szCs w:val="21"/>
                <w:highlight w:val="none"/>
                <w:lang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078" w:type="dxa"/>
            <w:vMerge w:val="continue"/>
            <w:noWrap w:val="0"/>
            <w:vAlign w:val="center"/>
          </w:tcPr>
          <w:p>
            <w:pPr>
              <w:snapToGrid w:val="0"/>
              <w:jc w:val="center"/>
              <w:rPr>
                <w:rFonts w:ascii="宋体" w:hAnsi="宋体"/>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cs="宋体"/>
                <w:color w:val="auto"/>
                <w:kern w:val="0"/>
                <w:sz w:val="20"/>
                <w:szCs w:val="20"/>
                <w:highlight w:val="none"/>
                <w:lang w:bidi="ar"/>
              </w:rPr>
            </w:pPr>
            <w:r>
              <w:rPr>
                <w:rFonts w:hint="eastAsia" w:ascii="宋体" w:hAnsi="宋体" w:cs="宋体"/>
                <w:color w:val="auto"/>
                <w:kern w:val="0"/>
                <w:szCs w:val="21"/>
                <w:highlight w:val="none"/>
                <w:lang w:bidi="ar"/>
              </w:rPr>
              <w:t>保险事故中大额损失预付赔款</w:t>
            </w:r>
          </w:p>
        </w:tc>
        <w:tc>
          <w:tcPr>
            <w:tcW w:w="9767" w:type="dxa"/>
            <w:noWrap w:val="0"/>
            <w:vAlign w:val="center"/>
          </w:tcPr>
          <w:p>
            <w:pPr>
              <w:tabs>
                <w:tab w:val="left" w:pos="8666"/>
              </w:tabs>
              <w:spacing w:line="288" w:lineRule="auto"/>
              <w:rPr>
                <w:rFonts w:hint="eastAsia" w:ascii="宋体" w:hAnsi="宋体"/>
                <w:color w:val="auto"/>
                <w:szCs w:val="21"/>
                <w:highlight w:val="none"/>
              </w:rPr>
            </w:pPr>
            <w:r>
              <w:rPr>
                <w:rFonts w:hint="eastAsia" w:ascii="宋体" w:hAnsi="宋体"/>
                <w:color w:val="auto"/>
                <w:szCs w:val="21"/>
                <w:highlight w:val="none"/>
              </w:rPr>
              <w:t>对明确属于保险责任范围内的重大赔案，各合同段发包人发生大额损失需要预付赔款时：</w:t>
            </w:r>
          </w:p>
          <w:p>
            <w:pPr>
              <w:numPr>
                <w:ilvl w:val="0"/>
                <w:numId w:val="0"/>
              </w:numPr>
              <w:spacing w:line="288" w:lineRule="auto"/>
              <w:ind w:left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投标人预垫付款为估损金额50%，得</w:t>
            </w:r>
            <w:r>
              <w:rPr>
                <w:rFonts w:hint="eastAsia" w:ascii="宋体" w:hAnsi="宋体"/>
                <w:color w:val="auto"/>
                <w:szCs w:val="21"/>
                <w:highlight w:val="none"/>
                <w:lang w:val="en-US" w:eastAsia="zh-CN"/>
              </w:rPr>
              <w:t>3</w:t>
            </w:r>
            <w:r>
              <w:rPr>
                <w:rFonts w:hint="eastAsia" w:ascii="宋体" w:hAnsi="宋体"/>
                <w:color w:val="auto"/>
                <w:szCs w:val="21"/>
                <w:highlight w:val="none"/>
              </w:rPr>
              <w:t>分；</w:t>
            </w:r>
            <w:r>
              <w:rPr>
                <w:rFonts w:hint="eastAsia" w:ascii="宋体" w:hAnsi="宋体"/>
                <w:color w:val="auto"/>
                <w:szCs w:val="21"/>
                <w:highlight w:val="none"/>
              </w:rPr>
              <w:tab/>
            </w:r>
          </w:p>
          <w:p>
            <w:pPr>
              <w:numPr>
                <w:ilvl w:val="0"/>
                <w:numId w:val="0"/>
              </w:numPr>
              <w:spacing w:line="288" w:lineRule="auto"/>
              <w:ind w:leftChars="0"/>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rPr>
              <w:t>在此基础上，预垫付款每增加25%加</w:t>
            </w:r>
            <w:r>
              <w:rPr>
                <w:rFonts w:hint="eastAsia" w:ascii="宋体" w:hAnsi="宋体"/>
                <w:color w:val="auto"/>
                <w:szCs w:val="21"/>
                <w:highlight w:val="none"/>
                <w:lang w:val="en-US" w:eastAsia="zh-CN"/>
              </w:rPr>
              <w:t>1</w:t>
            </w:r>
            <w:r>
              <w:rPr>
                <w:rFonts w:hint="eastAsia" w:ascii="宋体" w:hAnsi="宋体"/>
                <w:color w:val="auto"/>
                <w:szCs w:val="21"/>
                <w:highlight w:val="none"/>
              </w:rPr>
              <w:t>分，最高加分不超过</w:t>
            </w:r>
            <w:r>
              <w:rPr>
                <w:rFonts w:hint="eastAsia" w:ascii="宋体" w:hAnsi="宋体"/>
                <w:color w:val="auto"/>
                <w:szCs w:val="21"/>
                <w:highlight w:val="none"/>
                <w:lang w:val="en-US" w:eastAsia="zh-CN"/>
              </w:rPr>
              <w:t>2</w:t>
            </w:r>
            <w:r>
              <w:rPr>
                <w:rFonts w:hint="eastAsia" w:ascii="宋体" w:hAnsi="宋体"/>
                <w:color w:val="auto"/>
                <w:szCs w:val="21"/>
                <w:highlight w:val="none"/>
              </w:rPr>
              <w:t>分</w:t>
            </w:r>
            <w:r>
              <w:rPr>
                <w:rFonts w:hint="eastAsia" w:ascii="宋体" w:hAnsi="宋体"/>
                <w:color w:val="auto"/>
                <w:highlight w:val="none"/>
              </w:rPr>
              <w:t>。</w:t>
            </w:r>
          </w:p>
        </w:tc>
        <w:tc>
          <w:tcPr>
            <w:tcW w:w="840" w:type="dxa"/>
            <w:noWrap w:val="0"/>
            <w:vAlign w:val="center"/>
          </w:tcPr>
          <w:p>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078" w:type="dxa"/>
            <w:vMerge w:val="continue"/>
            <w:noWrap w:val="0"/>
            <w:vAlign w:val="center"/>
          </w:tcPr>
          <w:p>
            <w:pPr>
              <w:snapToGrid w:val="0"/>
              <w:jc w:val="center"/>
              <w:rPr>
                <w:rFonts w:ascii="宋体" w:hAnsi="宋体"/>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单方事故免交警免现场金额</w:t>
            </w:r>
          </w:p>
        </w:tc>
        <w:tc>
          <w:tcPr>
            <w:tcW w:w="9767" w:type="dxa"/>
            <w:noWrap w:val="0"/>
            <w:vAlign w:val="center"/>
          </w:tcPr>
          <w:p>
            <w:pPr>
              <w:numPr>
                <w:ilvl w:val="0"/>
                <w:numId w:val="6"/>
              </w:numPr>
              <w:spacing w:line="288" w:lineRule="auto"/>
              <w:rPr>
                <w:rFonts w:hint="eastAsia" w:ascii="宋体" w:hAnsi="宋体"/>
                <w:color w:val="auto"/>
                <w:szCs w:val="21"/>
                <w:highlight w:val="none"/>
              </w:rPr>
            </w:pPr>
            <w:r>
              <w:rPr>
                <w:rFonts w:hint="eastAsia" w:ascii="宋体" w:hAnsi="宋体"/>
                <w:color w:val="auto"/>
                <w:szCs w:val="21"/>
                <w:highlight w:val="none"/>
              </w:rPr>
              <w:t>单方事故总损失金额10000元人民币及以下免交警免现场，得</w:t>
            </w:r>
            <w:r>
              <w:rPr>
                <w:rFonts w:hint="eastAsia" w:ascii="宋体" w:hAnsi="宋体"/>
                <w:color w:val="auto"/>
                <w:szCs w:val="21"/>
                <w:highlight w:val="none"/>
                <w:lang w:val="en-US" w:eastAsia="zh-CN"/>
              </w:rPr>
              <w:t>6</w:t>
            </w:r>
            <w:r>
              <w:rPr>
                <w:rFonts w:hint="eastAsia" w:ascii="宋体" w:hAnsi="宋体"/>
                <w:color w:val="auto"/>
                <w:szCs w:val="21"/>
                <w:highlight w:val="none"/>
              </w:rPr>
              <w:t>分；</w:t>
            </w:r>
          </w:p>
          <w:p>
            <w:pPr>
              <w:numPr>
                <w:ilvl w:val="0"/>
                <w:numId w:val="6"/>
              </w:numPr>
              <w:spacing w:line="288" w:lineRule="auto"/>
              <w:rPr>
                <w:rFonts w:hint="eastAsia" w:ascii="宋体" w:hAnsi="宋体"/>
                <w:color w:val="auto"/>
                <w:szCs w:val="21"/>
                <w:highlight w:val="none"/>
              </w:rPr>
            </w:pPr>
            <w:r>
              <w:rPr>
                <w:rFonts w:hint="eastAsia" w:ascii="宋体" w:hAnsi="宋体"/>
                <w:color w:val="auto"/>
                <w:szCs w:val="21"/>
                <w:highlight w:val="none"/>
              </w:rPr>
              <w:t>在此基础上，免交警免现场的单方事故总损失金额每增加10000元人民币加</w:t>
            </w:r>
            <w:r>
              <w:rPr>
                <w:rFonts w:hint="eastAsia" w:ascii="宋体" w:hAnsi="宋体"/>
                <w:color w:val="auto"/>
                <w:szCs w:val="21"/>
                <w:highlight w:val="none"/>
                <w:lang w:val="en-US" w:eastAsia="zh-CN"/>
              </w:rPr>
              <w:t>2</w:t>
            </w:r>
            <w:r>
              <w:rPr>
                <w:rFonts w:hint="eastAsia" w:ascii="宋体" w:hAnsi="宋体"/>
                <w:color w:val="auto"/>
                <w:szCs w:val="21"/>
                <w:highlight w:val="none"/>
              </w:rPr>
              <w:t>分，最高加分不超过</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c>
          <w:tcPr>
            <w:tcW w:w="840" w:type="dxa"/>
            <w:noWrap w:val="0"/>
            <w:vAlign w:val="center"/>
          </w:tcPr>
          <w:p>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078" w:type="dxa"/>
            <w:vMerge w:val="continue"/>
            <w:noWrap w:val="0"/>
            <w:vAlign w:val="center"/>
          </w:tcPr>
          <w:p>
            <w:pPr>
              <w:snapToGrid w:val="0"/>
              <w:jc w:val="center"/>
              <w:rPr>
                <w:rFonts w:ascii="宋体" w:hAnsi="宋体"/>
                <w:b/>
                <w:bCs/>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color w:val="auto"/>
                <w:szCs w:val="21"/>
                <w:highlight w:val="none"/>
              </w:rPr>
              <w:t>修理厂</w:t>
            </w:r>
          </w:p>
        </w:tc>
        <w:tc>
          <w:tcPr>
            <w:tcW w:w="9767" w:type="dxa"/>
            <w:noWrap w:val="0"/>
            <w:vAlign w:val="center"/>
          </w:tcPr>
          <w:p>
            <w:pPr>
              <w:spacing w:line="288" w:lineRule="auto"/>
              <w:rPr>
                <w:rFonts w:hint="eastAsia" w:ascii="宋体" w:hAnsi="宋体"/>
                <w:color w:val="auto"/>
                <w:szCs w:val="21"/>
                <w:highlight w:val="none"/>
              </w:rPr>
            </w:pPr>
            <w:r>
              <w:rPr>
                <w:rFonts w:hint="eastAsia" w:ascii="宋体" w:hAnsi="宋体"/>
                <w:color w:val="auto"/>
                <w:szCs w:val="21"/>
                <w:highlight w:val="none"/>
              </w:rPr>
              <w:t>承诺车辆出险可由各合同段发包人指定修理厂维修并代办索赔手续得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tc>
        <w:tc>
          <w:tcPr>
            <w:tcW w:w="840" w:type="dxa"/>
            <w:noWrap w:val="0"/>
            <w:vAlign w:val="center"/>
          </w:tcPr>
          <w:p>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78" w:type="dxa"/>
            <w:vMerge w:val="continue"/>
            <w:noWrap w:val="0"/>
            <w:vAlign w:val="center"/>
          </w:tcPr>
          <w:p>
            <w:pPr>
              <w:snapToGrid w:val="0"/>
              <w:jc w:val="center"/>
              <w:rPr>
                <w:rFonts w:ascii="宋体" w:hAnsi="宋体"/>
                <w:b/>
                <w:bCs/>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olor w:val="auto"/>
                <w:szCs w:val="21"/>
                <w:highlight w:val="none"/>
              </w:rPr>
              <w:t>异地出险</w:t>
            </w:r>
          </w:p>
        </w:tc>
        <w:tc>
          <w:tcPr>
            <w:tcW w:w="9767" w:type="dxa"/>
            <w:noWrap w:val="0"/>
            <w:vAlign w:val="center"/>
          </w:tcPr>
          <w:p>
            <w:pPr>
              <w:spacing w:line="288" w:lineRule="auto"/>
              <w:rPr>
                <w:rFonts w:hint="eastAsia" w:ascii="宋体" w:hAnsi="宋体"/>
                <w:color w:val="auto"/>
                <w:szCs w:val="21"/>
                <w:highlight w:val="none"/>
              </w:rPr>
            </w:pPr>
            <w:r>
              <w:rPr>
                <w:rFonts w:hint="eastAsia" w:ascii="宋体" w:hAnsi="宋体"/>
                <w:color w:val="auto"/>
                <w:szCs w:val="21"/>
                <w:highlight w:val="none"/>
              </w:rPr>
              <w:t>承诺提供异地出险当地理赔服务得2分；</w:t>
            </w:r>
          </w:p>
        </w:tc>
        <w:tc>
          <w:tcPr>
            <w:tcW w:w="840" w:type="dxa"/>
            <w:noWrap w:val="0"/>
            <w:vAlign w:val="center"/>
          </w:tcPr>
          <w:p>
            <w:pPr>
              <w:jc w:val="center"/>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78" w:type="dxa"/>
            <w:vMerge w:val="continue"/>
            <w:noWrap w:val="0"/>
            <w:vAlign w:val="center"/>
          </w:tcPr>
          <w:p>
            <w:pPr>
              <w:snapToGrid w:val="0"/>
              <w:jc w:val="center"/>
              <w:rPr>
                <w:rFonts w:ascii="宋体" w:hAnsi="宋体"/>
                <w:b/>
                <w:bCs/>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定损服务</w:t>
            </w:r>
          </w:p>
        </w:tc>
        <w:tc>
          <w:tcPr>
            <w:tcW w:w="9767" w:type="dxa"/>
            <w:noWrap w:val="0"/>
            <w:vAlign w:val="center"/>
          </w:tcPr>
          <w:p>
            <w:pPr>
              <w:spacing w:line="288" w:lineRule="auto"/>
              <w:rPr>
                <w:rFonts w:hint="eastAsia" w:ascii="宋体" w:hAnsi="宋体"/>
                <w:color w:val="auto"/>
                <w:szCs w:val="21"/>
                <w:highlight w:val="none"/>
              </w:rPr>
            </w:pPr>
            <w:r>
              <w:rPr>
                <w:rFonts w:hint="eastAsia" w:ascii="宋体" w:hAnsi="宋体"/>
                <w:color w:val="auto"/>
                <w:szCs w:val="21"/>
                <w:highlight w:val="none"/>
              </w:rPr>
              <w:t>承诺定损价格与4S店维修报价无价差,确保使用原厂配件维修得</w:t>
            </w:r>
            <w:r>
              <w:rPr>
                <w:rFonts w:hint="eastAsia" w:ascii="宋体" w:hAnsi="宋体"/>
                <w:color w:val="auto"/>
                <w:szCs w:val="21"/>
                <w:highlight w:val="none"/>
                <w:lang w:val="en-US" w:eastAsia="zh-CN"/>
              </w:rPr>
              <w:t>1</w:t>
            </w:r>
            <w:r>
              <w:rPr>
                <w:rFonts w:hint="eastAsia" w:ascii="宋体" w:hAnsi="宋体"/>
                <w:color w:val="auto"/>
                <w:szCs w:val="21"/>
                <w:highlight w:val="none"/>
              </w:rPr>
              <w:t>分。</w:t>
            </w:r>
          </w:p>
        </w:tc>
        <w:tc>
          <w:tcPr>
            <w:tcW w:w="840" w:type="dxa"/>
            <w:noWrap w:val="0"/>
            <w:vAlign w:val="center"/>
          </w:tcPr>
          <w:p>
            <w:pPr>
              <w:jc w:val="center"/>
              <w:rPr>
                <w:rFonts w:hint="eastAsia" w:ascii="宋体" w:hAnsi="宋体" w:eastAsia="宋体" w:cs="宋体"/>
                <w:b/>
                <w:color w:val="auto"/>
                <w:szCs w:val="21"/>
                <w:highlight w:val="none"/>
                <w:lang w:eastAsia="zh-CN" w:bidi="ar"/>
              </w:rPr>
            </w:pPr>
            <w:r>
              <w:rPr>
                <w:rFonts w:hint="eastAsia" w:ascii="宋体" w:hAnsi="宋体" w:cs="宋体"/>
                <w:b/>
                <w:color w:val="auto"/>
                <w:szCs w:val="21"/>
                <w:highlight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78" w:type="dxa"/>
            <w:vMerge w:val="continue"/>
            <w:noWrap w:val="0"/>
            <w:vAlign w:val="center"/>
          </w:tcPr>
          <w:p>
            <w:pPr>
              <w:snapToGrid w:val="0"/>
              <w:jc w:val="center"/>
              <w:rPr>
                <w:rFonts w:ascii="宋体" w:hAnsi="宋体"/>
                <w:b/>
                <w:bCs/>
                <w:color w:val="auto"/>
                <w:szCs w:val="21"/>
                <w:highlight w:val="none"/>
              </w:rPr>
            </w:pPr>
          </w:p>
        </w:tc>
        <w:tc>
          <w:tcPr>
            <w:tcW w:w="1172" w:type="dxa"/>
            <w:vMerge w:val="continue"/>
            <w:noWrap w:val="0"/>
            <w:vAlign w:val="center"/>
          </w:tcPr>
          <w:p>
            <w:pPr>
              <w:snapToGrid w:val="0"/>
              <w:jc w:val="center"/>
              <w:rPr>
                <w:rFonts w:hint="eastAsia" w:ascii="宋体" w:hAnsi="宋体"/>
                <w:b/>
                <w:bCs/>
                <w:color w:val="auto"/>
                <w:szCs w:val="21"/>
                <w:highlight w:val="none"/>
              </w:rPr>
            </w:pP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cs="宋体"/>
                <w:color w:val="auto"/>
                <w:kern w:val="0"/>
                <w:szCs w:val="21"/>
                <w:highlight w:val="none"/>
                <w:lang w:bidi="ar"/>
              </w:rPr>
              <w:t>第三方追偿</w:t>
            </w:r>
          </w:p>
        </w:tc>
        <w:tc>
          <w:tcPr>
            <w:tcW w:w="9767" w:type="dxa"/>
            <w:noWrap w:val="0"/>
            <w:vAlign w:val="center"/>
          </w:tcPr>
          <w:p>
            <w:pPr>
              <w:spacing w:line="288" w:lineRule="auto"/>
              <w:rPr>
                <w:rFonts w:hint="eastAsia" w:ascii="宋体" w:hAnsi="宋体"/>
                <w:color w:val="auto"/>
                <w:szCs w:val="21"/>
                <w:highlight w:val="none"/>
              </w:rPr>
            </w:pPr>
            <w:r>
              <w:rPr>
                <w:rFonts w:hint="eastAsia" w:ascii="宋体" w:hAnsi="宋体" w:cs="宋体"/>
                <w:color w:val="auto"/>
                <w:szCs w:val="21"/>
                <w:highlight w:val="none"/>
              </w:rPr>
              <w:t>遇到需要向第三方追偿的保险事故，如招标人追偿无果，可向投标人提交相关追偿资料，</w:t>
            </w:r>
            <w:r>
              <w:rPr>
                <w:rFonts w:hint="eastAsia" w:ascii="宋体" w:hAnsi="宋体" w:cs="宋体"/>
                <w:color w:val="auto"/>
                <w:szCs w:val="21"/>
                <w:highlight w:val="none"/>
                <w:lang w:val="en-US" w:eastAsia="zh-CN"/>
              </w:rPr>
              <w:t>投</w:t>
            </w:r>
            <w:r>
              <w:rPr>
                <w:rFonts w:hint="eastAsia" w:ascii="宋体" w:hAnsi="宋体" w:cs="宋体"/>
                <w:color w:val="auto"/>
                <w:szCs w:val="21"/>
                <w:highlight w:val="none"/>
              </w:rPr>
              <w:t>标人理赔人员将根据保险条款的约定先予赔付</w:t>
            </w:r>
            <w:r>
              <w:rPr>
                <w:rFonts w:hint="eastAsia" w:ascii="宋体" w:hAnsi="宋体" w:cs="宋体"/>
                <w:color w:val="auto"/>
                <w:szCs w:val="21"/>
                <w:highlight w:val="none"/>
                <w:lang w:val="en-US" w:eastAsia="zh-CN"/>
              </w:rPr>
              <w:t>招</w:t>
            </w:r>
            <w:r>
              <w:rPr>
                <w:rFonts w:hint="eastAsia" w:ascii="宋体" w:hAnsi="宋体" w:cs="宋体"/>
                <w:color w:val="auto"/>
                <w:szCs w:val="21"/>
                <w:highlight w:val="none"/>
              </w:rPr>
              <w:t>标人，并向第三方展开追偿，</w:t>
            </w:r>
            <w:r>
              <w:rPr>
                <w:rFonts w:hint="eastAsia" w:ascii="宋体" w:hAnsi="宋体" w:cs="宋体"/>
                <w:color w:val="auto"/>
                <w:szCs w:val="21"/>
                <w:highlight w:val="none"/>
                <w:lang w:val="en-US" w:eastAsia="zh-CN"/>
              </w:rPr>
              <w:t>提供该项服务</w:t>
            </w:r>
            <w:r>
              <w:rPr>
                <w:rFonts w:hint="eastAsia" w:ascii="宋体" w:hAnsi="宋体" w:cs="宋体"/>
                <w:color w:val="auto"/>
                <w:szCs w:val="21"/>
                <w:highlight w:val="none"/>
              </w:rPr>
              <w:t>得</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分，其余不得分。</w:t>
            </w:r>
          </w:p>
        </w:tc>
        <w:tc>
          <w:tcPr>
            <w:tcW w:w="840" w:type="dxa"/>
            <w:noWrap w:val="0"/>
            <w:vAlign w:val="center"/>
          </w:tcPr>
          <w:p>
            <w:pPr>
              <w:jc w:val="center"/>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078" w:type="dxa"/>
            <w:noWrap w:val="0"/>
            <w:vAlign w:val="center"/>
          </w:tcPr>
          <w:p>
            <w:pPr>
              <w:snapToGrid w:val="0"/>
              <w:jc w:val="center"/>
              <w:rPr>
                <w:rFonts w:hint="default" w:ascii="宋体" w:hAnsi="宋体" w:eastAsia="宋体"/>
                <w:b/>
                <w:bCs/>
                <w:color w:val="auto"/>
                <w:szCs w:val="21"/>
                <w:highlight w:val="none"/>
                <w:lang w:val="en-US" w:eastAsia="zh-CN"/>
              </w:rPr>
            </w:pP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p>
        </w:tc>
        <w:tc>
          <w:tcPr>
            <w:tcW w:w="1172" w:type="dxa"/>
            <w:noWrap w:val="0"/>
            <w:vAlign w:val="center"/>
          </w:tcPr>
          <w:p>
            <w:pPr>
              <w:snapToGrid w:val="0"/>
              <w:jc w:val="center"/>
              <w:rPr>
                <w:rFonts w:hint="eastAsia" w:ascii="宋体" w:hAnsi="宋体" w:eastAsia="宋体"/>
                <w:b/>
                <w:bCs/>
                <w:color w:val="auto"/>
                <w:szCs w:val="21"/>
                <w:highlight w:val="none"/>
                <w:lang w:val="en-US" w:eastAsia="zh-CN"/>
              </w:rPr>
            </w:pPr>
            <w:r>
              <w:rPr>
                <w:rFonts w:hint="eastAsia" w:ascii="宋体" w:hAnsi="宋体" w:eastAsia="宋体"/>
                <w:b/>
                <w:bCs/>
                <w:color w:val="auto"/>
                <w:szCs w:val="21"/>
                <w:highlight w:val="none"/>
                <w:lang w:val="en-US" w:eastAsia="zh-CN"/>
              </w:rPr>
              <w:t>方案评分</w:t>
            </w:r>
          </w:p>
          <w:p>
            <w:pPr>
              <w:snapToGrid w:val="0"/>
              <w:jc w:val="center"/>
              <w:rPr>
                <w:rFonts w:hint="default" w:ascii="宋体" w:hAnsi="宋体" w:eastAsia="宋体"/>
                <w:b/>
                <w:bCs/>
                <w:color w:val="auto"/>
                <w:szCs w:val="21"/>
                <w:highlight w:val="none"/>
                <w:lang w:val="en-US" w:eastAsia="zh-CN"/>
              </w:rPr>
            </w:pPr>
            <w:r>
              <w:rPr>
                <w:rFonts w:hint="eastAsia" w:ascii="宋体" w:hAnsi="宋体" w:eastAsia="宋体"/>
                <w:b/>
                <w:bCs/>
                <w:color w:val="auto"/>
                <w:szCs w:val="21"/>
                <w:highlight w:val="none"/>
                <w:lang w:val="en-US" w:eastAsia="zh-CN"/>
              </w:rPr>
              <w:t>（30分）</w:t>
            </w:r>
          </w:p>
        </w:tc>
        <w:tc>
          <w:tcPr>
            <w:tcW w:w="1676" w:type="dxa"/>
            <w:noWrap w:val="0"/>
            <w:vAlign w:val="center"/>
          </w:tcPr>
          <w:p>
            <w:pPr>
              <w:snapToGrid w:val="0"/>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val="en-US" w:eastAsia="zh-CN" w:bidi="ar"/>
              </w:rPr>
              <w:t>服务方案与增值服务</w:t>
            </w:r>
          </w:p>
        </w:tc>
        <w:tc>
          <w:tcPr>
            <w:tcW w:w="9767" w:type="dxa"/>
            <w:noWrap w:val="0"/>
            <w:vAlign w:val="center"/>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（1）投标人就本项目可提供如线上理赔、自主快赔、上门定损等方便快捷的理赔服务，</w:t>
            </w:r>
            <w:r>
              <w:rPr>
                <w:rFonts w:hint="default" w:ascii="宋体" w:hAnsi="宋体" w:eastAsia="宋体" w:cs="宋体"/>
                <w:color w:val="auto"/>
                <w:sz w:val="21"/>
                <w:szCs w:val="21"/>
                <w:highlight w:val="none"/>
                <w:vertAlign w:val="baseline"/>
                <w:lang w:val="en-US" w:eastAsia="zh-CN"/>
              </w:rPr>
              <w:t>可酌情得分，</w:t>
            </w:r>
            <w:r>
              <w:rPr>
                <w:rFonts w:hint="eastAsia" w:ascii="宋体" w:hAnsi="宋体" w:eastAsia="宋体" w:cs="宋体"/>
                <w:color w:val="auto"/>
                <w:sz w:val="21"/>
                <w:szCs w:val="21"/>
                <w:highlight w:val="none"/>
                <w:vertAlign w:val="baseline"/>
                <w:lang w:val="en-US" w:eastAsia="zh-CN"/>
              </w:rPr>
              <w:t>最高得10分。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a 在上述基础上能提供更多种类的便捷理赔服务，便利性高度贴合被保险人需求的，得8</w:t>
            </w:r>
            <w:r>
              <w:rPr>
                <w:rFonts w:hint="default"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10分；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b 在上述基础上能提供更多种类的便捷理赔服务，便利性基本贴合被保险人需求的，得6</w:t>
            </w:r>
            <w:r>
              <w:rPr>
                <w:rFonts w:hint="default"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8分；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c 能提供上述全部便捷理赔服务，为被保险人带来的便利性有限，但不被评定为不响应的，得6分；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无法提供上述全部便捷理赔服务的得0分；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lang w:val="en-US" w:eastAsia="zh-CN"/>
              </w:rPr>
              <w:t>投标人为</w:t>
            </w:r>
            <w:r>
              <w:rPr>
                <w:rFonts w:hint="default" w:ascii="宋体" w:hAnsi="宋体" w:eastAsia="宋体" w:cs="宋体"/>
                <w:color w:val="auto"/>
                <w:sz w:val="21"/>
                <w:szCs w:val="21"/>
                <w:highlight w:val="none"/>
                <w:vertAlign w:val="baseline"/>
                <w:lang w:val="en-US" w:eastAsia="zh-CN"/>
              </w:rPr>
              <w:t>被保险人提供其他</w:t>
            </w:r>
            <w:r>
              <w:rPr>
                <w:rFonts w:hint="eastAsia" w:ascii="宋体" w:hAnsi="宋体" w:eastAsia="宋体" w:cs="宋体"/>
                <w:color w:val="auto"/>
                <w:sz w:val="21"/>
                <w:szCs w:val="21"/>
                <w:highlight w:val="none"/>
                <w:vertAlign w:val="baseline"/>
                <w:lang w:val="en-US" w:eastAsia="zh-CN"/>
              </w:rPr>
              <w:t>如紧急救援、法律援助、培训服务等</w:t>
            </w:r>
            <w:r>
              <w:rPr>
                <w:rFonts w:hint="default" w:ascii="宋体" w:hAnsi="宋体" w:eastAsia="宋体" w:cs="宋体"/>
                <w:color w:val="auto"/>
                <w:sz w:val="21"/>
                <w:szCs w:val="21"/>
                <w:highlight w:val="none"/>
                <w:vertAlign w:val="baseline"/>
                <w:lang w:val="en-US" w:eastAsia="zh-CN"/>
              </w:rPr>
              <w:t>额外切实可行的增值服务的，可酌情得分，此项最高</w:t>
            </w:r>
            <w:r>
              <w:rPr>
                <w:rFonts w:hint="eastAsia" w:ascii="宋体" w:hAnsi="宋体" w:eastAsia="宋体" w:cs="宋体"/>
                <w:color w:val="auto"/>
                <w:sz w:val="21"/>
                <w:szCs w:val="21"/>
                <w:highlight w:val="none"/>
                <w:vertAlign w:val="baseline"/>
                <w:lang w:val="en-US" w:eastAsia="zh-CN"/>
              </w:rPr>
              <w:t>20</w:t>
            </w:r>
            <w:r>
              <w:rPr>
                <w:rFonts w:hint="default" w:ascii="宋体" w:hAnsi="宋体" w:eastAsia="宋体" w:cs="宋体"/>
                <w:color w:val="auto"/>
                <w:sz w:val="21"/>
                <w:szCs w:val="21"/>
                <w:highlight w:val="none"/>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a</w:t>
            </w:r>
            <w:r>
              <w:rPr>
                <w:rFonts w:hint="eastAsia" w:ascii="宋体" w:hAnsi="宋体" w:eastAsia="宋体" w:cs="宋体"/>
                <w:color w:val="auto"/>
                <w:sz w:val="21"/>
                <w:szCs w:val="21"/>
                <w:highlight w:val="none"/>
                <w:vertAlign w:val="baseline"/>
                <w:lang w:val="en-US" w:eastAsia="zh-CN"/>
              </w:rPr>
              <w:t>在上述基础上能提供更多</w:t>
            </w:r>
            <w:r>
              <w:rPr>
                <w:rFonts w:hint="default" w:ascii="宋体" w:hAnsi="宋体" w:eastAsia="宋体" w:cs="宋体"/>
                <w:color w:val="auto"/>
                <w:sz w:val="21"/>
                <w:szCs w:val="21"/>
                <w:highlight w:val="none"/>
                <w:vertAlign w:val="baseline"/>
                <w:lang w:val="en-US" w:eastAsia="zh-CN"/>
              </w:rPr>
              <w:t>切实可行</w:t>
            </w:r>
            <w:r>
              <w:rPr>
                <w:rFonts w:hint="eastAsia" w:ascii="宋体" w:hAnsi="宋体" w:eastAsia="宋体" w:cs="宋体"/>
                <w:color w:val="auto"/>
                <w:sz w:val="21"/>
                <w:szCs w:val="21"/>
                <w:highlight w:val="none"/>
                <w:vertAlign w:val="baseline"/>
                <w:lang w:val="en-US" w:eastAsia="zh-CN"/>
              </w:rPr>
              <w:t>的增值服务</w:t>
            </w:r>
            <w:r>
              <w:rPr>
                <w:rFonts w:hint="default" w:ascii="宋体" w:hAnsi="宋体" w:eastAsia="宋体" w:cs="宋体"/>
                <w:color w:val="auto"/>
                <w:sz w:val="21"/>
                <w:szCs w:val="21"/>
                <w:highlight w:val="none"/>
                <w:vertAlign w:val="baseline"/>
                <w:lang w:val="en-US" w:eastAsia="zh-CN"/>
              </w:rPr>
              <w:t>，能为被保险人带来巨大实惠的得</w:t>
            </w:r>
            <w:r>
              <w:rPr>
                <w:rFonts w:hint="eastAsia" w:ascii="宋体" w:hAnsi="宋体" w:eastAsia="宋体" w:cs="宋体"/>
                <w:color w:val="auto"/>
                <w:sz w:val="21"/>
                <w:szCs w:val="21"/>
                <w:highlight w:val="none"/>
                <w:vertAlign w:val="baseline"/>
                <w:lang w:val="en-US" w:eastAsia="zh-CN"/>
              </w:rPr>
              <w:t>17</w:t>
            </w:r>
            <w:r>
              <w:rPr>
                <w:rFonts w:hint="default"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20</w:t>
            </w:r>
            <w:r>
              <w:rPr>
                <w:rFonts w:hint="default" w:ascii="宋体" w:hAnsi="宋体" w:eastAsia="宋体" w:cs="宋体"/>
                <w:color w:val="auto"/>
                <w:sz w:val="21"/>
                <w:szCs w:val="21"/>
                <w:highlight w:val="none"/>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b</w:t>
            </w:r>
            <w:r>
              <w:rPr>
                <w:rFonts w:hint="eastAsia" w:ascii="宋体" w:hAnsi="宋体" w:eastAsia="宋体" w:cs="宋体"/>
                <w:color w:val="auto"/>
                <w:sz w:val="21"/>
                <w:szCs w:val="21"/>
                <w:highlight w:val="none"/>
                <w:vertAlign w:val="baseline"/>
                <w:lang w:val="en-US" w:eastAsia="zh-CN"/>
              </w:rPr>
              <w:t>在上述基础上能提供更多的增值服务，服务</w:t>
            </w:r>
            <w:r>
              <w:rPr>
                <w:rFonts w:hint="default" w:ascii="宋体" w:hAnsi="宋体" w:eastAsia="宋体" w:cs="宋体"/>
                <w:color w:val="auto"/>
                <w:sz w:val="21"/>
                <w:szCs w:val="21"/>
                <w:highlight w:val="none"/>
                <w:vertAlign w:val="baseline"/>
                <w:lang w:val="en-US" w:eastAsia="zh-CN"/>
              </w:rPr>
              <w:t>基本可行，增值幅度较大的，得</w:t>
            </w:r>
            <w:r>
              <w:rPr>
                <w:rFonts w:hint="eastAsia" w:ascii="宋体" w:hAnsi="宋体" w:eastAsia="宋体" w:cs="宋体"/>
                <w:color w:val="auto"/>
                <w:sz w:val="21"/>
                <w:szCs w:val="21"/>
                <w:highlight w:val="none"/>
                <w:vertAlign w:val="baseline"/>
                <w:lang w:val="en-US" w:eastAsia="zh-CN"/>
              </w:rPr>
              <w:t>13</w:t>
            </w:r>
            <w:r>
              <w:rPr>
                <w:rFonts w:hint="default" w:ascii="宋体" w:hAnsi="宋体" w:eastAsia="宋体" w:cs="宋体"/>
                <w:color w:val="auto"/>
                <w:sz w:val="21"/>
                <w:szCs w:val="21"/>
                <w:highlight w:val="none"/>
                <w:vertAlign w:val="baseline"/>
                <w:lang w:val="en-US" w:eastAsia="zh-CN"/>
              </w:rPr>
              <w:t>～</w:t>
            </w:r>
            <w:r>
              <w:rPr>
                <w:rFonts w:hint="eastAsia" w:ascii="宋体" w:hAnsi="宋体" w:eastAsia="宋体" w:cs="宋体"/>
                <w:color w:val="auto"/>
                <w:sz w:val="21"/>
                <w:szCs w:val="21"/>
                <w:highlight w:val="none"/>
                <w:vertAlign w:val="baseline"/>
                <w:lang w:val="en-US" w:eastAsia="zh-CN"/>
              </w:rPr>
              <w:t>16</w:t>
            </w:r>
            <w:r>
              <w:rPr>
                <w:rFonts w:hint="default" w:ascii="宋体" w:hAnsi="宋体" w:eastAsia="宋体" w:cs="宋体"/>
                <w:color w:val="auto"/>
                <w:sz w:val="21"/>
                <w:szCs w:val="21"/>
                <w:highlight w:val="none"/>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vertAlign w:val="baseline"/>
                <w:lang w:val="en-US" w:eastAsia="zh-CN"/>
              </w:rPr>
              <w:t>c</w:t>
            </w:r>
            <w:r>
              <w:rPr>
                <w:rFonts w:hint="eastAsia" w:ascii="宋体" w:hAnsi="宋体" w:eastAsia="宋体" w:cs="宋体"/>
                <w:color w:val="auto"/>
                <w:sz w:val="21"/>
                <w:szCs w:val="21"/>
                <w:highlight w:val="none"/>
                <w:vertAlign w:val="baseline"/>
                <w:lang w:val="en-US" w:eastAsia="zh-CN"/>
              </w:rPr>
              <w:t>能提供上述全部</w:t>
            </w:r>
            <w:r>
              <w:rPr>
                <w:rFonts w:hint="default" w:ascii="宋体" w:hAnsi="宋体" w:eastAsia="宋体" w:cs="宋体"/>
                <w:color w:val="auto"/>
                <w:sz w:val="21"/>
                <w:szCs w:val="21"/>
                <w:highlight w:val="none"/>
                <w:vertAlign w:val="baseline"/>
                <w:lang w:val="en-US" w:eastAsia="zh-CN"/>
              </w:rPr>
              <w:t>增值服务</w:t>
            </w:r>
            <w:r>
              <w:rPr>
                <w:rFonts w:hint="eastAsia" w:ascii="宋体" w:hAnsi="宋体" w:eastAsia="宋体" w:cs="宋体"/>
                <w:color w:val="auto"/>
                <w:sz w:val="21"/>
                <w:szCs w:val="21"/>
                <w:highlight w:val="none"/>
                <w:vertAlign w:val="baseline"/>
                <w:lang w:val="en-US" w:eastAsia="zh-CN"/>
              </w:rPr>
              <w:t>，可行性</w:t>
            </w:r>
            <w:r>
              <w:rPr>
                <w:rFonts w:hint="default" w:ascii="宋体" w:hAnsi="宋体" w:eastAsia="宋体" w:cs="宋体"/>
                <w:color w:val="auto"/>
                <w:sz w:val="21"/>
                <w:szCs w:val="21"/>
                <w:highlight w:val="none"/>
                <w:vertAlign w:val="baseline"/>
                <w:lang w:val="en-US" w:eastAsia="zh-CN"/>
              </w:rPr>
              <w:t>一般但不被评定为不响应的，得</w:t>
            </w:r>
            <w:r>
              <w:rPr>
                <w:rFonts w:hint="eastAsia" w:ascii="宋体" w:hAnsi="宋体" w:eastAsia="宋体" w:cs="宋体"/>
                <w:color w:val="auto"/>
                <w:sz w:val="21"/>
                <w:szCs w:val="21"/>
                <w:highlight w:val="none"/>
                <w:vertAlign w:val="baseline"/>
                <w:lang w:val="en-US" w:eastAsia="zh-CN"/>
              </w:rPr>
              <w:t>12</w:t>
            </w:r>
            <w:r>
              <w:rPr>
                <w:rFonts w:hint="default" w:ascii="宋体" w:hAnsi="宋体" w:eastAsia="宋体" w:cs="宋体"/>
                <w:color w:val="auto"/>
                <w:sz w:val="21"/>
                <w:szCs w:val="21"/>
                <w:highlight w:val="none"/>
                <w:vertAlign w:val="baseline"/>
                <w:lang w:val="en-US" w:eastAsia="zh-CN"/>
              </w:rPr>
              <w:t>分。</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无法</w:t>
            </w:r>
            <w:r>
              <w:rPr>
                <w:rFonts w:hint="default" w:ascii="宋体" w:hAnsi="宋体" w:eastAsia="宋体" w:cs="宋体"/>
                <w:color w:val="auto"/>
                <w:sz w:val="21"/>
                <w:szCs w:val="21"/>
                <w:highlight w:val="none"/>
                <w:vertAlign w:val="baseline"/>
                <w:lang w:val="en-US" w:eastAsia="zh-CN"/>
              </w:rPr>
              <w:t>提供</w:t>
            </w:r>
            <w:r>
              <w:rPr>
                <w:rFonts w:hint="eastAsia" w:ascii="宋体" w:hAnsi="宋体" w:eastAsia="宋体" w:cs="宋体"/>
                <w:color w:val="auto"/>
                <w:sz w:val="21"/>
                <w:szCs w:val="21"/>
                <w:highlight w:val="none"/>
                <w:vertAlign w:val="baseline"/>
                <w:lang w:val="en-US" w:eastAsia="zh-CN"/>
              </w:rPr>
              <w:t>上述全部</w:t>
            </w:r>
            <w:r>
              <w:rPr>
                <w:rFonts w:hint="default" w:ascii="宋体" w:hAnsi="宋体" w:eastAsia="宋体" w:cs="宋体"/>
                <w:color w:val="auto"/>
                <w:sz w:val="21"/>
                <w:szCs w:val="21"/>
                <w:highlight w:val="none"/>
                <w:vertAlign w:val="baseline"/>
                <w:lang w:val="en-US" w:eastAsia="zh-CN"/>
              </w:rPr>
              <w:t>增值服务的得0分。</w:t>
            </w:r>
          </w:p>
        </w:tc>
        <w:tc>
          <w:tcPr>
            <w:tcW w:w="840" w:type="dxa"/>
            <w:noWrap w:val="0"/>
            <w:vAlign w:val="center"/>
          </w:tcPr>
          <w:p>
            <w:pPr>
              <w:jc w:val="center"/>
              <w:rPr>
                <w:rFonts w:hint="default" w:ascii="宋体" w:hAnsi="宋体" w:eastAsia="宋体" w:cs="宋体"/>
                <w:b/>
                <w:color w:val="auto"/>
                <w:szCs w:val="21"/>
                <w:highlight w:val="none"/>
                <w:lang w:val="en-US" w:eastAsia="zh-CN"/>
              </w:rPr>
            </w:pPr>
            <w:r>
              <w:rPr>
                <w:rFonts w:hint="eastAsia" w:ascii="宋体" w:hAnsi="宋体" w:cs="宋体"/>
                <w:b/>
                <w:color w:val="auto"/>
                <w:szCs w:val="21"/>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2" w:hRule="atLeast"/>
        </w:trPr>
        <w:tc>
          <w:tcPr>
            <w:tcW w:w="1078" w:type="dxa"/>
            <w:noWrap w:val="0"/>
            <w:vAlign w:val="center"/>
          </w:tcPr>
          <w:p>
            <w:pPr>
              <w:snapToGrid w:val="0"/>
              <w:jc w:val="center"/>
              <w:rPr>
                <w:rFonts w:hint="eastAsia" w:ascii="宋体" w:hAnsi="宋体"/>
                <w:b/>
                <w:bCs/>
                <w:color w:val="auto"/>
                <w:szCs w:val="21"/>
                <w:highlight w:val="none"/>
              </w:rPr>
            </w:pP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w:t>
            </w:r>
          </w:p>
        </w:tc>
        <w:tc>
          <w:tcPr>
            <w:tcW w:w="1172" w:type="dxa"/>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评标价  得分</w:t>
            </w:r>
          </w:p>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（10分）</w:t>
            </w:r>
          </w:p>
        </w:tc>
        <w:tc>
          <w:tcPr>
            <w:tcW w:w="1676" w:type="dxa"/>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rPr>
              <w:t>计算方法</w:t>
            </w:r>
          </w:p>
        </w:tc>
        <w:tc>
          <w:tcPr>
            <w:tcW w:w="9767"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投标人应按照招标文件要求，对自主定价系数（即投标报价）进行报价。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（1）评标价的确定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评标价=投标人报价函中的文字报价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（2）最高评标限价的确定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最高评标限价=最高投标限价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highlight w:val="none"/>
                <w:lang w:val="en-US" w:eastAsia="zh-CN"/>
              </w:rPr>
            </w:pPr>
            <w:r>
              <w:rPr>
                <w:rFonts w:hint="eastAsia"/>
                <w:color w:val="auto"/>
                <w:highlight w:val="none"/>
                <w:lang w:val="en-US" w:eastAsia="zh-CN"/>
              </w:rPr>
              <w:t>最高投标限价为：自主定价系数0.70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（3）有效评标价范围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有效评标价范围为：不大于最高评标限价的评标价为有效评标价，大于最高评标限价的评标价，将否决其投标。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（4）评标基准价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本次招标的评标基准价为：自主定价系数0.65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lang w:val="en-US" w:eastAsia="zh-CN"/>
              </w:rPr>
            </w:pPr>
            <w:r>
              <w:rPr>
                <w:rFonts w:hint="eastAsia"/>
                <w:color w:val="auto"/>
                <w:highlight w:val="none"/>
                <w:lang w:val="en-US" w:eastAsia="zh-CN"/>
              </w:rPr>
              <w:t>（5）评标价得分计算</w:t>
            </w:r>
          </w:p>
          <w:p>
            <w:pPr>
              <w:widowControl/>
              <w:spacing w:before="0" w:beforeLines="0" w:line="360" w:lineRule="auto"/>
              <w:ind w:left="218" w:leftChars="104" w:right="218" w:rightChars="104"/>
              <w:jc w:val="both"/>
              <w:rPr>
                <w:rFonts w:hint="eastAsia"/>
                <w:color w:val="auto"/>
                <w:highlight w:val="none"/>
                <w:lang w:val="zh-CN"/>
              </w:rPr>
            </w:pPr>
            <w:r>
              <w:rPr>
                <w:rFonts w:hint="eastAsia"/>
                <w:color w:val="auto"/>
                <w:highlight w:val="none"/>
                <w:lang w:val="zh-CN"/>
              </w:rPr>
              <w:t>评标价得分计算公式示例：</w:t>
            </w:r>
          </w:p>
          <w:p>
            <w:pPr>
              <w:pStyle w:val="5"/>
              <w:spacing w:beforeLines="0" w:line="400" w:lineRule="exact"/>
              <w:rPr>
                <w:rFonts w:hint="eastAsia" w:ascii="Calibri" w:hAnsi="Calibri" w:eastAsia="宋体" w:cs="Times New Roman"/>
                <w:b/>
                <w:bCs/>
                <w:color w:val="auto"/>
                <w:kern w:val="2"/>
                <w:sz w:val="21"/>
                <w:szCs w:val="22"/>
                <w:highlight w:val="none"/>
                <w:lang w:val="en-US" w:eastAsia="zh-CN" w:bidi="ar-SA"/>
              </w:rPr>
            </w:pPr>
            <w:r>
              <w:rPr>
                <w:rFonts w:hint="eastAsia" w:ascii="Calibri" w:hAnsi="Calibri" w:eastAsia="宋体" w:cs="Times New Roman"/>
                <w:b/>
                <w:bCs/>
                <w:color w:val="auto"/>
                <w:kern w:val="2"/>
                <w:sz w:val="21"/>
                <w:szCs w:val="22"/>
                <w:highlight w:val="none"/>
                <w:lang w:val="en-US" w:eastAsia="zh-CN" w:bidi="ar-SA"/>
              </w:rPr>
              <w:t>报价自主定价系数0.65得基本分8分。</w:t>
            </w:r>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cs="Times New Roman"/>
                <w:b/>
                <w:bCs/>
                <w:color w:val="auto"/>
                <w:highlight w:val="none"/>
                <w:lang w:val="en-US" w:eastAsia="zh-CN"/>
              </w:rPr>
            </w:pPr>
            <w:r>
              <w:rPr>
                <w:rFonts w:hint="eastAsia" w:cs="Times New Roman"/>
                <w:b/>
                <w:bCs/>
                <w:color w:val="auto"/>
                <w:highlight w:val="none"/>
                <w:lang w:val="en-US" w:eastAsia="zh-CN"/>
              </w:rPr>
              <w:t>在此基础上，报价自主定价系数每减少0.01加0.4分，此项最高加分不超过2分。报价自主定价系数每增加0.01减0.8分。</w:t>
            </w:r>
          </w:p>
          <w:p>
            <w:pPr>
              <w:pStyle w:val="3"/>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注：报价</w:t>
            </w:r>
            <w:r>
              <w:rPr>
                <w:rFonts w:hint="eastAsia" w:cs="Times New Roman"/>
                <w:color w:val="auto"/>
                <w:highlight w:val="none"/>
                <w:lang w:val="en-US" w:eastAsia="zh-CN"/>
              </w:rPr>
              <w:t>自主定价系数</w:t>
            </w:r>
            <w:r>
              <w:rPr>
                <w:rFonts w:hint="eastAsia" w:ascii="宋体" w:hAnsi="宋体" w:cs="宋体"/>
                <w:color w:val="auto"/>
                <w:szCs w:val="21"/>
                <w:highlight w:val="none"/>
                <w:u w:val="none"/>
                <w:lang w:val="en-US" w:eastAsia="zh-CN"/>
              </w:rPr>
              <w:t>须</w:t>
            </w:r>
            <w:r>
              <w:rPr>
                <w:rFonts w:hint="eastAsia" w:ascii="宋体" w:hAnsi="宋体" w:eastAsia="宋体" w:cs="宋体"/>
                <w:color w:val="auto"/>
                <w:szCs w:val="21"/>
                <w:highlight w:val="none"/>
                <w:u w:val="none"/>
                <w:lang w:val="en-US" w:eastAsia="zh-CN"/>
              </w:rPr>
              <w:t>精确至0.01</w:t>
            </w:r>
            <w:r>
              <w:rPr>
                <w:rFonts w:hint="eastAsia" w:ascii="宋体" w:hAnsi="宋体" w:cs="宋体"/>
                <w:color w:val="auto"/>
                <w:szCs w:val="21"/>
                <w:highlight w:val="none"/>
                <w:u w:val="none"/>
                <w:lang w:val="en-US" w:eastAsia="zh-CN"/>
              </w:rPr>
              <w:t>。</w:t>
            </w:r>
          </w:p>
        </w:tc>
        <w:tc>
          <w:tcPr>
            <w:tcW w:w="840" w:type="dxa"/>
            <w:noWrap w:val="0"/>
            <w:vAlign w:val="center"/>
          </w:tcPr>
          <w:p>
            <w:pPr>
              <w:snapToGrid w:val="0"/>
              <w:jc w:val="center"/>
              <w:rPr>
                <w:rFonts w:hint="eastAsia" w:ascii="宋体" w:hAnsi="宋体"/>
                <w:color w:val="auto"/>
                <w:szCs w:val="21"/>
                <w:highlight w:val="none"/>
              </w:rPr>
            </w:pPr>
            <w:r>
              <w:rPr>
                <w:rFonts w:hint="eastAsia" w:ascii="宋体" w:hAnsi="宋体"/>
                <w:b/>
                <w:bCs/>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93" w:type="dxa"/>
            <w:gridSpan w:val="4"/>
            <w:noWrap w:val="0"/>
            <w:vAlign w:val="center"/>
          </w:tcPr>
          <w:p>
            <w:pPr>
              <w:snapToGrid w:val="0"/>
              <w:rPr>
                <w:rFonts w:hint="eastAsia" w:ascii="宋体" w:hAnsi="宋体"/>
                <w:b/>
                <w:bCs/>
                <w:color w:val="auto"/>
                <w:szCs w:val="21"/>
                <w:highlight w:val="none"/>
              </w:rPr>
            </w:pPr>
            <w:r>
              <w:rPr>
                <w:rFonts w:hint="eastAsia" w:ascii="宋体" w:hAnsi="宋体"/>
                <w:b/>
                <w:bCs/>
                <w:color w:val="auto"/>
                <w:szCs w:val="21"/>
                <w:highlight w:val="none"/>
              </w:rPr>
              <w:t>合计</w:t>
            </w:r>
          </w:p>
        </w:tc>
        <w:tc>
          <w:tcPr>
            <w:tcW w:w="840" w:type="dxa"/>
            <w:noWrap w:val="0"/>
            <w:vAlign w:val="center"/>
          </w:tcPr>
          <w:p>
            <w:pPr>
              <w:rPr>
                <w:rFonts w:hint="eastAsia" w:ascii="宋体" w:hAnsi="宋体" w:cs="宋体"/>
                <w:b/>
                <w:color w:val="auto"/>
                <w:szCs w:val="21"/>
                <w:highlight w:val="none"/>
              </w:rPr>
            </w:pPr>
            <w:r>
              <w:rPr>
                <w:rFonts w:hint="eastAsia" w:ascii="宋体" w:hAnsi="宋体" w:cs="宋体"/>
                <w:b/>
                <w:color w:val="auto"/>
                <w:szCs w:val="21"/>
                <w:highlight w:val="none"/>
                <w:lang w:bidi="ar"/>
              </w:rPr>
              <w:t>100</w:t>
            </w:r>
          </w:p>
        </w:tc>
      </w:tr>
    </w:tbl>
    <w:p>
      <w:pPr>
        <w:snapToGrid w:val="0"/>
        <w:rPr>
          <w:color w:val="auto"/>
          <w:highlight w:val="none"/>
        </w:rPr>
        <w:sectPr>
          <w:pgSz w:w="16838" w:h="11906" w:orient="landscape"/>
          <w:pgMar w:top="1418" w:right="1418" w:bottom="790" w:left="1418" w:header="851" w:footer="851" w:gutter="0"/>
          <w:cols w:space="720" w:num="1"/>
          <w:titlePg/>
          <w:docGrid w:type="lines" w:linePitch="285" w:charSpace="0"/>
        </w:sectPr>
      </w:pPr>
    </w:p>
    <w:p>
      <w:pPr>
        <w:snapToGrid w:val="0"/>
        <w:spacing w:line="360" w:lineRule="auto"/>
        <w:ind w:firstLine="413" w:firstLineChars="196"/>
        <w:jc w:val="center"/>
        <w:rPr>
          <w:rFonts w:hint="eastAsia" w:ascii="宋体" w:hAnsi="宋体"/>
          <w:b/>
          <w:bCs/>
          <w:color w:val="auto"/>
          <w:szCs w:val="21"/>
          <w:highlight w:val="none"/>
        </w:rPr>
      </w:pPr>
      <w:r>
        <w:rPr>
          <w:rFonts w:hint="eastAsia" w:ascii="宋体" w:hAnsi="宋体"/>
          <w:b/>
          <w:bCs/>
          <w:color w:val="auto"/>
          <w:szCs w:val="21"/>
          <w:highlight w:val="none"/>
        </w:rPr>
        <w:t>评标办法正文</w:t>
      </w:r>
    </w:p>
    <w:p>
      <w:pPr>
        <w:snapToGrid w:val="0"/>
        <w:spacing w:line="360" w:lineRule="auto"/>
        <w:ind w:firstLine="411" w:firstLineChars="196"/>
        <w:rPr>
          <w:rFonts w:ascii="宋体" w:hAnsi="宋体"/>
          <w:b/>
          <w:color w:val="auto"/>
          <w:szCs w:val="21"/>
          <w:highlight w:val="none"/>
        </w:rPr>
      </w:pPr>
      <w:r>
        <w:rPr>
          <w:rFonts w:ascii="宋体" w:hAnsi="宋体"/>
          <w:color w:val="auto"/>
          <w:szCs w:val="21"/>
          <w:highlight w:val="none"/>
        </w:rPr>
        <w:t>1. 评标方法</w:t>
      </w:r>
      <w:r>
        <w:rPr>
          <w:rFonts w:hint="eastAsia" w:ascii="宋体" w:hAnsi="宋体"/>
          <w:color w:val="auto"/>
          <w:szCs w:val="21"/>
          <w:highlight w:val="none"/>
        </w:rPr>
        <w:t>、组织及工作程序</w:t>
      </w:r>
    </w:p>
    <w:p>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1.1评标方法</w:t>
      </w:r>
    </w:p>
    <w:p>
      <w:pPr>
        <w:autoSpaceDE w:val="0"/>
        <w:autoSpaceDN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本次评标采用</w:t>
      </w:r>
      <w:r>
        <w:rPr>
          <w:rFonts w:hint="eastAsia" w:ascii="宋体" w:hAnsi="宋体"/>
          <w:color w:val="auto"/>
          <w:szCs w:val="21"/>
          <w:highlight w:val="none"/>
        </w:rPr>
        <w:t>综合评分法</w:t>
      </w:r>
      <w:r>
        <w:rPr>
          <w:rFonts w:ascii="宋体" w:hAnsi="宋体"/>
          <w:color w:val="auto"/>
          <w:szCs w:val="21"/>
          <w:highlight w:val="none"/>
        </w:rPr>
        <w:t>。评标委员会对满足招标文件实质性要求的投标文件，按照本章第2.2款规定的评分标准进行打分，并按得分由高到低顺序推荐中标候选人，但投标报价低于其成本的除外。</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评标组织</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协助工作组</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招标人可在评标工作开始前成立协助工作组，选派熟悉招标工作、政治素质高的人员组成，协助评标委员会工作。协助工作组人员的具体数量由招标人视评标工作量确定。</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协助工作组应在评标委员会开始工作之前进行评标的准备工作，主要内容包括：</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（1）根据招标文件，制定评标工作所需各种表格；</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（2）对投标文件按照商务及</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部分标准内容进行初步清查；</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（3）对投标文件响应招标文件规定的情况进行摘录，列出相对于招标文件的所有偏差；</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（4）配合评标委员会核验有关数据和分值计算结果。</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 评标委员会</w:t>
      </w:r>
    </w:p>
    <w:p>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评标委员会由招标人按国家和广东省的有关规定依法组建，由招标人的代表和技术、经济专家组成。人数为5人或以上单数，其中技术、经济等方面的专家不少于成员总数的三分之二。</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评标委员会的主要工作内容包括：</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（1）评标委员会开始评标工作之前，首先听取招标人、协助工作组关于保险情况和清标工作的说明，并认真研读招标文件，获取评标所需的重要信息和数据；</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（2）对协助工作组提供的评标工作用表和评标内容进行认真核对。</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（3）按照以下1.3 款评审程序进行各项评审工作。</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评审工作程序</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l、初步评审：包括形式评审与响应性评审、资格评审；</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2、详细评审（评审打分）：评标委员会对通过初步评审部分进行详细评审及打分：</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（1）商务得分：评标委员对投标人的公司资质、投标文件响应性进行分别评分。</w:t>
      </w:r>
    </w:p>
    <w:p>
      <w:pPr>
        <w:autoSpaceDE w:val="0"/>
        <w:autoSpaceDN w:val="0"/>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得分：评标委员对投标人的服务方案分别评审打分。</w:t>
      </w:r>
      <w:r>
        <w:rPr>
          <w:rFonts w:hint="eastAsia" w:ascii="宋体" w:hAnsi="宋体" w:cs="宋体"/>
          <w:color w:val="auto"/>
          <w:szCs w:val="21"/>
          <w:highlight w:val="none"/>
          <w:lang w:val="en-US" w:eastAsia="zh-CN"/>
        </w:rPr>
        <w:t>评标委员会成员总数为5人时，对各评分因素细分项计算算术平均值的和为投标人的最终方案得分，平均值计算四舍五入保留小数点后3位</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评标委员会成员总数为7人及7人以上时，对各评分因素细分项中取消一个最高、一个最低分后计算算术平均值的和为投标人的最终方案得分，平均值计算四舍五入保留小数点后3位。</w:t>
      </w:r>
    </w:p>
    <w:p>
      <w:pPr>
        <w:pStyle w:val="4"/>
        <w:spacing w:after="0" w:line="360" w:lineRule="auto"/>
        <w:ind w:firstLine="420" w:firstLineChars="200"/>
        <w:rPr>
          <w:rFonts w:hint="eastAsia"/>
          <w:color w:val="auto"/>
          <w:highlight w:val="none"/>
        </w:rPr>
      </w:pPr>
      <w:r>
        <w:rPr>
          <w:rFonts w:hint="eastAsia" w:ascii="宋体" w:hAnsi="宋体" w:cs="宋体"/>
          <w:color w:val="auto"/>
          <w:szCs w:val="21"/>
          <w:highlight w:val="none"/>
        </w:rPr>
        <w:t>（3）评标价得分：评标委员会对投标人的自主定价系数报价分别评分后作为评标价得分。</w:t>
      </w:r>
      <w:r>
        <w:rPr>
          <w:rFonts w:hint="eastAsia"/>
          <w:color w:val="auto"/>
          <w:spacing w:val="-6"/>
          <w:highlight w:val="none"/>
        </w:rPr>
        <w:t>评标委员会按本章第</w:t>
      </w:r>
      <w:r>
        <w:rPr>
          <w:color w:val="auto"/>
          <w:spacing w:val="-6"/>
          <w:highlight w:val="none"/>
        </w:rPr>
        <w:t xml:space="preserve"> </w:t>
      </w:r>
      <w:r>
        <w:rPr>
          <w:rFonts w:eastAsia="Times New Roman"/>
          <w:color w:val="auto"/>
          <w:spacing w:val="-3"/>
          <w:highlight w:val="none"/>
        </w:rPr>
        <w:t>2.2.</w:t>
      </w:r>
      <w:r>
        <w:rPr>
          <w:rFonts w:hint="eastAsia"/>
          <w:color w:val="auto"/>
          <w:spacing w:val="-3"/>
          <w:highlight w:val="none"/>
        </w:rPr>
        <w:t>2（</w:t>
      </w:r>
      <w:r>
        <w:rPr>
          <w:rFonts w:eastAsia="Times New Roman"/>
          <w:color w:val="auto"/>
          <w:spacing w:val="-3"/>
          <w:highlight w:val="none"/>
        </w:rPr>
        <w:t>3</w:t>
      </w:r>
      <w:r>
        <w:rPr>
          <w:rFonts w:hint="eastAsia"/>
          <w:color w:val="auto"/>
          <w:spacing w:val="-3"/>
          <w:highlight w:val="none"/>
        </w:rPr>
        <w:t>）</w:t>
      </w:r>
      <w:r>
        <w:rPr>
          <w:rFonts w:hint="eastAsia"/>
          <w:color w:val="auto"/>
          <w:highlight w:val="none"/>
        </w:rPr>
        <w:t>目规定的评审因素和分值对评标价计算出得分。评标价得分分值计算保留小数点后三位，小数点后第四位</w:t>
      </w:r>
      <w:r>
        <w:rPr>
          <w:rFonts w:ascii="Times New Roman" w:hAnsi="Times New Roman"/>
          <w:color w:val="auto"/>
          <w:highlight w:val="none"/>
        </w:rPr>
        <w:t>“</w:t>
      </w:r>
      <w:r>
        <w:rPr>
          <w:rFonts w:hint="eastAsia"/>
          <w:color w:val="auto"/>
          <w:highlight w:val="none"/>
        </w:rPr>
        <w:t>四舍五入</w:t>
      </w:r>
      <w:r>
        <w:rPr>
          <w:rFonts w:ascii="Times New Roman" w:hAnsi="Times New Roman"/>
          <w:color w:val="auto"/>
          <w:highlight w:val="none"/>
        </w:rPr>
        <w:t>”</w:t>
      </w:r>
      <w:r>
        <w:rPr>
          <w:rFonts w:hint="eastAsia"/>
          <w:color w:val="auto"/>
          <w:highlight w:val="none"/>
        </w:rPr>
        <w:t>。</w:t>
      </w:r>
    </w:p>
    <w:p>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highlight w:val="none"/>
        </w:rPr>
        <w:t>3、澄清（如果需要）。</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（三）综合评分（综合评分得分=商务及</w:t>
      </w:r>
      <w:r>
        <w:rPr>
          <w:rFonts w:hint="eastAsia" w:ascii="宋体" w:hAnsi="宋体" w:cs="宋体"/>
          <w:color w:val="auto"/>
          <w:szCs w:val="21"/>
          <w:highlight w:val="none"/>
          <w:lang w:val="en-US" w:eastAsia="zh-CN"/>
        </w:rPr>
        <w:t>方案</w:t>
      </w:r>
      <w:r>
        <w:rPr>
          <w:rFonts w:hint="eastAsia" w:ascii="宋体" w:hAnsi="宋体" w:cs="宋体"/>
          <w:color w:val="auto"/>
          <w:szCs w:val="21"/>
          <w:highlight w:val="none"/>
        </w:rPr>
        <w:t>得分+评标价得分），提出评标意见。</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（四）按评标办法规定推荐中标候选人，编写评标报告。</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 评审标准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2.1 初步评审标准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2.1.1 形式评审标准：见评标办法前附表。</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2.1.2 资格评审标准：见评标办法前附表。</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2.1.3 响应性评审标准：见评标办法前附表。</w:t>
      </w:r>
    </w:p>
    <w:p>
      <w:pPr>
        <w:tabs>
          <w:tab w:val="left" w:pos="360"/>
        </w:tabs>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 分值构成与评分标准</w:t>
      </w:r>
    </w:p>
    <w:p>
      <w:pPr>
        <w:tabs>
          <w:tab w:val="left" w:pos="360"/>
        </w:tabs>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2.2.1 分值构成</w:t>
      </w:r>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商务得分：</w:t>
      </w:r>
      <w:r>
        <w:rPr>
          <w:rFonts w:ascii="宋体" w:hAnsi="宋体"/>
          <w:color w:val="auto"/>
          <w:szCs w:val="21"/>
          <w:highlight w:val="none"/>
        </w:rPr>
        <w:t>见评标办法前附表；</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方案</w:t>
      </w:r>
      <w:r>
        <w:rPr>
          <w:rFonts w:hint="eastAsia" w:ascii="宋体" w:hAnsi="宋体"/>
          <w:color w:val="auto"/>
          <w:szCs w:val="21"/>
          <w:highlight w:val="none"/>
        </w:rPr>
        <w:t>得分</w:t>
      </w:r>
      <w:r>
        <w:rPr>
          <w:rFonts w:ascii="宋体" w:hAnsi="宋体"/>
          <w:color w:val="auto"/>
          <w:szCs w:val="21"/>
          <w:highlight w:val="none"/>
        </w:rPr>
        <w:t>：见评标办法前附表；</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评标价得分</w:t>
      </w:r>
      <w:r>
        <w:rPr>
          <w:rFonts w:ascii="宋体" w:hAnsi="宋体"/>
          <w:color w:val="auto"/>
          <w:szCs w:val="21"/>
          <w:highlight w:val="none"/>
        </w:rPr>
        <w:t>：见评标办法前附表；</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2.2.2 评分标准</w:t>
      </w:r>
    </w:p>
    <w:p>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商务评分</w:t>
      </w:r>
      <w:r>
        <w:rPr>
          <w:rFonts w:ascii="宋体" w:hAnsi="宋体"/>
          <w:color w:val="auto"/>
          <w:szCs w:val="21"/>
          <w:highlight w:val="none"/>
        </w:rPr>
        <w:t>标准：见评标办法前附表；</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方案</w:t>
      </w:r>
      <w:r>
        <w:rPr>
          <w:rFonts w:ascii="宋体" w:hAnsi="宋体"/>
          <w:color w:val="auto"/>
          <w:szCs w:val="21"/>
          <w:highlight w:val="none"/>
        </w:rPr>
        <w:t>评分标准：见评标办法前附表；</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报价</w:t>
      </w:r>
      <w:r>
        <w:rPr>
          <w:rFonts w:ascii="宋体" w:hAnsi="宋体"/>
          <w:color w:val="auto"/>
          <w:szCs w:val="21"/>
          <w:highlight w:val="none"/>
        </w:rPr>
        <w:t>评分标准：见评标办法前附表；</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 评标程序</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3.1初步评审</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3.1.1评标委员会依据本章第2.1款规定的标准对投标文件进行初步评审。有一项不符合评审标准的，作否决</w:t>
      </w:r>
      <w:r>
        <w:rPr>
          <w:rFonts w:hint="eastAsia" w:ascii="宋体" w:hAnsi="宋体"/>
          <w:color w:val="auto"/>
          <w:szCs w:val="21"/>
          <w:highlight w:val="none"/>
        </w:rPr>
        <w:t>其</w:t>
      </w:r>
      <w:r>
        <w:rPr>
          <w:rFonts w:ascii="宋体" w:hAnsi="宋体"/>
          <w:color w:val="auto"/>
          <w:szCs w:val="21"/>
          <w:highlight w:val="none"/>
        </w:rPr>
        <w:t>投标处理。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3.1.2 投标人有以下情形之一的，其投标作否决投标处理：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(1)串通投标或弄虚作假或有其他违法行为的；</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)不按评标委员会要求澄清、说明或补正的。</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3.2详细评审</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3.2.1 评标委员会按本章第2.2款规定的量化因素和分值进行打分，并计算出综合评估得分。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(1)按本章第2.2.</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)目规定的评审因素和分值对</w:t>
      </w:r>
      <w:r>
        <w:rPr>
          <w:rFonts w:hint="eastAsia" w:ascii="宋体" w:hAnsi="宋体"/>
          <w:color w:val="auto"/>
          <w:szCs w:val="21"/>
          <w:highlight w:val="none"/>
        </w:rPr>
        <w:t>商务部分</w:t>
      </w:r>
      <w:r>
        <w:rPr>
          <w:rFonts w:ascii="宋体" w:hAnsi="宋体"/>
          <w:color w:val="auto"/>
          <w:szCs w:val="21"/>
          <w:highlight w:val="none"/>
        </w:rPr>
        <w:t>计算出得分</w:t>
      </w:r>
      <w:r>
        <w:rPr>
          <w:rFonts w:hint="eastAsia" w:ascii="宋体" w:hAnsi="宋体"/>
          <w:color w:val="auto"/>
          <w:szCs w:val="21"/>
          <w:highlight w:val="none"/>
        </w:rPr>
        <w:t>A</w:t>
      </w:r>
      <w:r>
        <w:rPr>
          <w:rFonts w:ascii="宋体" w:hAnsi="宋体"/>
          <w:color w:val="auto"/>
          <w:szCs w:val="21"/>
          <w:highlight w:val="none"/>
        </w:rPr>
        <w:t>；</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)按本章第2.2.</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)目规定的评审因素和分值对</w:t>
      </w:r>
      <w:r>
        <w:rPr>
          <w:rFonts w:hint="eastAsia" w:ascii="宋体" w:hAnsi="宋体"/>
          <w:color w:val="auto"/>
          <w:szCs w:val="21"/>
          <w:highlight w:val="none"/>
          <w:lang w:val="en-US" w:eastAsia="zh-CN"/>
        </w:rPr>
        <w:t>方案</w:t>
      </w:r>
      <w:r>
        <w:rPr>
          <w:rFonts w:hint="eastAsia" w:ascii="宋体" w:hAnsi="宋体"/>
          <w:color w:val="auto"/>
          <w:szCs w:val="21"/>
          <w:highlight w:val="none"/>
        </w:rPr>
        <w:t>部分</w:t>
      </w:r>
      <w:r>
        <w:rPr>
          <w:rFonts w:ascii="宋体" w:hAnsi="宋体"/>
          <w:color w:val="auto"/>
          <w:szCs w:val="21"/>
          <w:highlight w:val="none"/>
        </w:rPr>
        <w:t>计算出得分</w:t>
      </w:r>
      <w:r>
        <w:rPr>
          <w:rFonts w:hint="eastAsia" w:ascii="宋体" w:hAnsi="宋体"/>
          <w:color w:val="auto"/>
          <w:szCs w:val="21"/>
          <w:highlight w:val="none"/>
        </w:rPr>
        <w:t>B</w:t>
      </w:r>
      <w:r>
        <w:rPr>
          <w:rFonts w:ascii="宋体" w:hAnsi="宋体"/>
          <w:color w:val="auto"/>
          <w:szCs w:val="21"/>
          <w:highlight w:val="none"/>
        </w:rPr>
        <w:t>；</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)按本章第2.2.</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3</w:t>
      </w:r>
      <w:r>
        <w:rPr>
          <w:rFonts w:ascii="宋体" w:hAnsi="宋体"/>
          <w:color w:val="auto"/>
          <w:szCs w:val="21"/>
          <w:highlight w:val="none"/>
        </w:rPr>
        <w:t>)目规定的评审因素和分值对</w:t>
      </w:r>
      <w:r>
        <w:rPr>
          <w:rFonts w:hint="eastAsia" w:ascii="宋体" w:hAnsi="宋体"/>
          <w:color w:val="auto"/>
          <w:szCs w:val="21"/>
          <w:highlight w:val="none"/>
        </w:rPr>
        <w:t>报价</w:t>
      </w:r>
      <w:r>
        <w:rPr>
          <w:rFonts w:ascii="宋体" w:hAnsi="宋体"/>
          <w:color w:val="auto"/>
          <w:szCs w:val="21"/>
          <w:highlight w:val="none"/>
        </w:rPr>
        <w:t>计算出得分</w:t>
      </w:r>
      <w:r>
        <w:rPr>
          <w:rFonts w:hint="eastAsia" w:ascii="宋体" w:hAnsi="宋体"/>
          <w:color w:val="auto"/>
          <w:szCs w:val="21"/>
          <w:highlight w:val="none"/>
        </w:rPr>
        <w:t>C</w:t>
      </w:r>
      <w:r>
        <w:rPr>
          <w:rFonts w:ascii="宋体" w:hAnsi="宋体"/>
          <w:color w:val="auto"/>
          <w:szCs w:val="21"/>
          <w:highlight w:val="none"/>
        </w:rPr>
        <w:t>；</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3.2.2 评分分值计算按四舍五入保留小数点后</w:t>
      </w:r>
      <w:r>
        <w:rPr>
          <w:rFonts w:hint="eastAsia" w:ascii="宋体" w:hAnsi="宋体"/>
          <w:color w:val="auto"/>
          <w:szCs w:val="21"/>
          <w:highlight w:val="none"/>
        </w:rPr>
        <w:t>三</w:t>
      </w:r>
      <w:r>
        <w:rPr>
          <w:rFonts w:ascii="宋体" w:hAnsi="宋体"/>
          <w:color w:val="auto"/>
          <w:szCs w:val="21"/>
          <w:highlight w:val="none"/>
        </w:rPr>
        <w:t>位。</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3.2.3投标人得分=</w:t>
      </w:r>
      <w:r>
        <w:rPr>
          <w:rFonts w:hint="eastAsia" w:ascii="宋体" w:hAnsi="宋体"/>
          <w:color w:val="auto"/>
          <w:szCs w:val="21"/>
          <w:highlight w:val="none"/>
        </w:rPr>
        <w:t xml:space="preserve"> </w:t>
      </w:r>
      <w:r>
        <w:rPr>
          <w:rFonts w:ascii="宋体" w:hAnsi="宋体"/>
          <w:color w:val="auto"/>
          <w:szCs w:val="21"/>
          <w:highlight w:val="none"/>
        </w:rPr>
        <w:t>A</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B</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C。计算结果按四舍五入保留小数点后</w:t>
      </w:r>
      <w:r>
        <w:rPr>
          <w:rFonts w:hint="eastAsia" w:ascii="宋体" w:hAnsi="宋体"/>
          <w:color w:val="auto"/>
          <w:szCs w:val="21"/>
          <w:highlight w:val="none"/>
        </w:rPr>
        <w:t>三</w:t>
      </w:r>
      <w:r>
        <w:rPr>
          <w:rFonts w:ascii="宋体" w:hAnsi="宋体"/>
          <w:color w:val="auto"/>
          <w:szCs w:val="21"/>
          <w:highlight w:val="none"/>
        </w:rPr>
        <w:t>位。</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 投标文件的澄清和补正</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3.3.2 澄清、说明和补正不得改变投标文件的实质性内容(算术性错误修正的除外)。投标人的书面澄清、说明和补正属于投标文件的组成部分。</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3.3.3评标委员会对投标人提交的澄清、说明或补正有疑问的，可以要求投标人进一步澄清、说明或补正，直至满足评标委员会的要求。</w:t>
      </w:r>
    </w:p>
    <w:p>
      <w:pPr>
        <w:spacing w:line="360" w:lineRule="auto"/>
        <w:rPr>
          <w:rFonts w:ascii="宋体"/>
          <w:color w:val="auto"/>
          <w:szCs w:val="21"/>
          <w:highlight w:val="none"/>
        </w:rPr>
      </w:pPr>
      <w:r>
        <w:rPr>
          <w:rFonts w:hint="eastAsia" w:ascii="宋体" w:hAnsi="宋体"/>
          <w:color w:val="auto"/>
          <w:szCs w:val="21"/>
          <w:highlight w:val="none"/>
        </w:rPr>
        <w:t xml:space="preserve">    3.3.4</w:t>
      </w:r>
      <w:r>
        <w:rPr>
          <w:rFonts w:hint="eastAsia" w:ascii="宋体" w:hAnsi="宋体" w:cs="宋体"/>
          <w:color w:val="auto"/>
          <w:szCs w:val="21"/>
          <w:highlight w:val="none"/>
        </w:rPr>
        <w:t xml:space="preserve">通过招标文件评审的有效投标人少于3个的，评标委员会可以否决全部投标；未否决全部投标的，评标委员会应当在评标报告中阐明理由并推荐中标候选人。 </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3.4 评标结果</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3.4.1评标委员会按照</w:t>
      </w:r>
      <w:r>
        <w:rPr>
          <w:rFonts w:hint="eastAsia" w:ascii="宋体" w:hAnsi="宋体"/>
          <w:color w:val="auto"/>
          <w:szCs w:val="21"/>
          <w:highlight w:val="none"/>
        </w:rPr>
        <w:t>投标人</w:t>
      </w:r>
      <w:r>
        <w:rPr>
          <w:rFonts w:ascii="宋体" w:hAnsi="宋体"/>
          <w:color w:val="auto"/>
          <w:szCs w:val="21"/>
          <w:highlight w:val="none"/>
        </w:rPr>
        <w:t>得分由高到低的顺序推荐中标候选人。</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3.4.2 评标委员会完成评标后，应当向招标人提交书面评标报告。</w:t>
      </w:r>
    </w:p>
    <w:p>
      <w:pPr>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3.5 定标原则</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3.5.1按上述评审办法计算得出的综合得分从高到低进行排名。当一家以上投标人综合得分相等时，由评标委员会按照以下顺序确定其名次：</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①以</w:t>
      </w:r>
      <w:r>
        <w:rPr>
          <w:rFonts w:hint="eastAsia" w:ascii="宋体" w:hAnsi="宋体" w:eastAsia="宋体" w:cs="宋体"/>
          <w:strike w:val="0"/>
          <w:color w:val="auto"/>
          <w:kern w:val="0"/>
          <w:szCs w:val="21"/>
          <w:highlight w:val="none"/>
          <w:lang w:val="zh-CN"/>
        </w:rPr>
        <w:t>注册资本金较高</w:t>
      </w:r>
      <w:r>
        <w:rPr>
          <w:rFonts w:hint="eastAsia" w:ascii="Times New Roman" w:hAnsi="Times New Roman"/>
          <w:color w:val="auto"/>
          <w:szCs w:val="21"/>
          <w:highlight w:val="none"/>
        </w:rPr>
        <w:t>的投标人排名靠前；</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②上述①项也相同，则以</w:t>
      </w:r>
      <w:r>
        <w:rPr>
          <w:rFonts w:hint="eastAsia" w:ascii="宋体" w:hAnsi="宋体" w:eastAsia="宋体" w:cs="宋体"/>
          <w:strike w:val="0"/>
          <w:color w:val="auto"/>
          <w:kern w:val="0"/>
          <w:szCs w:val="21"/>
          <w:highlight w:val="none"/>
          <w:lang w:val="zh-CN"/>
        </w:rPr>
        <w:t>总公司2019年至2021年的年平均原保险费收入较高</w:t>
      </w:r>
      <w:r>
        <w:rPr>
          <w:rFonts w:hint="eastAsia" w:ascii="Times New Roman" w:hAnsi="Times New Roman"/>
          <w:color w:val="auto"/>
          <w:szCs w:val="21"/>
          <w:highlight w:val="none"/>
        </w:rPr>
        <w:t>的投标人排名靠前；</w:t>
      </w:r>
    </w:p>
    <w:p>
      <w:pPr>
        <w:adjustRightInd w:val="0"/>
        <w:snapToGrid w:val="0"/>
        <w:spacing w:line="360" w:lineRule="auto"/>
        <w:ind w:firstLine="420" w:firstLineChars="200"/>
        <w:jc w:val="left"/>
        <w:rPr>
          <w:rFonts w:hint="eastAsia"/>
          <w:color w:val="auto"/>
          <w:highlight w:val="none"/>
        </w:rPr>
      </w:pPr>
      <w:r>
        <w:rPr>
          <w:rFonts w:hint="eastAsia" w:ascii="Times New Roman" w:hAnsi="Times New Roman"/>
          <w:color w:val="auto"/>
          <w:szCs w:val="21"/>
          <w:highlight w:val="none"/>
        </w:rPr>
        <w:t>③上述①、②项仍相同，评标委员会视投标人情况综合比较，投票确定其名次。</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3.5.2 按照上述第 3.5.1 款原则对通过形式评审与响应性评审的投标人进行排名，按排名次序推荐出3 名中标候选人。</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3.5.3投标人在所投二个标段中只能中一个标，并按标段投标限价高低依次确定标段推荐次序：如果同一投标人同时在二个标段的综合得分排名第一，则评标委员会推荐该投标人在招标人最高投标限价高的标段为第一中标候选人，该投标人自动失去其它标段中标候选人的资格，其它标段按标段内评审排名依次上升确定先后顺序，以此类推，确定其余标段中标候选人。</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3.5.4如果发生无法确定推荐中标候选人的其它意外情况，评标委员会可建议招标人重新招标。</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3.5.5如果推荐的第一中标候选人放弃中标、因不可抗力不能履行合同、不按照招标文件要求提交履约保证金，或者被查实存在影响中标结果的违法行为等情形，不符合中标条件的，对该标段，招标人可以按照评标委员会推荐的中标候选人排名顺序依次和第3.5.3款原则确定中标人，或重新组织招标。但第一中标候选人的投标保证金不予退还。</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3.5.6如果推荐的中标候选人因公示被投诉并查证属实存在造假行为的，按否决其投标处理，且没收其投标保证金及信誉保证金；</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如果开标后至中标通知书发出前，推荐的中标候选人被中国银行保险监督委员会通报批评而取消投标资格，则取消其中标资格，按否决其投标处理；</w:t>
      </w:r>
    </w:p>
    <w:p>
      <w:pPr>
        <w:adjustRightInd w:val="0"/>
        <w:snapToGrid w:val="0"/>
        <w:spacing w:line="360" w:lineRule="auto"/>
        <w:ind w:firstLine="420" w:firstLineChars="200"/>
        <w:jc w:val="left"/>
        <w:rPr>
          <w:rFonts w:hint="eastAsia" w:ascii="Times New Roman" w:hAnsi="Times New Roman"/>
          <w:color w:val="auto"/>
          <w:szCs w:val="21"/>
          <w:highlight w:val="none"/>
        </w:rPr>
      </w:pPr>
      <w:r>
        <w:rPr>
          <w:rFonts w:hint="eastAsia" w:ascii="Times New Roman" w:hAnsi="Times New Roman"/>
          <w:color w:val="auto"/>
          <w:szCs w:val="21"/>
          <w:highlight w:val="none"/>
        </w:rPr>
        <w:t>发生以上情况时，招标人按照评标委员会推荐的中标候选人排名顺序依次和第3.5.3款原则确定中标人，或重新组织招标。</w:t>
      </w:r>
    </w:p>
    <w:p>
      <w:pPr>
        <w:adjustRightInd w:val="0"/>
        <w:snapToGrid w:val="0"/>
        <w:spacing w:line="360" w:lineRule="auto"/>
        <w:ind w:firstLine="420" w:firstLineChars="200"/>
        <w:jc w:val="left"/>
        <w:rPr>
          <w:rFonts w:ascii="Times New Roman" w:hAnsi="Times New Roman"/>
          <w:color w:val="auto"/>
          <w:szCs w:val="21"/>
          <w:highlight w:val="none"/>
        </w:rPr>
      </w:pPr>
      <w:r>
        <w:rPr>
          <w:rFonts w:hint="eastAsia" w:ascii="Times New Roman" w:hAnsi="Times New Roman"/>
          <w:color w:val="auto"/>
          <w:szCs w:val="21"/>
          <w:highlight w:val="none"/>
        </w:rPr>
        <w:t>3.5.7</w:t>
      </w:r>
      <w:r>
        <w:rPr>
          <w:rFonts w:ascii="Times New Roman" w:hAnsi="Times New Roman"/>
          <w:color w:val="auto"/>
          <w:szCs w:val="21"/>
          <w:highlight w:val="none"/>
        </w:rPr>
        <w:t>通过第一信封商务文件和</w:t>
      </w:r>
      <w:r>
        <w:rPr>
          <w:rFonts w:hint="eastAsia" w:ascii="Times New Roman" w:hAnsi="Times New Roman"/>
          <w:color w:val="auto"/>
          <w:szCs w:val="21"/>
          <w:highlight w:val="none"/>
          <w:lang w:val="en-US" w:eastAsia="zh-CN"/>
        </w:rPr>
        <w:t>方案</w:t>
      </w:r>
      <w:r>
        <w:rPr>
          <w:rFonts w:ascii="Times New Roman" w:hAnsi="Times New Roman"/>
          <w:color w:val="auto"/>
          <w:szCs w:val="21"/>
          <w:highlight w:val="none"/>
        </w:rPr>
        <w:t>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pPr>
        <w:adjustRightInd w:val="0"/>
        <w:snapToGrid w:val="0"/>
        <w:spacing w:line="360" w:lineRule="auto"/>
        <w:ind w:firstLine="420" w:firstLineChars="200"/>
        <w:rPr>
          <w:rFonts w:ascii="Times New Roman" w:hAnsi="Times New Roman"/>
          <w:color w:val="auto"/>
          <w:szCs w:val="21"/>
          <w:highlight w:val="none"/>
        </w:rPr>
      </w:pPr>
      <w:r>
        <w:rPr>
          <w:rFonts w:hint="eastAsia" w:ascii="Times New Roman" w:hAnsi="Times New Roman"/>
          <w:color w:val="auto"/>
          <w:szCs w:val="21"/>
          <w:highlight w:val="none"/>
        </w:rPr>
        <w:t>3.5</w:t>
      </w:r>
      <w:r>
        <w:rPr>
          <w:rFonts w:ascii="Times New Roman" w:hAnsi="Times New Roman"/>
          <w:color w:val="auto"/>
          <w:szCs w:val="21"/>
          <w:highlight w:val="none"/>
        </w:rPr>
        <w:t>.</w:t>
      </w:r>
      <w:r>
        <w:rPr>
          <w:rFonts w:hint="eastAsia" w:ascii="Times New Roman" w:hAnsi="Times New Roman"/>
          <w:color w:val="auto"/>
          <w:szCs w:val="21"/>
          <w:highlight w:val="none"/>
        </w:rPr>
        <w:t>8</w:t>
      </w:r>
      <w:r>
        <w:rPr>
          <w:rFonts w:ascii="Times New Roman" w:hAnsi="Times New Roman"/>
          <w:color w:val="auto"/>
          <w:szCs w:val="21"/>
          <w:highlight w:val="none"/>
        </w:rPr>
        <w:t>通过第一信封商务文件和</w:t>
      </w:r>
      <w:r>
        <w:rPr>
          <w:rFonts w:hint="eastAsia" w:ascii="Times New Roman" w:hAnsi="Times New Roman"/>
          <w:color w:val="auto"/>
          <w:szCs w:val="21"/>
          <w:highlight w:val="none"/>
          <w:lang w:val="en-US" w:eastAsia="zh-CN"/>
        </w:rPr>
        <w:t>方案</w:t>
      </w:r>
      <w:r>
        <w:rPr>
          <w:rFonts w:ascii="Times New Roman" w:hAnsi="Times New Roman"/>
          <w:color w:val="auto"/>
          <w:szCs w:val="21"/>
          <w:highlight w:val="none"/>
        </w:rPr>
        <w:t>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pPr>
        <w:keepNext w:val="0"/>
        <w:keepLines w:val="0"/>
        <w:pageBreakBefore w:val="0"/>
        <w:widowControl/>
        <w:numPr>
          <w:ilvl w:val="0"/>
          <w:numId w:val="0"/>
        </w:numPr>
        <w:kinsoku/>
        <w:wordWrap/>
        <w:overflowPunct/>
        <w:topLinePunct w:val="0"/>
        <w:autoSpaceDE/>
        <w:autoSpaceDN/>
        <w:bidi w:val="0"/>
        <w:adjustRightInd/>
        <w:snapToGrid/>
        <w:spacing w:before="0" w:beforeLines="0" w:line="360" w:lineRule="auto"/>
        <w:ind w:left="0" w:leftChars="0" w:right="0" w:rightChars="0"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en-US" w:eastAsia="zh-CN"/>
        </w:rPr>
        <w:t>4.本招标文件规定的否决投标条款包含在以下条款：</w:t>
      </w:r>
    </w:p>
    <w:p>
      <w:pPr>
        <w:keepNext w:val="0"/>
        <w:keepLines w:val="0"/>
        <w:pageBreakBefore w:val="0"/>
        <w:widowControl/>
        <w:numPr>
          <w:ilvl w:val="0"/>
          <w:numId w:val="0"/>
        </w:numPr>
        <w:kinsoku/>
        <w:wordWrap/>
        <w:overflowPunct/>
        <w:topLinePunct w:val="0"/>
        <w:autoSpaceDE/>
        <w:autoSpaceDN/>
        <w:bidi w:val="0"/>
        <w:adjustRightInd/>
        <w:snapToGrid/>
        <w:spacing w:before="0" w:beforeLines="0" w:line="360" w:lineRule="auto"/>
        <w:ind w:left="0" w:leftChars="0" w:right="0" w:rightChars="0"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4.1招标公告3.3</w:t>
      </w:r>
      <w:r>
        <w:rPr>
          <w:rFonts w:hint="eastAsia" w:ascii="宋体" w:hAnsi="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3.5</w:t>
      </w:r>
      <w:r>
        <w:rPr>
          <w:rFonts w:hint="eastAsia" w:ascii="宋体" w:hAnsi="宋体" w:eastAsia="宋体" w:cs="宋体"/>
          <w:strike w:val="0"/>
          <w:color w:val="auto"/>
          <w:kern w:val="0"/>
          <w:szCs w:val="21"/>
          <w:highlight w:val="none"/>
          <w:lang w:val="zh-CN"/>
        </w:rPr>
        <w:t>款；</w:t>
      </w:r>
    </w:p>
    <w:p>
      <w:pPr>
        <w:keepNext w:val="0"/>
        <w:keepLines w:val="0"/>
        <w:pageBreakBefore w:val="0"/>
        <w:widowControl/>
        <w:numPr>
          <w:ilvl w:val="0"/>
          <w:numId w:val="0"/>
        </w:numPr>
        <w:kinsoku/>
        <w:wordWrap/>
        <w:overflowPunct/>
        <w:topLinePunct w:val="0"/>
        <w:autoSpaceDE/>
        <w:autoSpaceDN/>
        <w:bidi w:val="0"/>
        <w:adjustRightInd/>
        <w:snapToGrid/>
        <w:spacing w:before="0" w:beforeLines="0" w:line="360" w:lineRule="auto"/>
        <w:ind w:left="0" w:leftChars="0" w:right="0" w:rightChars="0"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4.2投标人须知</w:t>
      </w:r>
      <w:r>
        <w:rPr>
          <w:rFonts w:hint="eastAsia" w:ascii="宋体" w:hAnsi="宋体" w:eastAsia="宋体" w:cs="宋体"/>
          <w:strike w:val="0"/>
          <w:color w:val="auto"/>
          <w:kern w:val="0"/>
          <w:szCs w:val="21"/>
          <w:highlight w:val="none"/>
          <w:lang w:val="en-US" w:eastAsia="zh-CN"/>
        </w:rPr>
        <w:t>1.3.3、1.7.2、2.1.2、3.1、3.3.2、3.3.5、4.2.3、9.1.2</w:t>
      </w:r>
      <w:r>
        <w:rPr>
          <w:rFonts w:hint="eastAsia" w:ascii="宋体" w:hAnsi="宋体" w:eastAsia="宋体" w:cs="宋体"/>
          <w:strike w:val="0"/>
          <w:color w:val="auto"/>
          <w:kern w:val="0"/>
          <w:szCs w:val="21"/>
          <w:highlight w:val="none"/>
          <w:lang w:val="zh-CN"/>
        </w:rPr>
        <w:t>款；</w:t>
      </w:r>
    </w:p>
    <w:p>
      <w:pPr>
        <w:keepNext w:val="0"/>
        <w:keepLines w:val="0"/>
        <w:pageBreakBefore w:val="0"/>
        <w:kinsoku/>
        <w:wordWrap/>
        <w:overflowPunct/>
        <w:topLinePunct w:val="0"/>
        <w:autoSpaceDE/>
        <w:autoSpaceDN/>
        <w:bidi w:val="0"/>
        <w:adjustRightInd/>
        <w:snapToGrid/>
        <w:spacing w:before="0" w:beforeLines="0" w:line="360" w:lineRule="auto"/>
        <w:ind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zh-CN"/>
        </w:rPr>
        <w:t>4.3评标办法</w:t>
      </w:r>
    </w:p>
    <w:p>
      <w:pPr>
        <w:keepNext w:val="0"/>
        <w:keepLines w:val="0"/>
        <w:pageBreakBefore w:val="0"/>
        <w:kinsoku/>
        <w:wordWrap/>
        <w:overflowPunct/>
        <w:topLinePunct w:val="0"/>
        <w:autoSpaceDE/>
        <w:autoSpaceDN/>
        <w:bidi w:val="0"/>
        <w:adjustRightInd/>
        <w:snapToGrid/>
        <w:spacing w:before="0" w:beforeLines="0" w:line="360" w:lineRule="auto"/>
        <w:ind w:firstLine="420" w:firstLineChars="200"/>
        <w:jc w:val="both"/>
        <w:textAlignment w:val="auto"/>
        <w:rPr>
          <w:rFonts w:hint="eastAsia" w:ascii="宋体" w:hAnsi="宋体" w:eastAsia="宋体" w:cs="宋体"/>
          <w:strike w:val="0"/>
          <w:color w:val="auto"/>
          <w:kern w:val="0"/>
          <w:szCs w:val="21"/>
          <w:highlight w:val="none"/>
          <w:lang w:val="zh-CN"/>
        </w:rPr>
      </w:pPr>
      <w:r>
        <w:rPr>
          <w:rFonts w:hint="eastAsia" w:ascii="宋体" w:hAnsi="宋体" w:eastAsia="宋体" w:cs="宋体"/>
          <w:strike w:val="0"/>
          <w:color w:val="auto"/>
          <w:kern w:val="0"/>
          <w:szCs w:val="21"/>
          <w:highlight w:val="none"/>
          <w:lang w:val="en-US" w:eastAsia="zh-CN"/>
        </w:rPr>
        <w:t>4.3.1</w:t>
      </w:r>
      <w:r>
        <w:rPr>
          <w:rFonts w:hint="eastAsia" w:ascii="宋体" w:hAnsi="宋体" w:cs="宋体"/>
          <w:strike w:val="0"/>
          <w:color w:val="auto"/>
          <w:kern w:val="0"/>
          <w:szCs w:val="21"/>
          <w:highlight w:val="none"/>
          <w:lang w:val="en-US" w:eastAsia="zh-CN"/>
        </w:rPr>
        <w:t>评标办法正文</w:t>
      </w:r>
      <w:r>
        <w:rPr>
          <w:rFonts w:hint="eastAsia" w:ascii="宋体" w:hAnsi="宋体" w:eastAsia="宋体" w:cs="宋体"/>
          <w:strike w:val="0"/>
          <w:color w:val="auto"/>
          <w:kern w:val="0"/>
          <w:szCs w:val="21"/>
          <w:highlight w:val="none"/>
          <w:lang w:val="zh-CN"/>
        </w:rPr>
        <w:t>3.</w:t>
      </w:r>
      <w:r>
        <w:rPr>
          <w:rFonts w:hint="eastAsia" w:ascii="宋体" w:hAnsi="宋体" w:eastAsia="宋体" w:cs="宋体"/>
          <w:strike w:val="0"/>
          <w:color w:val="auto"/>
          <w:kern w:val="0"/>
          <w:szCs w:val="21"/>
          <w:highlight w:val="none"/>
          <w:lang w:val="en-US" w:eastAsia="zh-CN"/>
        </w:rPr>
        <w:t>3.4</w:t>
      </w:r>
      <w:r>
        <w:rPr>
          <w:rFonts w:hint="eastAsia" w:ascii="宋体" w:hAnsi="宋体" w:eastAsia="宋体" w:cs="宋体"/>
          <w:strike w:val="0"/>
          <w:color w:val="auto"/>
          <w:kern w:val="0"/>
          <w:szCs w:val="21"/>
          <w:highlight w:val="none"/>
          <w:lang w:val="zh-CN"/>
        </w:rPr>
        <w:t>、</w:t>
      </w:r>
      <w:r>
        <w:rPr>
          <w:rFonts w:hint="eastAsia" w:ascii="宋体" w:hAnsi="宋体" w:cs="宋体"/>
          <w:strike w:val="0"/>
          <w:color w:val="auto"/>
          <w:kern w:val="0"/>
          <w:szCs w:val="21"/>
          <w:highlight w:val="none"/>
          <w:lang w:val="en-US" w:eastAsia="zh-CN"/>
        </w:rPr>
        <w:t>3.5.6、</w:t>
      </w:r>
      <w:r>
        <w:rPr>
          <w:rFonts w:hint="eastAsia" w:ascii="宋体" w:hAnsi="宋体" w:eastAsia="宋体" w:cs="宋体"/>
          <w:strike w:val="0"/>
          <w:color w:val="auto"/>
          <w:kern w:val="0"/>
          <w:szCs w:val="21"/>
          <w:highlight w:val="none"/>
          <w:lang w:val="zh-CN"/>
        </w:rPr>
        <w:t>3.</w:t>
      </w:r>
      <w:r>
        <w:rPr>
          <w:rFonts w:hint="eastAsia" w:ascii="宋体" w:hAnsi="宋体" w:cs="宋体"/>
          <w:strike w:val="0"/>
          <w:color w:val="auto"/>
          <w:kern w:val="0"/>
          <w:szCs w:val="21"/>
          <w:highlight w:val="none"/>
          <w:lang w:val="en-US" w:eastAsia="zh-CN"/>
        </w:rPr>
        <w:t>5.7</w:t>
      </w:r>
      <w:r>
        <w:rPr>
          <w:rFonts w:hint="eastAsia" w:ascii="宋体" w:hAnsi="宋体" w:eastAsia="宋体" w:cs="宋体"/>
          <w:strike w:val="0"/>
          <w:color w:val="auto"/>
          <w:kern w:val="0"/>
          <w:szCs w:val="21"/>
          <w:highlight w:val="none"/>
          <w:lang w:val="zh-CN"/>
        </w:rPr>
        <w:t>、3.</w:t>
      </w:r>
      <w:r>
        <w:rPr>
          <w:rFonts w:hint="eastAsia" w:ascii="宋体" w:hAnsi="宋体" w:cs="宋体"/>
          <w:strike w:val="0"/>
          <w:color w:val="auto"/>
          <w:kern w:val="0"/>
          <w:szCs w:val="21"/>
          <w:highlight w:val="none"/>
          <w:lang w:val="en-US" w:eastAsia="zh-CN"/>
        </w:rPr>
        <w:t>5.8</w:t>
      </w:r>
      <w:r>
        <w:rPr>
          <w:rFonts w:hint="eastAsia" w:ascii="宋体" w:hAnsi="宋体" w:eastAsia="宋体" w:cs="宋体"/>
          <w:strike w:val="0"/>
          <w:color w:val="auto"/>
          <w:kern w:val="0"/>
          <w:szCs w:val="21"/>
          <w:highlight w:val="none"/>
          <w:lang w:val="zh-CN"/>
        </w:rPr>
        <w:t>款。</w:t>
      </w:r>
    </w:p>
    <w:p>
      <w:pPr>
        <w:pStyle w:val="3"/>
        <w:rPr>
          <w:rFonts w:hint="eastAsia" w:ascii="宋体" w:hAnsi="宋体" w:eastAsia="宋体" w:cs="宋体"/>
          <w:strike w:val="0"/>
          <w:color w:val="auto"/>
          <w:kern w:val="0"/>
          <w:szCs w:val="21"/>
          <w:highlight w:val="none"/>
          <w:lang w:val="zh-CN"/>
        </w:rPr>
      </w:pPr>
      <w:r>
        <w:rPr>
          <w:rFonts w:hint="eastAsia" w:ascii="宋体" w:hAnsi="宋体" w:cs="宋体"/>
          <w:strike w:val="0"/>
          <w:color w:val="auto"/>
          <w:kern w:val="0"/>
          <w:szCs w:val="21"/>
          <w:highlight w:val="none"/>
          <w:lang w:val="en-US" w:eastAsia="zh-CN"/>
        </w:rPr>
        <w:t>4.4</w:t>
      </w:r>
      <w:r>
        <w:rPr>
          <w:rFonts w:hint="eastAsia" w:ascii="宋体" w:hAnsi="宋体" w:eastAsia="宋体" w:cs="宋体"/>
          <w:strike w:val="0"/>
          <w:color w:val="auto"/>
          <w:kern w:val="0"/>
          <w:szCs w:val="21"/>
          <w:highlight w:val="none"/>
          <w:lang w:val="zh-CN"/>
        </w:rPr>
        <w:t>法律、法规及招标文件等规定的其它否决投标的情形。</w:t>
      </w:r>
    </w:p>
    <w:p>
      <w:r>
        <w:rPr>
          <w:rFonts w:hint="eastAsia" w:ascii="宋体" w:hAnsi="宋体" w:eastAsia="宋体" w:cs="宋体"/>
          <w:strike w:val="0"/>
          <w:color w:val="auto"/>
          <w:kern w:val="0"/>
          <w:szCs w:val="21"/>
          <w:highlight w:val="none"/>
          <w:lang w:val="zh-CN"/>
        </w:rPr>
        <w:br w:type="page"/>
      </w:r>
    </w:p>
    <w:p>
      <w:pPr>
        <w:rPr>
          <w:rFonts w:ascii="Times New Roman" w:hAnsi="Times New Roman"/>
          <w:color w:val="auto"/>
          <w:sz w:val="32"/>
          <w:szCs w:val="32"/>
          <w:highlight w:val="none"/>
        </w:rPr>
      </w:pPr>
      <w:r>
        <w:rPr>
          <w:rFonts w:ascii="Times New Roman" w:hAnsi="Times New Roman"/>
          <w:color w:val="auto"/>
          <w:sz w:val="32"/>
          <w:szCs w:val="32"/>
          <w:highlight w:val="none"/>
        </w:rPr>
        <w:t>附件</w:t>
      </w:r>
      <w:r>
        <w:rPr>
          <w:rFonts w:hint="eastAsia" w:ascii="Times New Roman" w:hAnsi="Times New Roman"/>
          <w:color w:val="auto"/>
          <w:sz w:val="32"/>
          <w:szCs w:val="32"/>
          <w:highlight w:val="none"/>
          <w:lang w:val="en-US" w:eastAsia="zh-CN"/>
        </w:rPr>
        <w:t>3</w:t>
      </w:r>
      <w:r>
        <w:rPr>
          <w:rFonts w:ascii="Times New Roman" w:hAnsi="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Lines="0" w:after="313" w:afterLines="100"/>
        <w:jc w:val="center"/>
        <w:textAlignment w:val="auto"/>
        <w:rPr>
          <w:rFonts w:hint="eastAsia" w:ascii="仿宋" w:hAnsi="仿宋" w:eastAsia="仿宋"/>
          <w:sz w:val="40"/>
          <w:szCs w:val="24"/>
        </w:rPr>
      </w:pPr>
      <w:r>
        <w:rPr>
          <w:rFonts w:hint="eastAsia" w:ascii="仿宋" w:hAnsi="仿宋" w:eastAsia="仿宋"/>
          <w:sz w:val="40"/>
          <w:szCs w:val="24"/>
        </w:rPr>
        <w:t>招标文件发放登记表</w:t>
      </w:r>
    </w:p>
    <w:p>
      <w:pPr>
        <w:keepNext w:val="0"/>
        <w:keepLines w:val="0"/>
        <w:pageBreakBefore w:val="0"/>
        <w:widowControl w:val="0"/>
        <w:kinsoku/>
        <w:wordWrap/>
        <w:overflowPunct/>
        <w:topLinePunct w:val="0"/>
        <w:autoSpaceDE/>
        <w:autoSpaceDN/>
        <w:bidi w:val="0"/>
        <w:adjustRightInd/>
        <w:snapToGrid/>
        <w:spacing w:beforeLines="0" w:after="313" w:afterLines="100"/>
        <w:jc w:val="left"/>
        <w:textAlignment w:val="auto"/>
        <w:rPr>
          <w:rFonts w:hint="eastAsia" w:ascii="仿宋" w:hAnsi="仿宋" w:eastAsia="仿宋"/>
          <w:sz w:val="24"/>
          <w:szCs w:val="24"/>
        </w:rPr>
      </w:pPr>
      <w:r>
        <w:rPr>
          <w:rFonts w:hint="eastAsia" w:ascii="仿宋" w:hAnsi="仿宋" w:eastAsia="仿宋"/>
          <w:sz w:val="24"/>
          <w:szCs w:val="24"/>
        </w:rPr>
        <w:t>招标项目名称：广东交通实业投资有限公司</w:t>
      </w:r>
      <w:r>
        <w:rPr>
          <w:rFonts w:hint="eastAsia" w:ascii="仿宋" w:hAnsi="仿宋" w:eastAsia="仿宋"/>
          <w:sz w:val="24"/>
          <w:szCs w:val="24"/>
          <w:lang w:eastAsia="zh-CN"/>
        </w:rPr>
        <w:t>2023~2024</w:t>
      </w:r>
      <w:r>
        <w:rPr>
          <w:rFonts w:hint="eastAsia" w:ascii="仿宋" w:hAnsi="仿宋" w:eastAsia="仿宋"/>
          <w:sz w:val="24"/>
          <w:szCs w:val="24"/>
        </w:rPr>
        <w:t>年度车辆保险采购项目</w:t>
      </w:r>
    </w:p>
    <w:p>
      <w:pPr>
        <w:keepNext w:val="0"/>
        <w:keepLines w:val="0"/>
        <w:pageBreakBefore w:val="0"/>
        <w:widowControl w:val="0"/>
        <w:kinsoku/>
        <w:wordWrap/>
        <w:overflowPunct/>
        <w:topLinePunct w:val="0"/>
        <w:autoSpaceDE/>
        <w:autoSpaceDN/>
        <w:bidi w:val="0"/>
        <w:adjustRightInd/>
        <w:snapToGrid/>
        <w:spacing w:beforeLines="0" w:after="313" w:afterLines="100"/>
        <w:jc w:val="left"/>
        <w:textAlignment w:val="auto"/>
        <w:rPr>
          <w:rFonts w:hint="eastAsia" w:ascii="仿宋" w:hAnsi="仿宋" w:eastAsia="仿宋"/>
          <w:sz w:val="24"/>
          <w:szCs w:val="24"/>
        </w:rPr>
      </w:pPr>
      <w:r>
        <w:rPr>
          <w:rFonts w:hint="eastAsia" w:ascii="仿宋" w:hAnsi="仿宋" w:eastAsia="仿宋"/>
          <w:sz w:val="24"/>
          <w:szCs w:val="24"/>
        </w:rPr>
        <w:t>招标项目编号：</w:t>
      </w:r>
    </w:p>
    <w:p>
      <w:pPr>
        <w:pStyle w:val="3"/>
        <w:keepNext w:val="0"/>
        <w:keepLines w:val="0"/>
        <w:pageBreakBefore w:val="0"/>
        <w:widowControl w:val="0"/>
        <w:kinsoku/>
        <w:wordWrap/>
        <w:overflowPunct/>
        <w:topLinePunct w:val="0"/>
        <w:autoSpaceDE/>
        <w:autoSpaceDN/>
        <w:bidi w:val="0"/>
        <w:adjustRightInd/>
        <w:snapToGrid/>
        <w:spacing w:after="313" w:afterLines="100"/>
        <w:ind w:left="0" w:leftChars="0" w:firstLine="0" w:firstLineChars="0"/>
        <w:textAlignment w:val="auto"/>
        <w:rPr>
          <w:rFonts w:hint="eastAsia" w:ascii="仿宋" w:hAnsi="仿宋" w:eastAsia="仿宋"/>
          <w:sz w:val="24"/>
          <w:szCs w:val="24"/>
        </w:rPr>
      </w:pPr>
      <w:r>
        <w:rPr>
          <w:rFonts w:hint="eastAsia" w:ascii="仿宋" w:hAnsi="仿宋" w:eastAsia="仿宋"/>
          <w:sz w:val="24"/>
          <w:szCs w:val="24"/>
        </w:rPr>
        <w:t>投标登记时间：202</w:t>
      </w:r>
      <w:r>
        <w:rPr>
          <w:rFonts w:hint="eastAsia" w:ascii="仿宋" w:hAnsi="仿宋" w:eastAsia="仿宋"/>
          <w:sz w:val="24"/>
          <w:szCs w:val="24"/>
          <w:lang w:val="en-US" w:eastAsia="zh-CN"/>
        </w:rPr>
        <w:t>3</w:t>
      </w:r>
      <w:r>
        <w:rPr>
          <w:rFonts w:hint="eastAsia" w:ascii="仿宋" w:hAnsi="仿宋" w:eastAsia="仿宋"/>
          <w:sz w:val="24"/>
          <w:szCs w:val="24"/>
        </w:rPr>
        <w:t>年1月</w:t>
      </w:r>
      <w:r>
        <w:rPr>
          <w:rFonts w:hint="eastAsia" w:ascii="仿宋" w:hAnsi="仿宋" w:eastAsia="仿宋"/>
          <w:sz w:val="24"/>
          <w:szCs w:val="24"/>
          <w:lang w:val="en-US" w:eastAsia="zh-CN"/>
        </w:rPr>
        <w:t>11</w:t>
      </w:r>
      <w:r>
        <w:rPr>
          <w:rFonts w:hint="eastAsia" w:ascii="仿宋" w:hAnsi="仿宋" w:eastAsia="仿宋"/>
          <w:sz w:val="24"/>
          <w:szCs w:val="24"/>
        </w:rPr>
        <w:t>日～202</w:t>
      </w:r>
      <w:r>
        <w:rPr>
          <w:rFonts w:hint="eastAsia" w:ascii="仿宋" w:hAnsi="仿宋" w:eastAsia="仿宋"/>
          <w:sz w:val="24"/>
          <w:szCs w:val="24"/>
          <w:lang w:val="en-US" w:eastAsia="zh-CN"/>
        </w:rPr>
        <w:t>3</w:t>
      </w:r>
      <w:r>
        <w:rPr>
          <w:rFonts w:hint="eastAsia" w:ascii="仿宋" w:hAnsi="仿宋" w:eastAsia="仿宋"/>
          <w:sz w:val="24"/>
          <w:szCs w:val="24"/>
        </w:rPr>
        <w:t>年1月</w:t>
      </w:r>
      <w:r>
        <w:rPr>
          <w:rFonts w:hint="eastAsia" w:ascii="仿宋" w:hAnsi="仿宋" w:eastAsia="仿宋"/>
          <w:sz w:val="24"/>
          <w:szCs w:val="24"/>
          <w:lang w:val="en-US" w:eastAsia="zh-CN"/>
        </w:rPr>
        <w:t>17</w:t>
      </w:r>
      <w:r>
        <w:rPr>
          <w:rFonts w:hint="eastAsia" w:ascii="仿宋" w:hAnsi="仿宋" w:eastAsia="仿宋"/>
          <w:sz w:val="24"/>
          <w:szCs w:val="24"/>
        </w:rPr>
        <w:t>日</w:t>
      </w:r>
      <w:r>
        <w:rPr>
          <w:rFonts w:hint="eastAsia" w:ascii="仿宋" w:hAnsi="仿宋" w:eastAsia="仿宋"/>
          <w:sz w:val="24"/>
          <w:szCs w:val="24"/>
          <w:lang w:val="en-US" w:eastAsia="zh-CN"/>
        </w:rPr>
        <w:t xml:space="preserve">   </w:t>
      </w:r>
      <w:r>
        <w:rPr>
          <w:rFonts w:hint="eastAsia" w:ascii="仿宋" w:hAnsi="仿宋" w:eastAsia="仿宋"/>
          <w:sz w:val="24"/>
          <w:szCs w:val="24"/>
        </w:rPr>
        <w:t>第1 页</w:t>
      </w:r>
      <w:r>
        <w:rPr>
          <w:rFonts w:hint="eastAsia" w:ascii="仿宋" w:hAnsi="仿宋" w:eastAsia="仿宋"/>
          <w:sz w:val="24"/>
          <w:szCs w:val="24"/>
          <w:lang w:val="en-US" w:eastAsia="zh-CN"/>
        </w:rPr>
        <w:t xml:space="preserve">  </w:t>
      </w:r>
      <w:r>
        <w:rPr>
          <w:rFonts w:hint="eastAsia" w:ascii="仿宋" w:hAnsi="仿宋" w:eastAsia="仿宋"/>
          <w:sz w:val="24"/>
          <w:szCs w:val="24"/>
        </w:rPr>
        <w:t>共1 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7" w:hRule="atLeast"/>
        </w:trPr>
        <w:tc>
          <w:tcPr>
            <w:tcW w:w="4261" w:type="dxa"/>
            <w:vAlign w:val="center"/>
          </w:tcPr>
          <w:p>
            <w:pPr>
              <w:jc w:val="center"/>
              <w:rPr>
                <w:vertAlign w:val="baseline"/>
              </w:rPr>
            </w:pPr>
            <w:r>
              <w:rPr>
                <w:rFonts w:hint="eastAsia" w:ascii="仿宋" w:hAnsi="仿宋" w:eastAsia="仿宋"/>
                <w:sz w:val="24"/>
                <w:szCs w:val="24"/>
              </w:rPr>
              <w:t>投标人名称（盖章）</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74" w:hRule="atLeast"/>
        </w:trPr>
        <w:tc>
          <w:tcPr>
            <w:tcW w:w="4261" w:type="dxa"/>
            <w:vAlign w:val="center"/>
          </w:tcPr>
          <w:p>
            <w:pPr>
              <w:jc w:val="center"/>
              <w:rPr>
                <w:vertAlign w:val="baseline"/>
              </w:rPr>
            </w:pPr>
            <w:r>
              <w:rPr>
                <w:rFonts w:hint="eastAsia" w:ascii="仿宋" w:hAnsi="仿宋" w:eastAsia="仿宋"/>
                <w:sz w:val="24"/>
                <w:szCs w:val="24"/>
              </w:rPr>
              <w:t>统一社会信用代码</w:t>
            </w:r>
          </w:p>
        </w:tc>
        <w:tc>
          <w:tcPr>
            <w:tcW w:w="4261" w:type="dxa"/>
          </w:tcPr>
          <w:p>
            <w:pPr>
              <w:jc w:val="center"/>
              <w:rPr>
                <w:vertAlign w:val="baseline"/>
              </w:rPr>
            </w:pP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5" w:hRule="atLeast"/>
        </w:trPr>
        <w:tc>
          <w:tcPr>
            <w:tcW w:w="4261" w:type="dxa"/>
            <w:vAlign w:val="center"/>
          </w:tcPr>
          <w:p>
            <w:pPr>
              <w:jc w:val="center"/>
              <w:rPr>
                <w:vertAlign w:val="baseline"/>
              </w:rPr>
            </w:pPr>
            <w:r>
              <w:rPr>
                <w:rFonts w:hint="eastAsia" w:ascii="仿宋" w:hAnsi="仿宋" w:eastAsia="仿宋"/>
                <w:sz w:val="24"/>
                <w:szCs w:val="24"/>
              </w:rPr>
              <w:t>企业编号</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6" w:hRule="atLeast"/>
        </w:trPr>
        <w:tc>
          <w:tcPr>
            <w:tcW w:w="4261" w:type="dxa"/>
            <w:vAlign w:val="center"/>
          </w:tcPr>
          <w:p>
            <w:pPr>
              <w:jc w:val="center"/>
              <w:rPr>
                <w:vertAlign w:val="baseline"/>
              </w:rPr>
            </w:pPr>
            <w:r>
              <w:rPr>
                <w:rFonts w:hint="eastAsia" w:ascii="仿宋" w:hAnsi="仿宋" w:eastAsia="仿宋"/>
                <w:sz w:val="24"/>
                <w:szCs w:val="24"/>
              </w:rPr>
              <w:t>联系人</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4" w:hRule="atLeast"/>
        </w:trPr>
        <w:tc>
          <w:tcPr>
            <w:tcW w:w="4261" w:type="dxa"/>
            <w:vAlign w:val="center"/>
          </w:tcPr>
          <w:p>
            <w:pPr>
              <w:jc w:val="center"/>
              <w:rPr>
                <w:vertAlign w:val="baseline"/>
              </w:rPr>
            </w:pPr>
            <w:r>
              <w:rPr>
                <w:rFonts w:hint="eastAsia" w:ascii="仿宋" w:hAnsi="仿宋" w:eastAsia="仿宋"/>
                <w:sz w:val="24"/>
                <w:szCs w:val="24"/>
              </w:rPr>
              <w:t>联系电话（手机）</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87" w:hRule="atLeast"/>
        </w:trPr>
        <w:tc>
          <w:tcPr>
            <w:tcW w:w="4261" w:type="dxa"/>
            <w:vAlign w:val="center"/>
          </w:tcPr>
          <w:p>
            <w:pPr>
              <w:jc w:val="center"/>
              <w:rPr>
                <w:vertAlign w:val="baseline"/>
              </w:rPr>
            </w:pPr>
            <w:r>
              <w:rPr>
                <w:rFonts w:hint="eastAsia" w:ascii="仿宋" w:hAnsi="仿宋" w:eastAsia="仿宋"/>
                <w:sz w:val="24"/>
                <w:szCs w:val="24"/>
              </w:rPr>
              <w:t>传真</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17" w:hRule="atLeast"/>
        </w:trPr>
        <w:tc>
          <w:tcPr>
            <w:tcW w:w="4261" w:type="dxa"/>
            <w:vAlign w:val="center"/>
          </w:tcPr>
          <w:p>
            <w:pPr>
              <w:jc w:val="center"/>
              <w:rPr>
                <w:vertAlign w:val="baseline"/>
              </w:rPr>
            </w:pPr>
            <w:r>
              <w:rPr>
                <w:rFonts w:hint="eastAsia" w:ascii="仿宋" w:hAnsi="仿宋" w:eastAsia="仿宋"/>
                <w:sz w:val="24"/>
                <w:szCs w:val="24"/>
              </w:rPr>
              <w:t>是否提交书面文件</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45" w:hRule="atLeast"/>
        </w:trPr>
        <w:tc>
          <w:tcPr>
            <w:tcW w:w="4261" w:type="dxa"/>
            <w:vAlign w:val="center"/>
          </w:tcPr>
          <w:p>
            <w:pPr>
              <w:jc w:val="center"/>
              <w:rPr>
                <w:vertAlign w:val="baseline"/>
              </w:rPr>
            </w:pPr>
            <w:r>
              <w:rPr>
                <w:rFonts w:hint="eastAsia" w:ascii="仿宋" w:hAnsi="仿宋" w:eastAsia="仿宋"/>
                <w:sz w:val="24"/>
                <w:szCs w:val="24"/>
              </w:rPr>
              <w:t>电子邮箱</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1140" w:hRule="atLeast"/>
        </w:trPr>
        <w:tc>
          <w:tcPr>
            <w:tcW w:w="4261" w:type="dxa"/>
            <w:vAlign w:val="center"/>
          </w:tcPr>
          <w:p>
            <w:pPr>
              <w:jc w:val="center"/>
              <w:rPr>
                <w:rFonts w:hint="eastAsia" w:ascii="仿宋" w:hAnsi="仿宋" w:eastAsia="仿宋"/>
                <w:sz w:val="24"/>
                <w:szCs w:val="24"/>
              </w:rPr>
            </w:pPr>
            <w:r>
              <w:rPr>
                <w:rFonts w:hint="eastAsia" w:ascii="仿宋" w:hAnsi="仿宋" w:eastAsia="仿宋"/>
                <w:sz w:val="24"/>
                <w:szCs w:val="24"/>
              </w:rPr>
              <w:t>投标登记时间</w:t>
            </w:r>
          </w:p>
        </w:tc>
        <w:tc>
          <w:tcPr>
            <w:tcW w:w="4261" w:type="dxa"/>
            <w:vAlign w:val="center"/>
          </w:tcPr>
          <w:p>
            <w:pPr>
              <w:spacing w:beforeLines="0" w:afterLines="0"/>
              <w:jc w:val="center"/>
              <w:rPr>
                <w:rFonts w:hint="eastAsia" w:ascii="仿宋" w:hAnsi="仿宋" w:eastAsia="仿宋"/>
                <w:sz w:val="24"/>
                <w:szCs w:val="24"/>
              </w:rPr>
            </w:pPr>
            <w:r>
              <w:rPr>
                <w:rFonts w:hint="eastAsia" w:ascii="仿宋" w:hAnsi="仿宋" w:eastAsia="仿宋"/>
                <w:sz w:val="24"/>
                <w:szCs w:val="24"/>
              </w:rPr>
              <w:t>202</w:t>
            </w:r>
            <w:r>
              <w:rPr>
                <w:rFonts w:hint="eastAsia" w:ascii="仿宋" w:hAnsi="仿宋" w:eastAsia="仿宋"/>
                <w:sz w:val="24"/>
                <w:szCs w:val="24"/>
                <w:lang w:val="en-US" w:eastAsia="zh-CN"/>
              </w:rPr>
              <w:t>3</w:t>
            </w:r>
            <w:r>
              <w:rPr>
                <w:rFonts w:hint="eastAsia" w:ascii="仿宋" w:hAnsi="仿宋" w:eastAsia="仿宋"/>
                <w:sz w:val="24"/>
                <w:szCs w:val="24"/>
              </w:rPr>
              <w:t>年1月</w:t>
            </w:r>
            <w:r>
              <w:rPr>
                <w:rFonts w:hint="eastAsia" w:ascii="仿宋" w:hAnsi="仿宋" w:eastAsia="仿宋"/>
                <w:sz w:val="24"/>
                <w:szCs w:val="24"/>
                <w:u w:val="single"/>
                <w:lang w:val="en-US" w:eastAsia="zh-CN"/>
              </w:rPr>
              <w:t xml:space="preserve">    </w:t>
            </w:r>
            <w:r>
              <w:rPr>
                <w:rFonts w:hint="eastAsia" w:ascii="仿宋" w:hAnsi="仿宋" w:eastAsia="仿宋"/>
                <w:sz w:val="24"/>
                <w:szCs w:val="24"/>
              </w:rPr>
              <w:t>日</w:t>
            </w:r>
            <w:r>
              <w:rPr>
                <w:rFonts w:hint="eastAsia" w:ascii="仿宋" w:hAnsi="仿宋" w:eastAsia="仿宋"/>
                <w:sz w:val="24"/>
                <w:szCs w:val="24"/>
                <w:u w:val="single"/>
                <w:lang w:val="en-US" w:eastAsia="zh-CN"/>
              </w:rPr>
              <w:t xml:space="preserve">    </w:t>
            </w:r>
            <w:r>
              <w:rPr>
                <w:rFonts w:hint="eastAsia" w:ascii="仿宋" w:hAnsi="仿宋" w:eastAsia="仿宋"/>
                <w:sz w:val="24"/>
                <w:szCs w:val="24"/>
              </w:rPr>
              <w:t>时</w:t>
            </w:r>
          </w:p>
          <w:p>
            <w:pPr>
              <w:spacing w:beforeLines="0" w:afterLines="0"/>
              <w:jc w:val="center"/>
              <w:rPr>
                <w:vertAlign w:val="baseline"/>
              </w:rPr>
            </w:pPr>
            <w:r>
              <w:rPr>
                <w:rFonts w:hint="eastAsia" w:ascii="仿宋" w:hAnsi="仿宋" w:eastAsia="仿宋"/>
                <w:sz w:val="24"/>
                <w:szCs w:val="24"/>
              </w:rPr>
              <w:t>（此处应填写投标人在广州公共交易中心网上投标登记时间）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630" w:hRule="atLeast"/>
        </w:trPr>
        <w:tc>
          <w:tcPr>
            <w:tcW w:w="4261" w:type="dxa"/>
            <w:vAlign w:val="center"/>
          </w:tcPr>
          <w:p>
            <w:pPr>
              <w:jc w:val="center"/>
              <w:rPr>
                <w:rFonts w:hint="eastAsia" w:ascii="仿宋" w:hAnsi="仿宋" w:eastAsia="仿宋"/>
                <w:sz w:val="24"/>
                <w:szCs w:val="24"/>
              </w:rPr>
            </w:pPr>
            <w:r>
              <w:rPr>
                <w:rFonts w:hint="eastAsia" w:ascii="仿宋" w:hAnsi="仿宋" w:eastAsia="仿宋"/>
                <w:sz w:val="24"/>
                <w:szCs w:val="24"/>
              </w:rPr>
              <w:t>投标人的经办人签名</w:t>
            </w:r>
          </w:p>
        </w:tc>
        <w:tc>
          <w:tcPr>
            <w:tcW w:w="4261" w:type="dxa"/>
          </w:tcPr>
          <w:p>
            <w:pPr>
              <w:jc w:val="cente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726" w:hRule="atLeast"/>
        </w:trPr>
        <w:tc>
          <w:tcPr>
            <w:tcW w:w="4261" w:type="dxa"/>
            <w:vAlign w:val="center"/>
          </w:tcPr>
          <w:p>
            <w:pPr>
              <w:jc w:val="center"/>
              <w:rPr>
                <w:rFonts w:hint="eastAsia" w:ascii="仿宋" w:hAnsi="仿宋" w:eastAsia="仿宋"/>
                <w:sz w:val="24"/>
                <w:szCs w:val="24"/>
              </w:rPr>
            </w:pPr>
            <w:r>
              <w:rPr>
                <w:rFonts w:hint="eastAsia" w:ascii="仿宋" w:hAnsi="仿宋" w:eastAsia="仿宋"/>
                <w:sz w:val="24"/>
                <w:szCs w:val="24"/>
              </w:rPr>
              <w:t>备注</w:t>
            </w:r>
          </w:p>
        </w:tc>
        <w:tc>
          <w:tcPr>
            <w:tcW w:w="4261" w:type="dxa"/>
          </w:tcPr>
          <w:p>
            <w:pPr>
              <w:jc w:val="center"/>
              <w:rPr>
                <w:vertAlign w:val="baseline"/>
              </w:rPr>
            </w:pPr>
          </w:p>
        </w:tc>
      </w:tr>
    </w:tbl>
    <w:p>
      <w:pPr>
        <w:keepNext w:val="0"/>
        <w:keepLines w:val="0"/>
        <w:pageBreakBefore w:val="0"/>
        <w:widowControl w:val="0"/>
        <w:kinsoku/>
        <w:wordWrap/>
        <w:overflowPunct/>
        <w:topLinePunct w:val="0"/>
        <w:autoSpaceDE/>
        <w:autoSpaceDN/>
        <w:bidi w:val="0"/>
        <w:adjustRightInd/>
        <w:snapToGrid/>
        <w:spacing w:before="313" w:beforeLines="100"/>
        <w:jc w:val="right"/>
        <w:textAlignment w:val="auto"/>
      </w:pPr>
      <w:r>
        <w:rPr>
          <w:rFonts w:hint="eastAsia" w:ascii="仿宋" w:hAnsi="仿宋" w:eastAsia="仿宋"/>
          <w:sz w:val="24"/>
          <w:szCs w:val="24"/>
        </w:rPr>
        <w:t>受理地点：广州公共资源交易中心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5F77E5"/>
    <w:multiLevelType w:val="multilevel"/>
    <w:tmpl w:val="0B5F77E5"/>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300203F"/>
    <w:multiLevelType w:val="multilevel"/>
    <w:tmpl w:val="4300203F"/>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AD75C6D"/>
    <w:multiLevelType w:val="singleLevel"/>
    <w:tmpl w:val="4AD75C6D"/>
    <w:lvl w:ilvl="0" w:tentative="0">
      <w:start w:val="1"/>
      <w:numFmt w:val="decimal"/>
      <w:suff w:val="nothing"/>
      <w:lvlText w:val="%1、"/>
      <w:lvlJc w:val="left"/>
    </w:lvl>
  </w:abstractNum>
  <w:abstractNum w:abstractNumId="3">
    <w:nsid w:val="4D7B3EB4"/>
    <w:multiLevelType w:val="multilevel"/>
    <w:tmpl w:val="4D7B3EB4"/>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292DA4"/>
    <w:multiLevelType w:val="multilevel"/>
    <w:tmpl w:val="52292DA4"/>
    <w:lvl w:ilvl="0" w:tentative="0">
      <w:start w:val="1"/>
      <w:numFmt w:val="decimalEnclosedParen"/>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3722ACC"/>
    <w:multiLevelType w:val="multilevel"/>
    <w:tmpl w:val="73722AC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代胜果">
    <w15:presenceInfo w15:providerId="None" w15:userId="代胜果"/>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iOTYzNzY4MGVlYTE1NzFmNzgxYTQ5OTg2NGVkNjQifQ=="/>
  </w:docVars>
  <w:rsids>
    <w:rsidRoot w:val="00172A27"/>
    <w:rsid w:val="3443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adjustRightInd w:val="0"/>
      <w:spacing w:before="624" w:beforeLines="200"/>
      <w:ind w:left="2045" w:hanging="425"/>
      <w:jc w:val="center"/>
      <w:outlineLvl w:val="0"/>
    </w:pPr>
    <w:rPr>
      <w:rFonts w:ascii="Times New Roman" w:hAnsi="Times New Roman" w:eastAsia="宋体" w:cs="Times New Roman"/>
      <w:b/>
      <w:sz w:val="24"/>
      <w:szCs w:val="24"/>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Normal Indent"/>
    <w:basedOn w:val="1"/>
    <w:next w:val="1"/>
    <w:uiPriority w:val="0"/>
    <w:pPr>
      <w:ind w:firstLine="420"/>
    </w:pPr>
    <w:rPr>
      <w:szCs w:val="20"/>
    </w:rPr>
  </w:style>
  <w:style w:type="paragraph" w:styleId="4">
    <w:name w:val="Body Text"/>
    <w:basedOn w:val="1"/>
    <w:uiPriority w:val="0"/>
    <w:pPr>
      <w:spacing w:after="120" w:afterLines="0"/>
    </w:pPr>
    <w:rPr>
      <w:rFonts w:cs="Times New Roman"/>
    </w:rPr>
  </w:style>
  <w:style w:type="paragraph" w:styleId="5">
    <w:name w:val="Body Text Indent"/>
    <w:basedOn w:val="1"/>
    <w:qFormat/>
    <w:uiPriority w:val="0"/>
    <w:pPr>
      <w:tabs>
        <w:tab w:val="left" w:pos="0"/>
      </w:tabs>
      <w:spacing w:line="420" w:lineRule="exact"/>
      <w:ind w:firstLine="525"/>
      <w:jc w:val="both"/>
    </w:pPr>
    <w:rPr>
      <w:rFonts w:ascii="仿宋_GB2312" w:hAnsi="Times New Roman" w:eastAsia="仿宋_GB2312"/>
      <w:kern w:val="2"/>
      <w:sz w:val="2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6969</Words>
  <Characters>7469</Characters>
  <Lines>0</Lines>
  <Paragraphs>0</Paragraphs>
  <TotalTime>10</TotalTime>
  <ScaleCrop>false</ScaleCrop>
  <LinksUpToDate>false</LinksUpToDate>
  <CharactersWithSpaces>7534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2023-01-09T09:01:00Z</dcterms:created>
  <dc:creator>满</dc:creator>
  <cp:lastModifiedBy>满</cp:lastModifiedBy>
  <dcterms:modified xsi:type="dcterms:W3CDTF">2023-01-09T10:54:50Z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15302740CF68438B871AB4060E2456CC</vt:lpwstr>
  </property>
</Properties>
</file>