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C8739">
      <w:pPr>
        <w:shd w:val="clear"/>
        <w:jc w:val="both"/>
        <w:rPr>
          <w:rFonts w:hint="eastAsia" w:ascii="宋体" w:hAnsi="宋体" w:eastAsia="宋体" w:cs="宋体"/>
          <w:b/>
          <w:bCs/>
          <w:color w:val="auto"/>
          <w:sz w:val="44"/>
          <w:szCs w:val="44"/>
          <w:highlight w:val="none"/>
          <w:u w:val="none"/>
          <w:lang w:eastAsia="zh-CN"/>
        </w:rPr>
      </w:pPr>
    </w:p>
    <w:p w14:paraId="41183CA7">
      <w:pPr>
        <w:shd w:val="clear"/>
        <w:jc w:val="center"/>
        <w:rPr>
          <w:rFonts w:hint="eastAsia" w:ascii="宋体" w:hAnsi="宋体" w:eastAsia="宋体" w:cs="宋体"/>
          <w:color w:val="auto"/>
          <w:sz w:val="44"/>
          <w:szCs w:val="44"/>
          <w:highlight w:val="none"/>
        </w:rPr>
      </w:pPr>
      <w:r>
        <w:rPr>
          <w:rFonts w:hint="eastAsia" w:ascii="宋体" w:hAnsi="宋体" w:cs="宋体"/>
          <w:b/>
          <w:bCs/>
          <w:color w:val="auto"/>
          <w:sz w:val="44"/>
          <w:szCs w:val="44"/>
          <w:highlight w:val="none"/>
          <w:u w:val="none"/>
          <w:lang w:eastAsia="zh-CN"/>
        </w:rPr>
        <w:t>白云机场北花山镇城区道路承载力优化提升二期项目设计施工总承包</w:t>
      </w:r>
    </w:p>
    <w:p w14:paraId="7E0098EB">
      <w:pPr>
        <w:shd w:val="clear"/>
        <w:spacing w:line="360" w:lineRule="auto"/>
        <w:jc w:val="center"/>
        <w:rPr>
          <w:rFonts w:hint="eastAsia" w:ascii="宋体" w:hAnsi="宋体" w:eastAsia="宋体" w:cs="宋体"/>
          <w:color w:val="auto"/>
          <w:sz w:val="28"/>
          <w:szCs w:val="28"/>
          <w:highlight w:val="none"/>
        </w:rPr>
      </w:pPr>
    </w:p>
    <w:p w14:paraId="7504395E">
      <w:pPr>
        <w:shd w:val="clear"/>
        <w:rPr>
          <w:rFonts w:hint="eastAsia" w:ascii="宋体" w:hAnsi="宋体" w:eastAsia="宋体" w:cs="宋体"/>
          <w:color w:val="auto"/>
          <w:sz w:val="28"/>
          <w:szCs w:val="28"/>
          <w:highlight w:val="none"/>
        </w:rPr>
      </w:pPr>
    </w:p>
    <w:p w14:paraId="330E6857">
      <w:pPr>
        <w:pStyle w:val="39"/>
        <w:shd w:val="clear"/>
        <w:ind w:firstLine="560"/>
        <w:rPr>
          <w:rFonts w:hint="eastAsia" w:ascii="宋体" w:hAnsi="宋体" w:eastAsia="宋体" w:cs="宋体"/>
          <w:color w:val="auto"/>
          <w:sz w:val="28"/>
          <w:szCs w:val="28"/>
          <w:highlight w:val="none"/>
        </w:rPr>
      </w:pPr>
    </w:p>
    <w:p w14:paraId="0E0CF801">
      <w:pPr>
        <w:pStyle w:val="39"/>
        <w:shd w:val="clear"/>
        <w:ind w:firstLine="560"/>
        <w:rPr>
          <w:rFonts w:hint="eastAsia" w:ascii="宋体" w:hAnsi="宋体" w:eastAsia="宋体" w:cs="宋体"/>
          <w:color w:val="auto"/>
          <w:sz w:val="28"/>
          <w:szCs w:val="28"/>
          <w:highlight w:val="none"/>
        </w:rPr>
      </w:pPr>
    </w:p>
    <w:p w14:paraId="1586D21A">
      <w:pPr>
        <w:shd w:val="clear"/>
        <w:rPr>
          <w:rFonts w:hint="eastAsia" w:ascii="宋体" w:hAnsi="宋体" w:eastAsia="宋体" w:cs="宋体"/>
          <w:color w:val="auto"/>
          <w:sz w:val="28"/>
          <w:szCs w:val="28"/>
          <w:highlight w:val="none"/>
        </w:rPr>
      </w:pPr>
    </w:p>
    <w:p w14:paraId="76D7EB14">
      <w:pPr>
        <w:shd w:val="clear"/>
        <w:jc w:val="center"/>
        <w:rPr>
          <w:rFonts w:hint="eastAsia" w:ascii="宋体" w:hAnsi="宋体" w:eastAsia="宋体" w:cs="宋体"/>
          <w:b/>
          <w:bCs/>
          <w:color w:val="auto"/>
          <w:sz w:val="88"/>
          <w:szCs w:val="88"/>
          <w:highlight w:val="none"/>
        </w:rPr>
      </w:pPr>
    </w:p>
    <w:p w14:paraId="2214F18A">
      <w:pPr>
        <w:shd w:val="clea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88"/>
          <w:szCs w:val="88"/>
          <w:highlight w:val="none"/>
        </w:rPr>
        <w:t>招标文件</w:t>
      </w:r>
    </w:p>
    <w:p w14:paraId="6D420268">
      <w:pPr>
        <w:shd w:val="clear"/>
        <w:spacing w:line="400" w:lineRule="exact"/>
        <w:rPr>
          <w:rFonts w:hint="eastAsia" w:ascii="宋体" w:hAnsi="宋体" w:eastAsia="宋体" w:cs="宋体"/>
          <w:color w:val="auto"/>
          <w:highlight w:val="none"/>
        </w:rPr>
      </w:pPr>
    </w:p>
    <w:p w14:paraId="29155375">
      <w:pPr>
        <w:shd w:val="clear"/>
        <w:spacing w:line="400" w:lineRule="exact"/>
        <w:rPr>
          <w:rFonts w:hint="eastAsia" w:ascii="宋体" w:hAnsi="宋体" w:eastAsia="宋体" w:cs="宋体"/>
          <w:color w:val="auto"/>
          <w:highlight w:val="none"/>
        </w:rPr>
      </w:pPr>
    </w:p>
    <w:p w14:paraId="7BAC1471">
      <w:pPr>
        <w:shd w:val="clear"/>
        <w:spacing w:line="400" w:lineRule="exact"/>
        <w:rPr>
          <w:rFonts w:hint="eastAsia" w:ascii="宋体" w:hAnsi="宋体" w:eastAsia="宋体" w:cs="宋体"/>
          <w:color w:val="auto"/>
          <w:highlight w:val="none"/>
        </w:rPr>
      </w:pPr>
    </w:p>
    <w:p w14:paraId="2AD20F64">
      <w:pPr>
        <w:pStyle w:val="39"/>
        <w:shd w:val="clear"/>
        <w:rPr>
          <w:rFonts w:hint="eastAsia" w:ascii="宋体" w:hAnsi="宋体" w:eastAsia="宋体" w:cs="宋体"/>
          <w:color w:val="auto"/>
          <w:highlight w:val="none"/>
        </w:rPr>
      </w:pPr>
    </w:p>
    <w:p w14:paraId="0A37783A">
      <w:pPr>
        <w:shd w:val="clear"/>
        <w:spacing w:line="400" w:lineRule="exact"/>
        <w:rPr>
          <w:rFonts w:hint="eastAsia" w:ascii="宋体" w:hAnsi="宋体" w:eastAsia="宋体" w:cs="宋体"/>
          <w:color w:val="auto"/>
          <w:highlight w:val="none"/>
        </w:rPr>
      </w:pPr>
    </w:p>
    <w:p w14:paraId="54AA26C0">
      <w:pPr>
        <w:shd w:val="clear"/>
        <w:spacing w:line="400" w:lineRule="exact"/>
        <w:rPr>
          <w:rFonts w:hint="eastAsia" w:ascii="宋体" w:hAnsi="宋体" w:eastAsia="宋体" w:cs="宋体"/>
          <w:color w:val="auto"/>
          <w:highlight w:val="none"/>
        </w:rPr>
      </w:pPr>
    </w:p>
    <w:p w14:paraId="758FF78E">
      <w:pPr>
        <w:shd w:val="clear"/>
        <w:spacing w:line="400" w:lineRule="exact"/>
        <w:rPr>
          <w:rFonts w:hint="eastAsia" w:ascii="宋体" w:hAnsi="宋体" w:eastAsia="宋体" w:cs="宋体"/>
          <w:color w:val="auto"/>
          <w:highlight w:val="none"/>
        </w:rPr>
      </w:pPr>
    </w:p>
    <w:p w14:paraId="45844E55">
      <w:pPr>
        <w:shd w:val="clear"/>
        <w:spacing w:line="360" w:lineRule="auto"/>
        <w:jc w:val="both"/>
        <w:rPr>
          <w:rFonts w:hint="eastAsia" w:ascii="宋体" w:hAnsi="宋体" w:eastAsia="宋体" w:cs="宋体"/>
          <w:color w:val="auto"/>
          <w:sz w:val="28"/>
          <w:szCs w:val="28"/>
          <w:highlight w:val="none"/>
        </w:rPr>
      </w:pPr>
    </w:p>
    <w:p w14:paraId="114FD893">
      <w:pPr>
        <w:shd w:val="clear"/>
        <w:spacing w:line="360" w:lineRule="auto"/>
        <w:ind w:firstLine="840" w:firstLineChars="3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标</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人：</w:t>
      </w:r>
      <w:r>
        <w:rPr>
          <w:rFonts w:hint="eastAsia" w:ascii="宋体" w:hAnsi="宋体" w:eastAsia="宋体" w:cs="宋体"/>
          <w:color w:val="auto"/>
          <w:sz w:val="28"/>
          <w:szCs w:val="28"/>
          <w:highlight w:val="none"/>
          <w:u w:val="single"/>
          <w:lang w:eastAsia="zh-CN"/>
        </w:rPr>
        <w:t>广州市花都区花山镇人民政府</w:t>
      </w:r>
      <w:r>
        <w:rPr>
          <w:rFonts w:hint="eastAsia" w:ascii="宋体" w:hAnsi="宋体" w:eastAsia="宋体" w:cs="宋体"/>
          <w:color w:val="auto"/>
          <w:sz w:val="28"/>
          <w:szCs w:val="28"/>
          <w:highlight w:val="none"/>
        </w:rPr>
        <w:t>（盖章）</w:t>
      </w:r>
    </w:p>
    <w:p w14:paraId="485DAFC1">
      <w:pPr>
        <w:shd w:val="clear"/>
        <w:spacing w:line="360" w:lineRule="auto"/>
        <w:ind w:firstLine="840" w:firstLineChars="3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招标代理机构：</w:t>
      </w:r>
      <w:r>
        <w:rPr>
          <w:rFonts w:hint="eastAsia" w:ascii="宋体" w:hAnsi="宋体" w:cs="宋体"/>
          <w:color w:val="auto"/>
          <w:sz w:val="28"/>
          <w:szCs w:val="28"/>
          <w:highlight w:val="none"/>
          <w:u w:val="single"/>
          <w:lang w:eastAsia="zh-CN"/>
        </w:rPr>
        <w:t>广州高新工程顾问有限公司</w:t>
      </w:r>
      <w:r>
        <w:rPr>
          <w:rFonts w:hint="eastAsia" w:ascii="宋体" w:hAnsi="宋体" w:eastAsia="宋体" w:cs="宋体"/>
          <w:color w:val="auto"/>
          <w:sz w:val="28"/>
          <w:szCs w:val="28"/>
          <w:highlight w:val="none"/>
        </w:rPr>
        <w:t>（盖章）</w:t>
      </w:r>
    </w:p>
    <w:p w14:paraId="462508CC">
      <w:pPr>
        <w:shd w:val="clear"/>
        <w:spacing w:line="360" w:lineRule="auto"/>
        <w:ind w:firstLine="840" w:firstLineChars="300"/>
        <w:jc w:val="both"/>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期：</w:t>
      </w:r>
      <w:r>
        <w:rPr>
          <w:rFonts w:hint="eastAsia" w:ascii="宋体" w:hAnsi="宋体" w:eastAsia="宋体" w:cs="宋体"/>
          <w:color w:val="auto"/>
          <w:sz w:val="28"/>
          <w:szCs w:val="28"/>
          <w:highlight w:val="none"/>
          <w:u w:val="single"/>
          <w:lang w:eastAsia="zh-CN"/>
        </w:rPr>
        <w:t>2025年</w:t>
      </w:r>
      <w:r>
        <w:rPr>
          <w:rFonts w:hint="eastAsia" w:ascii="宋体" w:hAnsi="宋体" w:cs="宋体"/>
          <w:color w:val="auto"/>
          <w:sz w:val="28"/>
          <w:szCs w:val="28"/>
          <w:highlight w:val="none"/>
          <w:u w:val="single"/>
          <w:lang w:val="en-US" w:eastAsia="zh-CN"/>
        </w:rPr>
        <w:t>9</w:t>
      </w:r>
      <w:r>
        <w:rPr>
          <w:rFonts w:hint="eastAsia" w:ascii="宋体" w:hAnsi="宋体" w:eastAsia="宋体" w:cs="宋体"/>
          <w:color w:val="auto"/>
          <w:sz w:val="28"/>
          <w:szCs w:val="28"/>
          <w:highlight w:val="none"/>
          <w:u w:val="single"/>
        </w:rPr>
        <w:t>月</w:t>
      </w:r>
    </w:p>
    <w:p w14:paraId="15EB8FC4">
      <w:pPr>
        <w:shd w:val="clear"/>
        <w:spacing w:line="400" w:lineRule="exact"/>
        <w:jc w:val="center"/>
        <w:rPr>
          <w:rFonts w:hint="eastAsia" w:ascii="宋体" w:hAnsi="宋体" w:eastAsia="宋体" w:cs="宋体"/>
          <w:color w:val="auto"/>
          <w:highlight w:val="none"/>
        </w:rPr>
        <w:sectPr>
          <w:pgSz w:w="11906" w:h="16838"/>
          <w:pgMar w:top="1304" w:right="1304" w:bottom="1304" w:left="1304" w:header="851" w:footer="572" w:gutter="0"/>
          <w:pgNumType w:start="1"/>
          <w:cols w:space="720" w:num="1"/>
          <w:titlePg/>
          <w:docGrid w:type="lines" w:linePitch="312" w:charSpace="0"/>
        </w:sectPr>
      </w:pPr>
      <w:bookmarkStart w:id="0" w:name="_Toc247527532"/>
      <w:bookmarkStart w:id="1" w:name="_Toc300834926"/>
      <w:bookmarkStart w:id="2" w:name="_Toc144974478"/>
      <w:bookmarkStart w:id="3" w:name="_Toc152042286"/>
    </w:p>
    <w:p w14:paraId="0C83FC3F">
      <w:pPr>
        <w:shd w:val="clear"/>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     录</w:t>
      </w:r>
      <w:bookmarkEnd w:id="0"/>
      <w:bookmarkEnd w:id="1"/>
      <w:bookmarkEnd w:id="2"/>
      <w:bookmarkEnd w:id="3"/>
    </w:p>
    <w:p w14:paraId="570FBF02">
      <w:pPr>
        <w:pStyle w:val="28"/>
        <w:shd w:val="clear"/>
        <w:tabs>
          <w:tab w:val="right" w:leader="dot" w:pos="9638"/>
        </w:tabs>
        <w:rPr>
          <w:rFonts w:hint="eastAsia" w:ascii="宋体" w:hAnsi="宋体" w:eastAsia="宋体" w:cs="宋体"/>
          <w:color w:val="auto"/>
          <w:highlight w:val="none"/>
        </w:rPr>
      </w:pPr>
      <w:bookmarkStart w:id="4" w:name="_Toc152042287"/>
      <w:bookmarkStart w:id="5" w:name="_Toc152045511"/>
      <w:bookmarkStart w:id="6" w:name="_Toc247513932"/>
      <w:bookmarkStart w:id="7" w:name="_Toc144974479"/>
      <w:bookmarkStart w:id="8" w:name="_Toc247527533"/>
      <w:r>
        <w:rPr>
          <w:rFonts w:hint="eastAsia" w:ascii="宋体" w:hAnsi="宋体" w:eastAsia="宋体" w:cs="宋体"/>
          <w:caps w:val="0"/>
          <w:color w:val="auto"/>
          <w:highlight w:val="none"/>
        </w:rPr>
        <w:fldChar w:fldCharType="begin"/>
      </w:r>
      <w:r>
        <w:rPr>
          <w:rFonts w:hint="eastAsia" w:ascii="宋体" w:hAnsi="宋体" w:eastAsia="宋体" w:cs="宋体"/>
          <w:caps w:val="0"/>
          <w:color w:val="auto"/>
          <w:highlight w:val="none"/>
        </w:rPr>
        <w:instrText xml:space="preserve"> TOC \o "1-3" \h \z \u </w:instrText>
      </w:r>
      <w:r>
        <w:rPr>
          <w:rFonts w:hint="eastAsia" w:ascii="宋体" w:hAnsi="宋体" w:eastAsia="宋体" w:cs="宋体"/>
          <w:caps w:val="0"/>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"_Toc11190"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_Toc11190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2E012CC">
      <w:pPr>
        <w:pStyle w:val="28"/>
        <w:shd w:val="clear"/>
        <w:tabs>
          <w:tab w:val="right" w:leader="dot" w:pos="9638"/>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"_Toc21307"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_Toc21307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314FD99">
      <w:pPr>
        <w:pStyle w:val="28"/>
        <w:shd w:val="clear"/>
        <w:tabs>
          <w:tab w:val="right" w:leader="dot" w:pos="9638"/>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"_Toc28885"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第三章   评标办法（综合评估法）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_Toc28885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EEDA62C">
      <w:pPr>
        <w:pStyle w:val="28"/>
        <w:shd w:val="clear"/>
        <w:tabs>
          <w:tab w:val="right" w:leader="dot" w:pos="9638"/>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"_Toc30231"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第四章   合同条款及格式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_Toc30231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C504911">
      <w:pPr>
        <w:pStyle w:val="28"/>
        <w:shd w:val="clear"/>
        <w:tabs>
          <w:tab w:val="right" w:leader="dot" w:pos="9638"/>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"_Toc16246"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第五章   招标人要求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_Toc16246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0770509">
      <w:pPr>
        <w:pStyle w:val="28"/>
        <w:shd w:val="clear"/>
        <w:tabs>
          <w:tab w:val="right" w:leader="dot" w:pos="9638"/>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"_Toc9205"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第六章   招标人提供的资料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_Toc9205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0DC4931">
      <w:pPr>
        <w:pStyle w:val="28"/>
        <w:shd w:val="clear"/>
        <w:tabs>
          <w:tab w:val="right" w:leader="dot" w:pos="9638"/>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"_Toc8104"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第七章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_Toc8104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AF2993E">
      <w:pPr>
        <w:pStyle w:val="32"/>
        <w:shd w:val="clear"/>
        <w:tabs>
          <w:tab w:val="right" w:leader="dot" w:pos="9638"/>
        </w:tabs>
        <w:rPr>
          <w:rFonts w:hint="eastAsia" w:ascii="宋体" w:hAnsi="宋体" w:eastAsia="宋体" w:cs="宋体"/>
          <w:color w:val="auto"/>
          <w:highlight w:val="none"/>
        </w:rPr>
      </w:pPr>
    </w:p>
    <w:p w14:paraId="61E4A5CF">
      <w:pPr>
        <w:shd w:val="clear"/>
        <w:rPr>
          <w:rFonts w:hint="eastAsia" w:ascii="宋体" w:hAnsi="宋体" w:eastAsia="宋体" w:cs="宋体"/>
          <w:color w:val="auto"/>
          <w:highlight w:val="none"/>
        </w:rPr>
        <w:sectPr>
          <w:footerReference r:id="rId3" w:type="default"/>
          <w:pgSz w:w="11906" w:h="16838"/>
          <w:pgMar w:top="1304" w:right="1304" w:bottom="1304" w:left="1304" w:header="851" w:footer="992" w:gutter="0"/>
          <w:pgNumType w:start="1"/>
          <w:cols w:space="720" w:num="1"/>
          <w:docGrid w:type="lines" w:linePitch="312" w:charSpace="0"/>
        </w:sectPr>
      </w:pPr>
      <w:r>
        <w:rPr>
          <w:rFonts w:hint="eastAsia" w:ascii="宋体" w:hAnsi="宋体" w:eastAsia="宋体" w:cs="宋体"/>
          <w:color w:val="auto"/>
          <w:highlight w:val="none"/>
        </w:rPr>
        <w:fldChar w:fldCharType="end"/>
      </w:r>
    </w:p>
    <w:bookmarkEnd w:id="4"/>
    <w:bookmarkEnd w:id="5"/>
    <w:bookmarkEnd w:id="6"/>
    <w:bookmarkEnd w:id="7"/>
    <w:bookmarkEnd w:id="8"/>
    <w:p w14:paraId="721E9A9F">
      <w:pPr>
        <w:pStyle w:val="2"/>
        <w:shd w:val="clear"/>
        <w:jc w:val="center"/>
        <w:rPr>
          <w:rFonts w:hint="eastAsia" w:ascii="宋体" w:hAnsi="宋体" w:eastAsia="宋体" w:cs="宋体"/>
          <w:color w:val="auto"/>
          <w:highlight w:val="none"/>
        </w:rPr>
      </w:pPr>
      <w:bookmarkStart w:id="9" w:name="_Toc503806366"/>
      <w:bookmarkStart w:id="10" w:name="_Toc11304"/>
      <w:bookmarkStart w:id="11" w:name="_Toc11190"/>
      <w:bookmarkStart w:id="12" w:name="_Toc247527551"/>
      <w:bookmarkStart w:id="13" w:name="_Toc247513950"/>
      <w:bookmarkStart w:id="14" w:name="_Toc144974495"/>
      <w:bookmarkStart w:id="15" w:name="_Toc152045527"/>
      <w:bookmarkStart w:id="16" w:name="_Toc152042303"/>
      <w:r>
        <w:rPr>
          <w:rFonts w:hint="eastAsia" w:ascii="宋体" w:hAnsi="宋体" w:eastAsia="宋体" w:cs="宋体"/>
          <w:color w:val="auto"/>
          <w:highlight w:val="none"/>
        </w:rPr>
        <w:t xml:space="preserve">第一章  </w:t>
      </w:r>
      <w:bookmarkEnd w:id="9"/>
      <w:r>
        <w:rPr>
          <w:rFonts w:hint="eastAsia" w:ascii="宋体" w:hAnsi="宋体" w:eastAsia="宋体" w:cs="宋体"/>
          <w:color w:val="auto"/>
          <w:highlight w:val="none"/>
        </w:rPr>
        <w:t>招标公告</w:t>
      </w:r>
    </w:p>
    <w:p w14:paraId="682D419E">
      <w:pPr>
        <w:shd w:val="clear"/>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（另册）</w:t>
      </w:r>
      <w:bookmarkEnd w:id="10"/>
      <w:bookmarkEnd w:id="11"/>
    </w:p>
    <w:p w14:paraId="16FB8E36">
      <w:pPr>
        <w:pStyle w:val="2"/>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7" w:name="_Toc25555"/>
      <w:bookmarkStart w:id="18" w:name="_Toc21307"/>
      <w:r>
        <w:rPr>
          <w:rFonts w:hint="eastAsia" w:ascii="宋体" w:hAnsi="宋体" w:eastAsia="宋体" w:cs="宋体"/>
          <w:color w:val="auto"/>
          <w:highlight w:val="none"/>
        </w:rPr>
        <w:t>第二章  投标人须知</w:t>
      </w:r>
      <w:bookmarkEnd w:id="12"/>
      <w:bookmarkEnd w:id="13"/>
      <w:bookmarkEnd w:id="14"/>
      <w:bookmarkEnd w:id="15"/>
      <w:bookmarkEnd w:id="16"/>
      <w:bookmarkEnd w:id="17"/>
      <w:bookmarkEnd w:id="18"/>
    </w:p>
    <w:p w14:paraId="1322363E">
      <w:pPr>
        <w:pStyle w:val="3"/>
        <w:shd w:val="clear"/>
        <w:jc w:val="center"/>
        <w:rPr>
          <w:rFonts w:hint="eastAsia" w:ascii="宋体" w:hAnsi="宋体" w:eastAsia="宋体" w:cs="宋体"/>
          <w:color w:val="auto"/>
          <w:highlight w:val="none"/>
        </w:rPr>
      </w:pPr>
      <w:bookmarkStart w:id="19" w:name="_Toc144974496"/>
      <w:bookmarkStart w:id="20" w:name="_Toc247527552"/>
      <w:bookmarkStart w:id="21" w:name="_Toc152042304"/>
      <w:bookmarkStart w:id="22" w:name="_Toc13135"/>
      <w:bookmarkStart w:id="23" w:name="_Toc247513951"/>
      <w:bookmarkStart w:id="24" w:name="_Toc16626"/>
      <w:bookmarkStart w:id="25" w:name="_Toc152045528"/>
      <w:r>
        <w:rPr>
          <w:rFonts w:hint="eastAsia" w:ascii="宋体" w:hAnsi="宋体" w:eastAsia="宋体" w:cs="宋体"/>
          <w:color w:val="auto"/>
          <w:highlight w:val="none"/>
        </w:rPr>
        <w:t>投标人须知前附表</w:t>
      </w:r>
      <w:bookmarkEnd w:id="19"/>
      <w:bookmarkEnd w:id="20"/>
      <w:bookmarkEnd w:id="21"/>
      <w:bookmarkEnd w:id="22"/>
      <w:bookmarkEnd w:id="23"/>
      <w:bookmarkEnd w:id="24"/>
      <w:bookmarkEnd w:id="25"/>
    </w:p>
    <w:tbl>
      <w:tblPr>
        <w:tblStyle w:val="40"/>
        <w:tblW w:w="9854" w:type="dxa"/>
        <w:tblInd w:w="0" w:type="dxa"/>
        <w:tblLayout w:type="fixed"/>
        <w:tblCellMar>
          <w:top w:w="0" w:type="dxa"/>
          <w:left w:w="108" w:type="dxa"/>
          <w:bottom w:w="0" w:type="dxa"/>
          <w:right w:w="108" w:type="dxa"/>
        </w:tblCellMar>
      </w:tblPr>
      <w:tblGrid>
        <w:gridCol w:w="1165"/>
        <w:gridCol w:w="2226"/>
        <w:gridCol w:w="828"/>
        <w:gridCol w:w="5635"/>
      </w:tblGrid>
      <w:tr w14:paraId="70BE8ADD">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03D7F13E">
            <w:pPr>
              <w:shd w:val="clear"/>
              <w:spacing w:line="27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226" w:type="dxa"/>
            <w:tcBorders>
              <w:top w:val="single" w:color="auto" w:sz="4" w:space="0"/>
              <w:left w:val="single" w:color="auto" w:sz="4" w:space="0"/>
              <w:bottom w:val="single" w:color="auto" w:sz="4" w:space="0"/>
              <w:right w:val="single" w:color="auto" w:sz="4" w:space="0"/>
            </w:tcBorders>
            <w:vAlign w:val="center"/>
          </w:tcPr>
          <w:p w14:paraId="5D565B2B">
            <w:pPr>
              <w:shd w:val="clear"/>
              <w:spacing w:line="27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68955EBC">
            <w:pPr>
              <w:shd w:val="clear"/>
              <w:spacing w:line="27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编列内容</w:t>
            </w:r>
          </w:p>
        </w:tc>
      </w:tr>
      <w:tr w14:paraId="608FFC23">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14:paraId="480FBD42">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2226" w:type="dxa"/>
            <w:tcBorders>
              <w:top w:val="single" w:color="auto" w:sz="4" w:space="0"/>
              <w:left w:val="single" w:color="auto" w:sz="4" w:space="0"/>
              <w:bottom w:val="single" w:color="auto" w:sz="4" w:space="0"/>
              <w:right w:val="single" w:color="auto" w:sz="4" w:space="0"/>
            </w:tcBorders>
            <w:vAlign w:val="center"/>
          </w:tcPr>
          <w:p w14:paraId="0BE1075D">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5FDB7C69">
            <w:pPr>
              <w:shd w:val="clear"/>
              <w:spacing w:line="276" w:lineRule="auto"/>
              <w:ind w:left="638" w:hanging="638" w:hangingChars="304"/>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lang w:eastAsia="zh-CN"/>
              </w:rPr>
              <w:t>广州市花都区花山镇人民政府</w:t>
            </w:r>
          </w:p>
          <w:p w14:paraId="0577A42D">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kern w:val="2"/>
                <w:sz w:val="21"/>
                <w:szCs w:val="21"/>
                <w:highlight w:val="none"/>
                <w:u w:val="single"/>
                <w:lang w:val="en-US" w:eastAsia="zh-CN"/>
              </w:rPr>
              <w:t>广州市花都区花山镇花山大道1号</w:t>
            </w:r>
          </w:p>
          <w:p w14:paraId="1152F7DD">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cs="宋体"/>
                <w:color w:val="auto"/>
                <w:kern w:val="2"/>
                <w:sz w:val="21"/>
                <w:szCs w:val="21"/>
                <w:highlight w:val="none"/>
                <w:u w:val="single"/>
                <w:lang w:val="en-US" w:eastAsia="zh-CN"/>
              </w:rPr>
              <w:t>江工</w:t>
            </w:r>
          </w:p>
          <w:p w14:paraId="2BC9506A">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bookmarkStart w:id="541" w:name="_GoBack"/>
            <w:bookmarkEnd w:id="541"/>
            <w:r>
              <w:rPr>
                <w:rFonts w:hint="eastAsia" w:ascii="宋体" w:hAnsi="宋体" w:cs="宋体"/>
                <w:color w:val="auto"/>
                <w:kern w:val="2"/>
                <w:sz w:val="21"/>
                <w:szCs w:val="21"/>
                <w:highlight w:val="none"/>
                <w:u w:val="single"/>
                <w:lang w:val="en-US" w:eastAsia="zh-CN"/>
              </w:rPr>
              <w:t>020-86788260</w:t>
            </w:r>
          </w:p>
        </w:tc>
      </w:tr>
      <w:tr w14:paraId="5AFDDCAE">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FA2222B">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w:t>
            </w:r>
          </w:p>
        </w:tc>
        <w:tc>
          <w:tcPr>
            <w:tcW w:w="2226" w:type="dxa"/>
            <w:tcBorders>
              <w:top w:val="single" w:color="auto" w:sz="4" w:space="0"/>
              <w:left w:val="single" w:color="auto" w:sz="4" w:space="0"/>
              <w:bottom w:val="single" w:color="auto" w:sz="4" w:space="0"/>
              <w:right w:val="single" w:color="auto" w:sz="4" w:space="0"/>
            </w:tcBorders>
            <w:vAlign w:val="center"/>
          </w:tcPr>
          <w:p w14:paraId="21032297">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66A5A9AF">
            <w:pPr>
              <w:shd w:val="clear"/>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u w:val="single"/>
                <w:lang w:eastAsia="zh-CN"/>
              </w:rPr>
              <w:t>广州高新工程顾问有限公司</w:t>
            </w:r>
          </w:p>
          <w:p w14:paraId="00CD68B9">
            <w:pPr>
              <w:shd w:val="clear"/>
              <w:spacing w:line="276" w:lineRule="auto"/>
              <w:ind w:left="636" w:hanging="636" w:hangingChars="303"/>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广州市天河区华观路1933号万科云A栋503</w:t>
            </w:r>
          </w:p>
          <w:p w14:paraId="7E518BB0">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cs="宋体"/>
                <w:color w:val="auto"/>
                <w:kern w:val="2"/>
                <w:sz w:val="21"/>
                <w:szCs w:val="21"/>
                <w:highlight w:val="none"/>
                <w:u w:val="single"/>
                <w:lang w:val="en-US" w:eastAsia="zh-CN"/>
              </w:rPr>
              <w:t>池</w:t>
            </w:r>
            <w:r>
              <w:rPr>
                <w:rFonts w:hint="eastAsia" w:ascii="宋体" w:hAnsi="宋体" w:eastAsia="宋体" w:cs="宋体"/>
                <w:color w:val="auto"/>
                <w:kern w:val="2"/>
                <w:sz w:val="21"/>
                <w:szCs w:val="21"/>
                <w:highlight w:val="none"/>
                <w:u w:val="single"/>
              </w:rPr>
              <w:t>工</w:t>
            </w:r>
          </w:p>
          <w:p w14:paraId="11904765">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020-</w:t>
            </w:r>
            <w:r>
              <w:rPr>
                <w:rFonts w:hint="eastAsia" w:ascii="宋体" w:hAnsi="宋体" w:eastAsia="宋体" w:cs="宋体"/>
                <w:color w:val="auto"/>
                <w:szCs w:val="21"/>
                <w:highlight w:val="none"/>
                <w:u w:val="single"/>
                <w:lang w:val="en-US" w:eastAsia="zh-CN"/>
              </w:rPr>
              <w:t>85530825</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15626296230</w:t>
            </w:r>
          </w:p>
        </w:tc>
      </w:tr>
      <w:tr w14:paraId="4EF46594">
        <w:tblPrEx>
          <w:tblCellMar>
            <w:top w:w="0" w:type="dxa"/>
            <w:left w:w="108" w:type="dxa"/>
            <w:bottom w:w="0" w:type="dxa"/>
            <w:right w:w="108" w:type="dxa"/>
          </w:tblCellMar>
        </w:tblPrEx>
        <w:trPr>
          <w:trHeight w:val="444" w:hRule="atLeast"/>
        </w:trPr>
        <w:tc>
          <w:tcPr>
            <w:tcW w:w="1165" w:type="dxa"/>
            <w:tcBorders>
              <w:top w:val="single" w:color="auto" w:sz="4" w:space="0"/>
              <w:left w:val="single" w:color="auto" w:sz="4" w:space="0"/>
              <w:bottom w:val="single" w:color="auto" w:sz="4" w:space="0"/>
              <w:right w:val="single" w:color="auto" w:sz="4" w:space="0"/>
            </w:tcBorders>
            <w:vAlign w:val="center"/>
          </w:tcPr>
          <w:p w14:paraId="787866AA">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2226" w:type="dxa"/>
            <w:tcBorders>
              <w:top w:val="single" w:color="auto" w:sz="4" w:space="0"/>
              <w:left w:val="single" w:color="auto" w:sz="4" w:space="0"/>
              <w:bottom w:val="single" w:color="auto" w:sz="4" w:space="0"/>
              <w:right w:val="single" w:color="auto" w:sz="4" w:space="0"/>
            </w:tcBorders>
            <w:vAlign w:val="center"/>
          </w:tcPr>
          <w:p w14:paraId="353DF7EA">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51764EFE">
            <w:pPr>
              <w:shd w:val="clear"/>
              <w:spacing w:line="276" w:lineRule="auto"/>
              <w:rPr>
                <w:rFonts w:hint="eastAsia" w:ascii="宋体" w:hAnsi="宋体" w:eastAsia="宋体" w:cs="宋体"/>
                <w:color w:val="auto"/>
                <w:szCs w:val="21"/>
                <w:highlight w:val="none"/>
              </w:rPr>
            </w:pPr>
            <w:r>
              <w:rPr>
                <w:rFonts w:hint="eastAsia" w:ascii="宋体" w:hAnsi="宋体" w:cs="宋体"/>
                <w:color w:val="auto"/>
                <w:szCs w:val="21"/>
                <w:highlight w:val="none"/>
                <w:u w:val="single"/>
                <w:lang w:eastAsia="zh-CN"/>
              </w:rPr>
              <w:t>白云机场北花山镇城区道路承载力优化提升二期项目设计施工总承包</w:t>
            </w:r>
          </w:p>
        </w:tc>
      </w:tr>
      <w:tr w14:paraId="2C01C2B8">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2C36DB79">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w:t>
            </w:r>
          </w:p>
        </w:tc>
        <w:tc>
          <w:tcPr>
            <w:tcW w:w="2226" w:type="dxa"/>
            <w:tcBorders>
              <w:top w:val="single" w:color="auto" w:sz="4" w:space="0"/>
              <w:left w:val="single" w:color="auto" w:sz="4" w:space="0"/>
              <w:bottom w:val="single" w:color="auto" w:sz="4" w:space="0"/>
              <w:right w:val="single" w:color="auto" w:sz="4" w:space="0"/>
            </w:tcBorders>
            <w:vAlign w:val="center"/>
          </w:tcPr>
          <w:p w14:paraId="781DB889">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建设地点</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4C8BCA5A">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4A990D31">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092395E9">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p>
        </w:tc>
        <w:tc>
          <w:tcPr>
            <w:tcW w:w="2226" w:type="dxa"/>
            <w:tcBorders>
              <w:top w:val="single" w:color="auto" w:sz="4" w:space="0"/>
              <w:left w:val="single" w:color="auto" w:sz="4" w:space="0"/>
              <w:bottom w:val="single" w:color="auto" w:sz="4" w:space="0"/>
              <w:right w:val="single" w:color="auto" w:sz="4" w:space="0"/>
            </w:tcBorders>
            <w:vAlign w:val="center"/>
          </w:tcPr>
          <w:p w14:paraId="2D197CE6">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资金来源及比例</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6F5A8C1F">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57FC91D6">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4030A0EC">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226" w:type="dxa"/>
            <w:tcBorders>
              <w:top w:val="single" w:color="auto" w:sz="4" w:space="0"/>
              <w:left w:val="single" w:color="auto" w:sz="4" w:space="0"/>
              <w:bottom w:val="single" w:color="auto" w:sz="4" w:space="0"/>
              <w:right w:val="single" w:color="auto" w:sz="4" w:space="0"/>
            </w:tcBorders>
            <w:vAlign w:val="center"/>
          </w:tcPr>
          <w:p w14:paraId="3E048CD2">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资金落实情况</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41FAD50A">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已落实</w:t>
            </w:r>
          </w:p>
        </w:tc>
      </w:tr>
      <w:tr w14:paraId="0CA89F1E">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06EB2518">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2226" w:type="dxa"/>
            <w:tcBorders>
              <w:top w:val="single" w:color="auto" w:sz="4" w:space="0"/>
              <w:left w:val="single" w:color="auto" w:sz="4" w:space="0"/>
              <w:bottom w:val="single" w:color="auto" w:sz="4" w:space="0"/>
              <w:right w:val="single" w:color="auto" w:sz="4" w:space="0"/>
            </w:tcBorders>
            <w:vAlign w:val="center"/>
          </w:tcPr>
          <w:p w14:paraId="20B8E0F2">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招标范围</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1034FD99">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254FB2BA">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AE6FBFC">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w:t>
            </w:r>
          </w:p>
        </w:tc>
        <w:tc>
          <w:tcPr>
            <w:tcW w:w="2226" w:type="dxa"/>
            <w:tcBorders>
              <w:top w:val="single" w:color="auto" w:sz="4" w:space="0"/>
              <w:left w:val="single" w:color="auto" w:sz="4" w:space="0"/>
              <w:bottom w:val="single" w:color="auto" w:sz="4" w:space="0"/>
              <w:right w:val="single" w:color="auto" w:sz="4" w:space="0"/>
            </w:tcBorders>
            <w:vAlign w:val="center"/>
          </w:tcPr>
          <w:p w14:paraId="721FAAFF">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计划工期</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5879A920">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723CF92E">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384D8573">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w:t>
            </w:r>
          </w:p>
        </w:tc>
        <w:tc>
          <w:tcPr>
            <w:tcW w:w="2226" w:type="dxa"/>
            <w:tcBorders>
              <w:top w:val="single" w:color="auto" w:sz="4" w:space="0"/>
              <w:left w:val="single" w:color="auto" w:sz="4" w:space="0"/>
              <w:bottom w:val="single" w:color="auto" w:sz="4" w:space="0"/>
              <w:right w:val="single" w:color="auto" w:sz="4" w:space="0"/>
            </w:tcBorders>
            <w:vAlign w:val="center"/>
          </w:tcPr>
          <w:p w14:paraId="7AC8F870">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63F8E891">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设计要求：</w:t>
            </w:r>
            <w:r>
              <w:rPr>
                <w:rFonts w:hint="eastAsia" w:ascii="宋体" w:hAnsi="宋体" w:eastAsia="宋体" w:cs="宋体"/>
                <w:color w:val="auto"/>
                <w:szCs w:val="21"/>
                <w:highlight w:val="none"/>
                <w:u w:val="single"/>
              </w:rPr>
              <w:t>符合《建设工程质量管理条例》及《建设工程勘察设计管理条例》等国家及地方有关工程设计管理法规和规章，达到《市政公用工程设计文件编制深度规定（2013年版）（修订版）》及行业相关规范技术标准等要求。</w:t>
            </w:r>
          </w:p>
          <w:p w14:paraId="0895961A">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施工要求：</w:t>
            </w:r>
            <w:r>
              <w:rPr>
                <w:rFonts w:hint="eastAsia" w:ascii="宋体" w:hAnsi="宋体" w:eastAsia="宋体" w:cs="宋体"/>
                <w:color w:val="auto"/>
                <w:szCs w:val="21"/>
                <w:highlight w:val="none"/>
                <w:u w:val="single"/>
              </w:rPr>
              <w:t>符合设计图纸要求和国家、省、市相关法律法规规定要求及行业颁发的工程质量合格标准。</w:t>
            </w:r>
          </w:p>
        </w:tc>
      </w:tr>
      <w:tr w14:paraId="39E3923E">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154CB8B7">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w:t>
            </w:r>
          </w:p>
        </w:tc>
        <w:tc>
          <w:tcPr>
            <w:tcW w:w="2226" w:type="dxa"/>
            <w:tcBorders>
              <w:top w:val="single" w:color="auto" w:sz="4" w:space="0"/>
              <w:left w:val="single" w:color="auto" w:sz="4" w:space="0"/>
              <w:bottom w:val="single" w:color="auto" w:sz="4" w:space="0"/>
              <w:right w:val="single" w:color="auto" w:sz="4" w:space="0"/>
            </w:tcBorders>
            <w:vAlign w:val="center"/>
          </w:tcPr>
          <w:p w14:paraId="4F42CA37">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投标人资质条件、能力和信誉</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3535BB88">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详见招标公告</w:t>
            </w:r>
          </w:p>
        </w:tc>
      </w:tr>
      <w:tr w14:paraId="151F6F26">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6FE7C1EA">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w:t>
            </w:r>
          </w:p>
        </w:tc>
        <w:tc>
          <w:tcPr>
            <w:tcW w:w="2226" w:type="dxa"/>
            <w:tcBorders>
              <w:top w:val="single" w:color="auto" w:sz="4" w:space="0"/>
              <w:left w:val="single" w:color="auto" w:sz="4" w:space="0"/>
              <w:bottom w:val="single" w:color="auto" w:sz="4" w:space="0"/>
              <w:right w:val="single" w:color="auto" w:sz="4" w:space="0"/>
            </w:tcBorders>
            <w:vAlign w:val="center"/>
          </w:tcPr>
          <w:p w14:paraId="0EC6EE10">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是否接受联合体投标</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72577681">
            <w:pPr>
              <w:pStyle w:val="15"/>
              <w:shd w:val="clear"/>
              <w:topLinePunct/>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p w14:paraId="220983FE">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■接受，应满足下列要求：</w:t>
            </w:r>
            <w:r>
              <w:rPr>
                <w:rFonts w:hint="eastAsia" w:ascii="宋体" w:hAnsi="宋体" w:eastAsia="宋体" w:cs="宋体"/>
                <w:color w:val="auto"/>
                <w:szCs w:val="21"/>
                <w:highlight w:val="none"/>
                <w:u w:val="single"/>
              </w:rPr>
              <w:t>详见招标公告</w:t>
            </w:r>
          </w:p>
        </w:tc>
      </w:tr>
      <w:tr w14:paraId="4B8D33D5">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1DDBFC7">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226" w:type="dxa"/>
            <w:tcBorders>
              <w:top w:val="single" w:color="auto" w:sz="4" w:space="0"/>
              <w:left w:val="single" w:color="auto" w:sz="4" w:space="0"/>
              <w:bottom w:val="single" w:color="auto" w:sz="4" w:space="0"/>
              <w:right w:val="single" w:color="auto" w:sz="4" w:space="0"/>
            </w:tcBorders>
            <w:vAlign w:val="center"/>
          </w:tcPr>
          <w:p w14:paraId="4955A028">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费用承担和设计成果补偿</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01505714">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■不补偿</w:t>
            </w:r>
          </w:p>
          <w:p w14:paraId="1326E9CC">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□补偿，补偿标准：</w:t>
            </w:r>
            <w:r>
              <w:rPr>
                <w:rFonts w:hint="eastAsia" w:ascii="宋体" w:hAnsi="宋体" w:eastAsia="宋体" w:cs="宋体"/>
                <w:color w:val="auto"/>
                <w:szCs w:val="21"/>
                <w:highlight w:val="none"/>
                <w:u w:val="single"/>
              </w:rPr>
              <w:t>详见招标公告</w:t>
            </w:r>
          </w:p>
        </w:tc>
      </w:tr>
      <w:tr w14:paraId="2BDC739B">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91BF6B5">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w:t>
            </w:r>
          </w:p>
        </w:tc>
        <w:tc>
          <w:tcPr>
            <w:tcW w:w="2226" w:type="dxa"/>
            <w:tcBorders>
              <w:top w:val="single" w:color="auto" w:sz="4" w:space="0"/>
              <w:left w:val="single" w:color="auto" w:sz="4" w:space="0"/>
              <w:bottom w:val="single" w:color="auto" w:sz="4" w:space="0"/>
              <w:right w:val="single" w:color="auto" w:sz="4" w:space="0"/>
            </w:tcBorders>
            <w:vAlign w:val="center"/>
          </w:tcPr>
          <w:p w14:paraId="62B9FA14">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17DCDD66">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■不组织：</w:t>
            </w:r>
            <w:r>
              <w:rPr>
                <w:rFonts w:hint="eastAsia" w:ascii="宋体" w:hAnsi="宋体" w:eastAsia="宋体" w:cs="宋体"/>
                <w:color w:val="auto"/>
                <w:szCs w:val="21"/>
                <w:highlight w:val="none"/>
                <w:u w:val="single"/>
              </w:rPr>
              <w:t>自行踏勘</w:t>
            </w:r>
          </w:p>
          <w:p w14:paraId="16D86061">
            <w:pPr>
              <w:pStyle w:val="11"/>
              <w:shd w:val="clear"/>
              <w:spacing w:line="276" w:lineRule="auto"/>
              <w:ind w:left="0"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u w:val="single"/>
              </w:rPr>
              <w:t>自本公告发布之日起具备现场踏勘条件</w:t>
            </w:r>
          </w:p>
          <w:p w14:paraId="46F2AB7A">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现场详细地点：</w:t>
            </w:r>
            <w:r>
              <w:rPr>
                <w:rFonts w:hint="eastAsia" w:ascii="宋体" w:hAnsi="宋体" w:eastAsia="宋体" w:cs="宋体"/>
                <w:color w:val="auto"/>
                <w:szCs w:val="21"/>
                <w:highlight w:val="none"/>
                <w:u w:val="single"/>
              </w:rPr>
              <w:t>广州市花都区</w:t>
            </w:r>
          </w:p>
          <w:p w14:paraId="4410E4E4">
            <w:pPr>
              <w:shd w:val="clear"/>
              <w:tabs>
                <w:tab w:val="left" w:pos="4830"/>
              </w:tabs>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□组织，踏勘时间：</w:t>
            </w:r>
          </w:p>
          <w:p w14:paraId="6E261D2E">
            <w:pPr>
              <w:shd w:val="clear"/>
              <w:spacing w:line="276"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踏勘集中地点：</w:t>
            </w:r>
          </w:p>
        </w:tc>
      </w:tr>
      <w:tr w14:paraId="2CFA45B5">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1AE10640">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1.10.1</w:t>
            </w:r>
          </w:p>
        </w:tc>
        <w:tc>
          <w:tcPr>
            <w:tcW w:w="2226" w:type="dxa"/>
            <w:tcBorders>
              <w:top w:val="single" w:color="auto" w:sz="4" w:space="0"/>
              <w:left w:val="single" w:color="auto" w:sz="4" w:space="0"/>
              <w:bottom w:val="single" w:color="auto" w:sz="4" w:space="0"/>
              <w:right w:val="single" w:color="auto" w:sz="4" w:space="0"/>
            </w:tcBorders>
            <w:vAlign w:val="center"/>
          </w:tcPr>
          <w:p w14:paraId="43C94FD9">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投标预备会</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0E0319BF">
            <w:pPr>
              <w:pStyle w:val="15"/>
              <w:shd w:val="clear"/>
              <w:topLinePunct/>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p w14:paraId="32E6FC65">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□召开，召开时间：</w:t>
            </w:r>
          </w:p>
          <w:p w14:paraId="6E93DDDD">
            <w:pPr>
              <w:shd w:val="clear"/>
              <w:spacing w:line="276"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召开地点：</w:t>
            </w:r>
          </w:p>
        </w:tc>
      </w:tr>
      <w:tr w14:paraId="7917E912">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26004D34">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1.10.2</w:t>
            </w:r>
          </w:p>
        </w:tc>
        <w:tc>
          <w:tcPr>
            <w:tcW w:w="2226" w:type="dxa"/>
            <w:tcBorders>
              <w:top w:val="single" w:color="auto" w:sz="4" w:space="0"/>
              <w:left w:val="single" w:color="auto" w:sz="4" w:space="0"/>
              <w:bottom w:val="single" w:color="auto" w:sz="4" w:space="0"/>
              <w:right w:val="single" w:color="auto" w:sz="4" w:space="0"/>
            </w:tcBorders>
            <w:vAlign w:val="center"/>
          </w:tcPr>
          <w:p w14:paraId="174A0C87">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投标人提出问题的截止时间</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7001A207">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1.方式：</w:t>
            </w:r>
            <w:r>
              <w:rPr>
                <w:rFonts w:hint="eastAsia" w:ascii="宋体" w:hAnsi="宋体" w:eastAsia="宋体" w:cs="宋体"/>
                <w:color w:val="auto"/>
                <w:szCs w:val="21"/>
                <w:highlight w:val="none"/>
                <w:u w:val="single"/>
              </w:rPr>
              <w:t>网上答疑。</w:t>
            </w:r>
          </w:p>
          <w:p w14:paraId="103DC885">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2.投标人提出问题期限：</w:t>
            </w:r>
            <w:r>
              <w:rPr>
                <w:rFonts w:hint="eastAsia" w:ascii="宋体" w:hAnsi="宋体" w:eastAsia="宋体" w:cs="宋体"/>
                <w:color w:val="auto"/>
                <w:szCs w:val="21"/>
                <w:highlight w:val="none"/>
                <w:u w:val="single"/>
              </w:rPr>
              <w:t>在递交投标文件截止时间18日前提出。</w:t>
            </w:r>
          </w:p>
        </w:tc>
      </w:tr>
      <w:tr w14:paraId="4A21DC06">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14:paraId="69C2A9DE">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1.10.3</w:t>
            </w:r>
          </w:p>
        </w:tc>
        <w:tc>
          <w:tcPr>
            <w:tcW w:w="2226" w:type="dxa"/>
            <w:tcBorders>
              <w:top w:val="single" w:color="auto" w:sz="4" w:space="0"/>
              <w:left w:val="single" w:color="auto" w:sz="4" w:space="0"/>
              <w:bottom w:val="single" w:color="auto" w:sz="4" w:space="0"/>
              <w:right w:val="single" w:color="auto" w:sz="4" w:space="0"/>
            </w:tcBorders>
            <w:vAlign w:val="center"/>
          </w:tcPr>
          <w:p w14:paraId="6AD310B6">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招标人书面澄清的时间</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1B8A03C7">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递交投标文件截止日期</w:t>
            </w:r>
            <w:r>
              <w:rPr>
                <w:rFonts w:hint="eastAsia" w:ascii="宋体" w:hAnsi="宋体" w:eastAsia="宋体" w:cs="宋体"/>
                <w:color w:val="auto"/>
                <w:kern w:val="0"/>
                <w:szCs w:val="21"/>
                <w:highlight w:val="none"/>
                <w:u w:val="single"/>
              </w:rPr>
              <w:t>15日前</w:t>
            </w:r>
          </w:p>
        </w:tc>
      </w:tr>
      <w:tr w14:paraId="48BF5EE6">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4117A226">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w:t>
            </w:r>
          </w:p>
        </w:tc>
        <w:tc>
          <w:tcPr>
            <w:tcW w:w="2226" w:type="dxa"/>
            <w:tcBorders>
              <w:top w:val="single" w:color="auto" w:sz="4" w:space="0"/>
              <w:left w:val="single" w:color="auto" w:sz="4" w:space="0"/>
              <w:bottom w:val="single" w:color="auto" w:sz="4" w:space="0"/>
              <w:right w:val="single" w:color="auto" w:sz="4" w:space="0"/>
            </w:tcBorders>
            <w:vAlign w:val="center"/>
          </w:tcPr>
          <w:p w14:paraId="29398EA0">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招标人规定由分包人承担的工作</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454F459C">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按照合同相关约定执行。</w:t>
            </w:r>
          </w:p>
        </w:tc>
      </w:tr>
      <w:tr w14:paraId="5C794658">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4E4CC31B">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w:t>
            </w:r>
          </w:p>
        </w:tc>
        <w:tc>
          <w:tcPr>
            <w:tcW w:w="2226" w:type="dxa"/>
            <w:tcBorders>
              <w:top w:val="single" w:color="auto" w:sz="4" w:space="0"/>
              <w:left w:val="single" w:color="auto" w:sz="4" w:space="0"/>
              <w:bottom w:val="single" w:color="auto" w:sz="4" w:space="0"/>
              <w:right w:val="single" w:color="auto" w:sz="4" w:space="0"/>
            </w:tcBorders>
            <w:vAlign w:val="center"/>
          </w:tcPr>
          <w:p w14:paraId="5AC2B9E6">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投标人拟分包的工作</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6FEFA442">
            <w:pPr>
              <w:pStyle w:val="15"/>
              <w:shd w:val="clear"/>
              <w:topLinePunct/>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p w14:paraId="60254FD1">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w:t>
            </w:r>
            <w:r>
              <w:rPr>
                <w:rFonts w:hint="eastAsia" w:ascii="宋体" w:hAnsi="宋体" w:eastAsia="宋体" w:cs="宋体"/>
                <w:color w:val="auto"/>
                <w:kern w:val="0"/>
                <w:szCs w:val="21"/>
                <w:highlight w:val="none"/>
              </w:rPr>
              <w:t>允许非主体、非关键性工程进行分包，</w:t>
            </w:r>
            <w:r>
              <w:rPr>
                <w:rFonts w:hint="eastAsia" w:ascii="宋体" w:hAnsi="宋体" w:eastAsia="宋体" w:cs="宋体"/>
                <w:color w:val="auto"/>
                <w:kern w:val="0"/>
                <w:szCs w:val="21"/>
                <w:highlight w:val="none"/>
                <w:lang w:val="en-US" w:eastAsia="zh-CN"/>
              </w:rPr>
              <w:t>具体详见合同约定。</w:t>
            </w:r>
          </w:p>
        </w:tc>
      </w:tr>
      <w:tr w14:paraId="6068C8C3">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4C4925E1">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2226" w:type="dxa"/>
            <w:tcBorders>
              <w:top w:val="single" w:color="auto" w:sz="4" w:space="0"/>
              <w:left w:val="single" w:color="auto" w:sz="4" w:space="0"/>
              <w:bottom w:val="single" w:color="auto" w:sz="4" w:space="0"/>
              <w:right w:val="single" w:color="auto" w:sz="4" w:space="0"/>
            </w:tcBorders>
            <w:vAlign w:val="center"/>
          </w:tcPr>
          <w:p w14:paraId="0DBD68B8">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30C3ECF3">
            <w:pPr>
              <w:pStyle w:val="15"/>
              <w:shd w:val="clear"/>
              <w:topLinePunct/>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p w14:paraId="57B6E631">
            <w:pPr>
              <w:pStyle w:val="15"/>
              <w:shd w:val="clear"/>
              <w:topLinePunct/>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□允许，允许偏离的内容、偏离范围和幅度</w:t>
            </w:r>
          </w:p>
        </w:tc>
      </w:tr>
      <w:tr w14:paraId="19F1C946">
        <w:tblPrEx>
          <w:tblCellMar>
            <w:top w:w="0" w:type="dxa"/>
            <w:left w:w="108" w:type="dxa"/>
            <w:bottom w:w="0" w:type="dxa"/>
            <w:right w:w="108" w:type="dxa"/>
          </w:tblCellMar>
        </w:tblPrEx>
        <w:trPr>
          <w:trHeight w:val="1076" w:hRule="atLeast"/>
        </w:trPr>
        <w:tc>
          <w:tcPr>
            <w:tcW w:w="1165" w:type="dxa"/>
            <w:tcBorders>
              <w:top w:val="single" w:color="auto" w:sz="4" w:space="0"/>
              <w:left w:val="single" w:color="auto" w:sz="4" w:space="0"/>
              <w:bottom w:val="single" w:color="auto" w:sz="4" w:space="0"/>
              <w:right w:val="single" w:color="auto" w:sz="4" w:space="0"/>
            </w:tcBorders>
            <w:vAlign w:val="center"/>
          </w:tcPr>
          <w:p w14:paraId="231DCC5C">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226" w:type="dxa"/>
            <w:tcBorders>
              <w:top w:val="single" w:color="auto" w:sz="4" w:space="0"/>
              <w:left w:val="single" w:color="auto" w:sz="4" w:space="0"/>
              <w:bottom w:val="single" w:color="auto" w:sz="4" w:space="0"/>
              <w:right w:val="single" w:color="auto" w:sz="4" w:space="0"/>
            </w:tcBorders>
            <w:vAlign w:val="center"/>
          </w:tcPr>
          <w:p w14:paraId="5851926A">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构成招标文件的其他资料</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21291747">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补充公告、答疑纪要、澄清文件等（如有）。</w:t>
            </w:r>
          </w:p>
        </w:tc>
      </w:tr>
      <w:tr w14:paraId="3CC19AEB">
        <w:tblPrEx>
          <w:tblCellMar>
            <w:top w:w="0" w:type="dxa"/>
            <w:left w:w="108" w:type="dxa"/>
            <w:bottom w:w="0" w:type="dxa"/>
            <w:right w:w="108" w:type="dxa"/>
          </w:tblCellMar>
        </w:tblPrEx>
        <w:trPr>
          <w:trHeight w:val="1637" w:hRule="atLeast"/>
        </w:trPr>
        <w:tc>
          <w:tcPr>
            <w:tcW w:w="1165" w:type="dxa"/>
            <w:tcBorders>
              <w:top w:val="single" w:color="auto" w:sz="4" w:space="0"/>
              <w:left w:val="single" w:color="auto" w:sz="4" w:space="0"/>
              <w:bottom w:val="single" w:color="auto" w:sz="4" w:space="0"/>
              <w:right w:val="single" w:color="auto" w:sz="4" w:space="0"/>
            </w:tcBorders>
            <w:vAlign w:val="center"/>
          </w:tcPr>
          <w:p w14:paraId="23DA6A6F">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2226" w:type="dxa"/>
            <w:tcBorders>
              <w:top w:val="single" w:color="auto" w:sz="4" w:space="0"/>
              <w:left w:val="single" w:color="auto" w:sz="4" w:space="0"/>
              <w:bottom w:val="single" w:color="auto" w:sz="4" w:space="0"/>
              <w:right w:val="single" w:color="auto" w:sz="4" w:space="0"/>
            </w:tcBorders>
            <w:vAlign w:val="center"/>
          </w:tcPr>
          <w:p w14:paraId="545CFCA6">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投标人要求澄清招标文件的截止时间</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49168A60">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招标答疑采用网上答疑方式进行。投标人若对招标文件有疑问的，可在递交投标文件截止时间18日前提出。</w:t>
            </w:r>
          </w:p>
          <w:p w14:paraId="73C3FE0C">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投标人疑问通过网上提交。具体操作方法详见广州交易集团有限公司（广州公共资源交易中心）网站发布的最新版操作指引。</w:t>
            </w:r>
          </w:p>
        </w:tc>
      </w:tr>
      <w:tr w14:paraId="21F8C7BD">
        <w:tblPrEx>
          <w:tblCellMar>
            <w:top w:w="0" w:type="dxa"/>
            <w:left w:w="108" w:type="dxa"/>
            <w:bottom w:w="0" w:type="dxa"/>
            <w:right w:w="108" w:type="dxa"/>
          </w:tblCellMar>
        </w:tblPrEx>
        <w:trPr>
          <w:trHeight w:val="511" w:hRule="atLeast"/>
        </w:trPr>
        <w:tc>
          <w:tcPr>
            <w:tcW w:w="1165" w:type="dxa"/>
            <w:tcBorders>
              <w:top w:val="single" w:color="auto" w:sz="4" w:space="0"/>
              <w:left w:val="single" w:color="auto" w:sz="4" w:space="0"/>
              <w:bottom w:val="single" w:color="auto" w:sz="4" w:space="0"/>
              <w:right w:val="single" w:color="auto" w:sz="4" w:space="0"/>
            </w:tcBorders>
            <w:vAlign w:val="center"/>
          </w:tcPr>
          <w:p w14:paraId="46FDC314">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w:t>
            </w:r>
          </w:p>
        </w:tc>
        <w:tc>
          <w:tcPr>
            <w:tcW w:w="2226" w:type="dxa"/>
            <w:tcBorders>
              <w:top w:val="single" w:color="auto" w:sz="4" w:space="0"/>
              <w:left w:val="single" w:color="auto" w:sz="4" w:space="0"/>
              <w:bottom w:val="single" w:color="auto" w:sz="4" w:space="0"/>
              <w:right w:val="single" w:color="auto" w:sz="4" w:space="0"/>
            </w:tcBorders>
            <w:vAlign w:val="center"/>
          </w:tcPr>
          <w:p w14:paraId="6AED1138">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27111627">
            <w:pPr>
              <w:shd w:val="clear"/>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14:paraId="3C664249">
        <w:tblPrEx>
          <w:tblCellMar>
            <w:top w:w="0" w:type="dxa"/>
            <w:left w:w="108" w:type="dxa"/>
            <w:bottom w:w="0" w:type="dxa"/>
            <w:right w:w="108" w:type="dxa"/>
          </w:tblCellMar>
        </w:tblPrEx>
        <w:trPr>
          <w:trHeight w:val="1303" w:hRule="atLeast"/>
        </w:trPr>
        <w:tc>
          <w:tcPr>
            <w:tcW w:w="1165" w:type="dxa"/>
            <w:tcBorders>
              <w:top w:val="single" w:color="auto" w:sz="4" w:space="0"/>
              <w:left w:val="single" w:color="auto" w:sz="4" w:space="0"/>
              <w:bottom w:val="single" w:color="auto" w:sz="4" w:space="0"/>
              <w:right w:val="single" w:color="auto" w:sz="4" w:space="0"/>
            </w:tcBorders>
            <w:vAlign w:val="center"/>
          </w:tcPr>
          <w:p w14:paraId="6217267C">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w:t>
            </w:r>
          </w:p>
        </w:tc>
        <w:tc>
          <w:tcPr>
            <w:tcW w:w="2226" w:type="dxa"/>
            <w:tcBorders>
              <w:top w:val="single" w:color="auto" w:sz="4" w:space="0"/>
              <w:left w:val="single" w:color="auto" w:sz="4" w:space="0"/>
              <w:bottom w:val="single" w:color="auto" w:sz="4" w:space="0"/>
              <w:right w:val="single" w:color="auto" w:sz="4" w:space="0"/>
            </w:tcBorders>
            <w:vAlign w:val="center"/>
          </w:tcPr>
          <w:p w14:paraId="6C3FEED3">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投标人确认收到招标文件澄清的时间</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687CC103">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招标文件的澄清或修改在广州交易集团有限公司（广州公共资源交易中心）网站发布。招标文件的澄清或修改一经在广州交易集团有限公司（广州公共资源交易中心）网站发布，视作已发放给所有投标人。</w:t>
            </w:r>
          </w:p>
        </w:tc>
      </w:tr>
      <w:tr w14:paraId="237B2970">
        <w:tblPrEx>
          <w:tblCellMar>
            <w:top w:w="0" w:type="dxa"/>
            <w:left w:w="108" w:type="dxa"/>
            <w:bottom w:w="0" w:type="dxa"/>
            <w:right w:w="108" w:type="dxa"/>
          </w:tblCellMar>
        </w:tblPrEx>
        <w:trPr>
          <w:trHeight w:val="1366" w:hRule="atLeast"/>
        </w:trPr>
        <w:tc>
          <w:tcPr>
            <w:tcW w:w="1165" w:type="dxa"/>
            <w:tcBorders>
              <w:top w:val="single" w:color="auto" w:sz="4" w:space="0"/>
              <w:left w:val="single" w:color="auto" w:sz="4" w:space="0"/>
              <w:bottom w:val="single" w:color="auto" w:sz="4" w:space="0"/>
              <w:right w:val="single" w:color="auto" w:sz="4" w:space="0"/>
            </w:tcBorders>
            <w:vAlign w:val="center"/>
          </w:tcPr>
          <w:p w14:paraId="6758B39F">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w:t>
            </w:r>
          </w:p>
        </w:tc>
        <w:tc>
          <w:tcPr>
            <w:tcW w:w="2226" w:type="dxa"/>
            <w:tcBorders>
              <w:top w:val="single" w:color="auto" w:sz="4" w:space="0"/>
              <w:left w:val="single" w:color="auto" w:sz="4" w:space="0"/>
              <w:bottom w:val="single" w:color="auto" w:sz="4" w:space="0"/>
              <w:right w:val="single" w:color="auto" w:sz="4" w:space="0"/>
            </w:tcBorders>
            <w:vAlign w:val="center"/>
          </w:tcPr>
          <w:p w14:paraId="79F9A159">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投标人确认收到招标文件修改的时间</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67811185">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招标文件的澄清或修改在广州交易集团有限公司（广州公共资源交易中心）网站发布。招标文件的澄清或修改一经在广州交易集团有限公司（广州公共资源交易中心）网站发布，视作已发放给所有投标人。</w:t>
            </w:r>
          </w:p>
        </w:tc>
      </w:tr>
      <w:tr w14:paraId="27DB6695">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209754CC">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w:t>
            </w:r>
          </w:p>
        </w:tc>
        <w:tc>
          <w:tcPr>
            <w:tcW w:w="2226" w:type="dxa"/>
            <w:tcBorders>
              <w:top w:val="single" w:color="auto" w:sz="4" w:space="0"/>
              <w:left w:val="single" w:color="auto" w:sz="4" w:space="0"/>
              <w:bottom w:val="single" w:color="auto" w:sz="4" w:space="0"/>
              <w:right w:val="single" w:color="auto" w:sz="4" w:space="0"/>
            </w:tcBorders>
            <w:vAlign w:val="center"/>
          </w:tcPr>
          <w:p w14:paraId="282248F2">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构成投标文件的其他资料</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305E305E">
            <w:pPr>
              <w:shd w:val="clear"/>
              <w:tabs>
                <w:tab w:val="left" w:pos="4620"/>
              </w:tabs>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详见“3.1 投标文件的组成”和第七章《投标文件格式》要求</w:t>
            </w:r>
          </w:p>
        </w:tc>
      </w:tr>
      <w:tr w14:paraId="5B136447">
        <w:tblPrEx>
          <w:tblCellMar>
            <w:top w:w="0" w:type="dxa"/>
            <w:left w:w="108" w:type="dxa"/>
            <w:bottom w:w="0" w:type="dxa"/>
            <w:right w:w="108" w:type="dxa"/>
          </w:tblCellMar>
        </w:tblPrEx>
        <w:trPr>
          <w:trHeight w:val="5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5F0154F">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w:t>
            </w:r>
          </w:p>
        </w:tc>
        <w:tc>
          <w:tcPr>
            <w:tcW w:w="2226" w:type="dxa"/>
            <w:tcBorders>
              <w:top w:val="single" w:color="auto" w:sz="4" w:space="0"/>
              <w:left w:val="single" w:color="auto" w:sz="4" w:space="0"/>
              <w:bottom w:val="single" w:color="auto" w:sz="4" w:space="0"/>
              <w:right w:val="single" w:color="auto" w:sz="4" w:space="0"/>
            </w:tcBorders>
            <w:vAlign w:val="center"/>
          </w:tcPr>
          <w:p w14:paraId="345643C1">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最高投标限价或其计算方法</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44F8B80A">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本项目最高投标限价总价为</w:t>
            </w:r>
            <w:r>
              <w:rPr>
                <w:rFonts w:hint="eastAsia" w:ascii="宋体" w:hAnsi="宋体" w:eastAsia="宋体" w:cs="宋体"/>
                <w:color w:val="auto"/>
                <w:szCs w:val="21"/>
                <w:highlight w:val="none"/>
                <w:u w:val="single"/>
                <w:lang w:val="en-US" w:eastAsia="zh-CN"/>
              </w:rPr>
              <w:t>6714.02</w:t>
            </w:r>
            <w:r>
              <w:rPr>
                <w:rFonts w:hint="eastAsia" w:ascii="宋体" w:hAnsi="宋体" w:eastAsia="宋体" w:cs="宋体"/>
                <w:color w:val="auto"/>
                <w:szCs w:val="21"/>
                <w:highlight w:val="none"/>
              </w:rPr>
              <w:t>万元；其中：建安工程费最高投标限价为</w:t>
            </w:r>
            <w:r>
              <w:rPr>
                <w:rFonts w:hint="eastAsia" w:ascii="宋体" w:hAnsi="宋体" w:eastAsia="宋体" w:cs="宋体"/>
                <w:color w:val="auto"/>
                <w:szCs w:val="21"/>
                <w:highlight w:val="none"/>
                <w:u w:val="single"/>
                <w:lang w:val="en-US" w:eastAsia="zh-CN"/>
              </w:rPr>
              <w:t>6494.62</w:t>
            </w:r>
            <w:r>
              <w:rPr>
                <w:rFonts w:hint="eastAsia" w:ascii="宋体" w:hAnsi="宋体" w:eastAsia="宋体" w:cs="宋体"/>
                <w:color w:val="auto"/>
                <w:szCs w:val="21"/>
                <w:highlight w:val="none"/>
              </w:rPr>
              <w:t>万元，设计费最高投标限价为</w:t>
            </w:r>
            <w:r>
              <w:rPr>
                <w:rFonts w:hint="eastAsia" w:ascii="宋体" w:hAnsi="宋体" w:eastAsia="宋体" w:cs="宋体"/>
                <w:color w:val="auto"/>
                <w:szCs w:val="21"/>
                <w:highlight w:val="none"/>
                <w:u w:val="single"/>
                <w:lang w:val="en-US" w:eastAsia="zh-CN"/>
              </w:rPr>
              <w:t>219.40</w:t>
            </w:r>
            <w:r>
              <w:rPr>
                <w:rFonts w:hint="eastAsia" w:ascii="宋体" w:hAnsi="宋体" w:eastAsia="宋体" w:cs="宋体"/>
                <w:color w:val="auto"/>
                <w:szCs w:val="21"/>
                <w:highlight w:val="none"/>
              </w:rPr>
              <w:t>万元。</w:t>
            </w:r>
          </w:p>
          <w:p w14:paraId="4E1CEA8C">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注：投标人未按要求报价或投标报价（含投标总报价、建安工程费报价、设计费报价）超过上述相应最高投标限价的为无效标。</w:t>
            </w:r>
          </w:p>
        </w:tc>
      </w:tr>
      <w:tr w14:paraId="7123B637">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36CC4BFC">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w:t>
            </w:r>
          </w:p>
        </w:tc>
        <w:tc>
          <w:tcPr>
            <w:tcW w:w="2226" w:type="dxa"/>
            <w:tcBorders>
              <w:top w:val="single" w:color="auto" w:sz="4" w:space="0"/>
              <w:left w:val="single" w:color="auto" w:sz="4" w:space="0"/>
              <w:bottom w:val="single" w:color="auto" w:sz="4" w:space="0"/>
              <w:right w:val="single" w:color="auto" w:sz="4" w:space="0"/>
            </w:tcBorders>
            <w:vAlign w:val="center"/>
          </w:tcPr>
          <w:p w14:paraId="107EA43F">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投标报价的其他要求</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22AE276D">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）设计费：由投标人根据招标文件要求以及企业自身情况自行报价和填报下浮率，结算方式按照合同约定的相应条款执行。</w:t>
            </w:r>
          </w:p>
          <w:p w14:paraId="1F0FE817">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）建安工程费：由投标人根据招标文件要求以及企业自身情况自行报价和填报下浮率，结算方式按照合同约定的相应条款执行。</w:t>
            </w:r>
          </w:p>
        </w:tc>
      </w:tr>
      <w:tr w14:paraId="672CA570">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D44DCBF">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w:t>
            </w:r>
          </w:p>
        </w:tc>
        <w:tc>
          <w:tcPr>
            <w:tcW w:w="2226" w:type="dxa"/>
            <w:tcBorders>
              <w:top w:val="single" w:color="auto" w:sz="4" w:space="0"/>
              <w:left w:val="single" w:color="auto" w:sz="4" w:space="0"/>
              <w:bottom w:val="single" w:color="auto" w:sz="4" w:space="0"/>
              <w:right w:val="single" w:color="auto" w:sz="4" w:space="0"/>
            </w:tcBorders>
            <w:vAlign w:val="center"/>
          </w:tcPr>
          <w:p w14:paraId="1FD54306">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2C39CFD9">
            <w:pPr>
              <w:shd w:val="clear"/>
              <w:spacing w:line="276" w:lineRule="auto"/>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u w:val="single"/>
              </w:rPr>
              <w:t>90</w:t>
            </w:r>
            <w:r>
              <w:rPr>
                <w:rFonts w:hint="eastAsia" w:ascii="宋体" w:hAnsi="宋体" w:eastAsia="宋体" w:cs="宋体"/>
                <w:color w:val="auto"/>
                <w:kern w:val="0"/>
                <w:szCs w:val="21"/>
                <w:highlight w:val="none"/>
              </w:rPr>
              <w:t>日历天（从投标截止之日计起）</w:t>
            </w:r>
          </w:p>
        </w:tc>
      </w:tr>
      <w:tr w14:paraId="18328A88">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1E03B17">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226" w:type="dxa"/>
            <w:tcBorders>
              <w:top w:val="single" w:color="auto" w:sz="4" w:space="0"/>
              <w:left w:val="single" w:color="auto" w:sz="4" w:space="0"/>
              <w:bottom w:val="single" w:color="auto" w:sz="4" w:space="0"/>
              <w:right w:val="single" w:color="auto" w:sz="4" w:space="0"/>
            </w:tcBorders>
            <w:vAlign w:val="center"/>
          </w:tcPr>
          <w:p w14:paraId="0CF97B93">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1EA1C9B6">
            <w:pPr>
              <w:widowControl/>
              <w:shd w:val="clear"/>
              <w:spacing w:line="276"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本项目不要求递交投标保证金</w:t>
            </w:r>
          </w:p>
        </w:tc>
      </w:tr>
      <w:tr w14:paraId="7ACCE4C5">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1CF63BB0">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w:t>
            </w:r>
          </w:p>
        </w:tc>
        <w:tc>
          <w:tcPr>
            <w:tcW w:w="2226" w:type="dxa"/>
            <w:tcBorders>
              <w:top w:val="single" w:color="auto" w:sz="4" w:space="0"/>
              <w:left w:val="single" w:color="auto" w:sz="4" w:space="0"/>
              <w:bottom w:val="single" w:color="auto" w:sz="4" w:space="0"/>
              <w:right w:val="single" w:color="auto" w:sz="4" w:space="0"/>
            </w:tcBorders>
            <w:vAlign w:val="center"/>
          </w:tcPr>
          <w:p w14:paraId="05C6AD7F">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近年财务状况</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654EA7F6">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w:t>
            </w:r>
          </w:p>
        </w:tc>
      </w:tr>
      <w:tr w14:paraId="6604B7DF">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386564AA">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3.5.3</w:t>
            </w:r>
          </w:p>
        </w:tc>
        <w:tc>
          <w:tcPr>
            <w:tcW w:w="2226" w:type="dxa"/>
            <w:tcBorders>
              <w:top w:val="single" w:color="auto" w:sz="4" w:space="0"/>
              <w:left w:val="single" w:color="auto" w:sz="4" w:space="0"/>
              <w:bottom w:val="single" w:color="auto" w:sz="4" w:space="0"/>
              <w:right w:val="single" w:color="auto" w:sz="4" w:space="0"/>
            </w:tcBorders>
            <w:vAlign w:val="center"/>
          </w:tcPr>
          <w:p w14:paraId="781B933A">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近年完成的类似项目</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2D36B95A">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single"/>
              </w:rPr>
              <w:t>/</w:t>
            </w:r>
          </w:p>
        </w:tc>
      </w:tr>
      <w:tr w14:paraId="1F9E2EC3">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64F2FF0F">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3.5.5</w:t>
            </w:r>
          </w:p>
        </w:tc>
        <w:tc>
          <w:tcPr>
            <w:tcW w:w="2226" w:type="dxa"/>
            <w:tcBorders>
              <w:top w:val="single" w:color="auto" w:sz="4" w:space="0"/>
              <w:left w:val="single" w:color="auto" w:sz="4" w:space="0"/>
              <w:bottom w:val="single" w:color="auto" w:sz="4" w:space="0"/>
              <w:right w:val="single" w:color="auto" w:sz="4" w:space="0"/>
            </w:tcBorders>
            <w:vAlign w:val="center"/>
          </w:tcPr>
          <w:p w14:paraId="710788D0">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近年发生的重大诉讼及仲裁情况</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5B2D2E81">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w:t>
            </w:r>
          </w:p>
        </w:tc>
      </w:tr>
      <w:tr w14:paraId="0D55FBEA">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67FCFD8E">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2226" w:type="dxa"/>
            <w:tcBorders>
              <w:top w:val="single" w:color="auto" w:sz="4" w:space="0"/>
              <w:left w:val="single" w:color="auto" w:sz="4" w:space="0"/>
              <w:bottom w:val="single" w:color="auto" w:sz="4" w:space="0"/>
              <w:right w:val="single" w:color="auto" w:sz="4" w:space="0"/>
            </w:tcBorders>
            <w:vAlign w:val="center"/>
          </w:tcPr>
          <w:p w14:paraId="7208D560">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是否允许递交备选投标方案</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6D7443F6">
            <w:pPr>
              <w:pStyle w:val="15"/>
              <w:shd w:val="clear"/>
              <w:topLinePunct/>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p w14:paraId="37B34751">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w:t>
            </w:r>
          </w:p>
        </w:tc>
      </w:tr>
      <w:tr w14:paraId="50595A94">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14:paraId="24141D40">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w:t>
            </w:r>
          </w:p>
        </w:tc>
        <w:tc>
          <w:tcPr>
            <w:tcW w:w="2226" w:type="dxa"/>
            <w:tcBorders>
              <w:top w:val="single" w:color="auto" w:sz="4" w:space="0"/>
              <w:left w:val="single" w:color="auto" w:sz="4" w:space="0"/>
              <w:bottom w:val="single" w:color="auto" w:sz="4" w:space="0"/>
              <w:right w:val="single" w:color="auto" w:sz="4" w:space="0"/>
            </w:tcBorders>
            <w:vAlign w:val="center"/>
          </w:tcPr>
          <w:p w14:paraId="1F7EC2BC">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签字或盖章要求</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1DE0FA78">
            <w:pPr>
              <w:shd w:val="clea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投标人采用单位数字证书，</w:t>
            </w:r>
            <w:r>
              <w:rPr>
                <w:rFonts w:hint="eastAsia" w:ascii="宋体" w:hAnsi="宋体" w:eastAsia="宋体" w:cs="宋体"/>
                <w:b/>
                <w:bCs/>
                <w:color w:val="auto"/>
                <w:szCs w:val="21"/>
                <w:highlight w:val="none"/>
                <w:u w:val="single"/>
              </w:rPr>
              <w:t>对投标文件</w:t>
            </w:r>
            <w:r>
              <w:rPr>
                <w:rFonts w:hint="eastAsia" w:ascii="宋体" w:hAnsi="宋体" w:eastAsia="宋体" w:cs="宋体"/>
                <w:color w:val="auto"/>
                <w:szCs w:val="21"/>
                <w:highlight w:val="none"/>
                <w:u w:val="single"/>
              </w:rPr>
              <w:t>加盖电子印章。投标文件中需个人签字或盖章的，应加盖个人电子印章或在线下完成后扫描上传。按照广州交易集团有限公司（广州公共资源交易中心）交易平台关于全流程电子化项目的相关指南进行操作。联合体投标的，除投标文件中的《联合体共同投标协议书》需联合体各方盖章、签字外，投标文件其他内容中的“投标人”、“声明企业”应填写联合体各方的单位全称，但由主办方盖章、签字即可。</w:t>
            </w:r>
          </w:p>
        </w:tc>
      </w:tr>
      <w:tr w14:paraId="452BF21D">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2A2EE914">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3.7.4</w:t>
            </w:r>
          </w:p>
        </w:tc>
        <w:tc>
          <w:tcPr>
            <w:tcW w:w="2226" w:type="dxa"/>
            <w:tcBorders>
              <w:top w:val="single" w:color="auto" w:sz="4" w:space="0"/>
              <w:left w:val="single" w:color="auto" w:sz="4" w:space="0"/>
              <w:bottom w:val="single" w:color="auto" w:sz="4" w:space="0"/>
              <w:right w:val="single" w:color="auto" w:sz="4" w:space="0"/>
            </w:tcBorders>
            <w:vAlign w:val="center"/>
          </w:tcPr>
          <w:p w14:paraId="2EAE631C">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投标文件份数</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6F83E66F">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w:t>
            </w:r>
          </w:p>
        </w:tc>
      </w:tr>
      <w:tr w14:paraId="76679295">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7EFC79FD">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3.7.5</w:t>
            </w:r>
          </w:p>
        </w:tc>
        <w:tc>
          <w:tcPr>
            <w:tcW w:w="2226" w:type="dxa"/>
            <w:tcBorders>
              <w:top w:val="single" w:color="auto" w:sz="4" w:space="0"/>
              <w:left w:val="single" w:color="auto" w:sz="4" w:space="0"/>
              <w:bottom w:val="single" w:color="auto" w:sz="4" w:space="0"/>
              <w:right w:val="single" w:color="auto" w:sz="4" w:space="0"/>
            </w:tcBorders>
            <w:vAlign w:val="center"/>
          </w:tcPr>
          <w:p w14:paraId="0D9A108C">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装订要求</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7BF2523A">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w:t>
            </w:r>
          </w:p>
        </w:tc>
      </w:tr>
      <w:tr w14:paraId="26B1DB76">
        <w:tblPrEx>
          <w:tblCellMar>
            <w:top w:w="0" w:type="dxa"/>
            <w:left w:w="108" w:type="dxa"/>
            <w:bottom w:w="0" w:type="dxa"/>
            <w:right w:w="108" w:type="dxa"/>
          </w:tblCellMar>
        </w:tblPrEx>
        <w:trPr>
          <w:trHeight w:val="185" w:hRule="atLeast"/>
        </w:trPr>
        <w:tc>
          <w:tcPr>
            <w:tcW w:w="1165" w:type="dxa"/>
            <w:tcBorders>
              <w:top w:val="single" w:color="auto" w:sz="4" w:space="0"/>
              <w:left w:val="single" w:color="auto" w:sz="4" w:space="0"/>
              <w:bottom w:val="single" w:color="auto" w:sz="4" w:space="0"/>
              <w:right w:val="single" w:color="auto" w:sz="4" w:space="0"/>
            </w:tcBorders>
            <w:vAlign w:val="center"/>
          </w:tcPr>
          <w:p w14:paraId="1DA7548A">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w:t>
            </w:r>
          </w:p>
        </w:tc>
        <w:tc>
          <w:tcPr>
            <w:tcW w:w="2226" w:type="dxa"/>
            <w:tcBorders>
              <w:top w:val="single" w:color="auto" w:sz="4" w:space="0"/>
              <w:left w:val="single" w:color="auto" w:sz="4" w:space="0"/>
              <w:bottom w:val="single" w:color="auto" w:sz="4" w:space="0"/>
              <w:right w:val="single" w:color="auto" w:sz="4" w:space="0"/>
            </w:tcBorders>
            <w:vAlign w:val="center"/>
          </w:tcPr>
          <w:p w14:paraId="0E925831">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封套上应载明的信息</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79F689D5">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p>
        </w:tc>
      </w:tr>
      <w:tr w14:paraId="7951C51A">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770D6A7D">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4.2.2</w:t>
            </w:r>
          </w:p>
        </w:tc>
        <w:tc>
          <w:tcPr>
            <w:tcW w:w="2226" w:type="dxa"/>
            <w:tcBorders>
              <w:top w:val="single" w:color="auto" w:sz="4" w:space="0"/>
              <w:left w:val="single" w:color="auto" w:sz="4" w:space="0"/>
              <w:bottom w:val="single" w:color="auto" w:sz="4" w:space="0"/>
              <w:right w:val="single" w:color="auto" w:sz="4" w:space="0"/>
            </w:tcBorders>
            <w:vAlign w:val="center"/>
          </w:tcPr>
          <w:p w14:paraId="584E8DF8">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递交投标文件地点</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4D35928D">
            <w:pPr>
              <w:shd w:val="clear"/>
              <w:spacing w:line="276"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投标人应在截止时间前通过广州交易集团有限公司（广州公共资源交易中心）交易平台递交电子投标文件。</w:t>
            </w:r>
          </w:p>
        </w:tc>
      </w:tr>
      <w:tr w14:paraId="4C890DD2">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6B7229EC">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4.2.3</w:t>
            </w:r>
          </w:p>
        </w:tc>
        <w:tc>
          <w:tcPr>
            <w:tcW w:w="2226" w:type="dxa"/>
            <w:tcBorders>
              <w:top w:val="single" w:color="auto" w:sz="4" w:space="0"/>
              <w:left w:val="single" w:color="auto" w:sz="4" w:space="0"/>
              <w:bottom w:val="single" w:color="auto" w:sz="4" w:space="0"/>
              <w:right w:val="single" w:color="auto" w:sz="4" w:space="0"/>
            </w:tcBorders>
            <w:vAlign w:val="center"/>
          </w:tcPr>
          <w:p w14:paraId="4F82999A">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是否退还投标文件</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7A72F586">
            <w:pPr>
              <w:pStyle w:val="15"/>
              <w:shd w:val="clear"/>
              <w:topLinePunct/>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p w14:paraId="239E757C">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r>
      <w:tr w14:paraId="14F347B6">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14:paraId="05D08943">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226" w:type="dxa"/>
            <w:tcBorders>
              <w:top w:val="single" w:color="auto" w:sz="4" w:space="0"/>
              <w:left w:val="single" w:color="auto" w:sz="4" w:space="0"/>
              <w:bottom w:val="single" w:color="auto" w:sz="4" w:space="0"/>
              <w:right w:val="single" w:color="auto" w:sz="4" w:space="0"/>
            </w:tcBorders>
            <w:vAlign w:val="center"/>
          </w:tcPr>
          <w:p w14:paraId="7DC7FE30">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开标时间和地点</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7F69550C">
            <w:pPr>
              <w:widowControl/>
              <w:shd w:val="clear"/>
              <w:spacing w:line="276"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w:t>
            </w:r>
            <w:r>
              <w:rPr>
                <w:rFonts w:hint="eastAsia" w:ascii="宋体" w:hAnsi="宋体" w:eastAsia="宋体" w:cs="宋体"/>
                <w:color w:val="auto"/>
                <w:kern w:val="0"/>
                <w:szCs w:val="21"/>
                <w:highlight w:val="none"/>
                <w:u w:val="single"/>
              </w:rPr>
              <w:t>开标时间同投标截止时间。</w:t>
            </w:r>
          </w:p>
          <w:p w14:paraId="7FD3AC87">
            <w:pPr>
              <w:widowControl/>
              <w:shd w:val="clear"/>
              <w:spacing w:line="276"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开标地点：</w:t>
            </w:r>
            <w:r>
              <w:rPr>
                <w:rFonts w:hint="eastAsia" w:ascii="宋体" w:hAnsi="宋体" w:eastAsia="宋体" w:cs="宋体"/>
                <w:color w:val="auto"/>
                <w:kern w:val="0"/>
                <w:szCs w:val="21"/>
                <w:highlight w:val="none"/>
                <w:u w:val="single"/>
              </w:rPr>
              <w:t>在广州交易集团有限公司（广州公共资源交易中心）交易平台进行网上开标。</w:t>
            </w:r>
          </w:p>
        </w:tc>
      </w:tr>
      <w:tr w14:paraId="389E8F5C">
        <w:tblPrEx>
          <w:tblCellMar>
            <w:top w:w="0" w:type="dxa"/>
            <w:left w:w="108" w:type="dxa"/>
            <w:bottom w:w="0" w:type="dxa"/>
            <w:right w:w="108" w:type="dxa"/>
          </w:tblCellMar>
        </w:tblPrEx>
        <w:trPr>
          <w:trHeight w:val="381" w:hRule="atLeast"/>
        </w:trPr>
        <w:tc>
          <w:tcPr>
            <w:tcW w:w="1165" w:type="dxa"/>
            <w:tcBorders>
              <w:top w:val="single" w:color="auto" w:sz="4" w:space="0"/>
              <w:left w:val="single" w:color="auto" w:sz="4" w:space="0"/>
              <w:bottom w:val="single" w:color="auto" w:sz="4" w:space="0"/>
              <w:right w:val="single" w:color="auto" w:sz="4" w:space="0"/>
            </w:tcBorders>
            <w:vAlign w:val="center"/>
          </w:tcPr>
          <w:p w14:paraId="7DC65FE3">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226" w:type="dxa"/>
            <w:tcBorders>
              <w:top w:val="single" w:color="auto" w:sz="4" w:space="0"/>
              <w:left w:val="single" w:color="auto" w:sz="4" w:space="0"/>
              <w:bottom w:val="single" w:color="auto" w:sz="4" w:space="0"/>
              <w:right w:val="single" w:color="auto" w:sz="4" w:space="0"/>
            </w:tcBorders>
            <w:vAlign w:val="center"/>
          </w:tcPr>
          <w:p w14:paraId="5BB6A52A">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58E8860B">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主持人按下列程序进行开标：</w:t>
            </w:r>
          </w:p>
          <w:p w14:paraId="06C5D2C2">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（1）宣布开标纪律；</w:t>
            </w:r>
          </w:p>
          <w:p w14:paraId="1DBF34DA">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（2）在投标截止时间后</w:t>
            </w:r>
            <w:r>
              <w:rPr>
                <w:rFonts w:hint="eastAsia" w:ascii="宋体" w:hAnsi="宋体" w:cs="宋体"/>
                <w:color w:val="auto"/>
                <w:szCs w:val="21"/>
                <w:highlight w:val="none"/>
                <w:lang w:val="en-US" w:eastAsia="zh-CN"/>
              </w:rPr>
              <w:t>1小时</w:t>
            </w:r>
            <w:r>
              <w:rPr>
                <w:rFonts w:hint="eastAsia" w:ascii="宋体" w:hAnsi="宋体" w:eastAsia="宋体" w:cs="宋体"/>
                <w:color w:val="auto"/>
                <w:szCs w:val="21"/>
                <w:highlight w:val="none"/>
              </w:rPr>
              <w:t>内，投标人通过递交投标文件的交易平台对已递交的电子投标文件进行解密。投标人完成解密后，再由招标人进行解密（投标人只用执行一次解密，招标人执行解密次数根据招标文件开标次数确定）。</w:t>
            </w:r>
          </w:p>
          <w:p w14:paraId="617183F9">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解密完成后，公布：a投标人名称；b投标文件递交情况；c投标文件解密情况；d项目负责人、施工负责人、设计负责人、专职安全员；e投标报价（含设计费报价和建安工程费报价）；f工期；g投标人的加密打包投标文件电脑机器特征码等主要内容，并记录在案。未在规定时间内解密的投标文件不参与开标、评标。</w:t>
            </w:r>
          </w:p>
          <w:p w14:paraId="0E520EBA">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（4）截标后，开标开始时间因故推迟的，相关评标信息仍以原定的开标开始时间的信息为准。</w:t>
            </w:r>
          </w:p>
          <w:p w14:paraId="1C2300DF">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（5）备用光盘的读取按“10 电子招标投标”第6点的规定执行。</w:t>
            </w:r>
          </w:p>
          <w:p w14:paraId="0FEEDFF2">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59282849">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7FE12CC5">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（8）投标人未参加开标或在规定的时间内未提出异议的，视为对开标无异议。</w:t>
            </w:r>
          </w:p>
          <w:p w14:paraId="09918C89">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（9）开标时，两个（含两个）以上的投标人加密打包投标文件电脑机器特征码一致的，不参与下一程序，并由评标委员会否决其投标。</w:t>
            </w:r>
          </w:p>
          <w:p w14:paraId="06CCF049">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）投标人未参加开标或在规定的时间内未提出异议的，视为对开标无异议。</w:t>
            </w:r>
          </w:p>
          <w:p w14:paraId="7CA79BAB">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）投标人代表、招标人代表、监标人、记录人等有关人员在开标记录上签字确认；若有关人员不签字的，不影响开标程序；</w:t>
            </w:r>
          </w:p>
          <w:p w14:paraId="2492D90D">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）开标结束。</w:t>
            </w:r>
          </w:p>
        </w:tc>
      </w:tr>
      <w:tr w14:paraId="1B9E3496">
        <w:tblPrEx>
          <w:tblCellMar>
            <w:top w:w="0" w:type="dxa"/>
            <w:left w:w="108" w:type="dxa"/>
            <w:bottom w:w="0" w:type="dxa"/>
            <w:right w:w="108" w:type="dxa"/>
          </w:tblCellMar>
        </w:tblPrEx>
        <w:trPr>
          <w:trHeight w:val="1135" w:hRule="atLeast"/>
        </w:trPr>
        <w:tc>
          <w:tcPr>
            <w:tcW w:w="1165" w:type="dxa"/>
            <w:tcBorders>
              <w:top w:val="single" w:color="auto" w:sz="4" w:space="0"/>
              <w:left w:val="single" w:color="auto" w:sz="4" w:space="0"/>
              <w:bottom w:val="single" w:color="auto" w:sz="4" w:space="0"/>
              <w:right w:val="single" w:color="auto" w:sz="4" w:space="0"/>
            </w:tcBorders>
            <w:vAlign w:val="center"/>
          </w:tcPr>
          <w:p w14:paraId="66B91B7E">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w:t>
            </w:r>
          </w:p>
        </w:tc>
        <w:tc>
          <w:tcPr>
            <w:tcW w:w="2226" w:type="dxa"/>
            <w:tcBorders>
              <w:top w:val="single" w:color="auto" w:sz="4" w:space="0"/>
              <w:left w:val="single" w:color="auto" w:sz="4" w:space="0"/>
              <w:bottom w:val="single" w:color="auto" w:sz="4" w:space="0"/>
              <w:right w:val="single" w:color="auto" w:sz="4" w:space="0"/>
            </w:tcBorders>
            <w:vAlign w:val="center"/>
          </w:tcPr>
          <w:p w14:paraId="780B6959">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评标委员会的组建</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075D911A">
            <w:pPr>
              <w:shd w:val="clear"/>
              <w:spacing w:line="276" w:lineRule="auto"/>
              <w:ind w:left="1476" w:hanging="1476" w:hangingChars="703"/>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评标委员会构成：由招标人依法组建。</w:t>
            </w:r>
          </w:p>
        </w:tc>
      </w:tr>
      <w:tr w14:paraId="4E32340B">
        <w:tblPrEx>
          <w:tblCellMar>
            <w:top w:w="0" w:type="dxa"/>
            <w:left w:w="108" w:type="dxa"/>
            <w:bottom w:w="0" w:type="dxa"/>
            <w:right w:w="108" w:type="dxa"/>
          </w:tblCellMar>
        </w:tblPrEx>
        <w:trPr>
          <w:trHeight w:val="995" w:hRule="atLeast"/>
        </w:trPr>
        <w:tc>
          <w:tcPr>
            <w:tcW w:w="1165" w:type="dxa"/>
            <w:tcBorders>
              <w:top w:val="single" w:color="auto" w:sz="4" w:space="0"/>
              <w:left w:val="single" w:color="auto" w:sz="4" w:space="0"/>
              <w:bottom w:val="single" w:color="auto" w:sz="4" w:space="0"/>
              <w:right w:val="single" w:color="auto" w:sz="4" w:space="0"/>
            </w:tcBorders>
            <w:vAlign w:val="center"/>
          </w:tcPr>
          <w:p w14:paraId="5ED5AAA9">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7.1</w:t>
            </w:r>
          </w:p>
        </w:tc>
        <w:tc>
          <w:tcPr>
            <w:tcW w:w="2226" w:type="dxa"/>
            <w:tcBorders>
              <w:top w:val="single" w:color="auto" w:sz="4" w:space="0"/>
              <w:left w:val="single" w:color="auto" w:sz="4" w:space="0"/>
              <w:bottom w:val="single" w:color="auto" w:sz="4" w:space="0"/>
              <w:right w:val="single" w:color="auto" w:sz="4" w:space="0"/>
            </w:tcBorders>
            <w:vAlign w:val="center"/>
          </w:tcPr>
          <w:p w14:paraId="42992061">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是否授权评标委员会确定中标人</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019E29C6">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p w14:paraId="5C568C14">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■否，推荐的中标候选人数：3人。</w:t>
            </w:r>
          </w:p>
        </w:tc>
      </w:tr>
      <w:tr w14:paraId="620194A3">
        <w:tblPrEx>
          <w:tblCellMar>
            <w:top w:w="0" w:type="dxa"/>
            <w:left w:w="108" w:type="dxa"/>
            <w:bottom w:w="0" w:type="dxa"/>
            <w:right w:w="108" w:type="dxa"/>
          </w:tblCellMar>
        </w:tblPrEx>
        <w:trPr>
          <w:trHeight w:val="1042" w:hRule="atLeast"/>
        </w:trPr>
        <w:tc>
          <w:tcPr>
            <w:tcW w:w="1165" w:type="dxa"/>
            <w:tcBorders>
              <w:top w:val="single" w:color="auto" w:sz="4" w:space="0"/>
              <w:left w:val="single" w:color="auto" w:sz="4" w:space="0"/>
              <w:bottom w:val="single" w:color="auto" w:sz="4" w:space="0"/>
              <w:right w:val="single" w:color="auto" w:sz="4" w:space="0"/>
            </w:tcBorders>
            <w:vAlign w:val="center"/>
          </w:tcPr>
          <w:p w14:paraId="7781B07E">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2226" w:type="dxa"/>
            <w:tcBorders>
              <w:top w:val="single" w:color="auto" w:sz="4" w:space="0"/>
              <w:left w:val="single" w:color="auto" w:sz="4" w:space="0"/>
              <w:bottom w:val="single" w:color="auto" w:sz="4" w:space="0"/>
              <w:right w:val="single" w:color="auto" w:sz="4" w:space="0"/>
            </w:tcBorders>
            <w:vAlign w:val="center"/>
          </w:tcPr>
          <w:p w14:paraId="11FBCCE0">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中标候选人公示媒介</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40CB83F1">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广州交易集团有限公司（广州公共资源交易中心）、广东省招标投标监管网和中国招标投标公共服务平台</w:t>
            </w:r>
          </w:p>
        </w:tc>
      </w:tr>
      <w:tr w14:paraId="6AE8ADCC">
        <w:tblPrEx>
          <w:tblCellMar>
            <w:top w:w="0" w:type="dxa"/>
            <w:left w:w="108" w:type="dxa"/>
            <w:bottom w:w="0" w:type="dxa"/>
            <w:right w:w="108" w:type="dxa"/>
          </w:tblCellMar>
        </w:tblPrEx>
        <w:trPr>
          <w:trHeight w:val="1128" w:hRule="atLeast"/>
        </w:trPr>
        <w:tc>
          <w:tcPr>
            <w:tcW w:w="1165" w:type="dxa"/>
            <w:tcBorders>
              <w:top w:val="single" w:color="auto" w:sz="4" w:space="0"/>
              <w:left w:val="single" w:color="auto" w:sz="4" w:space="0"/>
              <w:bottom w:val="single" w:color="auto" w:sz="4" w:space="0"/>
              <w:right w:val="single" w:color="auto" w:sz="4" w:space="0"/>
            </w:tcBorders>
            <w:vAlign w:val="center"/>
          </w:tcPr>
          <w:p w14:paraId="39FF9F71">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7.4.1</w:t>
            </w:r>
          </w:p>
        </w:tc>
        <w:tc>
          <w:tcPr>
            <w:tcW w:w="2226" w:type="dxa"/>
            <w:tcBorders>
              <w:top w:val="single" w:color="auto" w:sz="4" w:space="0"/>
              <w:left w:val="single" w:color="auto" w:sz="4" w:space="0"/>
              <w:bottom w:val="single" w:color="auto" w:sz="4" w:space="0"/>
              <w:right w:val="single" w:color="auto" w:sz="4" w:space="0"/>
            </w:tcBorders>
            <w:vAlign w:val="center"/>
          </w:tcPr>
          <w:p w14:paraId="407E6EA6">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22D64251">
            <w:pPr>
              <w:widowControl/>
              <w:shd w:val="clear"/>
              <w:spacing w:line="276"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履约担保的形式：以合同约定为准。</w:t>
            </w:r>
          </w:p>
          <w:p w14:paraId="1F01BFFA">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履约担保的金额：履约担保金额为中标合同金额的10%。联合体中标的，其履约担保由联合体主办方按中标合同金额的10%</w:t>
            </w:r>
            <w:r>
              <w:rPr>
                <w:rFonts w:hint="eastAsia" w:ascii="宋体" w:hAnsi="宋体" w:eastAsia="宋体" w:cs="宋体"/>
                <w:color w:val="auto"/>
                <w:szCs w:val="21"/>
                <w:highlight w:val="none"/>
              </w:rPr>
              <w:t>开具。</w:t>
            </w:r>
          </w:p>
        </w:tc>
      </w:tr>
      <w:tr w14:paraId="5197B509">
        <w:tblPrEx>
          <w:tblCellMar>
            <w:top w:w="0" w:type="dxa"/>
            <w:left w:w="108" w:type="dxa"/>
            <w:bottom w:w="0" w:type="dxa"/>
            <w:right w:w="108" w:type="dxa"/>
          </w:tblCellMar>
        </w:tblPrEx>
        <w:trPr>
          <w:trHeight w:val="414" w:hRule="atLeast"/>
        </w:trPr>
        <w:tc>
          <w:tcPr>
            <w:tcW w:w="1165" w:type="dxa"/>
            <w:tcBorders>
              <w:top w:val="single" w:color="auto" w:sz="4" w:space="0"/>
              <w:left w:val="single" w:color="auto" w:sz="4" w:space="0"/>
              <w:bottom w:val="single" w:color="auto" w:sz="4" w:space="0"/>
              <w:right w:val="single" w:color="auto" w:sz="4" w:space="0"/>
            </w:tcBorders>
            <w:vAlign w:val="center"/>
          </w:tcPr>
          <w:p w14:paraId="7F8F31CB">
            <w:pPr>
              <w:shd w:val="clear"/>
              <w:spacing w:line="27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w:t>
            </w:r>
          </w:p>
        </w:tc>
        <w:tc>
          <w:tcPr>
            <w:tcW w:w="8689" w:type="dxa"/>
            <w:gridSpan w:val="3"/>
            <w:tcBorders>
              <w:top w:val="single" w:color="auto" w:sz="4" w:space="0"/>
              <w:left w:val="single" w:color="auto" w:sz="4" w:space="0"/>
              <w:bottom w:val="single" w:color="auto" w:sz="4" w:space="0"/>
              <w:right w:val="single" w:color="auto" w:sz="4" w:space="0"/>
            </w:tcBorders>
            <w:vAlign w:val="center"/>
          </w:tcPr>
          <w:p w14:paraId="13DACA7E">
            <w:pPr>
              <w:shd w:val="clear"/>
              <w:spacing w:line="27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需要补充的其他内容</w:t>
            </w:r>
          </w:p>
        </w:tc>
      </w:tr>
      <w:tr w14:paraId="339AEC8A">
        <w:tblPrEx>
          <w:tblCellMar>
            <w:top w:w="0" w:type="dxa"/>
            <w:left w:w="108" w:type="dxa"/>
            <w:bottom w:w="0" w:type="dxa"/>
            <w:right w:w="108" w:type="dxa"/>
          </w:tblCellMar>
        </w:tblPrEx>
        <w:trPr>
          <w:trHeight w:val="437" w:hRule="atLeast"/>
        </w:trPr>
        <w:tc>
          <w:tcPr>
            <w:tcW w:w="1165" w:type="dxa"/>
            <w:tcBorders>
              <w:top w:val="single" w:color="auto" w:sz="4" w:space="0"/>
              <w:left w:val="single" w:color="auto" w:sz="4" w:space="0"/>
              <w:bottom w:val="single" w:color="auto" w:sz="4" w:space="0"/>
              <w:right w:val="single" w:color="auto" w:sz="4" w:space="0"/>
            </w:tcBorders>
            <w:vAlign w:val="center"/>
          </w:tcPr>
          <w:p w14:paraId="3FC716BC">
            <w:pPr>
              <w:shd w:val="clear"/>
              <w:spacing w:line="276"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9.1</w:t>
            </w:r>
          </w:p>
        </w:tc>
        <w:tc>
          <w:tcPr>
            <w:tcW w:w="8689" w:type="dxa"/>
            <w:gridSpan w:val="3"/>
            <w:tcBorders>
              <w:top w:val="single" w:color="auto" w:sz="4" w:space="0"/>
              <w:left w:val="single" w:color="auto" w:sz="4" w:space="0"/>
              <w:bottom w:val="single" w:color="auto" w:sz="4" w:space="0"/>
              <w:right w:val="single" w:color="auto" w:sz="4" w:space="0"/>
            </w:tcBorders>
            <w:vAlign w:val="center"/>
          </w:tcPr>
          <w:p w14:paraId="3E5DCC95">
            <w:pPr>
              <w:shd w:val="clear"/>
              <w:spacing w:line="276" w:lineRule="auto"/>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施工保修期限：按照《建设工程质量管理条例》规定。</w:t>
            </w:r>
          </w:p>
        </w:tc>
      </w:tr>
      <w:tr w14:paraId="261074F3">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6188DFA">
            <w:pPr>
              <w:shd w:val="clear"/>
              <w:spacing w:line="276"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9.2</w:t>
            </w:r>
          </w:p>
        </w:tc>
        <w:tc>
          <w:tcPr>
            <w:tcW w:w="8689" w:type="dxa"/>
            <w:gridSpan w:val="3"/>
            <w:tcBorders>
              <w:top w:val="single" w:color="auto" w:sz="4" w:space="0"/>
              <w:left w:val="single" w:color="auto" w:sz="4" w:space="0"/>
              <w:bottom w:val="single" w:color="auto" w:sz="4" w:space="0"/>
              <w:right w:val="single" w:color="auto" w:sz="4" w:space="0"/>
            </w:tcBorders>
            <w:vAlign w:val="center"/>
          </w:tcPr>
          <w:p w14:paraId="59462356">
            <w:pPr>
              <w:shd w:val="clear"/>
              <w:spacing w:line="276"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建设工程质量检测</w:t>
            </w:r>
            <w:r>
              <w:rPr>
                <w:rFonts w:hint="eastAsia" w:ascii="宋体" w:hAnsi="宋体" w:cs="宋体"/>
                <w:bCs/>
                <w:color w:val="auto"/>
                <w:szCs w:val="21"/>
                <w:highlight w:val="none"/>
                <w:lang w:val="en-US" w:eastAsia="zh-CN"/>
              </w:rPr>
              <w:t>单位</w:t>
            </w:r>
            <w:r>
              <w:rPr>
                <w:rFonts w:hint="eastAsia" w:ascii="宋体" w:hAnsi="宋体" w:eastAsia="宋体" w:cs="宋体"/>
                <w:bCs/>
                <w:color w:val="auto"/>
                <w:szCs w:val="21"/>
                <w:highlight w:val="none"/>
              </w:rPr>
              <w:t>：</w:t>
            </w:r>
          </w:p>
          <w:p w14:paraId="5E983B49">
            <w:pPr>
              <w:shd w:val="clear"/>
              <w:spacing w:line="276" w:lineRule="auto"/>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4D7EB981">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43D7AC63">
            <w:pPr>
              <w:shd w:val="clear"/>
              <w:spacing w:line="276"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9.3</w:t>
            </w:r>
          </w:p>
        </w:tc>
        <w:tc>
          <w:tcPr>
            <w:tcW w:w="8689" w:type="dxa"/>
            <w:gridSpan w:val="3"/>
            <w:tcBorders>
              <w:top w:val="single" w:color="auto" w:sz="4" w:space="0"/>
              <w:left w:val="single" w:color="auto" w:sz="4" w:space="0"/>
              <w:bottom w:val="single" w:color="auto" w:sz="4" w:space="0"/>
              <w:right w:val="single" w:color="auto" w:sz="4" w:space="0"/>
            </w:tcBorders>
            <w:vAlign w:val="center"/>
          </w:tcPr>
          <w:p w14:paraId="4AB07835">
            <w:pPr>
              <w:shd w:val="clear"/>
              <w:spacing w:line="276"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在招标和合同实施期间，业主要求投标人和承包人遵守最高的道德标准。</w:t>
            </w:r>
          </w:p>
          <w:p w14:paraId="4D5649EA">
            <w:pPr>
              <w:shd w:val="clear"/>
              <w:spacing w:line="276"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1、对本条款的规定，特定义如下词汇：</w:t>
            </w:r>
          </w:p>
          <w:p w14:paraId="63F20C62">
            <w:pPr>
              <w:shd w:val="clear"/>
              <w:spacing w:line="276"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（1）“腐败行为”是指在招标或合同执行期间，通过提供、给予、接受或索要任何有价值的东西，从而影响招标人有关人员工作的行为；</w:t>
            </w:r>
          </w:p>
          <w:p w14:paraId="1B648F07">
            <w:pPr>
              <w:shd w:val="clear"/>
              <w:spacing w:line="276"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欺诈行为”是指通过提供伪证影响招标或合同执行，从而损害招标人利益的行为；也包括投标人之间串通（在提交投标书之前或之后），人为地使招标过程失去竞争性，从而使业主无法从公开的自由竞争中获得利益的行为。</w:t>
            </w:r>
          </w:p>
          <w:p w14:paraId="7A729E75">
            <w:pPr>
              <w:shd w:val="clear"/>
              <w:spacing w:line="276"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2、如果投标人被认定在本招标的竞争中有腐败或欺诈行为，则会被取消投标资格。</w:t>
            </w:r>
          </w:p>
        </w:tc>
      </w:tr>
      <w:tr w14:paraId="2A96F291">
        <w:tblPrEx>
          <w:tblCellMar>
            <w:top w:w="0" w:type="dxa"/>
            <w:left w:w="108" w:type="dxa"/>
            <w:bottom w:w="0" w:type="dxa"/>
            <w:right w:w="108" w:type="dxa"/>
          </w:tblCellMar>
        </w:tblPrEx>
        <w:trPr>
          <w:trHeight w:val="998" w:hRule="atLeast"/>
        </w:trPr>
        <w:tc>
          <w:tcPr>
            <w:tcW w:w="1165" w:type="dxa"/>
            <w:tcBorders>
              <w:top w:val="single" w:color="auto" w:sz="4" w:space="0"/>
              <w:left w:val="single" w:color="auto" w:sz="4" w:space="0"/>
              <w:bottom w:val="single" w:color="auto" w:sz="4" w:space="0"/>
              <w:right w:val="single" w:color="auto" w:sz="4" w:space="0"/>
            </w:tcBorders>
            <w:vAlign w:val="center"/>
          </w:tcPr>
          <w:p w14:paraId="5132ECAD">
            <w:pPr>
              <w:shd w:val="clear"/>
              <w:spacing w:line="276"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9.4</w:t>
            </w:r>
          </w:p>
        </w:tc>
        <w:tc>
          <w:tcPr>
            <w:tcW w:w="8689" w:type="dxa"/>
            <w:gridSpan w:val="3"/>
            <w:tcBorders>
              <w:top w:val="single" w:color="auto" w:sz="4" w:space="0"/>
              <w:left w:val="single" w:color="auto" w:sz="4" w:space="0"/>
              <w:bottom w:val="single" w:color="auto" w:sz="4" w:space="0"/>
              <w:right w:val="single" w:color="auto" w:sz="4" w:space="0"/>
            </w:tcBorders>
            <w:vAlign w:val="center"/>
          </w:tcPr>
          <w:p w14:paraId="1DA2F93A">
            <w:pPr>
              <w:widowControl/>
              <w:shd w:val="clear"/>
              <w:spacing w:line="276" w:lineRule="auto"/>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职业健康安全管理目标：杜绝一般等级以上的伤亡事故且工伤责任事故人数为零。</w:t>
            </w:r>
          </w:p>
          <w:p w14:paraId="736EAA4D">
            <w:pPr>
              <w:shd w:val="clear"/>
              <w:spacing w:line="276" w:lineRule="auto"/>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环境管理目标：严格执行《广州市建设工程现场文明施工管理办法》等市有关文明施工方面的文件。</w:t>
            </w:r>
          </w:p>
        </w:tc>
      </w:tr>
      <w:tr w14:paraId="108731A3">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14:paraId="266D3132">
            <w:pPr>
              <w:shd w:val="clear"/>
              <w:spacing w:line="276"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9.5</w:t>
            </w:r>
          </w:p>
        </w:tc>
        <w:tc>
          <w:tcPr>
            <w:tcW w:w="8689" w:type="dxa"/>
            <w:gridSpan w:val="3"/>
            <w:tcBorders>
              <w:top w:val="single" w:color="auto" w:sz="4" w:space="0"/>
              <w:left w:val="single" w:color="auto" w:sz="4" w:space="0"/>
              <w:bottom w:val="single" w:color="auto" w:sz="4" w:space="0"/>
              <w:right w:val="single" w:color="auto" w:sz="4" w:space="0"/>
            </w:tcBorders>
            <w:vAlign w:val="center"/>
          </w:tcPr>
          <w:p w14:paraId="7BC8CF5A">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承包方式：</w:t>
            </w:r>
            <w:r>
              <w:rPr>
                <w:rFonts w:hint="eastAsia" w:ascii="宋体" w:hAnsi="宋体" w:eastAsia="宋体" w:cs="宋体"/>
                <w:color w:val="auto"/>
                <w:szCs w:val="21"/>
                <w:highlight w:val="none"/>
                <w:u w:val="single"/>
                <w:lang w:val="en-US" w:eastAsia="zh-CN"/>
              </w:rPr>
              <w:t>包设计、包施工、包材料、包工期、包质量、包安全、包环保、包文明施工、包保修、包相关配合服务</w:t>
            </w:r>
            <w:r>
              <w:rPr>
                <w:rFonts w:hint="eastAsia" w:ascii="宋体" w:hAnsi="宋体" w:eastAsia="宋体" w:cs="宋体"/>
                <w:color w:val="auto"/>
                <w:szCs w:val="21"/>
                <w:highlight w:val="none"/>
                <w:u w:val="single"/>
              </w:rPr>
              <w:t>。</w:t>
            </w:r>
          </w:p>
          <w:p w14:paraId="23F33C28">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结算方式具体按合同条款规定。</w:t>
            </w:r>
          </w:p>
          <w:p w14:paraId="68F0BB9A">
            <w:pPr>
              <w:shd w:val="clear"/>
              <w:spacing w:line="276" w:lineRule="auto"/>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u w:val="single"/>
              </w:rPr>
              <w:t>本工程实行全过程限额设计施工，限额投资。所有工程变更需经过建设单位审定后方可实施。</w:t>
            </w:r>
          </w:p>
        </w:tc>
      </w:tr>
      <w:tr w14:paraId="767CF73C">
        <w:tblPrEx>
          <w:tblCellMar>
            <w:top w:w="0" w:type="dxa"/>
            <w:left w:w="108" w:type="dxa"/>
            <w:bottom w:w="0" w:type="dxa"/>
            <w:right w:w="108" w:type="dxa"/>
          </w:tblCellMar>
        </w:tblPrEx>
        <w:trPr>
          <w:trHeight w:val="1144" w:hRule="atLeast"/>
        </w:trPr>
        <w:tc>
          <w:tcPr>
            <w:tcW w:w="1165" w:type="dxa"/>
            <w:tcBorders>
              <w:top w:val="single" w:color="auto" w:sz="4" w:space="0"/>
              <w:left w:val="single" w:color="auto" w:sz="4" w:space="0"/>
              <w:bottom w:val="single" w:color="auto" w:sz="4" w:space="0"/>
              <w:right w:val="single" w:color="auto" w:sz="4" w:space="0"/>
            </w:tcBorders>
            <w:vAlign w:val="center"/>
          </w:tcPr>
          <w:p w14:paraId="31D4641F">
            <w:pPr>
              <w:shd w:val="clear"/>
              <w:spacing w:line="276"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9.6</w:t>
            </w:r>
          </w:p>
        </w:tc>
        <w:tc>
          <w:tcPr>
            <w:tcW w:w="8689" w:type="dxa"/>
            <w:gridSpan w:val="3"/>
            <w:tcBorders>
              <w:top w:val="single" w:color="auto" w:sz="4" w:space="0"/>
              <w:left w:val="single" w:color="auto" w:sz="4" w:space="0"/>
              <w:bottom w:val="single" w:color="auto" w:sz="4" w:space="0"/>
              <w:right w:val="single" w:color="auto" w:sz="4" w:space="0"/>
            </w:tcBorders>
            <w:vAlign w:val="center"/>
          </w:tcPr>
          <w:p w14:paraId="0D4A0FE0">
            <w:pPr>
              <w:numPr>
                <w:ilvl w:val="0"/>
                <w:numId w:val="1"/>
              </w:numPr>
              <w:shd w:val="clear"/>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中标人代缴交易服务费，其费用包含在中标人报价中，由广州交易集团有限公司（广州公共资源交易中心）向中标人开具发票。</w:t>
            </w:r>
          </w:p>
          <w:p w14:paraId="11D9A121">
            <w:pPr>
              <w:pStyle w:val="11"/>
              <w:shd w:val="clear"/>
              <w:spacing w:line="276" w:lineRule="auto"/>
              <w:ind w:left="0"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2、本项目招标代理服务费由中标人支付，金额以招标人与招标代理机构签订的招标代理合同为准。</w:t>
            </w:r>
          </w:p>
        </w:tc>
      </w:tr>
      <w:tr w14:paraId="5B3832ED">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2666020A">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3054" w:type="dxa"/>
            <w:gridSpan w:val="2"/>
            <w:tcBorders>
              <w:top w:val="single" w:color="auto" w:sz="4" w:space="0"/>
              <w:left w:val="single" w:color="auto" w:sz="4" w:space="0"/>
              <w:bottom w:val="single" w:color="auto" w:sz="4" w:space="0"/>
              <w:right w:val="single" w:color="auto" w:sz="4" w:space="0"/>
            </w:tcBorders>
            <w:vAlign w:val="center"/>
          </w:tcPr>
          <w:p w14:paraId="77209216">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电子招标投标</w:t>
            </w:r>
          </w:p>
        </w:tc>
        <w:tc>
          <w:tcPr>
            <w:tcW w:w="5635" w:type="dxa"/>
            <w:tcBorders>
              <w:top w:val="single" w:color="auto" w:sz="4" w:space="0"/>
              <w:left w:val="single" w:color="auto" w:sz="4" w:space="0"/>
              <w:bottom w:val="single" w:color="auto" w:sz="4" w:space="0"/>
              <w:right w:val="single" w:color="auto" w:sz="4" w:space="0"/>
            </w:tcBorders>
            <w:vAlign w:val="center"/>
          </w:tcPr>
          <w:p w14:paraId="1BEE558D">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p w14:paraId="20F8B469">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■是，具体要求：</w:t>
            </w:r>
          </w:p>
          <w:p w14:paraId="0C354716">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投标文件形式：投标文件全部采用电子文档，投标文件应按交易平台相关操作指南编制。如不按上述要求编制引起系统无法检索、读取相关信息的，其后果由投标人承担。投标文件所附证书证件均为原件扫描件，并采用单位数字证书，</w:t>
            </w:r>
            <w:r>
              <w:rPr>
                <w:rFonts w:hint="eastAsia" w:ascii="宋体" w:hAnsi="宋体" w:eastAsia="宋体" w:cs="宋体"/>
                <w:b/>
                <w:bCs/>
                <w:color w:val="auto"/>
                <w:szCs w:val="21"/>
                <w:highlight w:val="none"/>
                <w:u w:val="single"/>
              </w:rPr>
              <w:t>对投标文件</w:t>
            </w:r>
            <w:r>
              <w:rPr>
                <w:rFonts w:hint="eastAsia" w:ascii="宋体" w:hAnsi="宋体" w:eastAsia="宋体" w:cs="宋体"/>
                <w:color w:val="auto"/>
                <w:szCs w:val="21"/>
                <w:highlight w:val="none"/>
                <w:u w:val="single"/>
              </w:rPr>
              <w:t>加盖电子印章。投标文件中需个人签字或盖章的，应加盖个人电子印章或在线下完成后扫描上传。具体操作详见交易平台相关操作指南。</w:t>
            </w:r>
          </w:p>
          <w:p w14:paraId="28E6EB3B">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2、投标文件的修改与撤回：投标人修改或撤回已递交的投标文件，需在交易平台发出撤回通知，并按要求加盖电子印章。电子招标投标交易平台收到通知后，即时向投标人发出确认回执通知。</w:t>
            </w:r>
          </w:p>
          <w:p w14:paraId="0AAFAAA1">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重要风险提示）备用光盘或u盘。投标人可使用投标文件制作工具生成非加密的电子投标文件载入光盘或u盘（1份，载体形式由投标人自选），在规定的时间、地点提交备用。(刻录好的投标文件光盘或u盘密封在密封袋中，并在封口处加盖投标人单位公章。密封袋上应写明项目名称和招标人名称。递交的投标文件光盘或u盘(备用)不得加密。光盘或u盘（备用投标文件）无法读取或导入的，则视为未提交投标文件光盘或u盘(备用)。如果投标人没有按规定通过交易平台网上递交电子投标文件的，不再读取提交的光盘或u盘。投标人也可不提交投标文件光盘或u盘(备用)。</w:t>
            </w:r>
          </w:p>
          <w:p w14:paraId="4339AD24">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4、投标文件的递交：</w:t>
            </w:r>
          </w:p>
          <w:p w14:paraId="195A16BA">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fldChar w:fldCharType="begin"/>
            </w:r>
            <w:r>
              <w:rPr>
                <w:rFonts w:hint="eastAsia" w:ascii="宋体" w:hAnsi="宋体" w:eastAsia="宋体" w:cs="宋体"/>
                <w:color w:val="auto"/>
                <w:szCs w:val="21"/>
                <w:highlight w:val="none"/>
                <w:u w:val="single"/>
              </w:rPr>
              <w:instrText xml:space="preserve"> = 1 \* GB3 </w:instrText>
            </w:r>
            <w:r>
              <w:rPr>
                <w:rFonts w:hint="eastAsia" w:ascii="宋体" w:hAnsi="宋体" w:eastAsia="宋体" w:cs="宋体"/>
                <w:color w:val="auto"/>
                <w:szCs w:val="21"/>
                <w:highlight w:val="none"/>
                <w:u w:val="single"/>
              </w:rPr>
              <w:fldChar w:fldCharType="separate"/>
            </w:r>
            <w:r>
              <w:rPr>
                <w:rFonts w:hint="eastAsia" w:ascii="宋体" w:hAnsi="宋体" w:eastAsia="宋体" w:cs="宋体"/>
                <w:color w:val="auto"/>
                <w:szCs w:val="21"/>
                <w:highlight w:val="none"/>
                <w:u w:val="single"/>
              </w:rPr>
              <w:t>①</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u w:val="single"/>
              </w:rPr>
              <w:t>投标文件递交的截止时间（投标截止时间，下同）为  年  月  日  时  分，投标人应在截止时间前通过电子招标投标交易平台递交电子投标文件。</w:t>
            </w:r>
          </w:p>
          <w:p w14:paraId="471691FD">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fldChar w:fldCharType="begin"/>
            </w:r>
            <w:r>
              <w:rPr>
                <w:rFonts w:hint="eastAsia" w:ascii="宋体" w:hAnsi="宋体" w:eastAsia="宋体" w:cs="宋体"/>
                <w:color w:val="auto"/>
                <w:szCs w:val="21"/>
                <w:highlight w:val="none"/>
                <w:u w:val="single"/>
              </w:rPr>
              <w:instrText xml:space="preserve"> = 2 \* GB3 </w:instrText>
            </w:r>
            <w:r>
              <w:rPr>
                <w:rFonts w:hint="eastAsia" w:ascii="宋体" w:hAnsi="宋体" w:eastAsia="宋体" w:cs="宋体"/>
                <w:color w:val="auto"/>
                <w:szCs w:val="21"/>
                <w:highlight w:val="none"/>
                <w:u w:val="single"/>
              </w:rPr>
              <w:fldChar w:fldCharType="separate"/>
            </w:r>
            <w:r>
              <w:rPr>
                <w:rFonts w:hint="eastAsia" w:ascii="宋体" w:hAnsi="宋体" w:eastAsia="宋体" w:cs="宋体"/>
                <w:color w:val="auto"/>
                <w:szCs w:val="21"/>
                <w:highlight w:val="none"/>
                <w:u w:val="single"/>
              </w:rPr>
              <w:t>②</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u w:val="single"/>
              </w:rPr>
              <w:t>提交投标文件备用光盘或u盘。</w:t>
            </w:r>
          </w:p>
          <w:p w14:paraId="76D9F3A0">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投标文件光盘或u盘(备用)递交时间：投标文件递交的截止时间前15分钟。地点：广州交易集团有限公司（广州公共资源交易中心）花都交易部。</w:t>
            </w:r>
          </w:p>
          <w:p w14:paraId="55A08327">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fldChar w:fldCharType="begin"/>
            </w:r>
            <w:r>
              <w:rPr>
                <w:rFonts w:hint="eastAsia" w:ascii="宋体" w:hAnsi="宋体" w:eastAsia="宋体" w:cs="宋体"/>
                <w:color w:val="auto"/>
                <w:szCs w:val="21"/>
                <w:highlight w:val="none"/>
                <w:u w:val="single"/>
              </w:rPr>
              <w:instrText xml:space="preserve"> = 3 \* GB3 </w:instrText>
            </w:r>
            <w:r>
              <w:rPr>
                <w:rFonts w:hint="eastAsia" w:ascii="宋体" w:hAnsi="宋体" w:eastAsia="宋体" w:cs="宋体"/>
                <w:color w:val="auto"/>
                <w:szCs w:val="21"/>
                <w:highlight w:val="none"/>
                <w:u w:val="single"/>
              </w:rPr>
              <w:fldChar w:fldCharType="separate"/>
            </w:r>
            <w:r>
              <w:rPr>
                <w:rFonts w:hint="eastAsia" w:ascii="宋体" w:hAnsi="宋体" w:eastAsia="宋体" w:cs="宋体"/>
                <w:color w:val="auto"/>
                <w:szCs w:val="21"/>
                <w:highlight w:val="none"/>
                <w:u w:val="single"/>
              </w:rPr>
              <w:t>③</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u w:val="single"/>
              </w:rPr>
              <w:t>投标人完成电子投标上传后，电子招标投标交易平台即时向投标人发出递交回执通知。递交时间以递交回执通知载明的传输时间为准。</w:t>
            </w:r>
          </w:p>
          <w:p w14:paraId="08F2468B">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fldChar w:fldCharType="begin"/>
            </w:r>
            <w:r>
              <w:rPr>
                <w:rFonts w:hint="eastAsia" w:ascii="宋体" w:hAnsi="宋体" w:eastAsia="宋体" w:cs="宋体"/>
                <w:color w:val="auto"/>
                <w:szCs w:val="21"/>
                <w:highlight w:val="none"/>
                <w:u w:val="single"/>
              </w:rPr>
              <w:instrText xml:space="preserve"> = 4 \* GB3 </w:instrText>
            </w:r>
            <w:r>
              <w:rPr>
                <w:rFonts w:hint="eastAsia" w:ascii="宋体" w:hAnsi="宋体" w:eastAsia="宋体" w:cs="宋体"/>
                <w:color w:val="auto"/>
                <w:szCs w:val="21"/>
                <w:highlight w:val="none"/>
                <w:u w:val="single"/>
              </w:rPr>
              <w:fldChar w:fldCharType="separate"/>
            </w:r>
            <w:r>
              <w:rPr>
                <w:rFonts w:hint="eastAsia" w:ascii="宋体" w:hAnsi="宋体" w:eastAsia="宋体" w:cs="宋体"/>
                <w:color w:val="auto"/>
                <w:szCs w:val="21"/>
                <w:highlight w:val="none"/>
                <w:u w:val="single"/>
              </w:rPr>
              <w:t>④</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u w:val="single"/>
              </w:rPr>
              <w:t>逾期送达的投标文件，电子招标投标交易平台将予以拒收。</w:t>
            </w:r>
          </w:p>
          <w:p w14:paraId="2EAC165C">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5、投标文件加密要求：</w:t>
            </w:r>
          </w:p>
          <w:p w14:paraId="090320EF">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fldChar w:fldCharType="begin"/>
            </w:r>
            <w:r>
              <w:rPr>
                <w:rFonts w:hint="eastAsia" w:ascii="宋体" w:hAnsi="宋体" w:eastAsia="宋体" w:cs="宋体"/>
                <w:color w:val="auto"/>
                <w:szCs w:val="21"/>
                <w:highlight w:val="none"/>
                <w:u w:val="single"/>
              </w:rPr>
              <w:instrText xml:space="preserve"> = 1 \* GB3 </w:instrText>
            </w:r>
            <w:r>
              <w:rPr>
                <w:rFonts w:hint="eastAsia" w:ascii="宋体" w:hAnsi="宋体" w:eastAsia="宋体" w:cs="宋体"/>
                <w:color w:val="auto"/>
                <w:szCs w:val="21"/>
                <w:highlight w:val="none"/>
                <w:u w:val="single"/>
              </w:rPr>
              <w:fldChar w:fldCharType="separate"/>
            </w:r>
            <w:r>
              <w:rPr>
                <w:rFonts w:hint="eastAsia" w:ascii="宋体" w:hAnsi="宋体" w:eastAsia="宋体" w:cs="宋体"/>
                <w:color w:val="auto"/>
                <w:szCs w:val="21"/>
                <w:highlight w:val="none"/>
                <w:u w:val="single"/>
              </w:rPr>
              <w:t>①</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u w:val="single"/>
              </w:rPr>
              <w:t>网上递交的电子投标文件须进行加密。具体操作详见交易平台相关操作指南。</w:t>
            </w:r>
          </w:p>
          <w:p w14:paraId="5A9FBD23">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fldChar w:fldCharType="begin"/>
            </w:r>
            <w:r>
              <w:rPr>
                <w:rFonts w:hint="eastAsia" w:ascii="宋体" w:hAnsi="宋体" w:eastAsia="宋体" w:cs="宋体"/>
                <w:color w:val="auto"/>
                <w:szCs w:val="21"/>
                <w:highlight w:val="none"/>
                <w:u w:val="single"/>
              </w:rPr>
              <w:instrText xml:space="preserve"> = 2 \* GB3 </w:instrText>
            </w:r>
            <w:r>
              <w:rPr>
                <w:rFonts w:hint="eastAsia" w:ascii="宋体" w:hAnsi="宋体" w:eastAsia="宋体" w:cs="宋体"/>
                <w:color w:val="auto"/>
                <w:szCs w:val="21"/>
                <w:highlight w:val="none"/>
                <w:u w:val="single"/>
              </w:rPr>
              <w:fldChar w:fldCharType="separate"/>
            </w:r>
            <w:r>
              <w:rPr>
                <w:rFonts w:hint="eastAsia" w:ascii="宋体" w:hAnsi="宋体" w:eastAsia="宋体" w:cs="宋体"/>
                <w:color w:val="auto"/>
                <w:szCs w:val="21"/>
                <w:highlight w:val="none"/>
                <w:u w:val="single"/>
              </w:rPr>
              <w:t>②</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u w:val="single"/>
              </w:rPr>
              <w:t>未按要求加密的投标文件，招标人将予以拒收。</w:t>
            </w:r>
          </w:p>
          <w:p w14:paraId="79C6AFFF">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6、投标文件解密失败的补救方案：</w:t>
            </w:r>
          </w:p>
          <w:p w14:paraId="3E5C01F4">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在规定时间内，因投标人之外原因(指网络瘫痪、服务器损坏、交易系统故障短期无法恢复)导致的电子投标文件解密失败，在开标现场读取光盘或u盘内容，继续开标程序。若出现招标人无法正常解密或导入开标系统的情况，在开标现场读取已成功解密、以及因投标人之外的原因导致电子投标文件解密失败的投标人递交的电子光盘或u盘内容。出现上述情况的，评标委员会对其投标文件的评审以光盘或u盘内容为准。因投标人之外原因解密失败且未递交电子光盘或u盘的，视为撤回投标文件。</w:t>
            </w:r>
          </w:p>
          <w:p w14:paraId="0E22AA78">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除发生上述情况外，开标评标均以投标人通过交易平台网上递交的电子投标文件为准。</w:t>
            </w:r>
          </w:p>
        </w:tc>
      </w:tr>
      <w:tr w14:paraId="45E78634">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796EC336">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w:t>
            </w:r>
          </w:p>
        </w:tc>
        <w:tc>
          <w:tcPr>
            <w:tcW w:w="3054" w:type="dxa"/>
            <w:gridSpan w:val="2"/>
            <w:tcBorders>
              <w:top w:val="single" w:color="auto" w:sz="4" w:space="0"/>
              <w:left w:val="single" w:color="auto" w:sz="4" w:space="0"/>
              <w:bottom w:val="single" w:color="auto" w:sz="4" w:space="0"/>
              <w:right w:val="single" w:color="auto" w:sz="4" w:space="0"/>
            </w:tcBorders>
            <w:vAlign w:val="center"/>
          </w:tcPr>
          <w:p w14:paraId="44446012">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投标人不得存在的情形</w:t>
            </w:r>
          </w:p>
        </w:tc>
        <w:tc>
          <w:tcPr>
            <w:tcW w:w="5635" w:type="dxa"/>
            <w:tcBorders>
              <w:top w:val="single" w:color="auto" w:sz="4" w:space="0"/>
              <w:left w:val="single" w:color="auto" w:sz="4" w:space="0"/>
              <w:bottom w:val="single" w:color="auto" w:sz="4" w:space="0"/>
              <w:right w:val="single" w:color="auto" w:sz="4" w:space="0"/>
            </w:tcBorders>
            <w:vAlign w:val="center"/>
          </w:tcPr>
          <w:p w14:paraId="6976112F">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投标人不得存在的情形以招标公告及《投标人声明》第三点的规定为准。</w:t>
            </w:r>
          </w:p>
        </w:tc>
      </w:tr>
    </w:tbl>
    <w:p w14:paraId="0C3FBD34">
      <w:pPr>
        <w:pStyle w:val="3"/>
        <w:shd w:val="clear"/>
        <w:rPr>
          <w:rFonts w:hint="eastAsia" w:ascii="宋体" w:hAnsi="宋体" w:eastAsia="宋体" w:cs="宋体"/>
          <w:b w:val="0"/>
          <w:bCs w:val="0"/>
          <w:color w:val="auto"/>
          <w:highlight w:val="none"/>
        </w:rPr>
      </w:pPr>
      <w:r>
        <w:rPr>
          <w:rFonts w:hint="eastAsia" w:ascii="宋体" w:hAnsi="宋体" w:eastAsia="宋体" w:cs="宋体"/>
          <w:color w:val="auto"/>
          <w:highlight w:val="none"/>
        </w:rPr>
        <w:br w:type="page"/>
      </w:r>
      <w:bookmarkStart w:id="26" w:name="_Toc144974497"/>
      <w:bookmarkStart w:id="27" w:name="_Toc152042305"/>
      <w:bookmarkStart w:id="28" w:name="_Toc247527553"/>
      <w:bookmarkStart w:id="29" w:name="_Toc247513952"/>
      <w:bookmarkStart w:id="30" w:name="_Toc152045529"/>
      <w:r>
        <w:rPr>
          <w:rFonts w:hint="eastAsia" w:ascii="宋体" w:hAnsi="宋体" w:eastAsia="宋体" w:cs="宋体"/>
          <w:color w:val="auto"/>
          <w:highlight w:val="none"/>
        </w:rPr>
        <w:t>1. 总则</w:t>
      </w:r>
      <w:bookmarkEnd w:id="26"/>
      <w:bookmarkEnd w:id="27"/>
      <w:bookmarkEnd w:id="28"/>
      <w:bookmarkEnd w:id="29"/>
      <w:bookmarkEnd w:id="30"/>
    </w:p>
    <w:p w14:paraId="0EAABFA0">
      <w:pPr>
        <w:pStyle w:val="4"/>
        <w:shd w:val="clear"/>
        <w:rPr>
          <w:rFonts w:hint="eastAsia" w:ascii="宋体" w:hAnsi="宋体" w:eastAsia="宋体" w:cs="宋体"/>
          <w:color w:val="auto"/>
          <w:highlight w:val="none"/>
        </w:rPr>
      </w:pPr>
      <w:bookmarkStart w:id="31" w:name="_Toc31341"/>
      <w:bookmarkStart w:id="32" w:name="_Toc26896"/>
      <w:bookmarkStart w:id="33" w:name="_Toc247513953"/>
      <w:bookmarkStart w:id="34" w:name="_Toc247527554"/>
      <w:bookmarkStart w:id="35" w:name="_Toc152045530"/>
      <w:bookmarkStart w:id="36" w:name="_Toc144974498"/>
      <w:bookmarkStart w:id="37" w:name="_Toc152042306"/>
      <w:r>
        <w:rPr>
          <w:rFonts w:hint="eastAsia" w:ascii="宋体" w:hAnsi="宋体" w:eastAsia="宋体" w:cs="宋体"/>
          <w:color w:val="auto"/>
          <w:highlight w:val="none"/>
        </w:rPr>
        <w:t>1.1 项目概况</w:t>
      </w:r>
      <w:bookmarkEnd w:id="31"/>
      <w:bookmarkEnd w:id="32"/>
      <w:bookmarkEnd w:id="33"/>
      <w:bookmarkEnd w:id="34"/>
      <w:bookmarkEnd w:id="35"/>
      <w:bookmarkEnd w:id="36"/>
      <w:bookmarkEnd w:id="37"/>
    </w:p>
    <w:p w14:paraId="6DAD33A1">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1.1.1根据《中华人民共和国招标投标法》等有关法律、法规和规章的规定，本招标项目已具备招标条件，现对该项目设计施工进行总承包招标。</w:t>
      </w:r>
    </w:p>
    <w:p w14:paraId="6CA3C38D">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招标人：见投标人须知前附表。</w:t>
      </w:r>
    </w:p>
    <w:p w14:paraId="070C4882">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招标代理机构：见投标人须知前附表。</w:t>
      </w:r>
    </w:p>
    <w:p w14:paraId="06314E4C">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招标项目名称：见投标人须知前附表。</w:t>
      </w:r>
    </w:p>
    <w:p w14:paraId="08E0864E">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1.1.5 项目建设地点：见投标人须知前附表。</w:t>
      </w:r>
    </w:p>
    <w:p w14:paraId="01D7528B">
      <w:pPr>
        <w:pStyle w:val="4"/>
        <w:shd w:val="clear"/>
        <w:rPr>
          <w:rFonts w:hint="eastAsia" w:ascii="宋体" w:hAnsi="宋体" w:eastAsia="宋体" w:cs="宋体"/>
          <w:color w:val="auto"/>
          <w:highlight w:val="none"/>
        </w:rPr>
      </w:pPr>
      <w:bookmarkStart w:id="38" w:name="_Toc247513954"/>
      <w:bookmarkStart w:id="39" w:name="_Toc1053"/>
      <w:bookmarkStart w:id="40" w:name="_Toc152042307"/>
      <w:bookmarkStart w:id="41" w:name="_Toc247527555"/>
      <w:bookmarkStart w:id="42" w:name="_Toc152045531"/>
      <w:bookmarkStart w:id="43" w:name="_Toc144974499"/>
      <w:bookmarkStart w:id="44" w:name="_Toc30664"/>
      <w:r>
        <w:rPr>
          <w:rFonts w:hint="eastAsia" w:ascii="宋体" w:hAnsi="宋体" w:eastAsia="宋体" w:cs="宋体"/>
          <w:color w:val="auto"/>
          <w:highlight w:val="none"/>
        </w:rPr>
        <w:t>1.2 项目的资金来源和落实情况</w:t>
      </w:r>
      <w:bookmarkEnd w:id="38"/>
      <w:bookmarkEnd w:id="39"/>
      <w:bookmarkEnd w:id="40"/>
      <w:bookmarkEnd w:id="41"/>
      <w:bookmarkEnd w:id="42"/>
      <w:bookmarkEnd w:id="43"/>
      <w:bookmarkEnd w:id="44"/>
    </w:p>
    <w:p w14:paraId="29E2A916">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1.2.1 资金来源及比例：见投标人须知前附表。</w:t>
      </w:r>
    </w:p>
    <w:p w14:paraId="293F6529">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1.2.2 资金落实情况：见投标人须知前附表。</w:t>
      </w:r>
    </w:p>
    <w:p w14:paraId="2AB8C989">
      <w:pPr>
        <w:pStyle w:val="4"/>
        <w:shd w:val="clear"/>
        <w:rPr>
          <w:rFonts w:hint="eastAsia" w:ascii="宋体" w:hAnsi="宋体" w:eastAsia="宋体" w:cs="宋体"/>
          <w:color w:val="auto"/>
          <w:highlight w:val="none"/>
        </w:rPr>
      </w:pPr>
      <w:bookmarkStart w:id="45" w:name="_Toc144974500"/>
      <w:bookmarkStart w:id="46" w:name="_Toc152045532"/>
      <w:bookmarkStart w:id="47" w:name="_Toc247513955"/>
      <w:bookmarkStart w:id="48" w:name="_Toc152042308"/>
      <w:bookmarkStart w:id="49" w:name="_Toc247527556"/>
      <w:bookmarkStart w:id="50" w:name="_Toc11582"/>
      <w:bookmarkStart w:id="51" w:name="_Toc17207"/>
      <w:r>
        <w:rPr>
          <w:rFonts w:hint="eastAsia" w:ascii="宋体" w:hAnsi="宋体" w:eastAsia="宋体" w:cs="宋体"/>
          <w:color w:val="auto"/>
          <w:highlight w:val="none"/>
        </w:rPr>
        <w:t>1.3 招标范围、计划工期和</w:t>
      </w:r>
      <w:bookmarkEnd w:id="45"/>
      <w:bookmarkEnd w:id="46"/>
      <w:bookmarkEnd w:id="47"/>
      <w:bookmarkEnd w:id="48"/>
      <w:bookmarkEnd w:id="49"/>
      <w:r>
        <w:rPr>
          <w:rFonts w:hint="eastAsia" w:ascii="宋体" w:hAnsi="宋体" w:eastAsia="宋体" w:cs="宋体"/>
          <w:color w:val="auto"/>
          <w:highlight w:val="none"/>
        </w:rPr>
        <w:t>质量标准</w:t>
      </w:r>
      <w:bookmarkEnd w:id="50"/>
      <w:bookmarkEnd w:id="51"/>
    </w:p>
    <w:p w14:paraId="45E5582A">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 招标范围：见投标人须知前附表。</w:t>
      </w:r>
    </w:p>
    <w:p w14:paraId="3063161F">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1.3.2 计划工期：见投标人须知前附表。</w:t>
      </w:r>
    </w:p>
    <w:p w14:paraId="7DCBDA37">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1.3.3 质量标准：见投标人须知前附表。</w:t>
      </w:r>
    </w:p>
    <w:p w14:paraId="766DCB05">
      <w:pPr>
        <w:pStyle w:val="4"/>
        <w:shd w:val="clear"/>
        <w:rPr>
          <w:rFonts w:hint="eastAsia" w:ascii="宋体" w:hAnsi="宋体" w:eastAsia="宋体" w:cs="宋体"/>
          <w:color w:val="auto"/>
          <w:highlight w:val="none"/>
        </w:rPr>
      </w:pPr>
      <w:bookmarkStart w:id="52" w:name="_Toc17813"/>
      <w:bookmarkStart w:id="53" w:name="_Toc247513957"/>
      <w:bookmarkStart w:id="54" w:name="_Toc152042310"/>
      <w:bookmarkStart w:id="55" w:name="_Toc152045534"/>
      <w:bookmarkStart w:id="56" w:name="_Toc144974502"/>
      <w:bookmarkStart w:id="57" w:name="_Toc17274"/>
      <w:bookmarkStart w:id="58" w:name="_Toc247527558"/>
      <w:r>
        <w:rPr>
          <w:rFonts w:hint="eastAsia" w:ascii="宋体" w:hAnsi="宋体" w:eastAsia="宋体" w:cs="宋体"/>
          <w:color w:val="auto"/>
          <w:highlight w:val="none"/>
        </w:rPr>
        <w:t>1.4 投标人资格要求（适用于未进行资格预审的）</w:t>
      </w:r>
      <w:bookmarkEnd w:id="52"/>
      <w:bookmarkEnd w:id="53"/>
      <w:bookmarkEnd w:id="54"/>
      <w:bookmarkEnd w:id="55"/>
      <w:bookmarkEnd w:id="56"/>
      <w:bookmarkEnd w:id="57"/>
      <w:bookmarkEnd w:id="58"/>
    </w:p>
    <w:p w14:paraId="2C848BC0">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1.4.1 投标人应具备承担本招标项目资质条件、能力和信誉：详见招标公告。</w:t>
      </w:r>
    </w:p>
    <w:p w14:paraId="22A46447">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1.4.2 投标人须知前附表规定接受联合体投标的，除应符合本章第1.4.1项和投标人须知前附表的要求外，还应遵守以下规定： </w:t>
      </w:r>
    </w:p>
    <w:p w14:paraId="2A567AF7">
      <w:pPr>
        <w:shd w:val="clear"/>
        <w:spacing w:line="400" w:lineRule="exact"/>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（1）联合体各方应按招标文件提供的格式签订联合体共同投标协议书，明确联合体主办方和各方权利义务；</w:t>
      </w:r>
    </w:p>
    <w:p w14:paraId="7D9B02FD">
      <w:pPr>
        <w:shd w:val="clear"/>
        <w:spacing w:line="400" w:lineRule="exact"/>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（2）由同一专业的单位组成的联合体，按照资质等级较低的单位确定资质等级；</w:t>
      </w:r>
    </w:p>
    <w:p w14:paraId="763374A0">
      <w:pPr>
        <w:shd w:val="clear"/>
        <w:spacing w:line="400" w:lineRule="exact"/>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（3）联合体各方不得再以自己名义单独或参加其他联合体在本招标项目中投标。</w:t>
      </w:r>
    </w:p>
    <w:p w14:paraId="427A277D">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1.4.3 投标人不得存在下列情形之一（以投标人提供的《投标人声明》中的承诺内容为准）：</w:t>
      </w:r>
    </w:p>
    <w:p w14:paraId="276AC896">
      <w:pPr>
        <w:shd w:val="clear"/>
        <w:spacing w:line="400" w:lineRule="exact"/>
        <w:ind w:firstLine="315" w:firstLineChars="150"/>
        <w:rPr>
          <w:rFonts w:hint="eastAsia" w:ascii="宋体" w:hAnsi="宋体" w:eastAsia="宋体" w:cs="宋体"/>
          <w:strike/>
          <w:color w:val="auto"/>
          <w:highlight w:val="none"/>
        </w:rPr>
      </w:pPr>
      <w:r>
        <w:rPr>
          <w:rFonts w:hint="eastAsia" w:ascii="宋体" w:hAnsi="宋体" w:eastAsia="宋体" w:cs="宋体"/>
          <w:strike/>
          <w:color w:val="auto"/>
          <w:highlight w:val="none"/>
        </w:rPr>
        <w:t xml:space="preserve">（1）为招标人不具有独立法人资格的附属机构（单位）； </w:t>
      </w:r>
    </w:p>
    <w:p w14:paraId="5DE6A0D3">
      <w:pPr>
        <w:shd w:val="clear"/>
        <w:spacing w:line="400" w:lineRule="exact"/>
        <w:ind w:firstLine="315" w:firstLineChars="150"/>
        <w:rPr>
          <w:rFonts w:hint="eastAsia" w:ascii="宋体" w:hAnsi="宋体" w:eastAsia="宋体" w:cs="宋体"/>
          <w:strike/>
          <w:color w:val="auto"/>
          <w:highlight w:val="none"/>
        </w:rPr>
      </w:pPr>
      <w:r>
        <w:rPr>
          <w:rFonts w:hint="eastAsia" w:ascii="宋体" w:hAnsi="宋体" w:eastAsia="宋体" w:cs="宋体"/>
          <w:strike/>
          <w:color w:val="auto"/>
          <w:highlight w:val="none"/>
        </w:rPr>
        <w:t>（2）为招标项目前期工作提供咨询服务的；</w:t>
      </w:r>
    </w:p>
    <w:p w14:paraId="7D883DF4">
      <w:pPr>
        <w:shd w:val="clear"/>
        <w:spacing w:line="400" w:lineRule="exact"/>
        <w:ind w:firstLine="315" w:firstLineChars="150"/>
        <w:rPr>
          <w:rFonts w:hint="eastAsia" w:ascii="宋体" w:hAnsi="宋体" w:eastAsia="宋体" w:cs="宋体"/>
          <w:strike/>
          <w:color w:val="auto"/>
          <w:highlight w:val="none"/>
        </w:rPr>
      </w:pPr>
      <w:r>
        <w:rPr>
          <w:rFonts w:hint="eastAsia" w:ascii="宋体" w:hAnsi="宋体" w:eastAsia="宋体" w:cs="宋体"/>
          <w:strike/>
          <w:color w:val="auto"/>
          <w:highlight w:val="none"/>
        </w:rPr>
        <w:t>（3）为本招标项目的监理人；</w:t>
      </w:r>
    </w:p>
    <w:p w14:paraId="71A3D017">
      <w:pPr>
        <w:shd w:val="clear"/>
        <w:spacing w:line="400" w:lineRule="exact"/>
        <w:ind w:firstLine="315" w:firstLineChars="150"/>
        <w:rPr>
          <w:rFonts w:hint="eastAsia" w:ascii="宋体" w:hAnsi="宋体" w:eastAsia="宋体" w:cs="宋体"/>
          <w:strike/>
          <w:color w:val="auto"/>
          <w:highlight w:val="none"/>
        </w:rPr>
      </w:pPr>
      <w:r>
        <w:rPr>
          <w:rFonts w:hint="eastAsia" w:ascii="宋体" w:hAnsi="宋体" w:eastAsia="宋体" w:cs="宋体"/>
          <w:strike/>
          <w:color w:val="auto"/>
          <w:highlight w:val="none"/>
        </w:rPr>
        <w:t xml:space="preserve">（4）为本招标项目的代建人； </w:t>
      </w:r>
    </w:p>
    <w:p w14:paraId="58CA93CB">
      <w:pPr>
        <w:shd w:val="clear"/>
        <w:spacing w:line="400" w:lineRule="exact"/>
        <w:ind w:firstLine="315" w:firstLineChars="150"/>
        <w:rPr>
          <w:rFonts w:hint="eastAsia" w:ascii="宋体" w:hAnsi="宋体" w:eastAsia="宋体" w:cs="宋体"/>
          <w:strike/>
          <w:color w:val="auto"/>
          <w:highlight w:val="none"/>
        </w:rPr>
      </w:pPr>
      <w:r>
        <w:rPr>
          <w:rFonts w:hint="eastAsia" w:ascii="宋体" w:hAnsi="宋体" w:eastAsia="宋体" w:cs="宋体"/>
          <w:strike/>
          <w:color w:val="auto"/>
          <w:highlight w:val="none"/>
        </w:rPr>
        <w:t xml:space="preserve">（5）为本招标项目提供招标代理服务的； </w:t>
      </w:r>
    </w:p>
    <w:p w14:paraId="7707C1AF">
      <w:pPr>
        <w:shd w:val="clear"/>
        <w:spacing w:line="400" w:lineRule="exact"/>
        <w:ind w:firstLine="315" w:firstLineChars="150"/>
        <w:rPr>
          <w:rFonts w:hint="eastAsia" w:ascii="宋体" w:hAnsi="宋体" w:eastAsia="宋体" w:cs="宋体"/>
          <w:strike/>
          <w:color w:val="auto"/>
          <w:highlight w:val="none"/>
        </w:rPr>
      </w:pPr>
      <w:r>
        <w:rPr>
          <w:rFonts w:hint="eastAsia" w:ascii="宋体" w:hAnsi="宋体" w:eastAsia="宋体" w:cs="宋体"/>
          <w:strike/>
          <w:color w:val="auto"/>
          <w:highlight w:val="none"/>
        </w:rPr>
        <w:t xml:space="preserve">（6）被责令停业的； </w:t>
      </w:r>
    </w:p>
    <w:p w14:paraId="617A4903">
      <w:pPr>
        <w:shd w:val="clear"/>
        <w:spacing w:line="400" w:lineRule="exact"/>
        <w:ind w:firstLine="315" w:firstLineChars="150"/>
        <w:rPr>
          <w:rFonts w:hint="eastAsia" w:ascii="宋体" w:hAnsi="宋体" w:eastAsia="宋体" w:cs="宋体"/>
          <w:strike/>
          <w:color w:val="auto"/>
          <w:highlight w:val="none"/>
        </w:rPr>
      </w:pPr>
      <w:r>
        <w:rPr>
          <w:rFonts w:hint="eastAsia" w:ascii="宋体" w:hAnsi="宋体" w:eastAsia="宋体" w:cs="宋体"/>
          <w:strike/>
          <w:color w:val="auto"/>
          <w:highlight w:val="none"/>
        </w:rPr>
        <w:t xml:space="preserve">（7）被暂停或取消投标资格的； </w:t>
      </w:r>
    </w:p>
    <w:p w14:paraId="2BE8A4E2">
      <w:pPr>
        <w:shd w:val="clear"/>
        <w:spacing w:line="400" w:lineRule="exact"/>
        <w:ind w:firstLine="315" w:firstLineChars="150"/>
        <w:rPr>
          <w:rFonts w:hint="eastAsia" w:ascii="宋体" w:hAnsi="宋体" w:eastAsia="宋体" w:cs="宋体"/>
          <w:strike/>
          <w:color w:val="auto"/>
          <w:highlight w:val="none"/>
        </w:rPr>
      </w:pPr>
      <w:r>
        <w:rPr>
          <w:rFonts w:hint="eastAsia" w:ascii="宋体" w:hAnsi="宋体" w:eastAsia="宋体" w:cs="宋体"/>
          <w:strike/>
          <w:color w:val="auto"/>
          <w:highlight w:val="none"/>
        </w:rPr>
        <w:t>（8）财产被接管或冻结的；</w:t>
      </w:r>
    </w:p>
    <w:p w14:paraId="74811800">
      <w:pPr>
        <w:shd w:val="clear"/>
        <w:spacing w:line="400" w:lineRule="exact"/>
        <w:ind w:firstLine="315" w:firstLineChars="150"/>
        <w:rPr>
          <w:rFonts w:hint="eastAsia" w:ascii="宋体" w:hAnsi="宋体" w:eastAsia="宋体" w:cs="宋体"/>
          <w:strike/>
          <w:color w:val="auto"/>
          <w:highlight w:val="none"/>
        </w:rPr>
      </w:pPr>
      <w:r>
        <w:rPr>
          <w:rFonts w:hint="eastAsia" w:ascii="宋体" w:hAnsi="宋体" w:eastAsia="宋体" w:cs="宋体"/>
          <w:strike/>
          <w:color w:val="auto"/>
          <w:highlight w:val="none"/>
        </w:rPr>
        <w:t>（9）在最近三年内有骗取中标或严重违约或重大工程质量问题的；</w:t>
      </w:r>
    </w:p>
    <w:p w14:paraId="2BB40130">
      <w:pPr>
        <w:shd w:val="clear"/>
        <w:spacing w:line="400" w:lineRule="exact"/>
        <w:ind w:firstLine="315" w:firstLineChars="150"/>
        <w:rPr>
          <w:rFonts w:hint="eastAsia" w:ascii="宋体" w:hAnsi="宋体" w:eastAsia="宋体" w:cs="宋体"/>
          <w:strike/>
          <w:color w:val="auto"/>
          <w:highlight w:val="none"/>
        </w:rPr>
      </w:pPr>
      <w:r>
        <w:rPr>
          <w:rFonts w:hint="eastAsia" w:ascii="宋体" w:hAnsi="宋体" w:eastAsia="宋体" w:cs="宋体"/>
          <w:strike/>
          <w:color w:val="auto"/>
          <w:highlight w:val="none"/>
        </w:rPr>
        <w:t>（10）与本招标项目的监理人或代建人或招标代理机构同为一个法定代表人的；</w:t>
      </w:r>
    </w:p>
    <w:p w14:paraId="02465522">
      <w:pPr>
        <w:shd w:val="clear"/>
        <w:spacing w:line="400" w:lineRule="exact"/>
        <w:ind w:firstLine="315" w:firstLineChars="150"/>
        <w:rPr>
          <w:rFonts w:hint="eastAsia" w:ascii="宋体" w:hAnsi="宋体" w:eastAsia="宋体" w:cs="宋体"/>
          <w:strike/>
          <w:color w:val="auto"/>
          <w:highlight w:val="none"/>
        </w:rPr>
      </w:pPr>
      <w:r>
        <w:rPr>
          <w:rFonts w:hint="eastAsia" w:ascii="宋体" w:hAnsi="宋体" w:eastAsia="宋体" w:cs="宋体"/>
          <w:strike/>
          <w:color w:val="auto"/>
          <w:highlight w:val="none"/>
        </w:rPr>
        <w:t>（11）与本招标项目的监理人或代建人或招标代理机构相互控股或参股的；</w:t>
      </w:r>
    </w:p>
    <w:p w14:paraId="0470CC90">
      <w:pPr>
        <w:shd w:val="clear"/>
        <w:spacing w:line="400" w:lineRule="exact"/>
        <w:ind w:firstLine="315" w:firstLineChars="150"/>
        <w:rPr>
          <w:rFonts w:hint="eastAsia" w:ascii="宋体" w:hAnsi="宋体" w:eastAsia="宋体" w:cs="宋体"/>
          <w:strike/>
          <w:color w:val="auto"/>
          <w:highlight w:val="none"/>
        </w:rPr>
      </w:pPr>
      <w:r>
        <w:rPr>
          <w:rFonts w:hint="eastAsia" w:ascii="宋体" w:hAnsi="宋体" w:eastAsia="宋体" w:cs="宋体"/>
          <w:strike/>
          <w:color w:val="auto"/>
          <w:highlight w:val="none"/>
        </w:rPr>
        <w:t>（12）与本招标项目的监理人或代建人或招标代理机构相互任职或工作的。</w:t>
      </w:r>
    </w:p>
    <w:p w14:paraId="70324807">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1.4.4 单位负责人为同一人或者存在控股、管理关系的不同单位，不得同时参加本招标项目投标（以投标人提供的《投标人声明》中的承诺内容为准）。</w:t>
      </w:r>
    </w:p>
    <w:p w14:paraId="7C8B108D">
      <w:pPr>
        <w:pStyle w:val="4"/>
        <w:shd w:val="clear"/>
        <w:rPr>
          <w:rFonts w:hint="eastAsia" w:ascii="宋体" w:hAnsi="宋体" w:eastAsia="宋体" w:cs="宋体"/>
          <w:color w:val="auto"/>
          <w:highlight w:val="none"/>
        </w:rPr>
      </w:pPr>
      <w:bookmarkStart w:id="59" w:name="_Toc152045535"/>
      <w:bookmarkStart w:id="60" w:name="_Toc152042311"/>
      <w:bookmarkStart w:id="61" w:name="_Toc247527559"/>
      <w:bookmarkStart w:id="62" w:name="_Toc247513958"/>
      <w:bookmarkStart w:id="63" w:name="_Toc144974503"/>
      <w:bookmarkStart w:id="64" w:name="_Toc28201"/>
      <w:bookmarkStart w:id="65" w:name="_Toc24413"/>
      <w:r>
        <w:rPr>
          <w:rFonts w:hint="eastAsia" w:ascii="宋体" w:hAnsi="宋体" w:eastAsia="宋体" w:cs="宋体"/>
          <w:color w:val="auto"/>
          <w:highlight w:val="none"/>
        </w:rPr>
        <w:t>1.5 费用承担</w:t>
      </w:r>
      <w:bookmarkEnd w:id="59"/>
      <w:bookmarkEnd w:id="60"/>
      <w:bookmarkEnd w:id="61"/>
      <w:bookmarkEnd w:id="62"/>
      <w:bookmarkEnd w:id="63"/>
      <w:r>
        <w:rPr>
          <w:rFonts w:hint="eastAsia" w:ascii="宋体" w:hAnsi="宋体" w:eastAsia="宋体" w:cs="宋体"/>
          <w:color w:val="auto"/>
          <w:highlight w:val="none"/>
        </w:rPr>
        <w:t>和设计成果补偿</w:t>
      </w:r>
      <w:bookmarkEnd w:id="64"/>
      <w:bookmarkEnd w:id="65"/>
    </w:p>
    <w:p w14:paraId="465EECD3">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1.5.1 投标人准备和参加投标活动发生的费用自理。</w:t>
      </w:r>
    </w:p>
    <w:p w14:paraId="74B3046E">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1.5.2 招标人对符合招标文件规定的未中标人的设计成果进行补偿的，按投标人须知前附表规定给予补偿，并有权免费使用未中标人设计成果。</w:t>
      </w:r>
    </w:p>
    <w:p w14:paraId="6709E38C">
      <w:pPr>
        <w:pStyle w:val="4"/>
        <w:shd w:val="clear"/>
        <w:rPr>
          <w:rFonts w:hint="eastAsia" w:ascii="宋体" w:hAnsi="宋体" w:eastAsia="宋体" w:cs="宋体"/>
          <w:color w:val="auto"/>
          <w:highlight w:val="none"/>
        </w:rPr>
      </w:pPr>
      <w:bookmarkStart w:id="66" w:name="_Toc152045536"/>
      <w:bookmarkStart w:id="67" w:name="_Toc152042312"/>
      <w:bookmarkStart w:id="68" w:name="_Toc144974504"/>
      <w:bookmarkStart w:id="69" w:name="_Toc247527560"/>
      <w:bookmarkStart w:id="70" w:name="_Toc247513959"/>
      <w:bookmarkStart w:id="71" w:name="_Toc10402"/>
      <w:bookmarkStart w:id="72" w:name="_Toc22870"/>
      <w:r>
        <w:rPr>
          <w:rFonts w:hint="eastAsia" w:ascii="宋体" w:hAnsi="宋体" w:eastAsia="宋体" w:cs="宋体"/>
          <w:color w:val="auto"/>
          <w:highlight w:val="none"/>
        </w:rPr>
        <w:t>1.6 保密</w:t>
      </w:r>
      <w:bookmarkEnd w:id="66"/>
      <w:bookmarkEnd w:id="67"/>
      <w:bookmarkEnd w:id="68"/>
      <w:bookmarkEnd w:id="69"/>
      <w:bookmarkEnd w:id="70"/>
      <w:bookmarkEnd w:id="71"/>
      <w:bookmarkEnd w:id="72"/>
    </w:p>
    <w:p w14:paraId="4E226533">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参与招标投标活动的各方应对招标文件和投标文件中的商业和技术等秘密保密，否则应承担相应的法律责任。 </w:t>
      </w:r>
    </w:p>
    <w:p w14:paraId="608AE737">
      <w:pPr>
        <w:pStyle w:val="4"/>
        <w:shd w:val="clear"/>
        <w:rPr>
          <w:rFonts w:hint="eastAsia" w:ascii="宋体" w:hAnsi="宋体" w:eastAsia="宋体" w:cs="宋体"/>
          <w:color w:val="auto"/>
          <w:highlight w:val="none"/>
        </w:rPr>
      </w:pPr>
      <w:bookmarkStart w:id="73" w:name="_Toc144974505"/>
      <w:bookmarkStart w:id="74" w:name="_Toc3068"/>
      <w:bookmarkStart w:id="75" w:name="_Toc247513960"/>
      <w:bookmarkStart w:id="76" w:name="_Toc247527561"/>
      <w:bookmarkStart w:id="77" w:name="_Toc19774"/>
      <w:bookmarkStart w:id="78" w:name="_Toc152042313"/>
      <w:bookmarkStart w:id="79" w:name="_Toc152045537"/>
      <w:r>
        <w:rPr>
          <w:rFonts w:hint="eastAsia" w:ascii="宋体" w:hAnsi="宋体" w:eastAsia="宋体" w:cs="宋体"/>
          <w:color w:val="auto"/>
          <w:highlight w:val="none"/>
        </w:rPr>
        <w:t>1.7 语言</w:t>
      </w:r>
      <w:bookmarkEnd w:id="73"/>
      <w:r>
        <w:rPr>
          <w:rFonts w:hint="eastAsia" w:ascii="宋体" w:hAnsi="宋体" w:eastAsia="宋体" w:cs="宋体"/>
          <w:color w:val="auto"/>
          <w:highlight w:val="none"/>
        </w:rPr>
        <w:t>文字</w:t>
      </w:r>
      <w:bookmarkEnd w:id="74"/>
      <w:bookmarkEnd w:id="75"/>
      <w:bookmarkEnd w:id="76"/>
      <w:bookmarkEnd w:id="77"/>
      <w:bookmarkEnd w:id="78"/>
      <w:bookmarkEnd w:id="79"/>
    </w:p>
    <w:p w14:paraId="5373E4C3">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招标投标文件使用的语言文字为中文。专用术语使用外文的，应附有中文注释。</w:t>
      </w:r>
    </w:p>
    <w:p w14:paraId="2DCD2B0D">
      <w:pPr>
        <w:pStyle w:val="4"/>
        <w:shd w:val="clear"/>
        <w:rPr>
          <w:rFonts w:hint="eastAsia" w:ascii="宋体" w:hAnsi="宋体" w:eastAsia="宋体" w:cs="宋体"/>
          <w:color w:val="auto"/>
          <w:highlight w:val="none"/>
        </w:rPr>
      </w:pPr>
      <w:bookmarkStart w:id="80" w:name="_Toc144974506"/>
      <w:bookmarkStart w:id="81" w:name="_Toc8865"/>
      <w:bookmarkStart w:id="82" w:name="_Toc247513961"/>
      <w:bookmarkStart w:id="83" w:name="_Toc247527562"/>
      <w:bookmarkStart w:id="84" w:name="_Toc25773"/>
      <w:bookmarkStart w:id="85" w:name="_Toc152042314"/>
      <w:bookmarkStart w:id="86" w:name="_Toc152045538"/>
      <w:r>
        <w:rPr>
          <w:rFonts w:hint="eastAsia" w:ascii="宋体" w:hAnsi="宋体" w:eastAsia="宋体" w:cs="宋体"/>
          <w:color w:val="auto"/>
          <w:highlight w:val="none"/>
        </w:rPr>
        <w:t>1.8 计量单位</w:t>
      </w:r>
      <w:bookmarkEnd w:id="80"/>
      <w:bookmarkEnd w:id="81"/>
      <w:bookmarkEnd w:id="82"/>
      <w:bookmarkEnd w:id="83"/>
      <w:bookmarkEnd w:id="84"/>
      <w:bookmarkEnd w:id="85"/>
      <w:bookmarkEnd w:id="86"/>
    </w:p>
    <w:p w14:paraId="61CCD4C4">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1.8.1 所有计量均采用中华人民共和国法定计量单位。</w:t>
      </w:r>
    </w:p>
    <w:p w14:paraId="70E89524">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1.8.2 本工程投标报价采用的币种为人民币。</w:t>
      </w:r>
    </w:p>
    <w:p w14:paraId="4F08E585">
      <w:pPr>
        <w:pStyle w:val="4"/>
        <w:shd w:val="clear"/>
        <w:rPr>
          <w:rFonts w:hint="eastAsia" w:ascii="宋体" w:hAnsi="宋体" w:eastAsia="宋体" w:cs="宋体"/>
          <w:color w:val="auto"/>
          <w:highlight w:val="none"/>
        </w:rPr>
      </w:pPr>
      <w:bookmarkStart w:id="87" w:name="_Toc247513962"/>
      <w:bookmarkStart w:id="88" w:name="_Toc247527563"/>
      <w:bookmarkStart w:id="89" w:name="_Toc19101"/>
      <w:bookmarkStart w:id="90" w:name="_Toc152042315"/>
      <w:bookmarkStart w:id="91" w:name="_Toc144974507"/>
      <w:bookmarkStart w:id="92" w:name="_Toc25098"/>
      <w:bookmarkStart w:id="93" w:name="_Toc152045539"/>
      <w:r>
        <w:rPr>
          <w:rFonts w:hint="eastAsia" w:ascii="宋体" w:hAnsi="宋体" w:eastAsia="宋体" w:cs="宋体"/>
          <w:color w:val="auto"/>
          <w:highlight w:val="none"/>
        </w:rPr>
        <w:t>1.9 踏勘现场</w:t>
      </w:r>
      <w:bookmarkEnd w:id="87"/>
      <w:bookmarkEnd w:id="88"/>
      <w:bookmarkEnd w:id="89"/>
      <w:bookmarkEnd w:id="90"/>
      <w:bookmarkEnd w:id="91"/>
      <w:bookmarkEnd w:id="92"/>
      <w:bookmarkEnd w:id="93"/>
    </w:p>
    <w:p w14:paraId="23755FE1">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1.9.1 投标人须知前附表规定组织踏勘现场的，招标人按投标人须知前附表规定的时间、地点组织投标人踏勘项目现场。 </w:t>
      </w:r>
    </w:p>
    <w:p w14:paraId="1C12C0F6">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1.9.2 投标人踏勘现场发生的费用自理。</w:t>
      </w:r>
    </w:p>
    <w:p w14:paraId="1C6673BE">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1.9.3 除招标人的原因外，投标人自行负责在踏勘现场中所发生的人员伤亡和财产损失。</w:t>
      </w:r>
    </w:p>
    <w:p w14:paraId="2D7AB959">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1.9.4 现场由投标人自行踏勘，投标人不进行踏勘的，视为已熟知现场条件，自行承担相关风险。招标人不对投标人自行踏勘现场作出的判断和决策负责。</w:t>
      </w:r>
    </w:p>
    <w:p w14:paraId="6A4507D6">
      <w:pPr>
        <w:shd w:val="clear"/>
        <w:spacing w:line="400" w:lineRule="exact"/>
        <w:ind w:firstLine="420" w:firstLineChars="200"/>
        <w:rPr>
          <w:rFonts w:hint="eastAsia" w:ascii="宋体" w:hAnsi="宋体" w:eastAsia="宋体" w:cs="宋体"/>
          <w:color w:val="auto"/>
          <w:highlight w:val="none"/>
        </w:rPr>
      </w:pPr>
    </w:p>
    <w:p w14:paraId="16B70BCD">
      <w:pPr>
        <w:pStyle w:val="4"/>
        <w:shd w:val="clear"/>
        <w:rPr>
          <w:rFonts w:hint="eastAsia" w:ascii="宋体" w:hAnsi="宋体" w:eastAsia="宋体" w:cs="宋体"/>
          <w:color w:val="auto"/>
          <w:highlight w:val="none"/>
        </w:rPr>
      </w:pPr>
      <w:bookmarkStart w:id="94" w:name="_Toc144974508"/>
      <w:bookmarkStart w:id="95" w:name="_Toc247527564"/>
      <w:bookmarkStart w:id="96" w:name="_Toc152045540"/>
      <w:bookmarkStart w:id="97" w:name="_Toc2420"/>
      <w:bookmarkStart w:id="98" w:name="_Toc152042316"/>
      <w:bookmarkStart w:id="99" w:name="_Toc247513963"/>
      <w:bookmarkStart w:id="100" w:name="_Toc17152"/>
      <w:r>
        <w:rPr>
          <w:rFonts w:hint="eastAsia" w:ascii="宋体" w:hAnsi="宋体" w:eastAsia="宋体" w:cs="宋体"/>
          <w:color w:val="auto"/>
          <w:highlight w:val="none"/>
        </w:rPr>
        <w:t>1.10 投标预备会</w:t>
      </w:r>
      <w:bookmarkEnd w:id="94"/>
      <w:bookmarkEnd w:id="95"/>
      <w:bookmarkEnd w:id="96"/>
      <w:bookmarkEnd w:id="97"/>
      <w:bookmarkEnd w:id="98"/>
      <w:bookmarkEnd w:id="99"/>
      <w:bookmarkEnd w:id="100"/>
    </w:p>
    <w:p w14:paraId="285FAC20">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1.10.1 投标人须知前附表规定召开投标预备会的，招标人按投标人须知前附表规定的时间和地点召开投标预备会，澄清投标人提出的问题。</w:t>
      </w:r>
    </w:p>
    <w:p w14:paraId="7C3A6C3E">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1.10.2 投标人应在投标人须知前附表规定的时间前，</w:t>
      </w:r>
      <w:r>
        <w:rPr>
          <w:rFonts w:hint="eastAsia" w:ascii="宋体" w:hAnsi="宋体" w:eastAsia="宋体" w:cs="宋体"/>
          <w:color w:val="auto"/>
          <w:highlight w:val="none"/>
          <w:u w:val="single"/>
        </w:rPr>
        <w:t>进行网上答疑。</w:t>
      </w:r>
    </w:p>
    <w:p w14:paraId="639E500B">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1.10.3 招标人在投标人须知前附表规定的时间内，将对投标人所提问题的澄清，</w:t>
      </w:r>
      <w:r>
        <w:rPr>
          <w:rFonts w:hint="eastAsia" w:ascii="宋体" w:hAnsi="宋体" w:eastAsia="宋体" w:cs="宋体"/>
          <w:color w:val="auto"/>
          <w:highlight w:val="none"/>
          <w:u w:val="single"/>
        </w:rPr>
        <w:t>以网上发布形式通知所有潜在投标人，澄清文件一经在广州交易集团有限公司（广州公共资源交易中心）网站发布，视作已发放给所有投标人。</w:t>
      </w:r>
      <w:r>
        <w:rPr>
          <w:rFonts w:hint="eastAsia" w:ascii="宋体" w:hAnsi="宋体" w:eastAsia="宋体" w:cs="宋体"/>
          <w:color w:val="auto"/>
          <w:highlight w:val="none"/>
        </w:rPr>
        <w:t>该澄清内容为招标文件的组成部分。</w:t>
      </w:r>
    </w:p>
    <w:p w14:paraId="68AA5DB2">
      <w:pPr>
        <w:pStyle w:val="4"/>
        <w:shd w:val="clear"/>
        <w:rPr>
          <w:rFonts w:hint="eastAsia" w:ascii="宋体" w:hAnsi="宋体" w:eastAsia="宋体" w:cs="宋体"/>
          <w:color w:val="auto"/>
          <w:highlight w:val="none"/>
        </w:rPr>
      </w:pPr>
      <w:bookmarkStart w:id="101" w:name="_Toc3694"/>
      <w:bookmarkStart w:id="102" w:name="_Toc152042317"/>
      <w:bookmarkStart w:id="103" w:name="_Toc247513964"/>
      <w:bookmarkStart w:id="104" w:name="_Toc144974509"/>
      <w:bookmarkStart w:id="105" w:name="_Toc152045541"/>
      <w:bookmarkStart w:id="106" w:name="_Toc21297"/>
      <w:bookmarkStart w:id="107" w:name="_Toc247527565"/>
      <w:r>
        <w:rPr>
          <w:rFonts w:hint="eastAsia" w:ascii="宋体" w:hAnsi="宋体" w:eastAsia="宋体" w:cs="宋体"/>
          <w:color w:val="auto"/>
          <w:highlight w:val="none"/>
        </w:rPr>
        <w:t>1.11 分包</w:t>
      </w:r>
      <w:bookmarkEnd w:id="101"/>
      <w:bookmarkEnd w:id="102"/>
      <w:bookmarkEnd w:id="103"/>
      <w:bookmarkEnd w:id="104"/>
      <w:bookmarkEnd w:id="105"/>
      <w:bookmarkEnd w:id="106"/>
      <w:bookmarkEnd w:id="107"/>
    </w:p>
    <w:p w14:paraId="60726BE9">
      <w:pPr>
        <w:shd w:val="clear"/>
        <w:spacing w:line="400" w:lineRule="exact"/>
        <w:ind w:firstLine="567" w:firstLineChars="270"/>
        <w:rPr>
          <w:rFonts w:hint="eastAsia" w:ascii="宋体" w:hAnsi="宋体" w:eastAsia="宋体" w:cs="宋体"/>
          <w:color w:val="auto"/>
          <w:highlight w:val="none"/>
        </w:rPr>
      </w:pPr>
      <w:r>
        <w:rPr>
          <w:rFonts w:hint="eastAsia" w:ascii="宋体" w:hAnsi="宋体" w:eastAsia="宋体" w:cs="宋体"/>
          <w:color w:val="auto"/>
          <w:highlight w:val="none"/>
        </w:rPr>
        <w:t>1.11.1 投标人须知前附表规定应当由分包人实施的非主体、非关键性工作，投标人应当按照第五章“招标人要求”的规定提供分包人侯选名单及其相应资料。</w:t>
      </w:r>
    </w:p>
    <w:p w14:paraId="1D67A82A">
      <w:pPr>
        <w:shd w:val="clear"/>
        <w:spacing w:line="400" w:lineRule="exact"/>
        <w:ind w:firstLine="567" w:firstLineChars="270"/>
        <w:rPr>
          <w:rFonts w:hint="eastAsia" w:ascii="宋体" w:hAnsi="宋体" w:eastAsia="宋体" w:cs="宋体"/>
          <w:color w:val="auto"/>
          <w:highlight w:val="none"/>
        </w:rPr>
      </w:pPr>
      <w:r>
        <w:rPr>
          <w:rFonts w:hint="eastAsia" w:ascii="宋体" w:hAnsi="宋体" w:eastAsia="宋体" w:cs="宋体"/>
          <w:color w:val="auto"/>
          <w:highlight w:val="none"/>
        </w:rPr>
        <w:t>1.11.2 投标人拟在中标后将中标项目的部分非主体、非关键性工作进行分包的，应符合投标人须知前附表规定的分包内容、分包金额和资质要求等限制性条件。</w:t>
      </w:r>
    </w:p>
    <w:p w14:paraId="46BEB57A">
      <w:pPr>
        <w:pStyle w:val="4"/>
        <w:shd w:val="clear"/>
        <w:rPr>
          <w:rFonts w:hint="eastAsia" w:ascii="宋体" w:hAnsi="宋体" w:eastAsia="宋体" w:cs="宋体"/>
          <w:color w:val="auto"/>
          <w:highlight w:val="none"/>
        </w:rPr>
      </w:pPr>
      <w:bookmarkStart w:id="108" w:name="_Toc9023"/>
      <w:bookmarkStart w:id="109" w:name="_Toc247513965"/>
      <w:bookmarkStart w:id="110" w:name="_Toc13521"/>
      <w:bookmarkStart w:id="111" w:name="_Toc247527566"/>
      <w:r>
        <w:rPr>
          <w:rFonts w:hint="eastAsia" w:ascii="宋体" w:hAnsi="宋体" w:eastAsia="宋体" w:cs="宋体"/>
          <w:color w:val="auto"/>
          <w:highlight w:val="none"/>
        </w:rPr>
        <w:t>1.12 偏离</w:t>
      </w:r>
      <w:bookmarkEnd w:id="108"/>
      <w:bookmarkEnd w:id="109"/>
      <w:bookmarkEnd w:id="110"/>
      <w:bookmarkEnd w:id="111"/>
    </w:p>
    <w:p w14:paraId="5E06C5B0">
      <w:pPr>
        <w:shd w:val="clea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投标人须知前附表允许投标文件偏离招标文件某些要求的，偏离应当符合招标文件规定的偏离范围和幅度。</w:t>
      </w:r>
    </w:p>
    <w:p w14:paraId="0F78D132">
      <w:pPr>
        <w:pStyle w:val="3"/>
        <w:shd w:val="clear"/>
        <w:rPr>
          <w:rFonts w:hint="eastAsia" w:ascii="宋体" w:hAnsi="宋体" w:eastAsia="宋体" w:cs="宋体"/>
          <w:color w:val="auto"/>
          <w:highlight w:val="none"/>
        </w:rPr>
      </w:pPr>
      <w:bookmarkStart w:id="112" w:name="_Toc144974510"/>
      <w:bookmarkStart w:id="113" w:name="_Toc152045542"/>
      <w:bookmarkStart w:id="114" w:name="_Toc9146"/>
      <w:bookmarkStart w:id="115" w:name="_Toc152042318"/>
      <w:bookmarkStart w:id="116" w:name="_Toc247527567"/>
      <w:bookmarkStart w:id="117" w:name="_Toc29782"/>
      <w:bookmarkStart w:id="118" w:name="_Toc247513966"/>
      <w:r>
        <w:rPr>
          <w:rFonts w:hint="eastAsia" w:ascii="宋体" w:hAnsi="宋体" w:eastAsia="宋体" w:cs="宋体"/>
          <w:color w:val="auto"/>
          <w:highlight w:val="none"/>
        </w:rPr>
        <w:t>2. 招标文件</w:t>
      </w:r>
      <w:bookmarkEnd w:id="112"/>
      <w:bookmarkEnd w:id="113"/>
      <w:bookmarkEnd w:id="114"/>
      <w:bookmarkEnd w:id="115"/>
      <w:bookmarkEnd w:id="116"/>
      <w:bookmarkEnd w:id="117"/>
      <w:bookmarkEnd w:id="118"/>
    </w:p>
    <w:p w14:paraId="48288862">
      <w:pPr>
        <w:pStyle w:val="4"/>
        <w:shd w:val="clear"/>
        <w:rPr>
          <w:rFonts w:hint="eastAsia" w:ascii="宋体" w:hAnsi="宋体" w:eastAsia="宋体" w:cs="宋体"/>
          <w:color w:val="auto"/>
          <w:highlight w:val="none"/>
        </w:rPr>
      </w:pPr>
      <w:bookmarkStart w:id="119" w:name="_Toc152045543"/>
      <w:bookmarkStart w:id="120" w:name="_Toc30638"/>
      <w:bookmarkStart w:id="121" w:name="_Toc144974511"/>
      <w:bookmarkStart w:id="122" w:name="_Toc247527568"/>
      <w:bookmarkStart w:id="123" w:name="_Toc152042319"/>
      <w:bookmarkStart w:id="124" w:name="_Toc9990"/>
      <w:bookmarkStart w:id="125" w:name="_Toc247513967"/>
      <w:r>
        <w:rPr>
          <w:rFonts w:hint="eastAsia" w:ascii="宋体" w:hAnsi="宋体" w:eastAsia="宋体" w:cs="宋体"/>
          <w:color w:val="auto"/>
          <w:highlight w:val="none"/>
        </w:rPr>
        <w:t>2.1 招标文件的组成</w:t>
      </w:r>
      <w:bookmarkEnd w:id="119"/>
      <w:bookmarkEnd w:id="120"/>
      <w:bookmarkEnd w:id="121"/>
      <w:bookmarkEnd w:id="122"/>
      <w:bookmarkEnd w:id="123"/>
      <w:bookmarkEnd w:id="124"/>
      <w:bookmarkEnd w:id="125"/>
    </w:p>
    <w:p w14:paraId="7116B3C3">
      <w:pPr>
        <w:shd w:val="clea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本招标文件包括：</w:t>
      </w:r>
    </w:p>
    <w:p w14:paraId="40055D07">
      <w:pPr>
        <w:shd w:val="clea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（1）招标公告（另册）；</w:t>
      </w:r>
    </w:p>
    <w:p w14:paraId="76B2484B">
      <w:pPr>
        <w:shd w:val="clea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（2）投标人须知；</w:t>
      </w:r>
    </w:p>
    <w:p w14:paraId="33AD69AE">
      <w:pPr>
        <w:shd w:val="clea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（3）评标办法；</w:t>
      </w:r>
    </w:p>
    <w:p w14:paraId="4A444A83">
      <w:pPr>
        <w:shd w:val="clea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（4）合同条款及格式(另册)；</w:t>
      </w:r>
    </w:p>
    <w:p w14:paraId="240FDC28">
      <w:pPr>
        <w:shd w:val="clea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（5）招标人要求；</w:t>
      </w:r>
    </w:p>
    <w:p w14:paraId="391471F5">
      <w:pPr>
        <w:shd w:val="clea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（6）招标人提供的资料；</w:t>
      </w:r>
    </w:p>
    <w:p w14:paraId="41EB837C">
      <w:pPr>
        <w:shd w:val="clea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（7）投标文件格式；</w:t>
      </w:r>
    </w:p>
    <w:p w14:paraId="6DF8B238">
      <w:pPr>
        <w:shd w:val="clear"/>
        <w:spacing w:line="400" w:lineRule="exact"/>
        <w:ind w:firstLine="359" w:firstLineChars="171"/>
        <w:rPr>
          <w:rFonts w:hint="eastAsia" w:ascii="宋体" w:hAnsi="宋体" w:eastAsia="宋体" w:cs="宋体"/>
          <w:color w:val="auto"/>
          <w:highlight w:val="none"/>
          <w:u w:val="single"/>
        </w:rPr>
      </w:pPr>
      <w:r>
        <w:rPr>
          <w:rFonts w:hint="eastAsia" w:ascii="宋体" w:hAnsi="宋体" w:eastAsia="宋体" w:cs="宋体"/>
          <w:color w:val="auto"/>
          <w:highlight w:val="none"/>
        </w:rPr>
        <w:t>（8）投标人须知前附表规定的其他资料。</w:t>
      </w:r>
    </w:p>
    <w:p w14:paraId="3A5890BA">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根据本章第1.10款、第2.2款和第2.3款对招标文件所作的澄清、修改，</w:t>
      </w:r>
      <w:r>
        <w:rPr>
          <w:rFonts w:hint="eastAsia" w:ascii="宋体" w:hAnsi="宋体" w:eastAsia="宋体" w:cs="宋体"/>
          <w:color w:val="auto"/>
          <w:highlight w:val="none"/>
          <w:u w:val="single"/>
        </w:rPr>
        <w:t>构成招标文件的组成部分。当招标文件的澄清、修改等在同一内容的表述不一致时，以最后发出的书面文件为准</w:t>
      </w:r>
      <w:r>
        <w:rPr>
          <w:rFonts w:hint="eastAsia" w:ascii="宋体" w:hAnsi="宋体" w:eastAsia="宋体" w:cs="宋体"/>
          <w:color w:val="auto"/>
          <w:highlight w:val="none"/>
        </w:rPr>
        <w:t>。</w:t>
      </w:r>
    </w:p>
    <w:p w14:paraId="1691B7F3">
      <w:pPr>
        <w:pStyle w:val="4"/>
        <w:shd w:val="clear"/>
        <w:rPr>
          <w:rFonts w:hint="eastAsia" w:ascii="宋体" w:hAnsi="宋体" w:eastAsia="宋体" w:cs="宋体"/>
          <w:color w:val="auto"/>
          <w:highlight w:val="none"/>
        </w:rPr>
      </w:pPr>
      <w:bookmarkStart w:id="126" w:name="_Toc152042320"/>
      <w:bookmarkStart w:id="127" w:name="_Toc144974512"/>
      <w:bookmarkStart w:id="128" w:name="_Toc247513968"/>
      <w:bookmarkStart w:id="129" w:name="_Toc247527569"/>
      <w:bookmarkStart w:id="130" w:name="_Toc23073"/>
      <w:bookmarkStart w:id="131" w:name="_Toc19158"/>
      <w:bookmarkStart w:id="132" w:name="_Toc152045544"/>
      <w:r>
        <w:rPr>
          <w:rFonts w:hint="eastAsia" w:ascii="宋体" w:hAnsi="宋体" w:eastAsia="宋体" w:cs="宋体"/>
          <w:color w:val="auto"/>
          <w:highlight w:val="none"/>
        </w:rPr>
        <w:t>2.2 招标文件的澄清</w:t>
      </w:r>
      <w:bookmarkEnd w:id="126"/>
      <w:bookmarkEnd w:id="127"/>
      <w:bookmarkEnd w:id="128"/>
      <w:bookmarkEnd w:id="129"/>
      <w:bookmarkEnd w:id="130"/>
      <w:bookmarkEnd w:id="131"/>
      <w:bookmarkEnd w:id="132"/>
    </w:p>
    <w:p w14:paraId="67479EF7">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2.2.1</w:t>
      </w:r>
      <w:r>
        <w:rPr>
          <w:rFonts w:hint="eastAsia" w:ascii="宋体" w:hAnsi="宋体" w:eastAsia="宋体" w:cs="宋体"/>
          <w:color w:val="auto"/>
          <w:highlight w:val="none"/>
          <w:u w:val="single"/>
        </w:rPr>
        <w:t>招标答疑采用网上答疑方式进行。投标人若对招标文件有疑问的，可在递交投标文件截止日期18日前通过广州交易集团有限公司（广州公共资源交易中心）网站将问题提交给招标人或招标代理人。提交问题时一律不得署名。</w:t>
      </w:r>
    </w:p>
    <w:p w14:paraId="502928FC">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2.2.2</w:t>
      </w:r>
      <w:r>
        <w:rPr>
          <w:rFonts w:hint="eastAsia" w:ascii="宋体" w:hAnsi="宋体" w:eastAsia="宋体" w:cs="宋体"/>
          <w:color w:val="auto"/>
          <w:highlight w:val="none"/>
          <w:u w:val="single"/>
        </w:rPr>
        <w:t>招标人应在投标截止时间15日前解答投标人对招标文件提出的疑问，形成答疑纪要，在广州交易集团有限公司（广州公共资源交易中心）网站发布。</w:t>
      </w:r>
    </w:p>
    <w:p w14:paraId="70264749">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2.2.3招标文件的答疑纪要在广州交易集团有限公司（广州公共资源交易中心）网站发布，一经发布，视作已发放给所有投标人。</w:t>
      </w:r>
    </w:p>
    <w:p w14:paraId="11062EB6">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2.2.4 招标答疑纪要为招标文件的一部分。投标人可在广州交易集团有限公司（广州公共资源交易中心）网站浏览、下载招标答疑纪要。</w:t>
      </w:r>
    </w:p>
    <w:p w14:paraId="501B84C7">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rPr>
        <w:t>2.2.5 若招标答疑纪要与招标文件有矛盾时，以广州交易集团有限公司（广州公共资源交易中心）网站最后发布的答疑纪要为准。</w:t>
      </w:r>
    </w:p>
    <w:p w14:paraId="150827EA">
      <w:pPr>
        <w:pStyle w:val="4"/>
        <w:shd w:val="clear"/>
        <w:rPr>
          <w:rFonts w:hint="eastAsia" w:ascii="宋体" w:hAnsi="宋体" w:eastAsia="宋体" w:cs="宋体"/>
          <w:color w:val="auto"/>
          <w:highlight w:val="none"/>
        </w:rPr>
      </w:pPr>
      <w:bookmarkStart w:id="133" w:name="_Toc247513969"/>
      <w:bookmarkStart w:id="134" w:name="_Toc247527570"/>
      <w:bookmarkStart w:id="135" w:name="_Toc25207"/>
      <w:bookmarkStart w:id="136" w:name="_Toc144974513"/>
      <w:bookmarkStart w:id="137" w:name="_Toc152045545"/>
      <w:bookmarkStart w:id="138" w:name="_Toc5830"/>
      <w:bookmarkStart w:id="139" w:name="_Toc152042321"/>
      <w:r>
        <w:rPr>
          <w:rFonts w:hint="eastAsia" w:ascii="宋体" w:hAnsi="宋体" w:eastAsia="宋体" w:cs="宋体"/>
          <w:color w:val="auto"/>
          <w:highlight w:val="none"/>
        </w:rPr>
        <w:t>2.3 招标文件的修改</w:t>
      </w:r>
      <w:bookmarkEnd w:id="133"/>
      <w:bookmarkEnd w:id="134"/>
      <w:bookmarkEnd w:id="135"/>
      <w:bookmarkEnd w:id="136"/>
      <w:bookmarkEnd w:id="137"/>
      <w:bookmarkEnd w:id="138"/>
      <w:bookmarkEnd w:id="139"/>
    </w:p>
    <w:p w14:paraId="5D9D1A3D">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2.3.1 </w:t>
      </w:r>
      <w:r>
        <w:rPr>
          <w:rFonts w:hint="eastAsia" w:ascii="宋体" w:hAnsi="宋体" w:eastAsia="宋体" w:cs="宋体"/>
          <w:color w:val="auto"/>
          <w:highlight w:val="none"/>
          <w:u w:val="single"/>
        </w:rPr>
        <w:t>在投标截止时间15天前，招标人可对招标文件进行必要的澄清或修改，并通过广州交易集团有限公司（广州公共资源交易中心）网站发布。如果修改招标文件的时间距投标截止时间不足15 天，并且修改内容影响投标文件编制的，相应延长投标截止时间。投标人应及时通过广州交易集团有限公司（广州公共资源交易中心）网站浏览、下载招标文件修改。</w:t>
      </w:r>
    </w:p>
    <w:p w14:paraId="75227A0F">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2.3.2 </w:t>
      </w:r>
      <w:r>
        <w:rPr>
          <w:rFonts w:hint="eastAsia" w:ascii="宋体" w:hAnsi="宋体" w:eastAsia="宋体" w:cs="宋体"/>
          <w:color w:val="auto"/>
          <w:highlight w:val="none"/>
          <w:u w:val="single"/>
        </w:rPr>
        <w:t>招标文件的澄清或修改在广州交易集团有限公司（广州公共资源交易中心）网站发布。招标文件的澄清或修改一经在广州交易集团有限公司（广州公共资源交易中心）网站发布，视作已发放给所有投标人。</w:t>
      </w:r>
    </w:p>
    <w:p w14:paraId="76AF6595">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2.3.3 招标文件的澄清、修改作为招标文件的组成部分，具有约束作用。</w:t>
      </w:r>
    </w:p>
    <w:p w14:paraId="5C0106D5">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2.3.4 招标文件的澄清、修改均以广州交易集团有限公司（广州公共资源交易中心）网站发布的内容为准。当招标文件的澄清、修改在同一内容的表述不一致时，以广州交易集团有限公司（广州公共资源交易中心）网站最后发布的内容为准。</w:t>
      </w:r>
    </w:p>
    <w:p w14:paraId="5EBDA0A5">
      <w:pPr>
        <w:shd w:val="clear"/>
        <w:spacing w:line="400" w:lineRule="exact"/>
        <w:ind w:firstLine="420" w:firstLineChars="200"/>
        <w:rPr>
          <w:rFonts w:hint="eastAsia" w:ascii="宋体" w:hAnsi="宋体" w:eastAsia="宋体" w:cs="宋体"/>
          <w:color w:val="auto"/>
          <w:highlight w:val="none"/>
          <w:u w:val="single"/>
        </w:rPr>
      </w:pPr>
    </w:p>
    <w:p w14:paraId="75A1253F">
      <w:pPr>
        <w:pStyle w:val="3"/>
        <w:shd w:val="clear"/>
        <w:rPr>
          <w:rFonts w:hint="eastAsia" w:ascii="宋体" w:hAnsi="宋体" w:eastAsia="宋体" w:cs="宋体"/>
          <w:color w:val="auto"/>
          <w:highlight w:val="none"/>
        </w:rPr>
      </w:pPr>
      <w:bookmarkStart w:id="140" w:name="_Toc144974514"/>
      <w:bookmarkStart w:id="141" w:name="_Toc247513970"/>
      <w:bookmarkStart w:id="142" w:name="_Toc152042322"/>
      <w:bookmarkStart w:id="143" w:name="_Toc11733"/>
      <w:bookmarkStart w:id="144" w:name="_Toc30863"/>
      <w:bookmarkStart w:id="145" w:name="_Toc247527571"/>
      <w:bookmarkStart w:id="146" w:name="_Toc152045546"/>
      <w:r>
        <w:rPr>
          <w:rFonts w:hint="eastAsia" w:ascii="宋体" w:hAnsi="宋体" w:eastAsia="宋体" w:cs="宋体"/>
          <w:color w:val="auto"/>
          <w:highlight w:val="none"/>
        </w:rPr>
        <w:t>3. 投标文件</w:t>
      </w:r>
      <w:bookmarkEnd w:id="140"/>
      <w:bookmarkEnd w:id="141"/>
      <w:bookmarkEnd w:id="142"/>
      <w:bookmarkEnd w:id="143"/>
      <w:bookmarkEnd w:id="144"/>
      <w:bookmarkEnd w:id="145"/>
      <w:bookmarkEnd w:id="146"/>
    </w:p>
    <w:p w14:paraId="3340BC82">
      <w:pPr>
        <w:pStyle w:val="4"/>
        <w:shd w:val="clear"/>
        <w:rPr>
          <w:rFonts w:hint="eastAsia" w:ascii="宋体" w:hAnsi="宋体" w:eastAsia="宋体" w:cs="宋体"/>
          <w:color w:val="auto"/>
          <w:highlight w:val="none"/>
        </w:rPr>
      </w:pPr>
      <w:bookmarkStart w:id="147" w:name="_Toc247513971"/>
      <w:bookmarkStart w:id="148" w:name="_Toc357089529"/>
      <w:bookmarkStart w:id="149" w:name="_Toc152042323"/>
      <w:bookmarkStart w:id="150" w:name="_Toc251"/>
      <w:bookmarkStart w:id="151" w:name="_Toc300834968"/>
      <w:bookmarkStart w:id="152" w:name="_Toc32041"/>
      <w:bookmarkStart w:id="153" w:name="_Toc152045547"/>
      <w:bookmarkStart w:id="154" w:name="_Toc439240616"/>
      <w:bookmarkStart w:id="155" w:name="_Toc682"/>
      <w:bookmarkStart w:id="156" w:name="_Toc144974515"/>
      <w:bookmarkStart w:id="157" w:name="_Toc356469195"/>
      <w:bookmarkStart w:id="158" w:name="_Toc439246015"/>
      <w:bookmarkStart w:id="159" w:name="_Toc247527572"/>
      <w:r>
        <w:rPr>
          <w:rFonts w:hint="eastAsia" w:ascii="宋体" w:hAnsi="宋体" w:eastAsia="宋体" w:cs="宋体"/>
          <w:color w:val="auto"/>
          <w:highlight w:val="none"/>
        </w:rPr>
        <w:t>3.1 投标文件的组成</w:t>
      </w:r>
      <w:bookmarkEnd w:id="147"/>
      <w:bookmarkEnd w:id="148"/>
      <w:bookmarkEnd w:id="149"/>
      <w:bookmarkEnd w:id="150"/>
      <w:bookmarkEnd w:id="151"/>
      <w:bookmarkEnd w:id="152"/>
      <w:bookmarkEnd w:id="153"/>
      <w:bookmarkEnd w:id="154"/>
      <w:bookmarkEnd w:id="155"/>
      <w:bookmarkEnd w:id="156"/>
      <w:bookmarkEnd w:id="157"/>
      <w:bookmarkEnd w:id="158"/>
      <w:bookmarkEnd w:id="159"/>
    </w:p>
    <w:p w14:paraId="321374B1">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3.1.1投标文件由</w:t>
      </w:r>
      <w:r>
        <w:rPr>
          <w:rFonts w:hint="eastAsia" w:ascii="宋体" w:hAnsi="宋体" w:eastAsia="宋体" w:cs="宋体"/>
          <w:b/>
          <w:bCs/>
          <w:color w:val="auto"/>
          <w:highlight w:val="none"/>
          <w:u w:val="single"/>
        </w:rPr>
        <w:t>资格审查文件、工程总承包实施方案投标文件</w:t>
      </w:r>
      <w:r>
        <w:rPr>
          <w:rFonts w:hint="eastAsia" w:ascii="宋体" w:hAnsi="宋体" w:cs="宋体"/>
          <w:b/>
          <w:bCs/>
          <w:color w:val="auto"/>
          <w:highlight w:val="none"/>
          <w:u w:val="single"/>
          <w:lang w:val="en-US" w:eastAsia="zh-CN"/>
        </w:rPr>
        <w:t>共两</w:t>
      </w:r>
      <w:r>
        <w:rPr>
          <w:rFonts w:hint="eastAsia" w:ascii="宋体" w:hAnsi="宋体" w:eastAsia="宋体" w:cs="宋体"/>
          <w:b/>
          <w:bCs/>
          <w:color w:val="auto"/>
          <w:highlight w:val="none"/>
          <w:u w:val="single"/>
        </w:rPr>
        <w:t>部分组成</w:t>
      </w:r>
      <w:r>
        <w:rPr>
          <w:rFonts w:hint="eastAsia" w:ascii="宋体" w:hAnsi="宋体" w:eastAsia="宋体" w:cs="宋体"/>
          <w:color w:val="auto"/>
          <w:highlight w:val="none"/>
          <w:u w:val="single"/>
        </w:rPr>
        <w:t>，如招标文件没有格式规定的，由投标人自行编制。</w:t>
      </w:r>
    </w:p>
    <w:p w14:paraId="6DDBB271">
      <w:pPr>
        <w:shd w:val="clear"/>
        <w:spacing w:line="40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3.1.2资格审查文件</w:t>
      </w:r>
    </w:p>
    <w:p w14:paraId="5B42FD25">
      <w:pPr>
        <w:numPr>
          <w:ilvl w:val="0"/>
          <w:numId w:val="0"/>
        </w:num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lang w:val="en-US" w:eastAsia="zh-CN"/>
        </w:rPr>
        <w:t>(1)</w:t>
      </w:r>
      <w:r>
        <w:rPr>
          <w:rFonts w:hint="eastAsia" w:ascii="宋体" w:hAnsi="宋体" w:eastAsia="宋体" w:cs="宋体"/>
          <w:color w:val="auto"/>
          <w:highlight w:val="none"/>
          <w:u w:val="single"/>
        </w:rPr>
        <w:t>投标单位法定代表人证明书及</w:t>
      </w:r>
      <w:bookmarkStart w:id="160" w:name="OLE_LINK9"/>
      <w:r>
        <w:rPr>
          <w:rFonts w:hint="eastAsia" w:ascii="宋体" w:hAnsi="宋体" w:eastAsia="宋体" w:cs="宋体"/>
          <w:color w:val="auto"/>
          <w:highlight w:val="none"/>
          <w:u w:val="single"/>
        </w:rPr>
        <w:t>法人授权委托证明书</w:t>
      </w:r>
      <w:bookmarkEnd w:id="160"/>
      <w:r>
        <w:rPr>
          <w:rFonts w:hint="eastAsia" w:ascii="宋体" w:hAnsi="宋体" w:eastAsia="宋体" w:cs="宋体"/>
          <w:color w:val="auto"/>
          <w:highlight w:val="none"/>
          <w:u w:val="single"/>
        </w:rPr>
        <w:t>（联合体投标的，由联合体主办方单位代表联合体授权）；</w:t>
      </w:r>
    </w:p>
    <w:p w14:paraId="68CBB100">
      <w:pPr>
        <w:numPr>
          <w:ilvl w:val="0"/>
          <w:numId w:val="0"/>
        </w:numPr>
        <w:shd w:val="clear"/>
        <w:spacing w:line="400" w:lineRule="exact"/>
        <w:ind w:left="420" w:leftChars="0"/>
        <w:rPr>
          <w:rFonts w:hint="eastAsia" w:ascii="宋体" w:hAnsi="宋体" w:eastAsia="宋体" w:cs="宋体"/>
          <w:color w:val="auto"/>
          <w:highlight w:val="none"/>
          <w:u w:val="single"/>
        </w:rPr>
      </w:pP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企业营业执照（联合体投标的，联合体各方均提供）；</w:t>
      </w:r>
    </w:p>
    <w:p w14:paraId="04248653">
      <w:pPr>
        <w:numPr>
          <w:ilvl w:val="0"/>
          <w:numId w:val="0"/>
        </w:numPr>
        <w:shd w:val="clear"/>
        <w:spacing w:line="400" w:lineRule="exact"/>
        <w:ind w:left="420" w:leftChars="0"/>
        <w:rPr>
          <w:rFonts w:hint="eastAsia" w:ascii="宋体" w:hAnsi="宋体" w:eastAsia="宋体" w:cs="宋体"/>
          <w:color w:val="auto"/>
          <w:highlight w:val="none"/>
          <w:u w:val="single"/>
        </w:rPr>
      </w:pP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资质证书（联合体投标的，联合体各方均提供）；</w:t>
      </w:r>
    </w:p>
    <w:p w14:paraId="6777AB87">
      <w:pPr>
        <w:numPr>
          <w:ilvl w:val="0"/>
          <w:numId w:val="0"/>
        </w:numPr>
        <w:shd w:val="clear"/>
        <w:spacing w:line="400" w:lineRule="exact"/>
        <w:ind w:left="420" w:leftChars="0"/>
        <w:rPr>
          <w:rFonts w:hint="eastAsia" w:ascii="宋体" w:hAnsi="宋体" w:eastAsia="宋体" w:cs="宋体"/>
          <w:color w:val="auto"/>
          <w:highlight w:val="none"/>
          <w:u w:val="single"/>
        </w:rPr>
      </w:pPr>
      <w:r>
        <w:rPr>
          <w:rFonts w:hint="eastAsia" w:ascii="宋体" w:hAnsi="宋体" w:eastAsia="宋体" w:cs="宋体"/>
          <w:color w:val="auto"/>
          <w:highlight w:val="none"/>
          <w:u w:val="single"/>
          <w:lang w:val="en-US" w:eastAsia="zh-CN"/>
        </w:rPr>
        <w:t>(4)</w:t>
      </w:r>
      <w:r>
        <w:rPr>
          <w:rFonts w:hint="eastAsia" w:ascii="宋体" w:hAnsi="宋体" w:eastAsia="宋体" w:cs="宋体"/>
          <w:color w:val="auto"/>
          <w:highlight w:val="none"/>
          <w:u w:val="single"/>
        </w:rPr>
        <w:t>安全生产许可证（联合体投标的，</w:t>
      </w:r>
      <w:r>
        <w:rPr>
          <w:rFonts w:hint="eastAsia" w:ascii="宋体" w:hAnsi="宋体" w:eastAsia="宋体" w:cs="宋体"/>
          <w:color w:val="auto"/>
          <w:szCs w:val="21"/>
          <w:highlight w:val="none"/>
          <w:u w:val="single"/>
        </w:rPr>
        <w:t>由施工方提供</w:t>
      </w:r>
      <w:r>
        <w:rPr>
          <w:rFonts w:hint="eastAsia" w:ascii="宋体" w:hAnsi="宋体" w:eastAsia="宋体" w:cs="宋体"/>
          <w:color w:val="auto"/>
          <w:highlight w:val="none"/>
          <w:u w:val="single"/>
        </w:rPr>
        <w:t>）；</w:t>
      </w:r>
    </w:p>
    <w:p w14:paraId="0CDD6843">
      <w:pPr>
        <w:numPr>
          <w:ilvl w:val="0"/>
          <w:numId w:val="0"/>
        </w:numPr>
        <w:shd w:val="clear"/>
        <w:spacing w:line="400" w:lineRule="exact"/>
        <w:ind w:left="420" w:leftChars="0"/>
        <w:rPr>
          <w:rFonts w:hint="eastAsia" w:ascii="宋体" w:hAnsi="宋体" w:eastAsia="宋体" w:cs="宋体"/>
          <w:color w:val="auto"/>
          <w:highlight w:val="none"/>
          <w:u w:val="single"/>
        </w:rPr>
      </w:pP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u w:val="single"/>
        </w:rPr>
        <w:t>投标人（</w:t>
      </w:r>
      <w:r>
        <w:rPr>
          <w:rFonts w:hint="eastAsia" w:ascii="宋体" w:hAnsi="宋体" w:eastAsia="宋体" w:cs="宋体"/>
          <w:color w:val="auto"/>
          <w:szCs w:val="21"/>
          <w:highlight w:val="none"/>
          <w:u w:val="single"/>
        </w:rPr>
        <w:t>联合体投标</w:t>
      </w:r>
      <w:r>
        <w:rPr>
          <w:rFonts w:hint="eastAsia" w:ascii="宋体" w:hAnsi="宋体" w:eastAsia="宋体" w:cs="宋体"/>
          <w:color w:val="auto"/>
          <w:szCs w:val="21"/>
          <w:highlight w:val="none"/>
          <w:u w:val="single"/>
          <w:lang w:eastAsia="zh-CN"/>
        </w:rPr>
        <w:t>的</w:t>
      </w:r>
      <w:r>
        <w:rPr>
          <w:rFonts w:hint="eastAsia" w:ascii="宋体" w:hAnsi="宋体" w:eastAsia="宋体" w:cs="宋体"/>
          <w:color w:val="auto"/>
          <w:szCs w:val="21"/>
          <w:highlight w:val="none"/>
          <w:u w:val="single"/>
        </w:rPr>
        <w:t>，由主办方提供</w:t>
      </w:r>
      <w:r>
        <w:rPr>
          <w:rFonts w:hint="eastAsia" w:ascii="宋体" w:hAnsi="宋体" w:eastAsia="宋体" w:cs="宋体"/>
          <w:color w:val="auto"/>
          <w:highlight w:val="none"/>
          <w:u w:val="single"/>
        </w:rPr>
        <w:t>）拟派项目负责人（可兼任施工负责人）的相关证书；</w:t>
      </w:r>
    </w:p>
    <w:p w14:paraId="59F7ECB3">
      <w:pPr>
        <w:numPr>
          <w:ilvl w:val="0"/>
          <w:numId w:val="0"/>
        </w:num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lang w:val="en-US" w:eastAsia="zh-CN"/>
        </w:rPr>
        <w:t>(6)</w:t>
      </w:r>
      <w:r>
        <w:rPr>
          <w:rFonts w:hint="eastAsia" w:ascii="宋体" w:hAnsi="宋体" w:eastAsia="宋体" w:cs="宋体"/>
          <w:color w:val="auto"/>
          <w:highlight w:val="none"/>
          <w:u w:val="single"/>
        </w:rPr>
        <w:t>投标人（</w:t>
      </w:r>
      <w:r>
        <w:rPr>
          <w:rFonts w:hint="eastAsia" w:ascii="宋体" w:hAnsi="宋体" w:eastAsia="宋体" w:cs="宋体"/>
          <w:color w:val="auto"/>
          <w:szCs w:val="21"/>
          <w:highlight w:val="none"/>
          <w:u w:val="single"/>
        </w:rPr>
        <w:t>联合体投标</w:t>
      </w:r>
      <w:r>
        <w:rPr>
          <w:rFonts w:hint="eastAsia" w:ascii="宋体" w:hAnsi="宋体" w:eastAsia="宋体" w:cs="宋体"/>
          <w:color w:val="auto"/>
          <w:szCs w:val="21"/>
          <w:highlight w:val="none"/>
          <w:u w:val="single"/>
          <w:lang w:eastAsia="zh-CN"/>
        </w:rPr>
        <w:t>的</w:t>
      </w:r>
      <w:r>
        <w:rPr>
          <w:rFonts w:hint="eastAsia" w:ascii="宋体" w:hAnsi="宋体" w:eastAsia="宋体" w:cs="宋体"/>
          <w:color w:val="auto"/>
          <w:szCs w:val="21"/>
          <w:highlight w:val="none"/>
          <w:u w:val="single"/>
        </w:rPr>
        <w:t>，由主办方提供</w:t>
      </w:r>
      <w:r>
        <w:rPr>
          <w:rFonts w:hint="eastAsia" w:ascii="宋体" w:hAnsi="宋体" w:eastAsia="宋体" w:cs="宋体"/>
          <w:color w:val="auto"/>
          <w:highlight w:val="none"/>
          <w:u w:val="single"/>
        </w:rPr>
        <w:t>）拟派施工负责人的建造师注册证书，持有在有效期内的安全生产考核合格证（B类）或建筑施工企业项目负责人安全生产考核合格证书；</w:t>
      </w:r>
    </w:p>
    <w:p w14:paraId="570017E7">
      <w:pPr>
        <w:numPr>
          <w:ilvl w:val="0"/>
          <w:numId w:val="0"/>
        </w:numPr>
        <w:shd w:val="clear"/>
        <w:spacing w:line="400" w:lineRule="exact"/>
        <w:ind w:left="420" w:leftChars="0"/>
        <w:rPr>
          <w:rFonts w:hint="eastAsia" w:ascii="宋体" w:hAnsi="宋体" w:eastAsia="宋体" w:cs="宋体"/>
          <w:color w:val="auto"/>
          <w:highlight w:val="none"/>
          <w:u w:val="single"/>
        </w:rPr>
      </w:pP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u w:val="single"/>
        </w:rPr>
        <w:t>投标人（</w:t>
      </w:r>
      <w:r>
        <w:rPr>
          <w:rFonts w:hint="eastAsia" w:ascii="宋体" w:hAnsi="宋体" w:eastAsia="宋体" w:cs="宋体"/>
          <w:color w:val="auto"/>
          <w:szCs w:val="21"/>
          <w:highlight w:val="none"/>
          <w:u w:val="single"/>
        </w:rPr>
        <w:t>联合体投标</w:t>
      </w:r>
      <w:r>
        <w:rPr>
          <w:rFonts w:hint="eastAsia" w:ascii="宋体" w:hAnsi="宋体" w:eastAsia="宋体" w:cs="宋体"/>
          <w:color w:val="auto"/>
          <w:szCs w:val="21"/>
          <w:highlight w:val="none"/>
          <w:u w:val="single"/>
          <w:lang w:eastAsia="zh-CN"/>
        </w:rPr>
        <w:t>的</w:t>
      </w:r>
      <w:r>
        <w:rPr>
          <w:rFonts w:hint="eastAsia" w:ascii="宋体" w:hAnsi="宋体" w:eastAsia="宋体" w:cs="宋体"/>
          <w:color w:val="auto"/>
          <w:szCs w:val="21"/>
          <w:highlight w:val="none"/>
          <w:u w:val="single"/>
        </w:rPr>
        <w:t>，由</w:t>
      </w:r>
      <w:r>
        <w:rPr>
          <w:rFonts w:hint="eastAsia" w:ascii="宋体" w:hAnsi="宋体" w:eastAsia="宋体" w:cs="宋体"/>
          <w:color w:val="auto"/>
          <w:szCs w:val="21"/>
          <w:highlight w:val="none"/>
          <w:u w:val="single"/>
          <w:lang w:val="en-US" w:eastAsia="zh-CN"/>
        </w:rPr>
        <w:t>设计</w:t>
      </w:r>
      <w:r>
        <w:rPr>
          <w:rFonts w:hint="eastAsia" w:ascii="宋体" w:hAnsi="宋体" w:eastAsia="宋体" w:cs="宋体"/>
          <w:color w:val="auto"/>
          <w:szCs w:val="21"/>
          <w:highlight w:val="none"/>
          <w:u w:val="single"/>
        </w:rPr>
        <w:t>方提供</w:t>
      </w:r>
      <w:r>
        <w:rPr>
          <w:rFonts w:hint="eastAsia" w:ascii="宋体" w:hAnsi="宋体" w:eastAsia="宋体" w:cs="宋体"/>
          <w:color w:val="auto"/>
          <w:highlight w:val="none"/>
          <w:u w:val="single"/>
        </w:rPr>
        <w:t>）拟派设计负责人的</w:t>
      </w:r>
      <w:r>
        <w:rPr>
          <w:rFonts w:hint="eastAsia" w:ascii="宋体" w:hAnsi="宋体" w:cs="宋体"/>
          <w:color w:val="auto"/>
          <w:highlight w:val="none"/>
          <w:u w:val="single"/>
          <w:lang w:val="en-US" w:eastAsia="zh-CN"/>
        </w:rPr>
        <w:t>注册证书或</w:t>
      </w:r>
      <w:r>
        <w:rPr>
          <w:rFonts w:hint="eastAsia" w:ascii="宋体" w:hAnsi="宋体" w:eastAsia="宋体" w:cs="宋体"/>
          <w:color w:val="auto"/>
          <w:highlight w:val="none"/>
          <w:u w:val="single"/>
        </w:rPr>
        <w:t>职称证书；</w:t>
      </w:r>
    </w:p>
    <w:p w14:paraId="0A1D71AA">
      <w:pPr>
        <w:numPr>
          <w:ilvl w:val="0"/>
          <w:numId w:val="0"/>
        </w:num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lang w:val="en-US" w:eastAsia="zh-CN"/>
        </w:rPr>
        <w:t>(8)</w:t>
      </w:r>
      <w:r>
        <w:rPr>
          <w:rFonts w:hint="eastAsia" w:ascii="宋体" w:hAnsi="宋体" w:eastAsia="宋体" w:cs="宋体"/>
          <w:color w:val="auto"/>
          <w:highlight w:val="none"/>
          <w:u w:val="single"/>
        </w:rPr>
        <w:t>投标人（</w:t>
      </w:r>
      <w:r>
        <w:rPr>
          <w:rFonts w:hint="eastAsia" w:ascii="宋体" w:hAnsi="宋体" w:eastAsia="宋体" w:cs="宋体"/>
          <w:color w:val="auto"/>
          <w:szCs w:val="21"/>
          <w:highlight w:val="none"/>
          <w:u w:val="single"/>
        </w:rPr>
        <w:t>联合体投标</w:t>
      </w:r>
      <w:r>
        <w:rPr>
          <w:rFonts w:hint="eastAsia" w:ascii="宋体" w:hAnsi="宋体" w:eastAsia="宋体" w:cs="宋体"/>
          <w:color w:val="auto"/>
          <w:szCs w:val="21"/>
          <w:highlight w:val="none"/>
          <w:u w:val="single"/>
          <w:lang w:eastAsia="zh-CN"/>
        </w:rPr>
        <w:t>的</w:t>
      </w:r>
      <w:r>
        <w:rPr>
          <w:rFonts w:hint="eastAsia" w:ascii="宋体" w:hAnsi="宋体" w:eastAsia="宋体" w:cs="宋体"/>
          <w:color w:val="auto"/>
          <w:szCs w:val="21"/>
          <w:highlight w:val="none"/>
          <w:u w:val="single"/>
        </w:rPr>
        <w:t>，由主办方提供</w:t>
      </w:r>
      <w:r>
        <w:rPr>
          <w:rFonts w:hint="eastAsia" w:ascii="宋体" w:hAnsi="宋体" w:eastAsia="宋体" w:cs="宋体"/>
          <w:color w:val="auto"/>
          <w:highlight w:val="none"/>
          <w:u w:val="single"/>
        </w:rPr>
        <w:t>）拟派专职安全员具有</w:t>
      </w:r>
      <w:r>
        <w:rPr>
          <w:rFonts w:hint="eastAsia" w:ascii="宋体" w:hAnsi="宋体" w:eastAsia="宋体" w:cs="宋体"/>
          <w:color w:val="auto"/>
          <w:szCs w:val="21"/>
          <w:highlight w:val="none"/>
          <w:u w:val="single"/>
        </w:rPr>
        <w:t>在有效期内的安全生产考核合格证书（C类）或建筑施工企业专职安全生产管理人员安全生产考核合格证书（C3类）</w:t>
      </w:r>
      <w:r>
        <w:rPr>
          <w:rFonts w:hint="eastAsia" w:ascii="宋体" w:hAnsi="宋体" w:eastAsia="宋体" w:cs="宋体"/>
          <w:color w:val="auto"/>
          <w:highlight w:val="none"/>
          <w:u w:val="single"/>
        </w:rPr>
        <w:t>；</w:t>
      </w:r>
    </w:p>
    <w:p w14:paraId="0C74F473">
      <w:pPr>
        <w:numPr>
          <w:ilvl w:val="0"/>
          <w:numId w:val="0"/>
        </w:num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u w:val="single"/>
        </w:rPr>
        <w:t>投标人（</w:t>
      </w:r>
      <w:r>
        <w:rPr>
          <w:rFonts w:hint="eastAsia" w:ascii="宋体" w:hAnsi="宋体" w:eastAsia="宋体" w:cs="宋体"/>
          <w:color w:val="auto"/>
          <w:szCs w:val="21"/>
          <w:highlight w:val="none"/>
          <w:u w:val="single"/>
        </w:rPr>
        <w:t>联合体投标</w:t>
      </w:r>
      <w:r>
        <w:rPr>
          <w:rFonts w:hint="eastAsia" w:ascii="宋体" w:hAnsi="宋体" w:eastAsia="宋体" w:cs="宋体"/>
          <w:color w:val="auto"/>
          <w:szCs w:val="21"/>
          <w:highlight w:val="none"/>
          <w:u w:val="single"/>
          <w:lang w:eastAsia="zh-CN"/>
        </w:rPr>
        <w:t>的</w:t>
      </w:r>
      <w:r>
        <w:rPr>
          <w:rFonts w:hint="eastAsia" w:ascii="宋体" w:hAnsi="宋体" w:eastAsia="宋体" w:cs="宋体"/>
          <w:color w:val="auto"/>
          <w:szCs w:val="21"/>
          <w:highlight w:val="none"/>
          <w:u w:val="single"/>
        </w:rPr>
        <w:t>，由主办方提供</w:t>
      </w:r>
      <w:r>
        <w:rPr>
          <w:rFonts w:hint="eastAsia" w:ascii="宋体" w:hAnsi="宋体" w:eastAsia="宋体" w:cs="宋体"/>
          <w:color w:val="auto"/>
          <w:highlight w:val="none"/>
          <w:u w:val="single"/>
        </w:rPr>
        <w:t>）拟派施工技术负责人的</w:t>
      </w:r>
      <w:r>
        <w:rPr>
          <w:rFonts w:hint="eastAsia" w:ascii="宋体" w:hAnsi="宋体" w:eastAsia="宋体" w:cs="宋体"/>
          <w:color w:val="auto"/>
          <w:szCs w:val="21"/>
          <w:highlight w:val="none"/>
          <w:u w:val="single"/>
        </w:rPr>
        <w:t>职称证书；</w:t>
      </w:r>
    </w:p>
    <w:p w14:paraId="550D0710">
      <w:pPr>
        <w:numPr>
          <w:ilvl w:val="0"/>
          <w:numId w:val="0"/>
        </w:num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lang w:val="en-US" w:eastAsia="zh-CN"/>
        </w:rPr>
        <w:t>(10)</w:t>
      </w:r>
      <w:r>
        <w:rPr>
          <w:rFonts w:hint="eastAsia" w:ascii="宋体" w:hAnsi="宋体" w:eastAsia="宋体" w:cs="宋体"/>
          <w:color w:val="auto"/>
          <w:highlight w:val="none"/>
          <w:u w:val="single"/>
        </w:rPr>
        <w:t>按招标公告附件一盖章签署的《投标人声明》；</w:t>
      </w:r>
    </w:p>
    <w:p w14:paraId="6FB8141C">
      <w:pPr>
        <w:numPr>
          <w:ilvl w:val="0"/>
          <w:numId w:val="0"/>
        </w:num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lang w:val="en-US" w:eastAsia="zh-CN"/>
        </w:rPr>
        <w:t>(11)</w:t>
      </w:r>
      <w:r>
        <w:rPr>
          <w:rFonts w:hint="eastAsia" w:ascii="宋体" w:hAnsi="宋体" w:eastAsia="宋体" w:cs="宋体"/>
          <w:color w:val="auto"/>
          <w:highlight w:val="none"/>
          <w:u w:val="single"/>
        </w:rPr>
        <w:t xml:space="preserve">盖章签署的《联合体共同投标协议书》（参考格式）（如有）； </w:t>
      </w:r>
    </w:p>
    <w:p w14:paraId="2C1AF6BB">
      <w:pPr>
        <w:numPr>
          <w:ilvl w:val="0"/>
          <w:numId w:val="0"/>
        </w:num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lang w:val="en-US" w:eastAsia="zh-CN"/>
        </w:rPr>
        <w:t>(12)</w:t>
      </w:r>
      <w:r>
        <w:rPr>
          <w:rFonts w:hint="eastAsia" w:ascii="宋体" w:hAnsi="宋体" w:eastAsia="宋体" w:cs="宋体"/>
          <w:color w:val="auto"/>
          <w:highlight w:val="none"/>
          <w:u w:val="single"/>
        </w:rPr>
        <w:t>投标登记前，投标人（联合体投标的，联合体各方均提供）须在广州交易集团有限公司（广州公共资源交易中心）办理企业信息登记，拟担任本工程项目负责人、施工负责人、设计负责人、专职安全员须是投标人本企业信息登记中的在册人员（联合体投标的，企业信息登记和人员在册情况为联合体共同投标协议书分工对应企业库内的登记信息）。</w:t>
      </w:r>
    </w:p>
    <w:p w14:paraId="02BDCDA5">
      <w:pPr>
        <w:numPr>
          <w:ilvl w:val="0"/>
          <w:numId w:val="0"/>
        </w:num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lang w:val="en-US" w:eastAsia="zh-CN"/>
        </w:rPr>
        <w:t>(13)</w:t>
      </w:r>
      <w:r>
        <w:rPr>
          <w:rFonts w:hint="eastAsia" w:ascii="宋体" w:hAnsi="宋体" w:eastAsia="宋体" w:cs="宋体"/>
          <w:color w:val="auto"/>
          <w:highlight w:val="none"/>
          <w:u w:val="single"/>
        </w:rPr>
        <w:t>投标人（</w:t>
      </w:r>
      <w:r>
        <w:rPr>
          <w:rFonts w:hint="eastAsia" w:ascii="宋体" w:hAnsi="宋体" w:eastAsia="宋体" w:cs="宋体"/>
          <w:color w:val="auto"/>
          <w:kern w:val="0"/>
          <w:szCs w:val="21"/>
          <w:highlight w:val="none"/>
          <w:u w:val="single"/>
        </w:rPr>
        <w:t>含联合体各方</w:t>
      </w:r>
      <w:r>
        <w:rPr>
          <w:rFonts w:hint="eastAsia" w:ascii="宋体" w:hAnsi="宋体" w:eastAsia="宋体" w:cs="宋体"/>
          <w:color w:val="auto"/>
          <w:highlight w:val="none"/>
          <w:u w:val="single"/>
        </w:rPr>
        <w:t>）不是本项目的代建单位、项目管理单位、监理单位、造价咨询单位、招标代理单位。投标人（</w:t>
      </w:r>
      <w:r>
        <w:rPr>
          <w:rFonts w:hint="eastAsia" w:ascii="宋体" w:hAnsi="宋体" w:eastAsia="宋体" w:cs="宋体"/>
          <w:color w:val="auto"/>
          <w:kern w:val="0"/>
          <w:szCs w:val="21"/>
          <w:highlight w:val="none"/>
          <w:u w:val="single"/>
        </w:rPr>
        <w:t>含联合体各方</w:t>
      </w:r>
      <w:r>
        <w:rPr>
          <w:rFonts w:hint="eastAsia" w:ascii="宋体" w:hAnsi="宋体" w:eastAsia="宋体" w:cs="宋体"/>
          <w:color w:val="auto"/>
          <w:highlight w:val="none"/>
          <w:u w:val="single"/>
        </w:rPr>
        <w:t>）须承诺应当具有相应的项目管理体系和项目管理能力、财务和风险承担能力。（按投标人提供的《投标人声明》内容进行评审）</w:t>
      </w:r>
    </w:p>
    <w:p w14:paraId="64B35C9D">
      <w:pPr>
        <w:numPr>
          <w:ilvl w:val="0"/>
          <w:numId w:val="0"/>
        </w:num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lang w:val="en-US" w:eastAsia="zh-CN"/>
        </w:rPr>
        <w:t>(14)</w:t>
      </w:r>
      <w:r>
        <w:rPr>
          <w:rFonts w:hint="eastAsia" w:ascii="宋体" w:hAnsi="宋体" w:eastAsia="宋体" w:cs="宋体"/>
          <w:color w:val="auto"/>
          <w:highlight w:val="none"/>
          <w:u w:val="single"/>
        </w:rPr>
        <w:t>投标人认为应该提供的其他资料。</w:t>
      </w:r>
    </w:p>
    <w:p w14:paraId="3BDE306B">
      <w:pPr>
        <w:shd w:val="clear"/>
        <w:spacing w:line="400" w:lineRule="exact"/>
        <w:ind w:firstLine="422" w:firstLineChars="200"/>
        <w:rPr>
          <w:rFonts w:hint="eastAsia" w:ascii="宋体" w:hAnsi="宋体" w:eastAsia="宋体" w:cs="宋体"/>
          <w:b/>
          <w:bCs/>
          <w:color w:val="auto"/>
          <w:highlight w:val="none"/>
          <w:u w:val="single"/>
        </w:rPr>
      </w:pPr>
      <w:bookmarkStart w:id="161" w:name="OLE_LINK4"/>
      <w:r>
        <w:rPr>
          <w:rFonts w:hint="eastAsia" w:ascii="宋体" w:hAnsi="宋体" w:eastAsia="宋体" w:cs="宋体"/>
          <w:b/>
          <w:bCs/>
          <w:color w:val="auto"/>
          <w:highlight w:val="none"/>
          <w:u w:val="single"/>
        </w:rPr>
        <w:t>3.1.3</w:t>
      </w:r>
      <w:bookmarkEnd w:id="161"/>
      <w:r>
        <w:rPr>
          <w:rFonts w:hint="eastAsia" w:ascii="宋体" w:hAnsi="宋体" w:eastAsia="宋体" w:cs="宋体"/>
          <w:b/>
          <w:bCs/>
          <w:color w:val="auto"/>
          <w:highlight w:val="none"/>
          <w:u w:val="single"/>
        </w:rPr>
        <w:t>工程总承包实施方案投标文件：</w:t>
      </w:r>
    </w:p>
    <w:p w14:paraId="303218DE">
      <w:pPr>
        <w:numPr>
          <w:ilvl w:val="0"/>
          <w:numId w:val="2"/>
        </w:numPr>
        <w:shd w:val="clear"/>
        <w:spacing w:before="62" w:beforeLines="20" w:after="4" w:line="360" w:lineRule="auto"/>
        <w:ind w:hanging="34"/>
        <w:rPr>
          <w:rFonts w:hint="eastAsia" w:ascii="宋体" w:hAnsi="宋体" w:eastAsia="宋体" w:cs="宋体"/>
          <w:color w:val="auto"/>
          <w:highlight w:val="none"/>
          <w:u w:val="single"/>
        </w:rPr>
      </w:pPr>
      <w:r>
        <w:rPr>
          <w:rFonts w:hint="eastAsia" w:ascii="宋体" w:hAnsi="宋体" w:eastAsia="宋体" w:cs="宋体"/>
          <w:color w:val="auto"/>
          <w:highlight w:val="none"/>
          <w:u w:val="single"/>
        </w:rPr>
        <w:t>投标书；</w:t>
      </w:r>
    </w:p>
    <w:p w14:paraId="1A4F2D86">
      <w:pPr>
        <w:numPr>
          <w:ilvl w:val="0"/>
          <w:numId w:val="2"/>
        </w:numPr>
        <w:shd w:val="clear"/>
        <w:spacing w:before="62" w:beforeLines="20" w:after="4" w:line="360" w:lineRule="auto"/>
        <w:ind w:hanging="34"/>
        <w:rPr>
          <w:rFonts w:hint="eastAsia" w:ascii="宋体" w:hAnsi="宋体" w:eastAsia="宋体" w:cs="宋体"/>
          <w:color w:val="auto"/>
          <w:highlight w:val="none"/>
          <w:u w:val="single"/>
        </w:rPr>
      </w:pPr>
      <w:r>
        <w:rPr>
          <w:rFonts w:hint="eastAsia" w:ascii="宋体" w:hAnsi="宋体" w:eastAsia="宋体" w:cs="宋体"/>
          <w:color w:val="auto"/>
          <w:highlight w:val="none"/>
          <w:u w:val="single"/>
        </w:rPr>
        <w:t>投标承诺函；</w:t>
      </w:r>
    </w:p>
    <w:p w14:paraId="1D5FD556">
      <w:pPr>
        <w:numPr>
          <w:ilvl w:val="0"/>
          <w:numId w:val="2"/>
        </w:numPr>
        <w:shd w:val="clear"/>
        <w:spacing w:before="62" w:beforeLines="20" w:after="4" w:line="360" w:lineRule="auto"/>
        <w:ind w:hanging="34"/>
        <w:rPr>
          <w:rFonts w:hint="eastAsia" w:ascii="宋体" w:hAnsi="宋体" w:eastAsia="宋体" w:cs="宋体"/>
          <w:color w:val="auto"/>
          <w:highlight w:val="none"/>
          <w:u w:val="single"/>
        </w:rPr>
      </w:pPr>
      <w:r>
        <w:rPr>
          <w:rFonts w:hint="eastAsia" w:ascii="宋体" w:hAnsi="宋体" w:eastAsia="宋体" w:cs="宋体"/>
          <w:color w:val="auto"/>
          <w:highlight w:val="none"/>
          <w:u w:val="single"/>
        </w:rPr>
        <w:t>项目管理团队人员信息表；</w:t>
      </w:r>
    </w:p>
    <w:p w14:paraId="4B2B8A72">
      <w:pPr>
        <w:numPr>
          <w:ilvl w:val="0"/>
          <w:numId w:val="2"/>
        </w:numPr>
        <w:shd w:val="clear"/>
        <w:spacing w:before="62" w:beforeLines="20" w:after="4" w:line="360" w:lineRule="auto"/>
        <w:ind w:hanging="34"/>
        <w:rPr>
          <w:rFonts w:hint="eastAsia" w:ascii="宋体" w:hAnsi="宋体" w:eastAsia="宋体" w:cs="宋体"/>
          <w:color w:val="auto"/>
          <w:highlight w:val="none"/>
          <w:u w:val="single"/>
        </w:rPr>
      </w:pPr>
      <w:r>
        <w:rPr>
          <w:rFonts w:hint="eastAsia" w:ascii="宋体" w:hAnsi="宋体" w:cs="宋体"/>
          <w:color w:val="auto"/>
          <w:highlight w:val="none"/>
          <w:u w:val="single"/>
          <w:lang w:val="en-US" w:eastAsia="zh-CN"/>
        </w:rPr>
        <w:t>设计部分</w:t>
      </w:r>
      <w:r>
        <w:rPr>
          <w:rFonts w:hint="eastAsia" w:ascii="宋体" w:hAnsi="宋体" w:eastAsia="宋体" w:cs="宋体"/>
          <w:color w:val="auto"/>
          <w:highlight w:val="none"/>
          <w:u w:val="single"/>
        </w:rPr>
        <w:t>（按评分要求提供相关材料）</w:t>
      </w:r>
      <w:r>
        <w:rPr>
          <w:rFonts w:hint="eastAsia" w:ascii="宋体" w:hAnsi="宋体" w:eastAsia="宋体" w:cs="宋体"/>
          <w:color w:val="auto"/>
          <w:highlight w:val="none"/>
          <w:u w:val="single"/>
          <w:lang w:eastAsia="zh-CN"/>
        </w:rPr>
        <w:t>；</w:t>
      </w:r>
    </w:p>
    <w:p w14:paraId="6F3FB64F">
      <w:pPr>
        <w:numPr>
          <w:ilvl w:val="0"/>
          <w:numId w:val="2"/>
        </w:numPr>
        <w:shd w:val="clear"/>
        <w:spacing w:before="62" w:beforeLines="20" w:after="4" w:line="360" w:lineRule="auto"/>
        <w:ind w:hanging="34"/>
        <w:rPr>
          <w:rFonts w:hint="eastAsia" w:ascii="宋体" w:hAnsi="宋体" w:eastAsia="宋体" w:cs="宋体"/>
          <w:color w:val="auto"/>
          <w:highlight w:val="none"/>
          <w:u w:val="single"/>
        </w:rPr>
      </w:pPr>
      <w:r>
        <w:rPr>
          <w:rFonts w:hint="eastAsia" w:ascii="宋体" w:hAnsi="宋体" w:eastAsia="宋体" w:cs="宋体"/>
          <w:color w:val="auto"/>
          <w:highlight w:val="none"/>
          <w:u w:val="single"/>
        </w:rPr>
        <w:t>施工技术标（按评分要求提供相关材料）</w:t>
      </w:r>
      <w:r>
        <w:rPr>
          <w:rFonts w:hint="eastAsia" w:ascii="宋体" w:hAnsi="宋体" w:cs="宋体"/>
          <w:color w:val="auto"/>
          <w:highlight w:val="none"/>
          <w:u w:val="single"/>
          <w:lang w:eastAsia="zh-CN"/>
        </w:rPr>
        <w:t>；</w:t>
      </w:r>
    </w:p>
    <w:p w14:paraId="6D7B62FF">
      <w:pPr>
        <w:numPr>
          <w:ilvl w:val="0"/>
          <w:numId w:val="2"/>
        </w:numPr>
        <w:shd w:val="clear"/>
        <w:spacing w:before="62" w:beforeLines="20" w:after="4" w:line="360" w:lineRule="auto"/>
        <w:ind w:hanging="34"/>
        <w:rPr>
          <w:rFonts w:hint="eastAsia" w:ascii="宋体" w:hAnsi="宋体" w:eastAsia="宋体" w:cs="宋体"/>
          <w:color w:val="auto"/>
          <w:highlight w:val="none"/>
          <w:u w:val="single"/>
        </w:rPr>
      </w:pPr>
      <w:r>
        <w:rPr>
          <w:rFonts w:hint="eastAsia" w:ascii="宋体" w:hAnsi="宋体" w:eastAsia="宋体" w:cs="宋体"/>
          <w:color w:val="auto"/>
          <w:highlight w:val="none"/>
          <w:u w:val="single"/>
        </w:rPr>
        <w:t>参与编制投标文件人员名单；</w:t>
      </w:r>
    </w:p>
    <w:p w14:paraId="4EDDA50A">
      <w:pPr>
        <w:numPr>
          <w:ilvl w:val="0"/>
          <w:numId w:val="2"/>
        </w:numPr>
        <w:shd w:val="clear"/>
        <w:spacing w:before="62" w:beforeLines="20" w:after="4" w:line="360" w:lineRule="auto"/>
        <w:ind w:hanging="34"/>
        <w:rPr>
          <w:rFonts w:hint="eastAsia" w:ascii="宋体" w:hAnsi="宋体" w:eastAsia="宋体" w:cs="宋体"/>
          <w:color w:val="auto"/>
          <w:highlight w:val="none"/>
          <w:u w:val="single"/>
        </w:rPr>
      </w:pPr>
      <w:r>
        <w:rPr>
          <w:rFonts w:hint="eastAsia" w:ascii="宋体" w:hAnsi="宋体" w:eastAsia="宋体" w:cs="宋体"/>
          <w:color w:val="auto"/>
          <w:highlight w:val="none"/>
          <w:u w:val="single"/>
        </w:rPr>
        <w:t>投标人认为应该提供的其他资料。</w:t>
      </w:r>
    </w:p>
    <w:p w14:paraId="50066EA7">
      <w:pPr>
        <w:pStyle w:val="21"/>
        <w:spacing w:line="360" w:lineRule="auto"/>
        <w:ind w:firstLine="420" w:firstLineChars="200"/>
        <w:rPr>
          <w:rFonts w:hint="eastAsia"/>
          <w:highlight w:val="none"/>
        </w:rPr>
      </w:pPr>
      <w:r>
        <w:rPr>
          <w:rFonts w:hint="eastAsia"/>
          <w:highlight w:val="none"/>
          <w:lang w:val="en-US" w:eastAsia="zh-CN"/>
        </w:rPr>
        <w:t>注：</w:t>
      </w:r>
      <w:r>
        <w:rPr>
          <w:rFonts w:hint="eastAsia"/>
          <w:highlight w:val="none"/>
        </w:rPr>
        <w:t>（1）投标人在编制施工组织设计或施工方案时应按照招标人提出的施工现场建筑垃圾源头减量的具体要求以及建筑垃圾综合利用产品的使用要求提供相应措施。</w:t>
      </w:r>
    </w:p>
    <w:p w14:paraId="6B30536A">
      <w:pPr>
        <w:pStyle w:val="21"/>
        <w:spacing w:line="360" w:lineRule="auto"/>
        <w:ind w:firstLine="420" w:firstLineChars="200"/>
        <w:rPr>
          <w:rFonts w:hint="eastAsia"/>
          <w:highlight w:val="none"/>
        </w:rPr>
      </w:pPr>
      <w:r>
        <w:rPr>
          <w:rFonts w:hint="eastAsia"/>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34DFC075">
      <w:pPr>
        <w:pStyle w:val="4"/>
        <w:shd w:val="clear"/>
        <w:rPr>
          <w:rFonts w:hint="eastAsia" w:ascii="宋体" w:hAnsi="宋体" w:eastAsia="宋体" w:cs="宋体"/>
          <w:color w:val="auto"/>
          <w:highlight w:val="none"/>
        </w:rPr>
      </w:pPr>
      <w:bookmarkStart w:id="162" w:name="_Toc152045548"/>
      <w:bookmarkStart w:id="163" w:name="_Toc22089"/>
      <w:bookmarkStart w:id="164" w:name="_Toc247527573"/>
      <w:bookmarkStart w:id="165" w:name="_Toc247513972"/>
      <w:bookmarkStart w:id="166" w:name="_Toc152042324"/>
      <w:bookmarkStart w:id="167" w:name="_Toc16275"/>
      <w:bookmarkStart w:id="168" w:name="_Toc144974516"/>
      <w:r>
        <w:rPr>
          <w:rFonts w:hint="eastAsia" w:ascii="宋体" w:hAnsi="宋体" w:eastAsia="宋体" w:cs="宋体"/>
          <w:color w:val="auto"/>
          <w:highlight w:val="none"/>
        </w:rPr>
        <w:t>3.2 投标报价</w:t>
      </w:r>
      <w:bookmarkEnd w:id="162"/>
      <w:bookmarkEnd w:id="163"/>
      <w:bookmarkEnd w:id="164"/>
      <w:bookmarkEnd w:id="165"/>
      <w:bookmarkEnd w:id="166"/>
      <w:bookmarkEnd w:id="167"/>
      <w:bookmarkEnd w:id="168"/>
    </w:p>
    <w:p w14:paraId="34E25BD7">
      <w:pPr>
        <w:shd w:val="clea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 xml:space="preserve">3.2.1 </w:t>
      </w:r>
      <w:r>
        <w:rPr>
          <w:rFonts w:hint="eastAsia" w:ascii="宋体" w:hAnsi="宋体" w:eastAsia="宋体" w:cs="宋体"/>
          <w:color w:val="auto"/>
          <w:szCs w:val="21"/>
          <w:highlight w:val="none"/>
        </w:rPr>
        <w:t>投标人应充分了解施工场地的位置、周边环境、道路、装卸、保管、安装限制以及影响投标报价的其他要素。投标人根据投标设计，结合市场情况进行投标报价。</w:t>
      </w:r>
    </w:p>
    <w:p w14:paraId="1C51356A">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3.2.2 招标人设有最高投标限价的，投标人的投标报价不得超过最高投标限价，最高投标限价或其计算方法在投标人须知前附表中载明。</w:t>
      </w:r>
    </w:p>
    <w:p w14:paraId="7117D992">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3.2.3 投标报价的其他要求见投标人须知前附表。</w:t>
      </w:r>
    </w:p>
    <w:p w14:paraId="2F35051C">
      <w:pPr>
        <w:pStyle w:val="4"/>
        <w:shd w:val="clear"/>
        <w:rPr>
          <w:rFonts w:hint="eastAsia" w:ascii="宋体" w:hAnsi="宋体" w:eastAsia="宋体" w:cs="宋体"/>
          <w:color w:val="auto"/>
          <w:highlight w:val="none"/>
        </w:rPr>
      </w:pPr>
      <w:bookmarkStart w:id="169" w:name="_Toc16455"/>
      <w:bookmarkStart w:id="170" w:name="_Toc6310"/>
      <w:bookmarkStart w:id="171" w:name="_Toc152042325"/>
      <w:bookmarkStart w:id="172" w:name="_Toc247527574"/>
      <w:bookmarkStart w:id="173" w:name="_Toc152045549"/>
      <w:bookmarkStart w:id="174" w:name="_Toc247513973"/>
      <w:bookmarkStart w:id="175" w:name="_Toc144974517"/>
      <w:r>
        <w:rPr>
          <w:rFonts w:hint="eastAsia" w:ascii="宋体" w:hAnsi="宋体" w:eastAsia="宋体" w:cs="宋体"/>
          <w:color w:val="auto"/>
          <w:highlight w:val="none"/>
        </w:rPr>
        <w:t>3.3 投标有效期</w:t>
      </w:r>
      <w:bookmarkEnd w:id="169"/>
      <w:bookmarkEnd w:id="170"/>
      <w:bookmarkEnd w:id="171"/>
      <w:bookmarkEnd w:id="172"/>
      <w:bookmarkEnd w:id="173"/>
      <w:bookmarkEnd w:id="174"/>
      <w:bookmarkEnd w:id="175"/>
    </w:p>
    <w:p w14:paraId="206DA284">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3.3.1 除投标人须知前附表另有规定外，投标有效期为</w:t>
      </w:r>
      <w:r>
        <w:rPr>
          <w:rFonts w:hint="eastAsia" w:ascii="宋体" w:hAnsi="宋体" w:eastAsia="宋体" w:cs="宋体"/>
          <w:color w:val="auto"/>
          <w:highlight w:val="none"/>
          <w:u w:val="single"/>
        </w:rPr>
        <w:t>90</w:t>
      </w:r>
      <w:r>
        <w:rPr>
          <w:rFonts w:hint="eastAsia" w:ascii="宋体" w:hAnsi="宋体" w:eastAsia="宋体" w:cs="宋体"/>
          <w:color w:val="auto"/>
          <w:highlight w:val="none"/>
        </w:rPr>
        <w:t>天。</w:t>
      </w:r>
    </w:p>
    <w:p w14:paraId="2EB36E57">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3.3.2 在投标有效期内，投标人撤销或修改其投标文件的，应承担招标文件和法律规定的责任。</w:t>
      </w:r>
    </w:p>
    <w:p w14:paraId="072A7DBE">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3.3.3 出现特殊情况需要延长投标有效期的，招标人以书面形式通知所有投标人延长投标有效期。投标人同意延长的，</w:t>
      </w:r>
      <w:r>
        <w:rPr>
          <w:rFonts w:hint="eastAsia" w:ascii="宋体" w:hAnsi="宋体" w:eastAsia="宋体" w:cs="宋体"/>
          <w:strike/>
          <w:color w:val="auto"/>
          <w:highlight w:val="none"/>
        </w:rPr>
        <w:t>应相应延长其投标保证金的有效期，但</w:t>
      </w:r>
      <w:r>
        <w:rPr>
          <w:rFonts w:hint="eastAsia" w:ascii="宋体" w:hAnsi="宋体" w:eastAsia="宋体" w:cs="宋体"/>
          <w:color w:val="auto"/>
          <w:highlight w:val="none"/>
        </w:rPr>
        <w:t>不得要求或被允许修改或撤销其投标文件；投标人拒绝延长的，其投标失效</w:t>
      </w:r>
      <w:r>
        <w:rPr>
          <w:rFonts w:hint="eastAsia" w:ascii="宋体" w:hAnsi="宋体" w:eastAsia="宋体" w:cs="宋体"/>
          <w:strike/>
          <w:color w:val="auto"/>
          <w:highlight w:val="none"/>
        </w:rPr>
        <w:t>，但投标人有权收回其投标保证金</w:t>
      </w:r>
      <w:r>
        <w:rPr>
          <w:rFonts w:hint="eastAsia" w:ascii="宋体" w:hAnsi="宋体" w:eastAsia="宋体" w:cs="宋体"/>
          <w:color w:val="auto"/>
          <w:highlight w:val="none"/>
        </w:rPr>
        <w:t xml:space="preserve">。 </w:t>
      </w:r>
    </w:p>
    <w:p w14:paraId="34A96AF0">
      <w:pPr>
        <w:pStyle w:val="4"/>
        <w:shd w:val="clear"/>
        <w:rPr>
          <w:rFonts w:hint="eastAsia" w:ascii="宋体" w:hAnsi="宋体" w:eastAsia="宋体" w:cs="宋体"/>
          <w:strike/>
          <w:color w:val="auto"/>
          <w:highlight w:val="none"/>
        </w:rPr>
      </w:pPr>
      <w:bookmarkStart w:id="176" w:name="_Toc562"/>
      <w:bookmarkStart w:id="177" w:name="_Toc152042326"/>
      <w:bookmarkStart w:id="178" w:name="_Toc247513974"/>
      <w:bookmarkStart w:id="179" w:name="_Toc152045550"/>
      <w:bookmarkStart w:id="180" w:name="_Toc247527575"/>
      <w:bookmarkStart w:id="181" w:name="_Toc14731"/>
      <w:bookmarkStart w:id="182" w:name="_Toc144974518"/>
      <w:r>
        <w:rPr>
          <w:rFonts w:hint="eastAsia" w:ascii="宋体" w:hAnsi="宋体" w:eastAsia="宋体" w:cs="宋体"/>
          <w:strike/>
          <w:color w:val="auto"/>
          <w:highlight w:val="none"/>
        </w:rPr>
        <w:t>3.4 投标保证金</w:t>
      </w:r>
      <w:bookmarkEnd w:id="176"/>
      <w:bookmarkEnd w:id="177"/>
      <w:bookmarkEnd w:id="178"/>
      <w:bookmarkEnd w:id="179"/>
      <w:bookmarkEnd w:id="180"/>
      <w:bookmarkEnd w:id="181"/>
      <w:bookmarkEnd w:id="182"/>
    </w:p>
    <w:p w14:paraId="549F9CA9">
      <w:pPr>
        <w:shd w:val="clear"/>
        <w:spacing w:line="400" w:lineRule="exact"/>
        <w:ind w:firstLine="420" w:firstLineChars="200"/>
        <w:rPr>
          <w:rFonts w:hint="eastAsia" w:ascii="宋体" w:hAnsi="宋体" w:eastAsia="宋体" w:cs="宋体"/>
          <w:strike/>
          <w:color w:val="auto"/>
          <w:highlight w:val="none"/>
        </w:rPr>
      </w:pPr>
      <w:r>
        <w:rPr>
          <w:rFonts w:hint="eastAsia" w:ascii="宋体" w:hAnsi="宋体" w:eastAsia="宋体" w:cs="宋体"/>
          <w:strike/>
          <w:color w:val="auto"/>
          <w:highlight w:val="none"/>
        </w:rPr>
        <w:t xml:space="preserve">3.4.1 </w:t>
      </w:r>
      <w:r>
        <w:rPr>
          <w:rFonts w:hint="eastAsia" w:ascii="宋体" w:hAnsi="宋体" w:eastAsia="宋体" w:cs="宋体"/>
          <w:strike/>
          <w:color w:val="auto"/>
          <w:highlight w:val="none"/>
          <w:u w:val="single"/>
        </w:rPr>
        <w:t>投标人在投标截止时间前，应按投标人须知前附表规定的金额、形式递交投标保证金</w:t>
      </w:r>
      <w:r>
        <w:rPr>
          <w:rFonts w:hint="eastAsia" w:ascii="宋体" w:hAnsi="宋体" w:eastAsia="宋体" w:cs="宋体"/>
          <w:strike/>
          <w:color w:val="auto"/>
          <w:highlight w:val="none"/>
        </w:rPr>
        <w:t>，并作为其投标文件的组成部分。联合体投标的，其投标保证金由主办方递交，并应符合投标人须知前附表的规定。</w:t>
      </w:r>
    </w:p>
    <w:p w14:paraId="7F8F879E">
      <w:pPr>
        <w:shd w:val="clear"/>
        <w:spacing w:line="400" w:lineRule="exact"/>
        <w:ind w:firstLine="420" w:firstLineChars="200"/>
        <w:rPr>
          <w:rFonts w:hint="eastAsia" w:ascii="宋体" w:hAnsi="宋体" w:eastAsia="宋体" w:cs="宋体"/>
          <w:strike/>
          <w:color w:val="auto"/>
          <w:highlight w:val="none"/>
        </w:rPr>
      </w:pPr>
      <w:r>
        <w:rPr>
          <w:rFonts w:hint="eastAsia" w:ascii="宋体" w:hAnsi="宋体" w:eastAsia="宋体" w:cs="宋体"/>
          <w:strike/>
          <w:color w:val="auto"/>
          <w:highlight w:val="none"/>
        </w:rPr>
        <w:t>3.4.2 投标人不按本章第3.4.1项要求提交投标保证金的，评标委员会将否决其投标。</w:t>
      </w:r>
    </w:p>
    <w:p w14:paraId="2EEF24E1">
      <w:pPr>
        <w:shd w:val="clear"/>
        <w:spacing w:line="400" w:lineRule="exact"/>
        <w:ind w:firstLine="420" w:firstLineChars="200"/>
        <w:rPr>
          <w:rFonts w:hint="eastAsia" w:ascii="宋体" w:hAnsi="宋体" w:eastAsia="宋体" w:cs="宋体"/>
          <w:strike/>
          <w:color w:val="auto"/>
          <w:highlight w:val="none"/>
          <w:u w:val="single"/>
        </w:rPr>
      </w:pPr>
      <w:r>
        <w:rPr>
          <w:rFonts w:hint="eastAsia" w:ascii="宋体" w:hAnsi="宋体" w:eastAsia="宋体" w:cs="宋体"/>
          <w:strike/>
          <w:color w:val="auto"/>
          <w:highlight w:val="none"/>
          <w:u w:val="single"/>
        </w:rPr>
        <w:t>3.4.3未中标的投标人的投标保证金将尽快退还，最迟不超过招标人与中标人签定合同后的5个工作日。中标人的投标保证金，在签署合同并按要求提供了履约担保后予以退还。</w:t>
      </w:r>
    </w:p>
    <w:p w14:paraId="0D43F2AD">
      <w:pPr>
        <w:shd w:val="clear"/>
        <w:spacing w:line="400" w:lineRule="exact"/>
        <w:ind w:firstLine="420" w:firstLineChars="200"/>
        <w:rPr>
          <w:rFonts w:hint="eastAsia" w:ascii="宋体" w:hAnsi="宋体" w:eastAsia="宋体" w:cs="宋体"/>
          <w:strike/>
          <w:color w:val="auto"/>
          <w:highlight w:val="none"/>
        </w:rPr>
      </w:pPr>
      <w:r>
        <w:rPr>
          <w:rFonts w:hint="eastAsia" w:ascii="宋体" w:hAnsi="宋体" w:eastAsia="宋体" w:cs="宋体"/>
          <w:strike/>
          <w:color w:val="auto"/>
          <w:highlight w:val="none"/>
        </w:rPr>
        <w:t xml:space="preserve">3.4.4有下列情形之一的，投标保证金将不予退还： </w:t>
      </w:r>
    </w:p>
    <w:p w14:paraId="40C00301">
      <w:pPr>
        <w:pStyle w:val="21"/>
        <w:shd w:val="clear"/>
        <w:ind w:firstLine="420" w:firstLineChars="200"/>
        <w:rPr>
          <w:rFonts w:hint="eastAsia" w:ascii="宋体" w:hAnsi="宋体" w:eastAsia="宋体" w:cs="宋体"/>
          <w:strike/>
          <w:color w:val="auto"/>
          <w:highlight w:val="none"/>
          <w:u w:val="single"/>
        </w:rPr>
      </w:pPr>
      <w:bookmarkStart w:id="183" w:name="_Toc152045552"/>
      <w:bookmarkStart w:id="184" w:name="_Toc247513976"/>
      <w:bookmarkStart w:id="185" w:name="_Toc21104"/>
      <w:bookmarkStart w:id="186" w:name="_Toc247527577"/>
      <w:bookmarkStart w:id="187" w:name="_Toc152042328"/>
      <w:bookmarkStart w:id="188" w:name="_Toc144974520"/>
      <w:bookmarkStart w:id="189" w:name="_Toc29040"/>
      <w:r>
        <w:rPr>
          <w:rFonts w:hint="eastAsia" w:ascii="宋体" w:hAnsi="宋体" w:eastAsia="宋体" w:cs="宋体"/>
          <w:strike/>
          <w:color w:val="auto"/>
          <w:highlight w:val="none"/>
          <w:u w:val="single"/>
        </w:rPr>
        <w:t>（1）因投标人原因造成投标文件未解密的；</w:t>
      </w:r>
    </w:p>
    <w:p w14:paraId="68D3ACEB">
      <w:pPr>
        <w:pStyle w:val="21"/>
        <w:shd w:val="clear"/>
        <w:ind w:firstLine="420" w:firstLineChars="200"/>
        <w:rPr>
          <w:rFonts w:hint="eastAsia" w:ascii="宋体" w:hAnsi="宋体" w:eastAsia="宋体" w:cs="宋体"/>
          <w:strike/>
          <w:color w:val="auto"/>
          <w:highlight w:val="none"/>
          <w:u w:val="single"/>
        </w:rPr>
      </w:pPr>
      <w:r>
        <w:rPr>
          <w:rFonts w:hint="eastAsia" w:ascii="宋体" w:hAnsi="宋体" w:eastAsia="宋体" w:cs="宋体"/>
          <w:strike/>
          <w:color w:val="auto"/>
          <w:highlight w:val="none"/>
          <w:u w:val="single"/>
        </w:rPr>
        <w:t>（2）投标人在投标有效期内撤销投标文件；</w:t>
      </w:r>
    </w:p>
    <w:p w14:paraId="4576F298">
      <w:pPr>
        <w:pStyle w:val="21"/>
        <w:shd w:val="clear"/>
        <w:ind w:firstLine="420" w:firstLineChars="200"/>
        <w:rPr>
          <w:rFonts w:hint="eastAsia" w:ascii="宋体" w:hAnsi="宋体" w:eastAsia="宋体" w:cs="宋体"/>
          <w:strike/>
          <w:color w:val="auto"/>
          <w:highlight w:val="none"/>
          <w:u w:val="single"/>
        </w:rPr>
      </w:pPr>
      <w:r>
        <w:rPr>
          <w:rFonts w:hint="eastAsia" w:ascii="宋体" w:hAnsi="宋体" w:eastAsia="宋体" w:cs="宋体"/>
          <w:strike/>
          <w:color w:val="auto"/>
          <w:highlight w:val="none"/>
          <w:u w:val="single"/>
        </w:rPr>
        <w:t>（3）中标人未能在规定期限内按要求提交履约担保；</w:t>
      </w:r>
    </w:p>
    <w:p w14:paraId="0E7E8DCD">
      <w:pPr>
        <w:pStyle w:val="21"/>
        <w:shd w:val="clear"/>
        <w:ind w:firstLine="420" w:firstLineChars="200"/>
        <w:rPr>
          <w:rFonts w:hint="eastAsia" w:ascii="宋体" w:hAnsi="宋体" w:eastAsia="宋体" w:cs="宋体"/>
          <w:strike/>
          <w:color w:val="auto"/>
          <w:highlight w:val="none"/>
          <w:u w:val="single"/>
        </w:rPr>
      </w:pPr>
      <w:r>
        <w:rPr>
          <w:rFonts w:hint="eastAsia" w:ascii="宋体" w:hAnsi="宋体" w:eastAsia="宋体" w:cs="宋体"/>
          <w:strike/>
          <w:color w:val="auto"/>
          <w:highlight w:val="none"/>
          <w:u w:val="single"/>
        </w:rPr>
        <w:t>（4）中标人未能在规定期限内签署合同协议。</w:t>
      </w:r>
    </w:p>
    <w:p w14:paraId="49BF60CF">
      <w:pPr>
        <w:pStyle w:val="4"/>
        <w:shd w:val="clear"/>
        <w:rPr>
          <w:rFonts w:hint="eastAsia" w:ascii="宋体" w:hAnsi="宋体" w:eastAsia="宋体" w:cs="宋体"/>
          <w:color w:val="auto"/>
          <w:highlight w:val="none"/>
        </w:rPr>
      </w:pPr>
      <w:r>
        <w:rPr>
          <w:rFonts w:hint="eastAsia" w:ascii="宋体" w:hAnsi="宋体" w:eastAsia="宋体" w:cs="宋体"/>
          <w:color w:val="auto"/>
          <w:highlight w:val="none"/>
        </w:rPr>
        <w:t>3.5 资格审查资料（适用于未进行资格预审的）</w:t>
      </w:r>
      <w:bookmarkEnd w:id="183"/>
      <w:bookmarkEnd w:id="184"/>
      <w:bookmarkEnd w:id="185"/>
      <w:bookmarkEnd w:id="186"/>
      <w:bookmarkEnd w:id="187"/>
      <w:bookmarkEnd w:id="188"/>
      <w:bookmarkEnd w:id="189"/>
    </w:p>
    <w:p w14:paraId="6EA71C4C">
      <w:pPr>
        <w:shd w:val="clear"/>
        <w:spacing w:line="400" w:lineRule="exact"/>
        <w:ind w:firstLine="315" w:firstLineChars="150"/>
        <w:rPr>
          <w:rFonts w:hint="eastAsia" w:ascii="宋体" w:hAnsi="宋体" w:eastAsia="宋体" w:cs="宋体"/>
          <w:color w:val="auto"/>
          <w:highlight w:val="none"/>
          <w:u w:val="single"/>
        </w:rPr>
      </w:pPr>
      <w:bookmarkStart w:id="190" w:name="_Toc152045553"/>
      <w:bookmarkStart w:id="191" w:name="_Toc247513977"/>
      <w:bookmarkStart w:id="192" w:name="_Toc144974521"/>
      <w:bookmarkStart w:id="193" w:name="_Toc247527578"/>
      <w:bookmarkStart w:id="194" w:name="_Toc152042329"/>
      <w:r>
        <w:rPr>
          <w:rFonts w:hint="eastAsia" w:ascii="宋体" w:hAnsi="宋体" w:eastAsia="宋体" w:cs="宋体"/>
          <w:color w:val="auto"/>
          <w:highlight w:val="none"/>
          <w:u w:val="single"/>
        </w:rPr>
        <w:t>3.5.1本项目采用电子化资格后审，由评标委员会负责对投标人的资格进行审查，评标时只对通过资格审查的投标人进行下一阶段的评审。</w:t>
      </w:r>
    </w:p>
    <w:p w14:paraId="5AB788F7">
      <w:pPr>
        <w:shd w:val="clear"/>
        <w:spacing w:line="400" w:lineRule="exact"/>
        <w:ind w:firstLine="315" w:firstLineChars="15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3.5.2资审合格后，投标人的资格发生变化而不满足投标人合格条件，在发出中标通知书前，资格问题仍未解决的，招标人将取消其中标资格。</w:t>
      </w:r>
    </w:p>
    <w:p w14:paraId="7F469676">
      <w:pPr>
        <w:pStyle w:val="4"/>
        <w:shd w:val="clear"/>
        <w:rPr>
          <w:rFonts w:hint="eastAsia" w:ascii="宋体" w:hAnsi="宋体" w:eastAsia="宋体" w:cs="宋体"/>
          <w:color w:val="auto"/>
          <w:highlight w:val="none"/>
        </w:rPr>
      </w:pPr>
      <w:bookmarkStart w:id="195" w:name="_Toc9896"/>
      <w:bookmarkStart w:id="196" w:name="_Toc21817"/>
      <w:r>
        <w:rPr>
          <w:rFonts w:hint="eastAsia" w:ascii="宋体" w:hAnsi="宋体" w:eastAsia="宋体" w:cs="宋体"/>
          <w:color w:val="auto"/>
          <w:highlight w:val="none"/>
        </w:rPr>
        <w:t>3.6 备选投标方案</w:t>
      </w:r>
      <w:bookmarkEnd w:id="190"/>
      <w:bookmarkEnd w:id="191"/>
      <w:bookmarkEnd w:id="192"/>
      <w:bookmarkEnd w:id="193"/>
      <w:bookmarkEnd w:id="194"/>
      <w:bookmarkEnd w:id="195"/>
      <w:bookmarkEnd w:id="196"/>
    </w:p>
    <w:p w14:paraId="6B2E7E92">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除投标人须知前附表另有规定外，投标人不得递交备选投标方案。</w:t>
      </w:r>
    </w:p>
    <w:p w14:paraId="0BB69B1A">
      <w:pPr>
        <w:pStyle w:val="4"/>
        <w:shd w:val="clear"/>
        <w:rPr>
          <w:rFonts w:hint="eastAsia" w:ascii="宋体" w:hAnsi="宋体" w:eastAsia="宋体" w:cs="宋体"/>
          <w:color w:val="auto"/>
          <w:highlight w:val="none"/>
        </w:rPr>
      </w:pPr>
      <w:bookmarkStart w:id="197" w:name="_Toc247513978"/>
      <w:bookmarkStart w:id="198" w:name="_Toc247527579"/>
      <w:bookmarkStart w:id="199" w:name="_Toc25571"/>
      <w:bookmarkStart w:id="200" w:name="_Toc22621"/>
      <w:bookmarkStart w:id="201" w:name="_Toc152045554"/>
      <w:bookmarkStart w:id="202" w:name="_Toc144974522"/>
      <w:bookmarkStart w:id="203" w:name="_Toc152042330"/>
      <w:r>
        <w:rPr>
          <w:rFonts w:hint="eastAsia" w:ascii="宋体" w:hAnsi="宋体" w:eastAsia="宋体" w:cs="宋体"/>
          <w:color w:val="auto"/>
          <w:highlight w:val="none"/>
        </w:rPr>
        <w:t>3.7 投标文件的编制</w:t>
      </w:r>
      <w:bookmarkEnd w:id="197"/>
      <w:bookmarkEnd w:id="198"/>
      <w:bookmarkEnd w:id="199"/>
      <w:bookmarkEnd w:id="200"/>
      <w:bookmarkEnd w:id="201"/>
      <w:bookmarkEnd w:id="202"/>
      <w:bookmarkEnd w:id="203"/>
    </w:p>
    <w:p w14:paraId="7B549C99">
      <w:pPr>
        <w:shd w:val="clear"/>
        <w:spacing w:line="400" w:lineRule="exact"/>
        <w:ind w:firstLine="420" w:firstLineChars="200"/>
        <w:rPr>
          <w:rFonts w:hint="eastAsia" w:ascii="宋体" w:hAnsi="宋体" w:eastAsia="宋体" w:cs="宋体"/>
          <w:color w:val="auto"/>
          <w:highlight w:val="none"/>
        </w:rPr>
      </w:pPr>
      <w:bookmarkStart w:id="204" w:name="_Toc247513979"/>
      <w:bookmarkStart w:id="205" w:name="_Toc152045555"/>
      <w:bookmarkStart w:id="206" w:name="_Toc152042331"/>
      <w:bookmarkStart w:id="207" w:name="_Toc144974523"/>
      <w:bookmarkStart w:id="208" w:name="_Toc247527580"/>
      <w:r>
        <w:rPr>
          <w:rFonts w:hint="eastAsia" w:ascii="宋体" w:hAnsi="宋体" w:eastAsia="宋体" w:cs="宋体"/>
          <w:color w:val="auto"/>
          <w:highlight w:val="none"/>
        </w:rPr>
        <w:t xml:space="preserve">3.7.1 </w:t>
      </w:r>
      <w:r>
        <w:rPr>
          <w:rFonts w:hint="eastAsia" w:ascii="宋体" w:hAnsi="宋体" w:eastAsia="宋体" w:cs="宋体"/>
          <w:color w:val="auto"/>
          <w:highlight w:val="none"/>
          <w:u w:val="single"/>
        </w:rPr>
        <w:t>投标文件应按第七章“投标文件格式”进行编写，如有必要，可以增加附页，作为投标文件的组成部分。</w:t>
      </w:r>
    </w:p>
    <w:p w14:paraId="732D1E8A">
      <w:pPr>
        <w:shd w:val="clea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3.7.2 投标文件应当对招标文件有关</w:t>
      </w:r>
      <w:r>
        <w:rPr>
          <w:rFonts w:hint="eastAsia" w:ascii="宋体" w:hAnsi="宋体" w:eastAsia="宋体" w:cs="宋体"/>
          <w:color w:val="auto"/>
          <w:szCs w:val="21"/>
          <w:highlight w:val="none"/>
        </w:rPr>
        <w:t>招标范围、投标有效期、工期、质量标准、招标人要求等实质性内容作出响应。</w:t>
      </w:r>
    </w:p>
    <w:p w14:paraId="7016B85D">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3.7.3</w:t>
      </w:r>
      <w:r>
        <w:rPr>
          <w:rFonts w:hint="eastAsia" w:ascii="宋体" w:hAnsi="宋体" w:eastAsia="宋体" w:cs="宋体"/>
          <w:color w:val="auto"/>
          <w:highlight w:val="none"/>
          <w:u w:val="single"/>
        </w:rPr>
        <w:t>投标人采用单位数字证书，</w:t>
      </w:r>
      <w:r>
        <w:rPr>
          <w:rFonts w:hint="eastAsia" w:ascii="宋体" w:hAnsi="宋体" w:eastAsia="宋体" w:cs="宋体"/>
          <w:b/>
          <w:bCs/>
          <w:color w:val="auto"/>
          <w:highlight w:val="none"/>
          <w:u w:val="single"/>
        </w:rPr>
        <w:t>对投标文件</w:t>
      </w:r>
      <w:r>
        <w:rPr>
          <w:rFonts w:hint="eastAsia" w:ascii="宋体" w:hAnsi="宋体" w:eastAsia="宋体" w:cs="宋体"/>
          <w:color w:val="auto"/>
          <w:highlight w:val="none"/>
          <w:u w:val="single"/>
        </w:rPr>
        <w:t>加盖电子印章。投标文件中需个人签字或盖章的，应加盖个人电子印章或在线下完成后扫描上传。按照广州交易集团有限公司（广州公共资源交易中心）交易平台关于全流程电子化项目的相关指南进行操作。联合体投标的，除投标文件中的《联合体共同投标协议书》需联合体各方盖章、签字外，投标文件其他内容中的“投标人”、“声明企业”应填写联合体各方的单位全称，但由主办方盖章、签字即可。</w:t>
      </w:r>
    </w:p>
    <w:p w14:paraId="17038973">
      <w:pPr>
        <w:pStyle w:val="3"/>
        <w:shd w:val="clear"/>
        <w:rPr>
          <w:rFonts w:hint="eastAsia" w:ascii="宋体" w:hAnsi="宋体" w:eastAsia="宋体" w:cs="宋体"/>
          <w:color w:val="auto"/>
          <w:highlight w:val="none"/>
        </w:rPr>
      </w:pPr>
      <w:bookmarkStart w:id="209" w:name="_Toc13446"/>
      <w:bookmarkStart w:id="210" w:name="_Toc148"/>
      <w:r>
        <w:rPr>
          <w:rFonts w:hint="eastAsia" w:ascii="宋体" w:hAnsi="宋体" w:eastAsia="宋体" w:cs="宋体"/>
          <w:color w:val="auto"/>
          <w:highlight w:val="none"/>
        </w:rPr>
        <w:t>4. 投标</w:t>
      </w:r>
      <w:bookmarkEnd w:id="204"/>
      <w:bookmarkEnd w:id="205"/>
      <w:bookmarkEnd w:id="206"/>
      <w:bookmarkEnd w:id="207"/>
      <w:bookmarkEnd w:id="208"/>
      <w:bookmarkEnd w:id="209"/>
      <w:bookmarkEnd w:id="210"/>
    </w:p>
    <w:p w14:paraId="08D6AD43">
      <w:pPr>
        <w:pStyle w:val="4"/>
        <w:shd w:val="clear"/>
        <w:rPr>
          <w:rFonts w:hint="eastAsia" w:ascii="宋体" w:hAnsi="宋体" w:eastAsia="宋体" w:cs="宋体"/>
          <w:color w:val="auto"/>
          <w:highlight w:val="none"/>
        </w:rPr>
      </w:pPr>
      <w:bookmarkStart w:id="211" w:name="_Toc247527581"/>
      <w:bookmarkStart w:id="212" w:name="_Toc152045556"/>
      <w:bookmarkStart w:id="213" w:name="_Toc152042332"/>
      <w:bookmarkStart w:id="214" w:name="_Toc18344"/>
      <w:bookmarkStart w:id="215" w:name="_Toc247513980"/>
      <w:bookmarkStart w:id="216" w:name="_Toc31640"/>
      <w:bookmarkStart w:id="217" w:name="_Toc144974524"/>
      <w:r>
        <w:rPr>
          <w:rFonts w:hint="eastAsia" w:ascii="宋体" w:hAnsi="宋体" w:eastAsia="宋体" w:cs="宋体"/>
          <w:color w:val="auto"/>
          <w:highlight w:val="none"/>
        </w:rPr>
        <w:t>4.1 投标文件的密封和标记</w:t>
      </w:r>
      <w:bookmarkEnd w:id="211"/>
      <w:bookmarkEnd w:id="212"/>
      <w:bookmarkEnd w:id="213"/>
      <w:bookmarkEnd w:id="214"/>
      <w:bookmarkEnd w:id="215"/>
      <w:bookmarkEnd w:id="216"/>
      <w:bookmarkEnd w:id="217"/>
    </w:p>
    <w:p w14:paraId="0AA89CC4">
      <w:pPr>
        <w:shd w:val="clear"/>
        <w:spacing w:line="400" w:lineRule="exact"/>
        <w:ind w:firstLine="420" w:firstLineChars="200"/>
        <w:rPr>
          <w:rFonts w:hint="eastAsia" w:ascii="宋体" w:hAnsi="宋体" w:eastAsia="宋体" w:cs="宋体"/>
          <w:color w:val="auto"/>
          <w:highlight w:val="none"/>
          <w:u w:val="single"/>
        </w:rPr>
      </w:pPr>
      <w:bookmarkStart w:id="218" w:name="_Toc152045557"/>
      <w:bookmarkStart w:id="219" w:name="_Toc152042333"/>
      <w:bookmarkStart w:id="220" w:name="_Toc144974525"/>
      <w:bookmarkStart w:id="221" w:name="_Toc247513981"/>
      <w:bookmarkStart w:id="222" w:name="_Toc247527582"/>
      <w:r>
        <w:rPr>
          <w:rFonts w:hint="eastAsia" w:ascii="宋体" w:hAnsi="宋体" w:eastAsia="宋体" w:cs="宋体"/>
          <w:color w:val="auto"/>
          <w:highlight w:val="none"/>
          <w:u w:val="single"/>
        </w:rPr>
        <w:t>4.1.1</w:t>
      </w:r>
      <w:r>
        <w:rPr>
          <w:rFonts w:hint="eastAsia" w:ascii="宋体" w:hAnsi="宋体" w:eastAsia="宋体" w:cs="宋体"/>
          <w:color w:val="auto"/>
          <w:szCs w:val="21"/>
          <w:highlight w:val="none"/>
          <w:u w:val="single"/>
        </w:rPr>
        <w:t>投</w:t>
      </w:r>
      <w:r>
        <w:rPr>
          <w:rFonts w:hint="eastAsia" w:ascii="宋体" w:hAnsi="宋体" w:eastAsia="宋体" w:cs="宋体"/>
          <w:color w:val="auto"/>
          <w:spacing w:val="-2"/>
          <w:szCs w:val="21"/>
          <w:highlight w:val="none"/>
          <w:u w:val="single"/>
        </w:rPr>
        <w:t>标</w:t>
      </w:r>
      <w:r>
        <w:rPr>
          <w:rFonts w:hint="eastAsia" w:ascii="宋体" w:hAnsi="宋体" w:eastAsia="宋体" w:cs="宋体"/>
          <w:color w:val="auto"/>
          <w:szCs w:val="21"/>
          <w:highlight w:val="none"/>
          <w:u w:val="single"/>
        </w:rPr>
        <w:t>人</w:t>
      </w:r>
      <w:r>
        <w:rPr>
          <w:rFonts w:hint="eastAsia" w:ascii="宋体" w:hAnsi="宋体" w:eastAsia="宋体" w:cs="宋体"/>
          <w:color w:val="auto"/>
          <w:spacing w:val="-2"/>
          <w:szCs w:val="21"/>
          <w:highlight w:val="none"/>
          <w:u w:val="single"/>
        </w:rPr>
        <w:t>应</w:t>
      </w:r>
      <w:r>
        <w:rPr>
          <w:rFonts w:hint="eastAsia" w:ascii="宋体" w:hAnsi="宋体" w:eastAsia="宋体" w:cs="宋体"/>
          <w:color w:val="auto"/>
          <w:szCs w:val="21"/>
          <w:highlight w:val="none"/>
          <w:u w:val="single"/>
        </w:rPr>
        <w:t>当</w:t>
      </w:r>
      <w:r>
        <w:rPr>
          <w:rFonts w:hint="eastAsia" w:ascii="宋体" w:hAnsi="宋体" w:eastAsia="宋体" w:cs="宋体"/>
          <w:color w:val="auto"/>
          <w:spacing w:val="-2"/>
          <w:szCs w:val="21"/>
          <w:highlight w:val="none"/>
          <w:u w:val="single"/>
        </w:rPr>
        <w:t>按</w:t>
      </w:r>
      <w:r>
        <w:rPr>
          <w:rFonts w:hint="eastAsia" w:ascii="宋体" w:hAnsi="宋体" w:eastAsia="宋体" w:cs="宋体"/>
          <w:color w:val="auto"/>
          <w:szCs w:val="21"/>
          <w:highlight w:val="none"/>
          <w:u w:val="single"/>
        </w:rPr>
        <w:t>照招</w:t>
      </w:r>
      <w:r>
        <w:rPr>
          <w:rFonts w:hint="eastAsia" w:ascii="宋体" w:hAnsi="宋体" w:eastAsia="宋体" w:cs="宋体"/>
          <w:color w:val="auto"/>
          <w:spacing w:val="-2"/>
          <w:szCs w:val="21"/>
          <w:highlight w:val="none"/>
          <w:u w:val="single"/>
        </w:rPr>
        <w:t>标</w:t>
      </w:r>
      <w:r>
        <w:rPr>
          <w:rFonts w:hint="eastAsia" w:ascii="宋体" w:hAnsi="宋体" w:eastAsia="宋体" w:cs="宋体"/>
          <w:color w:val="auto"/>
          <w:szCs w:val="21"/>
          <w:highlight w:val="none"/>
          <w:u w:val="single"/>
        </w:rPr>
        <w:t>文</w:t>
      </w:r>
      <w:r>
        <w:rPr>
          <w:rFonts w:hint="eastAsia" w:ascii="宋体" w:hAnsi="宋体" w:eastAsia="宋体" w:cs="宋体"/>
          <w:color w:val="auto"/>
          <w:spacing w:val="-2"/>
          <w:szCs w:val="21"/>
          <w:highlight w:val="none"/>
          <w:u w:val="single"/>
        </w:rPr>
        <w:t>件</w:t>
      </w:r>
      <w:r>
        <w:rPr>
          <w:rFonts w:hint="eastAsia" w:ascii="宋体" w:hAnsi="宋体" w:eastAsia="宋体" w:cs="宋体"/>
          <w:color w:val="auto"/>
          <w:szCs w:val="21"/>
          <w:highlight w:val="none"/>
          <w:u w:val="single"/>
        </w:rPr>
        <w:t>和</w:t>
      </w:r>
      <w:r>
        <w:rPr>
          <w:rFonts w:hint="eastAsia" w:ascii="宋体" w:hAnsi="宋体" w:eastAsia="宋体" w:cs="宋体"/>
          <w:color w:val="auto"/>
          <w:spacing w:val="-2"/>
          <w:szCs w:val="21"/>
          <w:highlight w:val="none"/>
          <w:u w:val="single"/>
        </w:rPr>
        <w:t>电</w:t>
      </w:r>
      <w:r>
        <w:rPr>
          <w:rFonts w:hint="eastAsia" w:ascii="宋体" w:hAnsi="宋体" w:eastAsia="宋体" w:cs="宋体"/>
          <w:color w:val="auto"/>
          <w:szCs w:val="21"/>
          <w:highlight w:val="none"/>
          <w:u w:val="single"/>
        </w:rPr>
        <w:t>子</w:t>
      </w:r>
      <w:r>
        <w:rPr>
          <w:rFonts w:hint="eastAsia" w:ascii="宋体" w:hAnsi="宋体" w:eastAsia="宋体" w:cs="宋体"/>
          <w:color w:val="auto"/>
          <w:spacing w:val="-2"/>
          <w:szCs w:val="21"/>
          <w:highlight w:val="none"/>
          <w:u w:val="single"/>
        </w:rPr>
        <w:t>招</w:t>
      </w:r>
      <w:r>
        <w:rPr>
          <w:rFonts w:hint="eastAsia" w:ascii="宋体" w:hAnsi="宋体" w:eastAsia="宋体" w:cs="宋体"/>
          <w:color w:val="auto"/>
          <w:szCs w:val="21"/>
          <w:highlight w:val="none"/>
          <w:u w:val="single"/>
        </w:rPr>
        <w:t>标</w:t>
      </w:r>
      <w:r>
        <w:rPr>
          <w:rFonts w:hint="eastAsia" w:ascii="宋体" w:hAnsi="宋体" w:eastAsia="宋体" w:cs="宋体"/>
          <w:color w:val="auto"/>
          <w:spacing w:val="-2"/>
          <w:szCs w:val="21"/>
          <w:highlight w:val="none"/>
          <w:u w:val="single"/>
        </w:rPr>
        <w:t>投</w:t>
      </w:r>
      <w:r>
        <w:rPr>
          <w:rFonts w:hint="eastAsia" w:ascii="宋体" w:hAnsi="宋体" w:eastAsia="宋体" w:cs="宋体"/>
          <w:color w:val="auto"/>
          <w:szCs w:val="21"/>
          <w:highlight w:val="none"/>
          <w:u w:val="single"/>
        </w:rPr>
        <w:t>标交</w:t>
      </w:r>
      <w:r>
        <w:rPr>
          <w:rFonts w:hint="eastAsia" w:ascii="宋体" w:hAnsi="宋体" w:eastAsia="宋体" w:cs="宋体"/>
          <w:color w:val="auto"/>
          <w:spacing w:val="-2"/>
          <w:szCs w:val="21"/>
          <w:highlight w:val="none"/>
          <w:u w:val="single"/>
        </w:rPr>
        <w:t>易</w:t>
      </w:r>
      <w:r>
        <w:rPr>
          <w:rFonts w:hint="eastAsia" w:ascii="宋体" w:hAnsi="宋体" w:eastAsia="宋体" w:cs="宋体"/>
          <w:color w:val="auto"/>
          <w:szCs w:val="21"/>
          <w:highlight w:val="none"/>
          <w:u w:val="single"/>
        </w:rPr>
        <w:t>平</w:t>
      </w:r>
      <w:r>
        <w:rPr>
          <w:rFonts w:hint="eastAsia" w:ascii="宋体" w:hAnsi="宋体" w:eastAsia="宋体" w:cs="宋体"/>
          <w:color w:val="auto"/>
          <w:spacing w:val="-2"/>
          <w:szCs w:val="21"/>
          <w:highlight w:val="none"/>
          <w:u w:val="single"/>
        </w:rPr>
        <w:t>台</w:t>
      </w:r>
      <w:r>
        <w:rPr>
          <w:rFonts w:hint="eastAsia" w:ascii="宋体" w:hAnsi="宋体" w:eastAsia="宋体" w:cs="宋体"/>
          <w:color w:val="auto"/>
          <w:szCs w:val="21"/>
          <w:highlight w:val="none"/>
          <w:u w:val="single"/>
        </w:rPr>
        <w:t>的</w:t>
      </w:r>
      <w:r>
        <w:rPr>
          <w:rFonts w:hint="eastAsia" w:ascii="宋体" w:hAnsi="宋体" w:eastAsia="宋体" w:cs="宋体"/>
          <w:color w:val="auto"/>
          <w:spacing w:val="-2"/>
          <w:szCs w:val="21"/>
          <w:highlight w:val="none"/>
          <w:u w:val="single"/>
        </w:rPr>
        <w:t>要</w:t>
      </w:r>
      <w:r>
        <w:rPr>
          <w:rFonts w:hint="eastAsia" w:ascii="宋体" w:hAnsi="宋体" w:eastAsia="宋体" w:cs="宋体"/>
          <w:color w:val="auto"/>
          <w:szCs w:val="21"/>
          <w:highlight w:val="none"/>
          <w:u w:val="single"/>
        </w:rPr>
        <w:t>求</w:t>
      </w:r>
      <w:r>
        <w:rPr>
          <w:rFonts w:hint="eastAsia" w:ascii="宋体" w:hAnsi="宋体" w:eastAsia="宋体" w:cs="宋体"/>
          <w:color w:val="auto"/>
          <w:spacing w:val="-2"/>
          <w:szCs w:val="21"/>
          <w:highlight w:val="none"/>
          <w:u w:val="single"/>
        </w:rPr>
        <w:t>加</w:t>
      </w:r>
      <w:r>
        <w:rPr>
          <w:rFonts w:hint="eastAsia" w:ascii="宋体" w:hAnsi="宋体" w:eastAsia="宋体" w:cs="宋体"/>
          <w:color w:val="auto"/>
          <w:szCs w:val="21"/>
          <w:highlight w:val="none"/>
          <w:u w:val="single"/>
        </w:rPr>
        <w:t>密</w:t>
      </w:r>
      <w:r>
        <w:rPr>
          <w:rFonts w:hint="eastAsia" w:ascii="宋体" w:hAnsi="宋体" w:eastAsia="宋体" w:cs="宋体"/>
          <w:color w:val="auto"/>
          <w:spacing w:val="-2"/>
          <w:szCs w:val="21"/>
          <w:highlight w:val="none"/>
          <w:u w:val="single"/>
        </w:rPr>
        <w:t>投</w:t>
      </w:r>
      <w:r>
        <w:rPr>
          <w:rFonts w:hint="eastAsia" w:ascii="宋体" w:hAnsi="宋体" w:eastAsia="宋体" w:cs="宋体"/>
          <w:color w:val="auto"/>
          <w:szCs w:val="21"/>
          <w:highlight w:val="none"/>
          <w:u w:val="single"/>
        </w:rPr>
        <w:t>标文</w:t>
      </w:r>
      <w:r>
        <w:rPr>
          <w:rFonts w:hint="eastAsia" w:ascii="宋体" w:hAnsi="宋体" w:eastAsia="宋体" w:cs="宋体"/>
          <w:color w:val="auto"/>
          <w:spacing w:val="-2"/>
          <w:szCs w:val="21"/>
          <w:highlight w:val="none"/>
          <w:u w:val="single"/>
        </w:rPr>
        <w:t>件，</w:t>
      </w:r>
      <w:r>
        <w:rPr>
          <w:rFonts w:hint="eastAsia" w:ascii="宋体" w:hAnsi="宋体" w:eastAsia="宋体" w:cs="宋体"/>
          <w:color w:val="auto"/>
          <w:szCs w:val="21"/>
          <w:highlight w:val="none"/>
        </w:rPr>
        <w:t>具</w:t>
      </w:r>
      <w:r>
        <w:rPr>
          <w:rFonts w:hint="eastAsia" w:ascii="宋体" w:hAnsi="宋体" w:eastAsia="宋体" w:cs="宋体"/>
          <w:color w:val="auto"/>
          <w:szCs w:val="21"/>
          <w:highlight w:val="none"/>
          <w:u w:val="single"/>
        </w:rPr>
        <w:t>体操作详见广州交易集团有限公司（广州公共资源交易中心）网站发布的最新版操作指引。</w:t>
      </w:r>
    </w:p>
    <w:p w14:paraId="6598BB3B">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4.1.2投标文件封套上应写明的内容见投标人须知前附表。</w:t>
      </w:r>
    </w:p>
    <w:p w14:paraId="4B964A30">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4.1.3未按本章第4.1.1项或第4.1.2项要求密封和加写标记的投标文件，招标人不予受理。</w:t>
      </w:r>
    </w:p>
    <w:p w14:paraId="5E5A9DF0">
      <w:pPr>
        <w:pStyle w:val="4"/>
        <w:shd w:val="clear"/>
        <w:rPr>
          <w:rFonts w:hint="eastAsia" w:ascii="宋体" w:hAnsi="宋体" w:eastAsia="宋体" w:cs="宋体"/>
          <w:color w:val="auto"/>
          <w:highlight w:val="none"/>
        </w:rPr>
      </w:pPr>
      <w:bookmarkStart w:id="223" w:name="_Toc27773"/>
      <w:bookmarkStart w:id="224" w:name="_Toc20052"/>
      <w:r>
        <w:rPr>
          <w:rFonts w:hint="eastAsia" w:ascii="宋体" w:hAnsi="宋体" w:eastAsia="宋体" w:cs="宋体"/>
          <w:color w:val="auto"/>
          <w:highlight w:val="none"/>
        </w:rPr>
        <w:t>4.2 投标文件的递交</w:t>
      </w:r>
      <w:bookmarkEnd w:id="218"/>
      <w:bookmarkEnd w:id="219"/>
      <w:bookmarkEnd w:id="220"/>
      <w:bookmarkEnd w:id="221"/>
      <w:bookmarkEnd w:id="222"/>
      <w:bookmarkEnd w:id="223"/>
      <w:bookmarkEnd w:id="224"/>
    </w:p>
    <w:p w14:paraId="4C834CAA">
      <w:pPr>
        <w:shd w:val="clear"/>
        <w:spacing w:line="400" w:lineRule="exact"/>
        <w:ind w:firstLine="420" w:firstLineChars="200"/>
        <w:rPr>
          <w:rFonts w:hint="eastAsia" w:ascii="宋体" w:hAnsi="宋体" w:eastAsia="宋体" w:cs="宋体"/>
          <w:color w:val="auto"/>
          <w:highlight w:val="none"/>
        </w:rPr>
      </w:pPr>
      <w:bookmarkStart w:id="225" w:name="_Toc152042334"/>
      <w:bookmarkStart w:id="226" w:name="_Toc247513982"/>
      <w:bookmarkStart w:id="227" w:name="_Toc152045558"/>
      <w:bookmarkStart w:id="228" w:name="_Toc144974526"/>
      <w:bookmarkStart w:id="229" w:name="_Toc247527583"/>
      <w:r>
        <w:rPr>
          <w:rFonts w:hint="eastAsia" w:ascii="宋体" w:hAnsi="宋体" w:eastAsia="宋体" w:cs="宋体"/>
          <w:color w:val="auto"/>
          <w:highlight w:val="none"/>
        </w:rPr>
        <w:t>4.2.1投标人应在第2.2.2项规定的投标截止时间前递交投标文件。</w:t>
      </w:r>
    </w:p>
    <w:p w14:paraId="200AC47B">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4.2.2 投标人递交投标文件的地点：见投标人须知前附表。</w:t>
      </w:r>
    </w:p>
    <w:p w14:paraId="582E431F">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4.2.3 除投标人须知前附表另有规定外，投标人所递交的投标文件不予退还。</w:t>
      </w:r>
    </w:p>
    <w:p w14:paraId="791CC6F8">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4.2.4 </w:t>
      </w:r>
      <w:r>
        <w:rPr>
          <w:rFonts w:hint="eastAsia" w:ascii="宋体" w:hAnsi="宋体" w:eastAsia="宋体" w:cs="宋体"/>
          <w:color w:val="auto"/>
          <w:highlight w:val="none"/>
          <w:u w:val="single"/>
        </w:rPr>
        <w:t>投标人完成电子投标文件上传后，电子招标投标交易平台即时向投标人发出递交回执通知。递交时间以递交回执通知载明的传输完成时间为准。</w:t>
      </w:r>
    </w:p>
    <w:p w14:paraId="21103361">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4.2.5</w:t>
      </w:r>
      <w:r>
        <w:rPr>
          <w:rFonts w:hint="eastAsia" w:ascii="宋体" w:hAnsi="宋体" w:eastAsia="宋体" w:cs="宋体"/>
          <w:color w:val="auto"/>
          <w:spacing w:val="-2"/>
          <w:szCs w:val="21"/>
          <w:highlight w:val="none"/>
          <w:u w:val="single"/>
        </w:rPr>
        <w:t>逾</w:t>
      </w:r>
      <w:r>
        <w:rPr>
          <w:rFonts w:hint="eastAsia" w:ascii="宋体" w:hAnsi="宋体" w:eastAsia="宋体" w:cs="宋体"/>
          <w:color w:val="auto"/>
          <w:szCs w:val="21"/>
          <w:highlight w:val="none"/>
          <w:u w:val="single"/>
        </w:rPr>
        <w:t>期</w:t>
      </w:r>
      <w:r>
        <w:rPr>
          <w:rFonts w:hint="eastAsia" w:ascii="宋体" w:hAnsi="宋体" w:eastAsia="宋体" w:cs="宋体"/>
          <w:color w:val="auto"/>
          <w:spacing w:val="-2"/>
          <w:szCs w:val="21"/>
          <w:highlight w:val="none"/>
          <w:u w:val="single"/>
        </w:rPr>
        <w:t>送</w:t>
      </w:r>
      <w:r>
        <w:rPr>
          <w:rFonts w:hint="eastAsia" w:ascii="宋体" w:hAnsi="宋体" w:eastAsia="宋体" w:cs="宋体"/>
          <w:color w:val="auto"/>
          <w:szCs w:val="21"/>
          <w:highlight w:val="none"/>
          <w:u w:val="single"/>
        </w:rPr>
        <w:t>达</w:t>
      </w:r>
      <w:r>
        <w:rPr>
          <w:rFonts w:hint="eastAsia" w:ascii="宋体" w:hAnsi="宋体" w:eastAsia="宋体" w:cs="宋体"/>
          <w:color w:val="auto"/>
          <w:spacing w:val="-2"/>
          <w:szCs w:val="21"/>
          <w:highlight w:val="none"/>
          <w:u w:val="single"/>
        </w:rPr>
        <w:t>的投</w:t>
      </w:r>
      <w:r>
        <w:rPr>
          <w:rFonts w:hint="eastAsia" w:ascii="宋体" w:hAnsi="宋体" w:eastAsia="宋体" w:cs="宋体"/>
          <w:color w:val="auto"/>
          <w:szCs w:val="21"/>
          <w:highlight w:val="none"/>
          <w:u w:val="single"/>
        </w:rPr>
        <w:t>标文</w:t>
      </w:r>
      <w:r>
        <w:rPr>
          <w:rFonts w:hint="eastAsia" w:ascii="宋体" w:hAnsi="宋体" w:eastAsia="宋体" w:cs="宋体"/>
          <w:color w:val="auto"/>
          <w:spacing w:val="-2"/>
          <w:szCs w:val="21"/>
          <w:highlight w:val="none"/>
          <w:u w:val="single"/>
        </w:rPr>
        <w:t>件</w:t>
      </w:r>
      <w:r>
        <w:rPr>
          <w:rFonts w:hint="eastAsia" w:ascii="宋体" w:hAnsi="宋体" w:eastAsia="宋体" w:cs="宋体"/>
          <w:color w:val="auto"/>
          <w:szCs w:val="21"/>
          <w:highlight w:val="none"/>
          <w:u w:val="single"/>
        </w:rPr>
        <w:t>，</w:t>
      </w:r>
      <w:r>
        <w:rPr>
          <w:rFonts w:hint="eastAsia" w:ascii="宋体" w:hAnsi="宋体" w:eastAsia="宋体" w:cs="宋体"/>
          <w:color w:val="auto"/>
          <w:spacing w:val="-2"/>
          <w:szCs w:val="21"/>
          <w:highlight w:val="none"/>
          <w:u w:val="single"/>
        </w:rPr>
        <w:t>电</w:t>
      </w:r>
      <w:r>
        <w:rPr>
          <w:rFonts w:hint="eastAsia" w:ascii="宋体" w:hAnsi="宋体" w:eastAsia="宋体" w:cs="宋体"/>
          <w:color w:val="auto"/>
          <w:szCs w:val="21"/>
          <w:highlight w:val="none"/>
          <w:u w:val="single"/>
        </w:rPr>
        <w:t>子</w:t>
      </w:r>
      <w:r>
        <w:rPr>
          <w:rFonts w:hint="eastAsia" w:ascii="宋体" w:hAnsi="宋体" w:eastAsia="宋体" w:cs="宋体"/>
          <w:color w:val="auto"/>
          <w:spacing w:val="-2"/>
          <w:szCs w:val="21"/>
          <w:highlight w:val="none"/>
          <w:u w:val="single"/>
        </w:rPr>
        <w:t>招</w:t>
      </w:r>
      <w:r>
        <w:rPr>
          <w:rFonts w:hint="eastAsia" w:ascii="宋体" w:hAnsi="宋体" w:eastAsia="宋体" w:cs="宋体"/>
          <w:color w:val="auto"/>
          <w:szCs w:val="21"/>
          <w:highlight w:val="none"/>
          <w:u w:val="single"/>
        </w:rPr>
        <w:t>标</w:t>
      </w:r>
      <w:r>
        <w:rPr>
          <w:rFonts w:hint="eastAsia" w:ascii="宋体" w:hAnsi="宋体" w:eastAsia="宋体" w:cs="宋体"/>
          <w:color w:val="auto"/>
          <w:spacing w:val="-2"/>
          <w:szCs w:val="21"/>
          <w:highlight w:val="none"/>
          <w:u w:val="single"/>
        </w:rPr>
        <w:t>投</w:t>
      </w:r>
      <w:r>
        <w:rPr>
          <w:rFonts w:hint="eastAsia" w:ascii="宋体" w:hAnsi="宋体" w:eastAsia="宋体" w:cs="宋体"/>
          <w:color w:val="auto"/>
          <w:szCs w:val="21"/>
          <w:highlight w:val="none"/>
          <w:u w:val="single"/>
        </w:rPr>
        <w:t>标</w:t>
      </w:r>
      <w:r>
        <w:rPr>
          <w:rFonts w:hint="eastAsia" w:ascii="宋体" w:hAnsi="宋体" w:eastAsia="宋体" w:cs="宋体"/>
          <w:color w:val="auto"/>
          <w:spacing w:val="-2"/>
          <w:szCs w:val="21"/>
          <w:highlight w:val="none"/>
          <w:u w:val="single"/>
        </w:rPr>
        <w:t>交</w:t>
      </w:r>
      <w:r>
        <w:rPr>
          <w:rFonts w:hint="eastAsia" w:ascii="宋体" w:hAnsi="宋体" w:eastAsia="宋体" w:cs="宋体"/>
          <w:color w:val="auto"/>
          <w:szCs w:val="21"/>
          <w:highlight w:val="none"/>
          <w:u w:val="single"/>
        </w:rPr>
        <w:t>易平</w:t>
      </w:r>
      <w:r>
        <w:rPr>
          <w:rFonts w:hint="eastAsia" w:ascii="宋体" w:hAnsi="宋体" w:eastAsia="宋体" w:cs="宋体"/>
          <w:color w:val="auto"/>
          <w:spacing w:val="-2"/>
          <w:szCs w:val="21"/>
          <w:highlight w:val="none"/>
          <w:u w:val="single"/>
        </w:rPr>
        <w:t>台</w:t>
      </w:r>
      <w:r>
        <w:rPr>
          <w:rFonts w:hint="eastAsia" w:ascii="宋体" w:hAnsi="宋体" w:eastAsia="宋体" w:cs="宋体"/>
          <w:color w:val="auto"/>
          <w:szCs w:val="21"/>
          <w:highlight w:val="none"/>
          <w:u w:val="single"/>
        </w:rPr>
        <w:t>将</w:t>
      </w:r>
      <w:r>
        <w:rPr>
          <w:rFonts w:hint="eastAsia" w:ascii="宋体" w:hAnsi="宋体" w:eastAsia="宋体" w:cs="宋体"/>
          <w:color w:val="auto"/>
          <w:spacing w:val="-2"/>
          <w:szCs w:val="21"/>
          <w:highlight w:val="none"/>
          <w:u w:val="single"/>
        </w:rPr>
        <w:t>予</w:t>
      </w:r>
      <w:r>
        <w:rPr>
          <w:rFonts w:hint="eastAsia" w:ascii="宋体" w:hAnsi="宋体" w:eastAsia="宋体" w:cs="宋体"/>
          <w:color w:val="auto"/>
          <w:szCs w:val="21"/>
          <w:highlight w:val="none"/>
          <w:u w:val="single"/>
        </w:rPr>
        <w:t>以</w:t>
      </w:r>
      <w:r>
        <w:rPr>
          <w:rFonts w:hint="eastAsia" w:ascii="宋体" w:hAnsi="宋体" w:eastAsia="宋体" w:cs="宋体"/>
          <w:color w:val="auto"/>
          <w:spacing w:val="-2"/>
          <w:szCs w:val="21"/>
          <w:highlight w:val="none"/>
          <w:u w:val="single"/>
        </w:rPr>
        <w:t>拒</w:t>
      </w:r>
      <w:r>
        <w:rPr>
          <w:rFonts w:hint="eastAsia" w:ascii="宋体" w:hAnsi="宋体" w:eastAsia="宋体" w:cs="宋体"/>
          <w:color w:val="auto"/>
          <w:szCs w:val="21"/>
          <w:highlight w:val="none"/>
          <w:u w:val="single"/>
        </w:rPr>
        <w:t>收</w:t>
      </w:r>
      <w:r>
        <w:rPr>
          <w:rFonts w:hint="eastAsia" w:ascii="宋体" w:hAnsi="宋体" w:eastAsia="宋体" w:cs="宋体"/>
          <w:color w:val="auto"/>
          <w:highlight w:val="none"/>
        </w:rPr>
        <w:t>。</w:t>
      </w:r>
    </w:p>
    <w:p w14:paraId="0C469F61">
      <w:pPr>
        <w:pStyle w:val="4"/>
        <w:shd w:val="clear"/>
        <w:rPr>
          <w:rFonts w:hint="eastAsia" w:ascii="宋体" w:hAnsi="宋体" w:eastAsia="宋体" w:cs="宋体"/>
          <w:color w:val="auto"/>
          <w:highlight w:val="none"/>
        </w:rPr>
      </w:pPr>
      <w:bookmarkStart w:id="230" w:name="_Toc19593"/>
      <w:bookmarkStart w:id="231" w:name="_Toc32044"/>
      <w:r>
        <w:rPr>
          <w:rFonts w:hint="eastAsia" w:ascii="宋体" w:hAnsi="宋体" w:eastAsia="宋体" w:cs="宋体"/>
          <w:color w:val="auto"/>
          <w:highlight w:val="none"/>
        </w:rPr>
        <w:t>4.3 投标文件的修改与撤回</w:t>
      </w:r>
      <w:bookmarkEnd w:id="225"/>
      <w:bookmarkEnd w:id="226"/>
      <w:bookmarkEnd w:id="227"/>
      <w:bookmarkEnd w:id="228"/>
      <w:bookmarkEnd w:id="229"/>
      <w:bookmarkEnd w:id="230"/>
      <w:bookmarkEnd w:id="231"/>
    </w:p>
    <w:p w14:paraId="0821479B">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4.3.1 在规定的投标截止时间前，投标人可以修改或撤回已递交的投标文件，但应以书面形式通知招标人。</w:t>
      </w:r>
    </w:p>
    <w:p w14:paraId="40C8B035">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4.3.2 投标人修改或撤回已递交投标文件的书面通知应按照本章第3.7.3项的要求签字或盖章。招标人收到书面通知后，向投标人出具签收凭证。</w:t>
      </w:r>
    </w:p>
    <w:p w14:paraId="7ECC7BCA">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4.3.3 修改的内容为投标文件的组成部分。修改的投标文件应按照本章第3条、第4条规定进行编制、密封、标记和递交，并标明“修改”字样。</w:t>
      </w:r>
    </w:p>
    <w:p w14:paraId="5021037E">
      <w:pPr>
        <w:pStyle w:val="3"/>
        <w:shd w:val="clear"/>
        <w:rPr>
          <w:rFonts w:hint="eastAsia" w:ascii="宋体" w:hAnsi="宋体" w:eastAsia="宋体" w:cs="宋体"/>
          <w:color w:val="auto"/>
          <w:highlight w:val="none"/>
        </w:rPr>
      </w:pPr>
      <w:bookmarkStart w:id="232" w:name="_Toc25580"/>
      <w:bookmarkStart w:id="233" w:name="_Toc152042335"/>
      <w:bookmarkStart w:id="234" w:name="_Toc144974527"/>
      <w:bookmarkStart w:id="235" w:name="_Toc17781"/>
      <w:bookmarkStart w:id="236" w:name="_Toc152045559"/>
      <w:bookmarkStart w:id="237" w:name="_Toc247527584"/>
      <w:bookmarkStart w:id="238" w:name="_Toc247513983"/>
      <w:r>
        <w:rPr>
          <w:rFonts w:hint="eastAsia" w:ascii="宋体" w:hAnsi="宋体" w:eastAsia="宋体" w:cs="宋体"/>
          <w:color w:val="auto"/>
          <w:highlight w:val="none"/>
        </w:rPr>
        <w:t>5. 开标</w:t>
      </w:r>
      <w:bookmarkEnd w:id="232"/>
      <w:bookmarkEnd w:id="233"/>
      <w:bookmarkEnd w:id="234"/>
      <w:bookmarkEnd w:id="235"/>
      <w:bookmarkEnd w:id="236"/>
      <w:bookmarkEnd w:id="237"/>
      <w:bookmarkEnd w:id="238"/>
    </w:p>
    <w:p w14:paraId="6A161EAF">
      <w:pPr>
        <w:pStyle w:val="4"/>
        <w:shd w:val="clear"/>
        <w:rPr>
          <w:rFonts w:hint="eastAsia" w:ascii="宋体" w:hAnsi="宋体" w:eastAsia="宋体" w:cs="宋体"/>
          <w:color w:val="auto"/>
          <w:highlight w:val="none"/>
        </w:rPr>
      </w:pPr>
      <w:bookmarkStart w:id="239" w:name="_Toc20557"/>
      <w:bookmarkStart w:id="240" w:name="_Toc247527585"/>
      <w:bookmarkStart w:id="241" w:name="_Toc19889"/>
      <w:bookmarkStart w:id="242" w:name="_Toc247513984"/>
      <w:bookmarkStart w:id="243" w:name="_Toc152042336"/>
      <w:bookmarkStart w:id="244" w:name="_Toc152045560"/>
      <w:bookmarkStart w:id="245" w:name="_Toc144974528"/>
      <w:r>
        <w:rPr>
          <w:rFonts w:hint="eastAsia" w:ascii="宋体" w:hAnsi="宋体" w:eastAsia="宋体" w:cs="宋体"/>
          <w:color w:val="auto"/>
          <w:highlight w:val="none"/>
        </w:rPr>
        <w:t>5.1 开标时间和地点</w:t>
      </w:r>
      <w:bookmarkEnd w:id="239"/>
      <w:bookmarkEnd w:id="240"/>
      <w:bookmarkEnd w:id="241"/>
      <w:bookmarkEnd w:id="242"/>
      <w:bookmarkEnd w:id="243"/>
      <w:bookmarkEnd w:id="244"/>
      <w:bookmarkEnd w:id="245"/>
    </w:p>
    <w:p w14:paraId="0A39542E">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招标人在规定的投标截止时间（开标时间）和投标人须知前附表规定的地点公开开标，并邀请所有投标人的法定代表人或其委托代理人准时参加。</w:t>
      </w:r>
      <w:r>
        <w:rPr>
          <w:rFonts w:hint="eastAsia" w:ascii="宋体" w:hAnsi="宋体" w:eastAsia="宋体" w:cs="宋体"/>
          <w:color w:val="auto"/>
          <w:highlight w:val="none"/>
          <w:u w:val="single"/>
        </w:rPr>
        <w:t>若投标人不参加开标会的，其投标文件在开标现场的投标人（如有）、招标人代表（如有）、招标代理机构代表及交易中心代表见证下公开开启，并视同该投标人认可开标结果。</w:t>
      </w:r>
    </w:p>
    <w:p w14:paraId="089CEAFD">
      <w:pPr>
        <w:pStyle w:val="4"/>
        <w:shd w:val="clear"/>
        <w:rPr>
          <w:rFonts w:hint="eastAsia" w:ascii="宋体" w:hAnsi="宋体" w:eastAsia="宋体" w:cs="宋体"/>
          <w:color w:val="auto"/>
          <w:highlight w:val="none"/>
        </w:rPr>
      </w:pPr>
      <w:bookmarkStart w:id="246" w:name="_Toc144974529"/>
      <w:bookmarkStart w:id="247" w:name="_Toc247527586"/>
      <w:bookmarkStart w:id="248" w:name="_Toc247513985"/>
      <w:bookmarkStart w:id="249" w:name="_Toc3783"/>
      <w:bookmarkStart w:id="250" w:name="_Toc19617"/>
      <w:bookmarkStart w:id="251" w:name="_Toc152042337"/>
      <w:bookmarkStart w:id="252" w:name="_Toc152045561"/>
      <w:r>
        <w:rPr>
          <w:rFonts w:hint="eastAsia" w:ascii="宋体" w:hAnsi="宋体" w:eastAsia="宋体" w:cs="宋体"/>
          <w:color w:val="auto"/>
          <w:highlight w:val="none"/>
        </w:rPr>
        <w:t>5.2 开标程序</w:t>
      </w:r>
      <w:bookmarkEnd w:id="246"/>
      <w:bookmarkEnd w:id="247"/>
      <w:bookmarkEnd w:id="248"/>
      <w:bookmarkEnd w:id="249"/>
      <w:bookmarkEnd w:id="250"/>
      <w:bookmarkEnd w:id="251"/>
      <w:bookmarkEnd w:id="252"/>
    </w:p>
    <w:p w14:paraId="5085ABA3">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u w:val="single"/>
        </w:rPr>
        <w:t>主持人按下列程序进行开标：按“投标人须知前附表”第5.2条。</w:t>
      </w:r>
    </w:p>
    <w:p w14:paraId="2EBF4502">
      <w:pPr>
        <w:pStyle w:val="4"/>
        <w:shd w:val="clear"/>
        <w:rPr>
          <w:rFonts w:hint="eastAsia" w:ascii="宋体" w:hAnsi="宋体" w:eastAsia="宋体" w:cs="宋体"/>
          <w:color w:val="auto"/>
          <w:highlight w:val="none"/>
        </w:rPr>
      </w:pPr>
      <w:bookmarkStart w:id="253" w:name="_Toc26944"/>
      <w:bookmarkStart w:id="254" w:name="_Toc26051"/>
      <w:r>
        <w:rPr>
          <w:rFonts w:hint="eastAsia" w:ascii="宋体" w:hAnsi="宋体" w:eastAsia="宋体" w:cs="宋体"/>
          <w:color w:val="auto"/>
          <w:highlight w:val="none"/>
        </w:rPr>
        <w:t>5.3 开标异议</w:t>
      </w:r>
      <w:bookmarkEnd w:id="253"/>
      <w:bookmarkEnd w:id="254"/>
    </w:p>
    <w:p w14:paraId="709DF839">
      <w:pPr>
        <w:shd w:val="clea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投标人对开标有异议的，应当在</w:t>
      </w:r>
      <w:r>
        <w:rPr>
          <w:rFonts w:hint="eastAsia" w:ascii="宋体" w:hAnsi="宋体" w:eastAsia="宋体" w:cs="宋体"/>
          <w:color w:val="auto"/>
          <w:highlight w:val="none"/>
          <w:u w:val="single"/>
        </w:rPr>
        <w:t>交易平台规定的时间内或开标现场</w:t>
      </w:r>
      <w:r>
        <w:rPr>
          <w:rFonts w:hint="eastAsia" w:ascii="宋体" w:hAnsi="宋体" w:eastAsia="宋体" w:cs="宋体"/>
          <w:color w:val="auto"/>
          <w:highlight w:val="none"/>
        </w:rPr>
        <w:t>提出，招标人当场作出答复，并制作记录。</w:t>
      </w:r>
    </w:p>
    <w:p w14:paraId="43DE7A07">
      <w:pPr>
        <w:pStyle w:val="3"/>
        <w:shd w:val="clear"/>
        <w:rPr>
          <w:rFonts w:hint="eastAsia" w:ascii="宋体" w:hAnsi="宋体" w:eastAsia="宋体" w:cs="宋体"/>
          <w:color w:val="auto"/>
          <w:highlight w:val="none"/>
        </w:rPr>
      </w:pPr>
      <w:bookmarkStart w:id="255" w:name="_Toc152045562"/>
      <w:bookmarkStart w:id="256" w:name="_Toc144974530"/>
      <w:bookmarkStart w:id="257" w:name="_Toc247513986"/>
      <w:bookmarkStart w:id="258" w:name="_Toc247527587"/>
      <w:bookmarkStart w:id="259" w:name="_Toc26114"/>
      <w:bookmarkStart w:id="260" w:name="_Toc4553"/>
      <w:bookmarkStart w:id="261" w:name="_Toc152042338"/>
      <w:r>
        <w:rPr>
          <w:rFonts w:hint="eastAsia" w:ascii="宋体" w:hAnsi="宋体" w:eastAsia="宋体" w:cs="宋体"/>
          <w:color w:val="auto"/>
          <w:highlight w:val="none"/>
        </w:rPr>
        <w:t>6. 评标</w:t>
      </w:r>
      <w:bookmarkEnd w:id="255"/>
      <w:bookmarkEnd w:id="256"/>
      <w:bookmarkEnd w:id="257"/>
      <w:bookmarkEnd w:id="258"/>
      <w:bookmarkEnd w:id="259"/>
      <w:bookmarkEnd w:id="260"/>
      <w:bookmarkEnd w:id="261"/>
    </w:p>
    <w:p w14:paraId="69CF16F2">
      <w:pPr>
        <w:pStyle w:val="4"/>
        <w:shd w:val="clear"/>
        <w:rPr>
          <w:rFonts w:hint="eastAsia" w:ascii="宋体" w:hAnsi="宋体" w:eastAsia="宋体" w:cs="宋体"/>
          <w:color w:val="auto"/>
          <w:highlight w:val="none"/>
        </w:rPr>
      </w:pPr>
      <w:bookmarkStart w:id="262" w:name="_Toc15286"/>
      <w:bookmarkStart w:id="263" w:name="_Toc247513987"/>
      <w:bookmarkStart w:id="264" w:name="_Toc8592"/>
      <w:bookmarkStart w:id="265" w:name="_Toc144974531"/>
      <w:bookmarkStart w:id="266" w:name="_Toc152042339"/>
      <w:bookmarkStart w:id="267" w:name="_Toc247527588"/>
      <w:bookmarkStart w:id="268" w:name="_Toc152045563"/>
      <w:r>
        <w:rPr>
          <w:rFonts w:hint="eastAsia" w:ascii="宋体" w:hAnsi="宋体" w:eastAsia="宋体" w:cs="宋体"/>
          <w:color w:val="auto"/>
          <w:highlight w:val="none"/>
        </w:rPr>
        <w:t>6.1 评标委员会</w:t>
      </w:r>
      <w:bookmarkEnd w:id="262"/>
      <w:bookmarkEnd w:id="263"/>
      <w:bookmarkEnd w:id="264"/>
      <w:bookmarkEnd w:id="265"/>
      <w:bookmarkEnd w:id="266"/>
      <w:bookmarkEnd w:id="267"/>
      <w:bookmarkEnd w:id="268"/>
    </w:p>
    <w:p w14:paraId="2BA93895">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66DE2B17">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6.1.2 评标委员会成员有下列情形之一的，应当回避：</w:t>
      </w:r>
    </w:p>
    <w:p w14:paraId="1331322F">
      <w:pPr>
        <w:shd w:val="clear"/>
        <w:spacing w:line="400" w:lineRule="exact"/>
        <w:ind w:firstLine="718" w:firstLineChars="342"/>
        <w:rPr>
          <w:rFonts w:hint="eastAsia" w:ascii="宋体" w:hAnsi="宋体" w:eastAsia="宋体" w:cs="宋体"/>
          <w:color w:val="auto"/>
          <w:highlight w:val="none"/>
        </w:rPr>
      </w:pPr>
      <w:r>
        <w:rPr>
          <w:rFonts w:hint="eastAsia" w:ascii="宋体" w:hAnsi="宋体" w:eastAsia="宋体" w:cs="宋体"/>
          <w:color w:val="auto"/>
          <w:highlight w:val="none"/>
        </w:rPr>
        <w:t>（1）投标人或投标人主要负责人的近亲属；</w:t>
      </w:r>
    </w:p>
    <w:p w14:paraId="08BDA985">
      <w:pPr>
        <w:shd w:val="clear"/>
        <w:spacing w:line="400" w:lineRule="exact"/>
        <w:ind w:firstLine="718" w:firstLineChars="342"/>
        <w:rPr>
          <w:rFonts w:hint="eastAsia" w:ascii="宋体" w:hAnsi="宋体" w:eastAsia="宋体" w:cs="宋体"/>
          <w:color w:val="auto"/>
          <w:highlight w:val="none"/>
        </w:rPr>
      </w:pPr>
      <w:r>
        <w:rPr>
          <w:rFonts w:hint="eastAsia" w:ascii="宋体" w:hAnsi="宋体" w:eastAsia="宋体" w:cs="宋体"/>
          <w:color w:val="auto"/>
          <w:highlight w:val="none"/>
        </w:rPr>
        <w:t>（2）项目主管部门或者行政监督部门的人员；</w:t>
      </w:r>
    </w:p>
    <w:p w14:paraId="39A9FAE7">
      <w:pPr>
        <w:shd w:val="clear"/>
        <w:spacing w:line="400" w:lineRule="exact"/>
        <w:ind w:firstLine="718" w:firstLineChars="342"/>
        <w:rPr>
          <w:rFonts w:hint="eastAsia" w:ascii="宋体" w:hAnsi="宋体" w:eastAsia="宋体" w:cs="宋体"/>
          <w:color w:val="auto"/>
          <w:highlight w:val="none"/>
        </w:rPr>
      </w:pPr>
      <w:r>
        <w:rPr>
          <w:rFonts w:hint="eastAsia" w:ascii="宋体" w:hAnsi="宋体" w:eastAsia="宋体" w:cs="宋体"/>
          <w:color w:val="auto"/>
          <w:highlight w:val="none"/>
        </w:rPr>
        <w:t>（3）与投标人有经济利益关系，可能影响对投标公正评审的；</w:t>
      </w:r>
    </w:p>
    <w:p w14:paraId="791EE5C9">
      <w:pPr>
        <w:shd w:val="clear"/>
        <w:spacing w:line="400" w:lineRule="exact"/>
        <w:ind w:firstLine="718" w:firstLineChars="342"/>
        <w:rPr>
          <w:rFonts w:hint="eastAsia" w:ascii="宋体" w:hAnsi="宋体" w:eastAsia="宋体" w:cs="宋体"/>
          <w:color w:val="auto"/>
          <w:highlight w:val="none"/>
        </w:rPr>
      </w:pPr>
      <w:r>
        <w:rPr>
          <w:rFonts w:hint="eastAsia" w:ascii="宋体" w:hAnsi="宋体" w:eastAsia="宋体" w:cs="宋体"/>
          <w:color w:val="auto"/>
          <w:highlight w:val="none"/>
        </w:rPr>
        <w:t>（4）曾因在招标、评标以及其他与招标投标有关活动中从事违法行为而受过行政处罚或刑事处罚的；</w:t>
      </w:r>
    </w:p>
    <w:p w14:paraId="78203660">
      <w:pPr>
        <w:shd w:val="clear"/>
        <w:spacing w:line="400" w:lineRule="exact"/>
        <w:ind w:firstLine="718" w:firstLineChars="342"/>
        <w:rPr>
          <w:rFonts w:hint="eastAsia" w:ascii="宋体" w:hAnsi="宋体" w:eastAsia="宋体" w:cs="宋体"/>
          <w:color w:val="auto"/>
          <w:highlight w:val="none"/>
        </w:rPr>
      </w:pPr>
      <w:r>
        <w:rPr>
          <w:rFonts w:hint="eastAsia" w:ascii="宋体" w:hAnsi="宋体" w:eastAsia="宋体" w:cs="宋体"/>
          <w:color w:val="auto"/>
          <w:highlight w:val="none"/>
        </w:rPr>
        <w:t>（5）与投标人有其他利害关系。</w:t>
      </w:r>
    </w:p>
    <w:p w14:paraId="07166A0A">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6.1.3 评标委员会在开始评标前，应了解评标专家的职责及守则，认真阅读附件《评标委员会成员声明》的内容并签名，签名后方可进行评标。</w:t>
      </w:r>
    </w:p>
    <w:p w14:paraId="2D657FBA">
      <w:pPr>
        <w:shd w:val="clear"/>
        <w:spacing w:line="400" w:lineRule="exact"/>
        <w:ind w:firstLine="718" w:firstLineChars="342"/>
        <w:rPr>
          <w:rFonts w:hint="eastAsia" w:ascii="宋体" w:hAnsi="宋体" w:eastAsia="宋体" w:cs="宋体"/>
          <w:color w:val="auto"/>
          <w:highlight w:val="none"/>
        </w:rPr>
      </w:pPr>
    </w:p>
    <w:p w14:paraId="3E4A4000">
      <w:pPr>
        <w:pStyle w:val="4"/>
        <w:shd w:val="clear"/>
        <w:rPr>
          <w:rFonts w:hint="eastAsia" w:ascii="宋体" w:hAnsi="宋体" w:eastAsia="宋体" w:cs="宋体"/>
          <w:color w:val="auto"/>
          <w:highlight w:val="none"/>
        </w:rPr>
      </w:pPr>
      <w:bookmarkStart w:id="269" w:name="_Toc247527589"/>
      <w:bookmarkStart w:id="270" w:name="_Toc144974532"/>
      <w:bookmarkStart w:id="271" w:name="_Toc7258"/>
      <w:bookmarkStart w:id="272" w:name="_Toc152042340"/>
      <w:bookmarkStart w:id="273" w:name="_Toc12581"/>
      <w:bookmarkStart w:id="274" w:name="_Toc152045564"/>
      <w:bookmarkStart w:id="275" w:name="_Toc247513988"/>
      <w:r>
        <w:rPr>
          <w:rFonts w:hint="eastAsia" w:ascii="宋体" w:hAnsi="宋体" w:eastAsia="宋体" w:cs="宋体"/>
          <w:color w:val="auto"/>
          <w:highlight w:val="none"/>
        </w:rPr>
        <w:t>6.2 评标原则</w:t>
      </w:r>
      <w:bookmarkEnd w:id="269"/>
      <w:bookmarkEnd w:id="270"/>
      <w:bookmarkEnd w:id="271"/>
      <w:bookmarkEnd w:id="272"/>
      <w:bookmarkEnd w:id="273"/>
      <w:bookmarkEnd w:id="274"/>
      <w:bookmarkEnd w:id="275"/>
      <w:r>
        <w:rPr>
          <w:rFonts w:hint="eastAsia" w:ascii="宋体" w:hAnsi="宋体" w:eastAsia="宋体" w:cs="宋体"/>
          <w:color w:val="auto"/>
          <w:highlight w:val="none"/>
        </w:rPr>
        <w:tab/>
      </w:r>
    </w:p>
    <w:p w14:paraId="524B8A8A">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评标活动遵循公平、公正、科学和择优的原则。</w:t>
      </w:r>
    </w:p>
    <w:p w14:paraId="347A91C5">
      <w:pPr>
        <w:pStyle w:val="4"/>
        <w:shd w:val="clear"/>
        <w:rPr>
          <w:rFonts w:hint="eastAsia" w:ascii="宋体" w:hAnsi="宋体" w:eastAsia="宋体" w:cs="宋体"/>
          <w:color w:val="auto"/>
          <w:highlight w:val="none"/>
        </w:rPr>
      </w:pPr>
      <w:bookmarkStart w:id="276" w:name="_Toc6862"/>
      <w:bookmarkStart w:id="277" w:name="_Toc144974533"/>
      <w:bookmarkStart w:id="278" w:name="_Toc152045565"/>
      <w:bookmarkStart w:id="279" w:name="_Toc247513989"/>
      <w:bookmarkStart w:id="280" w:name="_Toc247527590"/>
      <w:bookmarkStart w:id="281" w:name="_Toc152042341"/>
      <w:bookmarkStart w:id="282" w:name="_Toc16289"/>
      <w:r>
        <w:rPr>
          <w:rFonts w:hint="eastAsia" w:ascii="宋体" w:hAnsi="宋体" w:eastAsia="宋体" w:cs="宋体"/>
          <w:color w:val="auto"/>
          <w:highlight w:val="none"/>
        </w:rPr>
        <w:t>6.3 评标</w:t>
      </w:r>
      <w:bookmarkEnd w:id="276"/>
      <w:bookmarkEnd w:id="277"/>
      <w:bookmarkEnd w:id="278"/>
      <w:bookmarkEnd w:id="279"/>
      <w:bookmarkEnd w:id="280"/>
      <w:bookmarkEnd w:id="281"/>
      <w:bookmarkEnd w:id="282"/>
    </w:p>
    <w:p w14:paraId="46C9BBD2">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评标委员会按照第三章“评标办法”规定的方法、评审因素、标准和程序对投标文件进行评审。第三章“评标办法”没有规定的方法、评审因素和标准，不作为评标依据。</w:t>
      </w:r>
    </w:p>
    <w:p w14:paraId="746DDFEF">
      <w:pPr>
        <w:pStyle w:val="3"/>
        <w:shd w:val="clear"/>
        <w:rPr>
          <w:rFonts w:hint="eastAsia" w:ascii="宋体" w:hAnsi="宋体" w:eastAsia="宋体" w:cs="宋体"/>
          <w:color w:val="auto"/>
          <w:highlight w:val="none"/>
        </w:rPr>
      </w:pPr>
      <w:bookmarkStart w:id="283" w:name="_Toc152042342"/>
      <w:bookmarkStart w:id="284" w:name="_Toc247527591"/>
      <w:bookmarkStart w:id="285" w:name="_Toc144974534"/>
      <w:bookmarkStart w:id="286" w:name="_Toc11622"/>
      <w:bookmarkStart w:id="287" w:name="_Toc152045566"/>
      <w:bookmarkStart w:id="288" w:name="_Toc247513990"/>
      <w:bookmarkStart w:id="289" w:name="_Toc11904"/>
      <w:r>
        <w:rPr>
          <w:rFonts w:hint="eastAsia" w:ascii="宋体" w:hAnsi="宋体" w:eastAsia="宋体" w:cs="宋体"/>
          <w:color w:val="auto"/>
          <w:highlight w:val="none"/>
        </w:rPr>
        <w:t>7. 合同授予</w:t>
      </w:r>
      <w:bookmarkEnd w:id="283"/>
      <w:bookmarkEnd w:id="284"/>
      <w:bookmarkEnd w:id="285"/>
      <w:bookmarkEnd w:id="286"/>
      <w:bookmarkEnd w:id="287"/>
      <w:bookmarkEnd w:id="288"/>
      <w:bookmarkEnd w:id="289"/>
    </w:p>
    <w:p w14:paraId="290426C8">
      <w:pPr>
        <w:pStyle w:val="4"/>
        <w:shd w:val="clear"/>
        <w:rPr>
          <w:rFonts w:hint="eastAsia" w:ascii="宋体" w:hAnsi="宋体" w:eastAsia="宋体" w:cs="宋体"/>
          <w:color w:val="auto"/>
          <w:highlight w:val="none"/>
        </w:rPr>
      </w:pPr>
      <w:bookmarkStart w:id="290" w:name="_Toc152045567"/>
      <w:bookmarkStart w:id="291" w:name="_Toc31858"/>
      <w:bookmarkStart w:id="292" w:name="_Toc247527592"/>
      <w:bookmarkStart w:id="293" w:name="_Toc7899"/>
      <w:bookmarkStart w:id="294" w:name="_Toc144974535"/>
      <w:bookmarkStart w:id="295" w:name="_Toc152042343"/>
      <w:bookmarkStart w:id="296" w:name="_Toc247513991"/>
      <w:r>
        <w:rPr>
          <w:rFonts w:hint="eastAsia" w:ascii="宋体" w:hAnsi="宋体" w:eastAsia="宋体" w:cs="宋体"/>
          <w:color w:val="auto"/>
          <w:highlight w:val="none"/>
        </w:rPr>
        <w:t>7.1 定标方式</w:t>
      </w:r>
      <w:bookmarkEnd w:id="290"/>
      <w:bookmarkEnd w:id="291"/>
      <w:bookmarkEnd w:id="292"/>
      <w:bookmarkEnd w:id="293"/>
      <w:bookmarkEnd w:id="294"/>
      <w:bookmarkEnd w:id="295"/>
      <w:bookmarkEnd w:id="296"/>
    </w:p>
    <w:p w14:paraId="2DC619AB">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7.1.1除投标人须知前附表规定评标委员会直接确定中标人外，招标人依据评标委员会推荐的中标候选人确定中标人，评标委员会推荐中标候选人的人数见投标人须知前附表。</w:t>
      </w:r>
    </w:p>
    <w:p w14:paraId="61134805">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7.1.2 依法必须进行公开招标的项目，招标人应当确定排名第一的中标候选人为中标人。</w:t>
      </w:r>
    </w:p>
    <w:p w14:paraId="4697C5CA">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7.1.3 排名第一的中标候选人放弃中标、或被取消中标资格，或因不可抗力提出不能履行合同，或者招标文件规定应当提交履约担保而在规定的期限内未能提交的，</w:t>
      </w:r>
      <w:r>
        <w:rPr>
          <w:rFonts w:hint="eastAsia" w:ascii="宋体" w:hAnsi="宋体" w:eastAsia="宋体" w:cs="宋体"/>
          <w:color w:val="auto"/>
          <w:szCs w:val="21"/>
          <w:highlight w:val="none"/>
          <w:u w:val="single"/>
        </w:rPr>
        <w:t>或者被查实存在影响中标结果的违法行为等情形，不符合中标条件的，</w:t>
      </w:r>
      <w:r>
        <w:rPr>
          <w:rFonts w:hint="eastAsia" w:ascii="宋体" w:hAnsi="宋体" w:eastAsia="宋体" w:cs="宋体"/>
          <w:color w:val="auto"/>
          <w:highlight w:val="none"/>
          <w:u w:val="single"/>
        </w:rPr>
        <w:t>招标人可以按照中标候选人顺序依次上升替补定标，以此类推，也可以重新招标。</w:t>
      </w:r>
    </w:p>
    <w:p w14:paraId="5F237BD7">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7.1.4 若本项目所有中标候选人都不能成为中标人，则本项目招标失败，招标人依法重新招标。</w:t>
      </w:r>
    </w:p>
    <w:p w14:paraId="37872060">
      <w:pPr>
        <w:pStyle w:val="4"/>
        <w:shd w:val="clear"/>
        <w:rPr>
          <w:rFonts w:hint="eastAsia" w:ascii="宋体" w:hAnsi="宋体" w:eastAsia="宋体" w:cs="宋体"/>
          <w:color w:val="auto"/>
          <w:highlight w:val="none"/>
        </w:rPr>
      </w:pPr>
      <w:bookmarkStart w:id="297" w:name="_Toc10439"/>
      <w:bookmarkStart w:id="298" w:name="_Toc13071"/>
      <w:r>
        <w:rPr>
          <w:rFonts w:hint="eastAsia" w:ascii="宋体" w:hAnsi="宋体" w:eastAsia="宋体" w:cs="宋体"/>
          <w:color w:val="auto"/>
          <w:highlight w:val="none"/>
        </w:rPr>
        <w:t>7.2 中标候选人公示</w:t>
      </w:r>
      <w:bookmarkEnd w:id="297"/>
      <w:bookmarkEnd w:id="298"/>
    </w:p>
    <w:p w14:paraId="2451D2AE">
      <w:pPr>
        <w:shd w:val="clear"/>
        <w:spacing w:line="400" w:lineRule="exact"/>
        <w:ind w:firstLine="420" w:firstLineChars="200"/>
        <w:rPr>
          <w:rFonts w:hint="eastAsia" w:ascii="宋体" w:hAnsi="宋体" w:eastAsia="宋体" w:cs="宋体"/>
          <w:color w:val="auto"/>
          <w:highlight w:val="none"/>
          <w:u w:val="single"/>
        </w:rPr>
      </w:pPr>
      <w:bookmarkStart w:id="299" w:name="_Toc152042344"/>
      <w:bookmarkStart w:id="300" w:name="_Toc144974536"/>
      <w:bookmarkStart w:id="301" w:name="_Toc152045568"/>
      <w:bookmarkStart w:id="302" w:name="_Toc247527593"/>
      <w:bookmarkStart w:id="303" w:name="_Toc247513992"/>
      <w:r>
        <w:rPr>
          <w:rFonts w:hint="eastAsia" w:ascii="宋体" w:hAnsi="宋体" w:eastAsia="宋体" w:cs="宋体"/>
          <w:color w:val="auto"/>
          <w:highlight w:val="none"/>
        </w:rPr>
        <w:t>招标人在投标人须知前附表规定的媒介公示中标候选人。</w:t>
      </w:r>
      <w:r>
        <w:rPr>
          <w:rFonts w:hint="eastAsia" w:ascii="宋体" w:hAnsi="宋体" w:eastAsia="宋体" w:cs="宋体"/>
          <w:color w:val="auto"/>
          <w:highlight w:val="none"/>
          <w:u w:val="single"/>
        </w:rPr>
        <w:t>公示时间为3天，公示期间的最后1天应当为工作日。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2C07CE56">
      <w:pPr>
        <w:pStyle w:val="4"/>
        <w:shd w:val="clear"/>
        <w:rPr>
          <w:rFonts w:hint="eastAsia" w:ascii="宋体" w:hAnsi="宋体" w:eastAsia="宋体" w:cs="宋体"/>
          <w:color w:val="auto"/>
          <w:highlight w:val="none"/>
        </w:rPr>
      </w:pPr>
      <w:bookmarkStart w:id="304" w:name="_Toc12824"/>
      <w:bookmarkStart w:id="305" w:name="_Toc3472"/>
      <w:r>
        <w:rPr>
          <w:rFonts w:hint="eastAsia" w:ascii="宋体" w:hAnsi="宋体" w:eastAsia="宋体" w:cs="宋体"/>
          <w:color w:val="auto"/>
          <w:highlight w:val="none"/>
        </w:rPr>
        <w:t>7.3 中标通知</w:t>
      </w:r>
      <w:bookmarkEnd w:id="299"/>
      <w:bookmarkEnd w:id="300"/>
      <w:bookmarkEnd w:id="301"/>
      <w:bookmarkEnd w:id="302"/>
      <w:bookmarkEnd w:id="303"/>
      <w:bookmarkEnd w:id="304"/>
      <w:bookmarkEnd w:id="305"/>
    </w:p>
    <w:p w14:paraId="618C7014">
      <w:pPr>
        <w:shd w:val="clear"/>
        <w:spacing w:line="400" w:lineRule="exact"/>
        <w:ind w:firstLine="420" w:firstLineChars="200"/>
        <w:rPr>
          <w:rFonts w:hint="eastAsia" w:ascii="宋体" w:hAnsi="宋体" w:eastAsia="宋体" w:cs="宋体"/>
          <w:color w:val="auto"/>
          <w:highlight w:val="none"/>
        </w:rPr>
      </w:pPr>
      <w:bookmarkStart w:id="306" w:name="_Toc247527594"/>
      <w:bookmarkStart w:id="307" w:name="_Toc247513993"/>
      <w:bookmarkStart w:id="308" w:name="_Toc144974537"/>
      <w:bookmarkStart w:id="309" w:name="_Toc152042345"/>
      <w:bookmarkStart w:id="310" w:name="_Toc152045569"/>
      <w:r>
        <w:rPr>
          <w:rFonts w:hint="eastAsia" w:ascii="宋体" w:hAnsi="宋体" w:eastAsia="宋体" w:cs="宋体"/>
          <w:color w:val="auto"/>
          <w:highlight w:val="none"/>
        </w:rPr>
        <w:t>在本章第3.3款规定的投标有效期内，招标人以书面形式向中标人发出中标通知书，同时将中标结果通知未中标的投标人。</w:t>
      </w:r>
    </w:p>
    <w:p w14:paraId="403D7EE9">
      <w:pPr>
        <w:pStyle w:val="4"/>
        <w:shd w:val="clear"/>
        <w:rPr>
          <w:rFonts w:hint="eastAsia" w:ascii="宋体" w:hAnsi="宋体" w:eastAsia="宋体" w:cs="宋体"/>
          <w:color w:val="auto"/>
          <w:highlight w:val="none"/>
        </w:rPr>
      </w:pPr>
      <w:bookmarkStart w:id="311" w:name="_Toc16203"/>
      <w:bookmarkStart w:id="312" w:name="_Toc32705"/>
      <w:r>
        <w:rPr>
          <w:rFonts w:hint="eastAsia" w:ascii="宋体" w:hAnsi="宋体" w:eastAsia="宋体" w:cs="宋体"/>
          <w:color w:val="auto"/>
          <w:highlight w:val="none"/>
        </w:rPr>
        <w:t>7.4 履约担保</w:t>
      </w:r>
      <w:bookmarkEnd w:id="306"/>
      <w:bookmarkEnd w:id="307"/>
      <w:bookmarkEnd w:id="308"/>
      <w:bookmarkEnd w:id="309"/>
      <w:bookmarkEnd w:id="310"/>
      <w:bookmarkEnd w:id="311"/>
      <w:bookmarkEnd w:id="312"/>
    </w:p>
    <w:p w14:paraId="1C5A15A1">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7.4.1 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联合体中标的，其履约担保由联合体主办方的名义提交。</w:t>
      </w:r>
    </w:p>
    <w:p w14:paraId="029538F1">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7.4.2 中标人不能按本章第7.4.1项要求提交履约担保的，视为放弃中标，其</w:t>
      </w:r>
      <w:r>
        <w:rPr>
          <w:rFonts w:hint="eastAsia" w:ascii="宋体" w:hAnsi="宋体" w:eastAsia="宋体" w:cs="宋体"/>
          <w:strike/>
          <w:color w:val="auto"/>
          <w:highlight w:val="none"/>
        </w:rPr>
        <w:t>投标保证金不予退还</w:t>
      </w:r>
      <w:r>
        <w:rPr>
          <w:rFonts w:hint="eastAsia" w:ascii="宋体" w:hAnsi="宋体" w:eastAsia="宋体" w:cs="宋体"/>
          <w:color w:val="auto"/>
          <w:highlight w:val="none"/>
        </w:rPr>
        <w:t>，给招标人造成的损失</w:t>
      </w:r>
      <w:r>
        <w:rPr>
          <w:rFonts w:hint="eastAsia" w:ascii="宋体" w:hAnsi="宋体" w:eastAsia="宋体" w:cs="宋体"/>
          <w:strike/>
          <w:color w:val="auto"/>
          <w:highlight w:val="none"/>
        </w:rPr>
        <w:t>超过投标保证金数额</w:t>
      </w:r>
      <w:r>
        <w:rPr>
          <w:rFonts w:hint="eastAsia" w:ascii="宋体" w:hAnsi="宋体" w:eastAsia="宋体" w:cs="宋体"/>
          <w:color w:val="auto"/>
          <w:highlight w:val="none"/>
        </w:rPr>
        <w:t>的，中标人还应当</w:t>
      </w:r>
      <w:r>
        <w:rPr>
          <w:rFonts w:hint="eastAsia" w:ascii="宋体" w:hAnsi="宋体" w:eastAsia="宋体" w:cs="宋体"/>
          <w:strike/>
          <w:color w:val="auto"/>
          <w:highlight w:val="none"/>
        </w:rPr>
        <w:t>对超过部分</w:t>
      </w:r>
      <w:r>
        <w:rPr>
          <w:rFonts w:hint="eastAsia" w:ascii="宋体" w:hAnsi="宋体" w:eastAsia="宋体" w:cs="宋体"/>
          <w:color w:val="auto"/>
          <w:highlight w:val="none"/>
        </w:rPr>
        <w:t>予以赔偿。</w:t>
      </w:r>
    </w:p>
    <w:p w14:paraId="3AB91B97">
      <w:pPr>
        <w:pStyle w:val="4"/>
        <w:shd w:val="clear"/>
        <w:rPr>
          <w:rFonts w:hint="eastAsia" w:ascii="宋体" w:hAnsi="宋体" w:eastAsia="宋体" w:cs="宋体"/>
          <w:color w:val="auto"/>
          <w:highlight w:val="none"/>
        </w:rPr>
      </w:pPr>
      <w:bookmarkStart w:id="313" w:name="_Toc32105"/>
      <w:bookmarkStart w:id="314" w:name="_Toc152045570"/>
      <w:bookmarkStart w:id="315" w:name="_Toc247513994"/>
      <w:bookmarkStart w:id="316" w:name="_Toc29062"/>
      <w:bookmarkStart w:id="317" w:name="_Toc152042346"/>
      <w:bookmarkStart w:id="318" w:name="_Toc144974538"/>
      <w:bookmarkStart w:id="319" w:name="_Toc247527595"/>
      <w:r>
        <w:rPr>
          <w:rFonts w:hint="eastAsia" w:ascii="宋体" w:hAnsi="宋体" w:eastAsia="宋体" w:cs="宋体"/>
          <w:color w:val="auto"/>
          <w:highlight w:val="none"/>
        </w:rPr>
        <w:t>7.5 签订合同</w:t>
      </w:r>
      <w:bookmarkEnd w:id="313"/>
      <w:bookmarkEnd w:id="314"/>
      <w:bookmarkEnd w:id="315"/>
      <w:bookmarkEnd w:id="316"/>
      <w:bookmarkEnd w:id="317"/>
      <w:bookmarkEnd w:id="318"/>
      <w:bookmarkEnd w:id="319"/>
    </w:p>
    <w:p w14:paraId="3F1C18EE">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7.5.1 招标人和中标人应当自中标通知书发出之日起30天内，根据招标文件和中标人的投标文件订立书面合同。中标人无正当理由拒签合同的，招标人取消其中标资格，</w:t>
      </w:r>
      <w:r>
        <w:rPr>
          <w:rFonts w:hint="eastAsia" w:ascii="宋体" w:hAnsi="宋体" w:eastAsia="宋体" w:cs="宋体"/>
          <w:strike/>
          <w:color w:val="auto"/>
          <w:highlight w:val="none"/>
        </w:rPr>
        <w:t>其投标保证金不予退还</w:t>
      </w:r>
      <w:r>
        <w:rPr>
          <w:rFonts w:hint="eastAsia" w:ascii="宋体" w:hAnsi="宋体" w:eastAsia="宋体" w:cs="宋体"/>
          <w:color w:val="auto"/>
          <w:highlight w:val="none"/>
        </w:rPr>
        <w:t>；给招标人造成的损失</w:t>
      </w:r>
      <w:r>
        <w:rPr>
          <w:rFonts w:hint="eastAsia" w:ascii="宋体" w:hAnsi="宋体" w:eastAsia="宋体" w:cs="宋体"/>
          <w:strike/>
          <w:color w:val="auto"/>
          <w:highlight w:val="none"/>
        </w:rPr>
        <w:t>超过投标保证金数额的</w:t>
      </w:r>
      <w:r>
        <w:rPr>
          <w:rFonts w:hint="eastAsia" w:ascii="宋体" w:hAnsi="宋体" w:eastAsia="宋体" w:cs="宋体"/>
          <w:color w:val="auto"/>
          <w:highlight w:val="none"/>
        </w:rPr>
        <w:t xml:space="preserve">，中标人还应当对超过部分予以赔偿。 </w:t>
      </w:r>
    </w:p>
    <w:p w14:paraId="45966B05">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7.5.2 发出中标通知书后，招标人无正当理由拒签合同的，</w:t>
      </w:r>
      <w:r>
        <w:rPr>
          <w:rFonts w:hint="eastAsia" w:ascii="宋体" w:hAnsi="宋体" w:eastAsia="宋体" w:cs="宋体"/>
          <w:strike/>
          <w:color w:val="auto"/>
          <w:highlight w:val="none"/>
        </w:rPr>
        <w:t>招标人向中标人退还投标保证金</w:t>
      </w:r>
      <w:r>
        <w:rPr>
          <w:rFonts w:hint="eastAsia" w:ascii="宋体" w:hAnsi="宋体" w:eastAsia="宋体" w:cs="宋体"/>
          <w:color w:val="auto"/>
          <w:highlight w:val="none"/>
        </w:rPr>
        <w:t xml:space="preserve">；给中标人造成损失的，还应当赔偿损失。 </w:t>
      </w:r>
    </w:p>
    <w:p w14:paraId="28CC200B">
      <w:pPr>
        <w:pStyle w:val="3"/>
        <w:shd w:val="clear"/>
        <w:rPr>
          <w:rFonts w:hint="eastAsia" w:ascii="宋体" w:hAnsi="宋体" w:eastAsia="宋体" w:cs="宋体"/>
          <w:color w:val="auto"/>
          <w:highlight w:val="none"/>
        </w:rPr>
      </w:pPr>
      <w:bookmarkStart w:id="320" w:name="_Toc152045571"/>
      <w:bookmarkStart w:id="321" w:name="_Toc144974539"/>
      <w:bookmarkStart w:id="322" w:name="_Toc247527596"/>
      <w:bookmarkStart w:id="323" w:name="_Toc152042347"/>
      <w:bookmarkStart w:id="324" w:name="_Toc247513995"/>
      <w:bookmarkStart w:id="325" w:name="_Toc15293"/>
      <w:bookmarkStart w:id="326" w:name="_Toc3454"/>
      <w:r>
        <w:rPr>
          <w:rFonts w:hint="eastAsia" w:ascii="宋体" w:hAnsi="宋体" w:eastAsia="宋体" w:cs="宋体"/>
          <w:color w:val="auto"/>
          <w:highlight w:val="none"/>
        </w:rPr>
        <w:t>8.</w:t>
      </w:r>
      <w:bookmarkEnd w:id="320"/>
      <w:bookmarkEnd w:id="321"/>
      <w:bookmarkEnd w:id="322"/>
      <w:bookmarkEnd w:id="323"/>
      <w:bookmarkEnd w:id="324"/>
      <w:bookmarkStart w:id="327" w:name="_Toc152042350"/>
      <w:bookmarkStart w:id="328" w:name="_Toc247527599"/>
      <w:bookmarkStart w:id="329" w:name="_Toc144974542"/>
      <w:bookmarkStart w:id="330" w:name="_Toc152045574"/>
      <w:bookmarkStart w:id="331" w:name="_Toc247513998"/>
      <w:r>
        <w:rPr>
          <w:rFonts w:hint="eastAsia" w:ascii="宋体" w:hAnsi="宋体" w:eastAsia="宋体" w:cs="宋体"/>
          <w:color w:val="auto"/>
          <w:highlight w:val="none"/>
        </w:rPr>
        <w:t xml:space="preserve"> 纪律和监督</w:t>
      </w:r>
      <w:bookmarkEnd w:id="325"/>
      <w:bookmarkEnd w:id="326"/>
      <w:bookmarkEnd w:id="327"/>
      <w:bookmarkEnd w:id="328"/>
      <w:bookmarkEnd w:id="329"/>
      <w:bookmarkEnd w:id="330"/>
      <w:bookmarkEnd w:id="331"/>
    </w:p>
    <w:p w14:paraId="7B44F005">
      <w:pPr>
        <w:pStyle w:val="4"/>
        <w:shd w:val="clear"/>
        <w:rPr>
          <w:rFonts w:hint="eastAsia" w:ascii="宋体" w:hAnsi="宋体" w:eastAsia="宋体" w:cs="宋体"/>
          <w:color w:val="auto"/>
          <w:highlight w:val="none"/>
        </w:rPr>
      </w:pPr>
      <w:bookmarkStart w:id="332" w:name="_Toc247513999"/>
      <w:bookmarkStart w:id="333" w:name="_Toc152045575"/>
      <w:bookmarkStart w:id="334" w:name="_Toc18127"/>
      <w:bookmarkStart w:id="335" w:name="_Toc22859"/>
      <w:bookmarkStart w:id="336" w:name="_Toc144974543"/>
      <w:bookmarkStart w:id="337" w:name="_Toc152042351"/>
      <w:bookmarkStart w:id="338" w:name="_Toc247527600"/>
      <w:r>
        <w:rPr>
          <w:rFonts w:hint="eastAsia" w:ascii="宋体" w:hAnsi="宋体" w:eastAsia="宋体" w:cs="宋体"/>
          <w:color w:val="auto"/>
          <w:highlight w:val="none"/>
        </w:rPr>
        <w:t>8.1 对招标人的纪律要求</w:t>
      </w:r>
      <w:bookmarkEnd w:id="332"/>
      <w:bookmarkEnd w:id="333"/>
      <w:bookmarkEnd w:id="334"/>
      <w:bookmarkEnd w:id="335"/>
      <w:bookmarkEnd w:id="336"/>
      <w:bookmarkEnd w:id="337"/>
      <w:bookmarkEnd w:id="338"/>
    </w:p>
    <w:p w14:paraId="2801BC5B">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招标人不得泄漏招标投标活动中应当保密的情况和资料，不得与投标人串通损害国家利益、社会公共利益或者他人合法权益。</w:t>
      </w:r>
    </w:p>
    <w:p w14:paraId="70C7179A">
      <w:pPr>
        <w:pStyle w:val="4"/>
        <w:shd w:val="clear"/>
        <w:rPr>
          <w:rFonts w:hint="eastAsia" w:ascii="宋体" w:hAnsi="宋体" w:eastAsia="宋体" w:cs="宋体"/>
          <w:color w:val="auto"/>
          <w:highlight w:val="none"/>
        </w:rPr>
      </w:pPr>
      <w:bookmarkStart w:id="339" w:name="_Toc247514000"/>
      <w:bookmarkStart w:id="340" w:name="_Toc17310"/>
      <w:bookmarkStart w:id="341" w:name="_Toc152042352"/>
      <w:bookmarkStart w:id="342" w:name="_Toc152045576"/>
      <w:bookmarkStart w:id="343" w:name="_Toc247527601"/>
      <w:bookmarkStart w:id="344" w:name="_Toc15285"/>
      <w:bookmarkStart w:id="345" w:name="_Toc144974544"/>
      <w:r>
        <w:rPr>
          <w:rFonts w:hint="eastAsia" w:ascii="宋体" w:hAnsi="宋体" w:eastAsia="宋体" w:cs="宋体"/>
          <w:color w:val="auto"/>
          <w:highlight w:val="none"/>
        </w:rPr>
        <w:t>8.2 对投标人的纪律要求</w:t>
      </w:r>
      <w:bookmarkEnd w:id="339"/>
      <w:bookmarkEnd w:id="340"/>
      <w:bookmarkEnd w:id="341"/>
      <w:bookmarkEnd w:id="342"/>
      <w:bookmarkEnd w:id="343"/>
      <w:bookmarkEnd w:id="344"/>
      <w:bookmarkEnd w:id="345"/>
    </w:p>
    <w:p w14:paraId="14435BB7">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0406767">
      <w:pPr>
        <w:pStyle w:val="4"/>
        <w:shd w:val="clear"/>
        <w:rPr>
          <w:rFonts w:hint="eastAsia" w:ascii="宋体" w:hAnsi="宋体" w:eastAsia="宋体" w:cs="宋体"/>
          <w:color w:val="auto"/>
          <w:highlight w:val="none"/>
        </w:rPr>
      </w:pPr>
      <w:bookmarkStart w:id="346" w:name="_Toc21803"/>
      <w:bookmarkStart w:id="347" w:name="_Toc247527602"/>
      <w:bookmarkStart w:id="348" w:name="_Toc152045577"/>
      <w:bookmarkStart w:id="349" w:name="_Toc8598"/>
      <w:bookmarkStart w:id="350" w:name="_Toc144974545"/>
      <w:bookmarkStart w:id="351" w:name="_Toc247514001"/>
      <w:bookmarkStart w:id="352" w:name="_Toc152042353"/>
      <w:r>
        <w:rPr>
          <w:rFonts w:hint="eastAsia" w:ascii="宋体" w:hAnsi="宋体" w:eastAsia="宋体" w:cs="宋体"/>
          <w:color w:val="auto"/>
          <w:highlight w:val="none"/>
        </w:rPr>
        <w:t>8.3 对评标委员会成员的纪律要求</w:t>
      </w:r>
      <w:bookmarkEnd w:id="346"/>
      <w:bookmarkEnd w:id="347"/>
      <w:bookmarkEnd w:id="348"/>
      <w:bookmarkEnd w:id="349"/>
      <w:bookmarkEnd w:id="350"/>
      <w:bookmarkEnd w:id="351"/>
      <w:bookmarkEnd w:id="352"/>
    </w:p>
    <w:p w14:paraId="5F68F9B8">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FD6AC22">
      <w:pPr>
        <w:pStyle w:val="4"/>
        <w:shd w:val="clear"/>
        <w:rPr>
          <w:rFonts w:hint="eastAsia" w:ascii="宋体" w:hAnsi="宋体" w:eastAsia="宋体" w:cs="宋体"/>
          <w:color w:val="auto"/>
          <w:highlight w:val="none"/>
        </w:rPr>
      </w:pPr>
      <w:bookmarkStart w:id="353" w:name="_Toc152042354"/>
      <w:bookmarkStart w:id="354" w:name="_Toc12506"/>
      <w:bookmarkStart w:id="355" w:name="_Toc152045578"/>
      <w:bookmarkStart w:id="356" w:name="_Toc247514002"/>
      <w:bookmarkStart w:id="357" w:name="_Toc247527603"/>
      <w:bookmarkStart w:id="358" w:name="_Toc24179"/>
      <w:bookmarkStart w:id="359" w:name="_Toc144974546"/>
      <w:r>
        <w:rPr>
          <w:rFonts w:hint="eastAsia" w:ascii="宋体" w:hAnsi="宋体" w:eastAsia="宋体" w:cs="宋体"/>
          <w:color w:val="auto"/>
          <w:highlight w:val="none"/>
        </w:rPr>
        <w:t>8.4 对与评标活动有关的工作人员的纪律要求</w:t>
      </w:r>
      <w:bookmarkEnd w:id="353"/>
      <w:bookmarkEnd w:id="354"/>
      <w:bookmarkEnd w:id="355"/>
      <w:bookmarkEnd w:id="356"/>
      <w:bookmarkEnd w:id="357"/>
      <w:bookmarkEnd w:id="358"/>
    </w:p>
    <w:p w14:paraId="660DFF14">
      <w:pPr>
        <w:shd w:val="clear"/>
        <w:spacing w:line="400" w:lineRule="exact"/>
        <w:ind w:firstLine="420" w:firstLineChars="200"/>
        <w:rPr>
          <w:rFonts w:hint="eastAsia" w:ascii="宋体" w:hAnsi="宋体" w:eastAsia="宋体" w:cs="宋体"/>
          <w:color w:val="auto"/>
          <w:highlight w:val="none"/>
        </w:rPr>
      </w:pPr>
      <w:bookmarkStart w:id="360" w:name="_Toc152042355"/>
      <w:r>
        <w:rPr>
          <w:rFonts w:hint="eastAsia" w:ascii="宋体" w:hAnsi="宋体" w:eastAsia="宋体" w:cs="宋体"/>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0"/>
    </w:p>
    <w:p w14:paraId="67682B4D">
      <w:pPr>
        <w:pStyle w:val="4"/>
        <w:shd w:val="clear"/>
        <w:rPr>
          <w:rFonts w:hint="eastAsia" w:ascii="宋体" w:hAnsi="宋体" w:eastAsia="宋体" w:cs="宋体"/>
          <w:color w:val="auto"/>
          <w:highlight w:val="none"/>
        </w:rPr>
      </w:pPr>
      <w:bookmarkStart w:id="361" w:name="_Toc26562"/>
      <w:bookmarkStart w:id="362" w:name="_Toc247527604"/>
      <w:bookmarkStart w:id="363" w:name="_Toc247514003"/>
      <w:bookmarkStart w:id="364" w:name="_Toc152045579"/>
      <w:bookmarkStart w:id="365" w:name="_Toc9992"/>
      <w:bookmarkStart w:id="366" w:name="_Toc152042356"/>
      <w:r>
        <w:rPr>
          <w:rFonts w:hint="eastAsia" w:ascii="宋体" w:hAnsi="宋体" w:eastAsia="宋体" w:cs="宋体"/>
          <w:color w:val="auto"/>
          <w:highlight w:val="none"/>
        </w:rPr>
        <w:t>8.5 投诉</w:t>
      </w:r>
      <w:bookmarkEnd w:id="359"/>
      <w:bookmarkEnd w:id="361"/>
      <w:bookmarkEnd w:id="362"/>
      <w:bookmarkEnd w:id="363"/>
      <w:bookmarkEnd w:id="364"/>
      <w:bookmarkEnd w:id="365"/>
      <w:bookmarkEnd w:id="366"/>
    </w:p>
    <w:p w14:paraId="38FB6AD0">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投标人和其他利害关系人认为本次招标活动违反法律、法规和规章规定的，有权向有关行政监督部门投诉。</w:t>
      </w:r>
    </w:p>
    <w:p w14:paraId="00B55C4D">
      <w:pPr>
        <w:pStyle w:val="3"/>
        <w:shd w:val="clear"/>
        <w:rPr>
          <w:rFonts w:hint="eastAsia" w:ascii="宋体" w:hAnsi="宋体" w:eastAsia="宋体" w:cs="宋体"/>
          <w:color w:val="auto"/>
          <w:highlight w:val="none"/>
        </w:rPr>
      </w:pPr>
      <w:bookmarkStart w:id="367" w:name="_Toc144974547"/>
      <w:bookmarkStart w:id="368" w:name="_Toc32659"/>
      <w:bookmarkStart w:id="369" w:name="_Toc152045580"/>
      <w:bookmarkStart w:id="370" w:name="_Toc152042357"/>
      <w:bookmarkStart w:id="371" w:name="_Toc247527605"/>
      <w:bookmarkStart w:id="372" w:name="_Toc247514004"/>
      <w:bookmarkStart w:id="373" w:name="_Toc25723"/>
      <w:r>
        <w:rPr>
          <w:rFonts w:hint="eastAsia" w:ascii="宋体" w:hAnsi="宋体" w:eastAsia="宋体" w:cs="宋体"/>
          <w:color w:val="auto"/>
          <w:highlight w:val="none"/>
        </w:rPr>
        <w:t>9. 需要补充的其他内容</w:t>
      </w:r>
      <w:bookmarkEnd w:id="367"/>
      <w:bookmarkEnd w:id="368"/>
      <w:bookmarkEnd w:id="369"/>
      <w:bookmarkEnd w:id="370"/>
      <w:bookmarkEnd w:id="371"/>
      <w:bookmarkEnd w:id="372"/>
      <w:bookmarkEnd w:id="373"/>
    </w:p>
    <w:p w14:paraId="745A75A0">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需要补充的其他内容：见投标人须知前附表。</w:t>
      </w:r>
    </w:p>
    <w:p w14:paraId="7A02BF5F">
      <w:pPr>
        <w:pStyle w:val="3"/>
        <w:shd w:val="clear"/>
        <w:rPr>
          <w:rFonts w:hint="eastAsia" w:ascii="宋体" w:hAnsi="宋体" w:eastAsia="宋体" w:cs="宋体"/>
          <w:color w:val="auto"/>
          <w:highlight w:val="none"/>
        </w:rPr>
      </w:pPr>
      <w:bookmarkStart w:id="374" w:name="_Toc661"/>
      <w:bookmarkStart w:id="375" w:name="_Toc22808"/>
      <w:r>
        <w:rPr>
          <w:rFonts w:hint="eastAsia" w:ascii="宋体" w:hAnsi="宋体" w:eastAsia="宋体" w:cs="宋体"/>
          <w:color w:val="auto"/>
          <w:highlight w:val="none"/>
        </w:rPr>
        <w:t>10. 电子招标投标</w:t>
      </w:r>
      <w:bookmarkEnd w:id="374"/>
      <w:bookmarkEnd w:id="375"/>
    </w:p>
    <w:p w14:paraId="7DB49959">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采用电子招标投标，对投标文件的编制、加密和标记、递交、开标、评标等具体要求，见投标人须知前附表。</w:t>
      </w:r>
    </w:p>
    <w:p w14:paraId="5B774558">
      <w:pPr>
        <w:spacing w:beforeLines="-2147483648" w:afterLines="-2147483648" w:line="24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br w:type="page"/>
      </w:r>
    </w:p>
    <w:p w14:paraId="7CE392A8">
      <w:pPr>
        <w:spacing w:beforeLines="0" w:afterLines="0"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w:t>
      </w:r>
    </w:p>
    <w:p w14:paraId="25AF80D0">
      <w:pPr>
        <w:spacing w:beforeLines="0" w:afterLines="0"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评标委员会成员声明</w:t>
      </w:r>
    </w:p>
    <w:p w14:paraId="559691D6">
      <w:pPr>
        <w:spacing w:beforeLines="0" w:afterLines="0" w:line="360" w:lineRule="auto"/>
        <w:rPr>
          <w:rFonts w:hint="default" w:ascii="Times New Roman" w:hAnsi="Times New Roman" w:eastAsia="宋体" w:cs="Times New Roman"/>
          <w:color w:val="auto"/>
          <w:sz w:val="24"/>
          <w:szCs w:val="24"/>
          <w:highlight w:val="none"/>
          <w:u w:val="single"/>
        </w:rPr>
      </w:pPr>
    </w:p>
    <w:p w14:paraId="562D020C">
      <w:pPr>
        <w:spacing w:beforeLines="0" w:afterLines="0"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u w:val="single"/>
        </w:rPr>
        <w:t xml:space="preserve">   本项目招标人  </w:t>
      </w:r>
      <w:r>
        <w:rPr>
          <w:rFonts w:hint="default" w:ascii="Times New Roman" w:hAnsi="Times New Roman" w:eastAsia="宋体" w:cs="Times New Roman"/>
          <w:color w:val="auto"/>
          <w:sz w:val="24"/>
          <w:szCs w:val="24"/>
          <w:highlight w:val="none"/>
        </w:rPr>
        <w:t>：</w:t>
      </w:r>
    </w:p>
    <w:p w14:paraId="288DA4EA">
      <w:pPr>
        <w:spacing w:beforeLines="0" w:afterLines="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本人就参与</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项目的评标工作，作出郑重声明：</w:t>
      </w:r>
    </w:p>
    <w:p w14:paraId="53BFF45D">
      <w:pPr>
        <w:spacing w:beforeLines="0" w:afterLines="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13612193">
      <w:pPr>
        <w:spacing w:beforeLines="0" w:afterLines="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25580E7D">
      <w:pPr>
        <w:spacing w:beforeLines="0" w:afterLines="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73807ABB">
      <w:pPr>
        <w:spacing w:beforeLines="0" w:afterLines="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4916B960">
      <w:pPr>
        <w:spacing w:beforeLines="0" w:afterLines="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32EE5210">
      <w:pPr>
        <w:spacing w:beforeLines="0" w:afterLines="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如果本人违反上述声明内容，造成的后果由本人自行承担。</w:t>
      </w:r>
    </w:p>
    <w:p w14:paraId="62BA1AF3">
      <w:pPr>
        <w:shd w:val="clear"/>
        <w:spacing w:line="400" w:lineRule="exact"/>
        <w:ind w:firstLine="480" w:firstLineChars="200"/>
        <w:rPr>
          <w:rFonts w:hint="eastAsia" w:ascii="宋体" w:hAnsi="宋体" w:eastAsia="宋体" w:cs="宋体"/>
          <w:color w:val="auto"/>
          <w:highlight w:val="none"/>
          <w:u w:val="single"/>
        </w:rPr>
        <w:sectPr>
          <w:pgSz w:w="11906" w:h="16838"/>
          <w:pgMar w:top="1304" w:right="1304" w:bottom="1304" w:left="1304" w:header="851" w:footer="992" w:gutter="0"/>
          <w:cols w:space="720" w:num="1"/>
          <w:docGrid w:type="lines" w:linePitch="312" w:charSpace="0"/>
        </w:sectPr>
      </w:pPr>
      <w:r>
        <w:rPr>
          <w:rFonts w:hint="default" w:ascii="Times New Roman" w:hAnsi="Times New Roman" w:eastAsia="宋体" w:cs="Times New Roman"/>
          <w:color w:val="auto"/>
          <w:sz w:val="24"/>
          <w:szCs w:val="24"/>
          <w:highlight w:val="none"/>
        </w:rPr>
        <w:t xml:space="preserve">                             声明人：</w:t>
      </w:r>
      <w:r>
        <w:rPr>
          <w:rFonts w:hint="default" w:ascii="Times New Roman" w:hAnsi="Times New Roman" w:eastAsia="宋体" w:cs="Times New Roman"/>
          <w:color w:val="auto"/>
          <w:sz w:val="24"/>
          <w:szCs w:val="24"/>
          <w:highlight w:val="none"/>
          <w:u w:val="single"/>
        </w:rPr>
        <w:t xml:space="preserve">（签名）  </w:t>
      </w:r>
      <w:r>
        <w:rPr>
          <w:rFonts w:hint="eastAsia" w:ascii="宋体" w:hAnsi="宋体" w:eastAsia="宋体" w:cs="宋体"/>
          <w:color w:val="auto"/>
          <w:sz w:val="24"/>
          <w:szCs w:val="24"/>
          <w:highlight w:val="none"/>
        </w:rPr>
        <w:br w:type="page"/>
      </w:r>
    </w:p>
    <w:p w14:paraId="66D22E33">
      <w:pPr>
        <w:pStyle w:val="4"/>
        <w:shd w:val="clear"/>
        <w:spacing w:before="0"/>
        <w:ind w:firstLine="0" w:firstLineChars="0"/>
        <w:rPr>
          <w:rFonts w:hint="eastAsia" w:ascii="宋体" w:hAnsi="宋体" w:eastAsia="宋体" w:cs="宋体"/>
          <w:color w:val="auto"/>
          <w:highlight w:val="none"/>
        </w:rPr>
      </w:pPr>
      <w:bookmarkStart w:id="376" w:name="_Toc3477"/>
      <w:bookmarkStart w:id="377" w:name="_Toc10524"/>
      <w:r>
        <w:rPr>
          <w:rFonts w:hint="eastAsia" w:ascii="宋体" w:hAnsi="宋体" w:eastAsia="宋体" w:cs="宋体"/>
          <w:color w:val="auto"/>
          <w:highlight w:val="none"/>
        </w:rPr>
        <w:t>附件一：</w:t>
      </w:r>
      <w:r>
        <w:rPr>
          <w:rFonts w:hint="eastAsia" w:ascii="宋体" w:hAnsi="宋体" w:eastAsia="宋体" w:cs="宋体"/>
          <w:color w:val="auto"/>
          <w:highlight w:val="none"/>
          <w:u w:val="single"/>
        </w:rPr>
        <w:t>开标记录表</w:t>
      </w:r>
      <w:bookmarkEnd w:id="376"/>
      <w:bookmarkEnd w:id="377"/>
    </w:p>
    <w:p w14:paraId="36A8C7FF">
      <w:pPr>
        <w:shd w:val="clear"/>
        <w:spacing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开标记录表（以交易中心系统为准）</w:t>
      </w:r>
    </w:p>
    <w:p w14:paraId="61F1E075">
      <w:pPr>
        <w:shd w:val="clear"/>
        <w:spacing w:line="400" w:lineRule="exact"/>
        <w:ind w:right="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       项目名称：</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14:paraId="3872A067">
      <w:pPr>
        <w:shd w:val="clear"/>
        <w:spacing w:line="400" w:lineRule="exact"/>
        <w:ind w:right="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最高投标限价(元)：</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ab/>
      </w:r>
    </w:p>
    <w:tbl>
      <w:tblPr>
        <w:tblStyle w:val="40"/>
        <w:tblW w:w="14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993"/>
        <w:gridCol w:w="992"/>
        <w:gridCol w:w="1134"/>
        <w:gridCol w:w="709"/>
        <w:gridCol w:w="1134"/>
        <w:gridCol w:w="1275"/>
        <w:gridCol w:w="1418"/>
        <w:gridCol w:w="1417"/>
        <w:gridCol w:w="1418"/>
        <w:gridCol w:w="1166"/>
        <w:gridCol w:w="895"/>
      </w:tblGrid>
      <w:tr w14:paraId="2B56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8B6DBEE">
            <w:pPr>
              <w:shd w:val="clea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992" w:type="dxa"/>
            <w:tcBorders>
              <w:top w:val="single" w:color="auto" w:sz="4" w:space="0"/>
              <w:left w:val="single" w:color="auto" w:sz="4" w:space="0"/>
              <w:bottom w:val="single" w:color="auto" w:sz="4" w:space="0"/>
              <w:right w:val="single" w:color="auto" w:sz="4" w:space="0"/>
            </w:tcBorders>
            <w:vAlign w:val="center"/>
          </w:tcPr>
          <w:p w14:paraId="1080A380">
            <w:pPr>
              <w:shd w:val="clea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993" w:type="dxa"/>
            <w:tcBorders>
              <w:top w:val="single" w:color="auto" w:sz="4" w:space="0"/>
              <w:left w:val="single" w:color="auto" w:sz="4" w:space="0"/>
              <w:bottom w:val="single" w:color="auto" w:sz="4" w:space="0"/>
              <w:right w:val="single" w:color="auto" w:sz="4" w:space="0"/>
            </w:tcBorders>
            <w:vAlign w:val="center"/>
          </w:tcPr>
          <w:p w14:paraId="55205835">
            <w:pPr>
              <w:shd w:val="clea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投标文件递交情况</w:t>
            </w:r>
          </w:p>
        </w:tc>
        <w:tc>
          <w:tcPr>
            <w:tcW w:w="992" w:type="dxa"/>
            <w:tcBorders>
              <w:top w:val="single" w:color="auto" w:sz="4" w:space="0"/>
              <w:left w:val="single" w:color="auto" w:sz="4" w:space="0"/>
              <w:bottom w:val="single" w:color="auto" w:sz="4" w:space="0"/>
              <w:right w:val="single" w:color="auto" w:sz="4" w:space="0"/>
            </w:tcBorders>
            <w:vAlign w:val="center"/>
          </w:tcPr>
          <w:p w14:paraId="78A0EC9B">
            <w:pPr>
              <w:shd w:val="clea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投标文件解密情况</w:t>
            </w:r>
          </w:p>
        </w:tc>
        <w:tc>
          <w:tcPr>
            <w:tcW w:w="1134" w:type="dxa"/>
            <w:tcBorders>
              <w:top w:val="single" w:color="auto" w:sz="4" w:space="0"/>
              <w:left w:val="single" w:color="auto" w:sz="4" w:space="0"/>
              <w:bottom w:val="single" w:color="auto" w:sz="4" w:space="0"/>
              <w:right w:val="single" w:color="auto" w:sz="4" w:space="0"/>
            </w:tcBorders>
            <w:vAlign w:val="center"/>
          </w:tcPr>
          <w:p w14:paraId="4FD8BE4A">
            <w:pPr>
              <w:shd w:val="clea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投标担保递交情况</w:t>
            </w:r>
          </w:p>
        </w:tc>
        <w:tc>
          <w:tcPr>
            <w:tcW w:w="709" w:type="dxa"/>
            <w:tcBorders>
              <w:top w:val="single" w:color="auto" w:sz="4" w:space="0"/>
              <w:left w:val="single" w:color="auto" w:sz="4" w:space="0"/>
              <w:bottom w:val="single" w:color="auto" w:sz="4" w:space="0"/>
              <w:right w:val="single" w:color="auto" w:sz="4" w:space="0"/>
            </w:tcBorders>
            <w:vAlign w:val="center"/>
          </w:tcPr>
          <w:p w14:paraId="335792CB">
            <w:pPr>
              <w:shd w:val="clea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w:t>
            </w:r>
          </w:p>
        </w:tc>
        <w:tc>
          <w:tcPr>
            <w:tcW w:w="1134" w:type="dxa"/>
            <w:tcBorders>
              <w:top w:val="single" w:color="auto" w:sz="4" w:space="0"/>
              <w:left w:val="single" w:color="auto" w:sz="4" w:space="0"/>
              <w:bottom w:val="single" w:color="auto" w:sz="4" w:space="0"/>
              <w:right w:val="single" w:color="auto" w:sz="4" w:space="0"/>
            </w:tcBorders>
            <w:vAlign w:val="center"/>
          </w:tcPr>
          <w:p w14:paraId="325B8F9A">
            <w:pPr>
              <w:shd w:val="clea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1275" w:type="dxa"/>
            <w:tcBorders>
              <w:top w:val="single" w:color="auto" w:sz="4" w:space="0"/>
              <w:left w:val="single" w:color="auto" w:sz="4" w:space="0"/>
              <w:right w:val="single" w:color="auto" w:sz="4" w:space="0"/>
            </w:tcBorders>
            <w:vAlign w:val="center"/>
          </w:tcPr>
          <w:p w14:paraId="36E3C55C">
            <w:pPr>
              <w:shd w:val="clea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p>
        </w:tc>
        <w:tc>
          <w:tcPr>
            <w:tcW w:w="1418" w:type="dxa"/>
            <w:tcBorders>
              <w:top w:val="single" w:color="auto" w:sz="4" w:space="0"/>
              <w:left w:val="single" w:color="auto" w:sz="4" w:space="0"/>
              <w:right w:val="single" w:color="auto" w:sz="4" w:space="0"/>
            </w:tcBorders>
            <w:vAlign w:val="center"/>
          </w:tcPr>
          <w:p w14:paraId="39D29CA0">
            <w:pPr>
              <w:shd w:val="clea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施工负责人</w:t>
            </w:r>
          </w:p>
        </w:tc>
        <w:tc>
          <w:tcPr>
            <w:tcW w:w="1417" w:type="dxa"/>
            <w:tcBorders>
              <w:top w:val="single" w:color="auto" w:sz="4" w:space="0"/>
              <w:left w:val="single" w:color="auto" w:sz="4" w:space="0"/>
              <w:right w:val="single" w:color="auto" w:sz="4" w:space="0"/>
            </w:tcBorders>
            <w:vAlign w:val="center"/>
          </w:tcPr>
          <w:p w14:paraId="23C01393">
            <w:pPr>
              <w:shd w:val="clea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设计负责人</w:t>
            </w:r>
          </w:p>
        </w:tc>
        <w:tc>
          <w:tcPr>
            <w:tcW w:w="1418" w:type="dxa"/>
            <w:tcBorders>
              <w:top w:val="single" w:color="auto" w:sz="4" w:space="0"/>
              <w:left w:val="single" w:color="auto" w:sz="4" w:space="0"/>
              <w:right w:val="single" w:color="auto" w:sz="4" w:space="0"/>
            </w:tcBorders>
            <w:vAlign w:val="center"/>
          </w:tcPr>
          <w:p w14:paraId="31BE3886">
            <w:pPr>
              <w:shd w:val="clea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专职安全员</w:t>
            </w:r>
          </w:p>
        </w:tc>
        <w:tc>
          <w:tcPr>
            <w:tcW w:w="1166" w:type="dxa"/>
            <w:tcBorders>
              <w:top w:val="single" w:color="auto" w:sz="4" w:space="0"/>
              <w:left w:val="single" w:color="auto" w:sz="4" w:space="0"/>
              <w:right w:val="single" w:color="auto" w:sz="4" w:space="0"/>
            </w:tcBorders>
            <w:vAlign w:val="center"/>
          </w:tcPr>
          <w:p w14:paraId="7C5B0F41">
            <w:pPr>
              <w:shd w:val="clea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投标总报价（元）</w:t>
            </w:r>
          </w:p>
        </w:tc>
        <w:tc>
          <w:tcPr>
            <w:tcW w:w="895" w:type="dxa"/>
            <w:tcBorders>
              <w:top w:val="single" w:color="auto" w:sz="4" w:space="0"/>
              <w:left w:val="single" w:color="auto" w:sz="4" w:space="0"/>
              <w:right w:val="single" w:color="auto" w:sz="4" w:space="0"/>
            </w:tcBorders>
            <w:vAlign w:val="center"/>
          </w:tcPr>
          <w:p w14:paraId="41488960">
            <w:pPr>
              <w:shd w:val="clea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投标人签名</w:t>
            </w:r>
          </w:p>
        </w:tc>
      </w:tr>
      <w:tr w14:paraId="6DB7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352CB2EF">
            <w:pPr>
              <w:shd w:val="clear"/>
              <w:spacing w:line="620" w:lineRule="exact"/>
              <w:jc w:val="center"/>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0A61D642">
            <w:pPr>
              <w:shd w:val="clear"/>
              <w:spacing w:line="620" w:lineRule="exact"/>
              <w:jc w:val="cente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7C62BD56">
            <w:pPr>
              <w:shd w:val="clear"/>
              <w:spacing w:line="620" w:lineRule="exact"/>
              <w:jc w:val="center"/>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31B9650">
            <w:pPr>
              <w:shd w:val="clear"/>
              <w:spacing w:line="620" w:lineRule="exact"/>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98A0698">
            <w:pPr>
              <w:shd w:val="clear"/>
              <w:spacing w:line="620" w:lineRule="exact"/>
              <w:jc w:val="center"/>
              <w:rPr>
                <w:rFonts w:hint="eastAsia" w:ascii="宋体" w:hAnsi="宋体" w:eastAsia="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1CACA3D">
            <w:pPr>
              <w:shd w:val="clear"/>
              <w:spacing w:line="620" w:lineRule="exact"/>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0588799">
            <w:pPr>
              <w:shd w:val="clear"/>
              <w:spacing w:line="620" w:lineRule="exact"/>
              <w:jc w:val="center"/>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773B9A46">
            <w:pPr>
              <w:shd w:val="clear"/>
              <w:spacing w:line="620" w:lineRule="exact"/>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23BF088">
            <w:pPr>
              <w:shd w:val="clear"/>
              <w:spacing w:line="620" w:lineRule="exact"/>
              <w:jc w:val="center"/>
              <w:rPr>
                <w:rFonts w:hint="eastAsia" w:ascii="宋体" w:hAnsi="宋体" w:eastAsia="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FA1773A">
            <w:pPr>
              <w:shd w:val="clear"/>
              <w:spacing w:line="620" w:lineRule="exact"/>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A9EB27F">
            <w:pPr>
              <w:shd w:val="clear"/>
              <w:spacing w:line="620" w:lineRule="exact"/>
              <w:jc w:val="center"/>
              <w:rPr>
                <w:rFonts w:hint="eastAsia" w:ascii="宋体" w:hAnsi="宋体" w:eastAsia="宋体" w:cs="宋体"/>
                <w:color w:val="auto"/>
                <w:szCs w:val="21"/>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14:paraId="1766E8C0">
            <w:pPr>
              <w:shd w:val="clear"/>
              <w:spacing w:line="620" w:lineRule="exact"/>
              <w:jc w:val="center"/>
              <w:rPr>
                <w:rFonts w:hint="eastAsia" w:ascii="宋体" w:hAnsi="宋体" w:eastAsia="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tcPr>
          <w:p w14:paraId="77A1A42E">
            <w:pPr>
              <w:shd w:val="clear"/>
              <w:spacing w:line="620" w:lineRule="exact"/>
              <w:jc w:val="center"/>
              <w:rPr>
                <w:rFonts w:hint="eastAsia" w:ascii="宋体" w:hAnsi="宋体" w:eastAsia="宋体" w:cs="宋体"/>
                <w:color w:val="auto"/>
                <w:szCs w:val="21"/>
                <w:highlight w:val="none"/>
              </w:rPr>
            </w:pPr>
          </w:p>
        </w:tc>
      </w:tr>
      <w:tr w14:paraId="0AB0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73204F58">
            <w:pPr>
              <w:shd w:val="clear"/>
              <w:spacing w:line="620" w:lineRule="exact"/>
              <w:jc w:val="center"/>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06CF576D">
            <w:pPr>
              <w:shd w:val="clear"/>
              <w:spacing w:line="620" w:lineRule="exact"/>
              <w:jc w:val="cente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2558E886">
            <w:pPr>
              <w:shd w:val="clear"/>
              <w:spacing w:line="620" w:lineRule="exact"/>
              <w:jc w:val="center"/>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C088C87">
            <w:pPr>
              <w:shd w:val="clear"/>
              <w:spacing w:line="620" w:lineRule="exact"/>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BA97DFF">
            <w:pPr>
              <w:shd w:val="clear"/>
              <w:spacing w:line="620" w:lineRule="exact"/>
              <w:jc w:val="center"/>
              <w:rPr>
                <w:rFonts w:hint="eastAsia" w:ascii="宋体" w:hAnsi="宋体" w:eastAsia="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5AE6D6EA">
            <w:pPr>
              <w:shd w:val="clear"/>
              <w:spacing w:line="620" w:lineRule="exact"/>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4EE9256">
            <w:pPr>
              <w:shd w:val="clear"/>
              <w:spacing w:line="620" w:lineRule="exact"/>
              <w:jc w:val="center"/>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55CC4741">
            <w:pPr>
              <w:shd w:val="clear"/>
              <w:spacing w:line="620" w:lineRule="exact"/>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0CF844E4">
            <w:pPr>
              <w:shd w:val="clear"/>
              <w:spacing w:line="620" w:lineRule="exact"/>
              <w:jc w:val="center"/>
              <w:rPr>
                <w:rFonts w:hint="eastAsia" w:ascii="宋体" w:hAnsi="宋体" w:eastAsia="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AB331F9">
            <w:pPr>
              <w:shd w:val="clear"/>
              <w:spacing w:line="620" w:lineRule="exact"/>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58D84A9">
            <w:pPr>
              <w:shd w:val="clear"/>
              <w:spacing w:line="620" w:lineRule="exact"/>
              <w:jc w:val="center"/>
              <w:rPr>
                <w:rFonts w:hint="eastAsia" w:ascii="宋体" w:hAnsi="宋体" w:eastAsia="宋体" w:cs="宋体"/>
                <w:color w:val="auto"/>
                <w:szCs w:val="21"/>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14:paraId="48BDD019">
            <w:pPr>
              <w:shd w:val="clear"/>
              <w:spacing w:line="620" w:lineRule="exact"/>
              <w:jc w:val="center"/>
              <w:rPr>
                <w:rFonts w:hint="eastAsia" w:ascii="宋体" w:hAnsi="宋体" w:eastAsia="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tcPr>
          <w:p w14:paraId="056AB305">
            <w:pPr>
              <w:shd w:val="clear"/>
              <w:spacing w:line="620" w:lineRule="exact"/>
              <w:jc w:val="center"/>
              <w:rPr>
                <w:rFonts w:hint="eastAsia" w:ascii="宋体" w:hAnsi="宋体" w:eastAsia="宋体" w:cs="宋体"/>
                <w:color w:val="auto"/>
                <w:szCs w:val="21"/>
                <w:highlight w:val="none"/>
              </w:rPr>
            </w:pPr>
          </w:p>
        </w:tc>
      </w:tr>
      <w:tr w14:paraId="16C1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384CFC55">
            <w:pPr>
              <w:shd w:val="clear"/>
              <w:spacing w:line="620" w:lineRule="exact"/>
              <w:jc w:val="center"/>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46A431A7">
            <w:pPr>
              <w:shd w:val="clear"/>
              <w:spacing w:line="620" w:lineRule="exact"/>
              <w:jc w:val="cente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33189AE3">
            <w:pPr>
              <w:shd w:val="clear"/>
              <w:spacing w:line="620" w:lineRule="exact"/>
              <w:jc w:val="center"/>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FBA29EE">
            <w:pPr>
              <w:shd w:val="clear"/>
              <w:spacing w:line="620" w:lineRule="exact"/>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FE2B86B">
            <w:pPr>
              <w:shd w:val="clear"/>
              <w:spacing w:line="620" w:lineRule="exact"/>
              <w:jc w:val="center"/>
              <w:rPr>
                <w:rFonts w:hint="eastAsia" w:ascii="宋体" w:hAnsi="宋体" w:eastAsia="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7827B16">
            <w:pPr>
              <w:shd w:val="clear"/>
              <w:spacing w:line="620" w:lineRule="exact"/>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4EA4DCC">
            <w:pPr>
              <w:shd w:val="clear"/>
              <w:spacing w:line="620" w:lineRule="exact"/>
              <w:jc w:val="center"/>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79B39229">
            <w:pPr>
              <w:shd w:val="clear"/>
              <w:spacing w:line="620" w:lineRule="exact"/>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10EE8AE">
            <w:pPr>
              <w:shd w:val="clear"/>
              <w:spacing w:line="620" w:lineRule="exact"/>
              <w:jc w:val="center"/>
              <w:rPr>
                <w:rFonts w:hint="eastAsia" w:ascii="宋体" w:hAnsi="宋体" w:eastAsia="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CF2BD12">
            <w:pPr>
              <w:shd w:val="clear"/>
              <w:spacing w:line="620" w:lineRule="exact"/>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439FEE5">
            <w:pPr>
              <w:shd w:val="clear"/>
              <w:spacing w:line="620" w:lineRule="exact"/>
              <w:jc w:val="center"/>
              <w:rPr>
                <w:rFonts w:hint="eastAsia" w:ascii="宋体" w:hAnsi="宋体" w:eastAsia="宋体" w:cs="宋体"/>
                <w:color w:val="auto"/>
                <w:szCs w:val="21"/>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14:paraId="2A71B4CA">
            <w:pPr>
              <w:shd w:val="clear"/>
              <w:spacing w:line="620" w:lineRule="exact"/>
              <w:jc w:val="center"/>
              <w:rPr>
                <w:rFonts w:hint="eastAsia" w:ascii="宋体" w:hAnsi="宋体" w:eastAsia="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tcPr>
          <w:p w14:paraId="62EB1EA1">
            <w:pPr>
              <w:shd w:val="clear"/>
              <w:spacing w:line="620" w:lineRule="exact"/>
              <w:jc w:val="center"/>
              <w:rPr>
                <w:rFonts w:hint="eastAsia" w:ascii="宋体" w:hAnsi="宋体" w:eastAsia="宋体" w:cs="宋体"/>
                <w:color w:val="auto"/>
                <w:szCs w:val="21"/>
                <w:highlight w:val="none"/>
              </w:rPr>
            </w:pPr>
          </w:p>
        </w:tc>
      </w:tr>
      <w:tr w14:paraId="7556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4AB21771">
            <w:pPr>
              <w:shd w:val="clear"/>
              <w:spacing w:line="620" w:lineRule="exact"/>
              <w:jc w:val="center"/>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942D77B">
            <w:pPr>
              <w:shd w:val="clear"/>
              <w:spacing w:line="620" w:lineRule="exact"/>
              <w:jc w:val="cente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25FB14F4">
            <w:pPr>
              <w:shd w:val="clear"/>
              <w:spacing w:line="620" w:lineRule="exact"/>
              <w:jc w:val="center"/>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1C4A3E0D">
            <w:pPr>
              <w:shd w:val="clear"/>
              <w:spacing w:line="620" w:lineRule="exact"/>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61BEE36">
            <w:pPr>
              <w:shd w:val="clear"/>
              <w:spacing w:line="620" w:lineRule="exact"/>
              <w:jc w:val="center"/>
              <w:rPr>
                <w:rFonts w:hint="eastAsia" w:ascii="宋体" w:hAnsi="宋体" w:eastAsia="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FD7A601">
            <w:pPr>
              <w:shd w:val="clear"/>
              <w:spacing w:line="620" w:lineRule="exact"/>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E9F337D">
            <w:pPr>
              <w:shd w:val="clear"/>
              <w:spacing w:line="620" w:lineRule="exact"/>
              <w:jc w:val="center"/>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61213B8B">
            <w:pPr>
              <w:shd w:val="clear"/>
              <w:spacing w:line="620" w:lineRule="exact"/>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27A3205">
            <w:pPr>
              <w:shd w:val="clear"/>
              <w:spacing w:line="620" w:lineRule="exact"/>
              <w:jc w:val="center"/>
              <w:rPr>
                <w:rFonts w:hint="eastAsia" w:ascii="宋体" w:hAnsi="宋体" w:eastAsia="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0F39462">
            <w:pPr>
              <w:shd w:val="clear"/>
              <w:spacing w:line="620" w:lineRule="exact"/>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027F7C4">
            <w:pPr>
              <w:shd w:val="clear"/>
              <w:spacing w:line="620" w:lineRule="exact"/>
              <w:jc w:val="center"/>
              <w:rPr>
                <w:rFonts w:hint="eastAsia" w:ascii="宋体" w:hAnsi="宋体" w:eastAsia="宋体" w:cs="宋体"/>
                <w:color w:val="auto"/>
                <w:szCs w:val="21"/>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14:paraId="5DE99540">
            <w:pPr>
              <w:shd w:val="clear"/>
              <w:spacing w:line="620" w:lineRule="exact"/>
              <w:jc w:val="center"/>
              <w:rPr>
                <w:rFonts w:hint="eastAsia" w:ascii="宋体" w:hAnsi="宋体" w:eastAsia="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tcPr>
          <w:p w14:paraId="1AE1386F">
            <w:pPr>
              <w:shd w:val="clear"/>
              <w:spacing w:line="620" w:lineRule="exact"/>
              <w:jc w:val="center"/>
              <w:rPr>
                <w:rFonts w:hint="eastAsia" w:ascii="宋体" w:hAnsi="宋体" w:eastAsia="宋体" w:cs="宋体"/>
                <w:color w:val="auto"/>
                <w:szCs w:val="21"/>
                <w:highlight w:val="none"/>
              </w:rPr>
            </w:pPr>
          </w:p>
        </w:tc>
      </w:tr>
    </w:tbl>
    <w:p w14:paraId="06F59D17">
      <w:pPr>
        <w:shd w:val="clear"/>
        <w:spacing w:line="400" w:lineRule="exact"/>
        <w:ind w:right="420"/>
        <w:jc w:val="left"/>
        <w:rPr>
          <w:rFonts w:hint="eastAsia" w:ascii="宋体" w:hAnsi="宋体" w:eastAsia="宋体" w:cs="宋体"/>
          <w:color w:val="auto"/>
          <w:szCs w:val="21"/>
          <w:highlight w:val="none"/>
        </w:rPr>
      </w:pPr>
    </w:p>
    <w:p w14:paraId="1974E732">
      <w:pPr>
        <w:shd w:val="clear"/>
        <w:spacing w:line="6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招标人代表：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记录人：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监标人：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A0DEF43">
      <w:pPr>
        <w:shd w:val="clear"/>
        <w:spacing w:line="620" w:lineRule="exact"/>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rPr>
        <w:t>日</w:t>
      </w:r>
    </w:p>
    <w:p w14:paraId="5FE1615A">
      <w:pPr>
        <w:shd w:val="clear"/>
        <w:spacing w:line="400" w:lineRule="exact"/>
        <w:ind w:right="420"/>
        <w:jc w:val="left"/>
        <w:rPr>
          <w:rFonts w:hint="eastAsia" w:ascii="宋体" w:hAnsi="宋体" w:eastAsia="宋体" w:cs="宋体"/>
          <w:color w:val="auto"/>
          <w:highlight w:val="none"/>
        </w:rPr>
        <w:sectPr>
          <w:pgSz w:w="16838" w:h="11906" w:orient="landscape"/>
          <w:pgMar w:top="1304" w:right="1304" w:bottom="1304" w:left="1304" w:header="851" w:footer="992" w:gutter="0"/>
          <w:cols w:space="720" w:num="1"/>
          <w:docGrid w:type="lines" w:linePitch="312" w:charSpace="0"/>
        </w:sectPr>
      </w:pPr>
    </w:p>
    <w:p w14:paraId="69FD7C27">
      <w:pPr>
        <w:pStyle w:val="4"/>
        <w:shd w:val="clear"/>
        <w:spacing w:before="0"/>
        <w:ind w:firstLine="0" w:firstLineChars="0"/>
        <w:rPr>
          <w:rFonts w:hint="eastAsia" w:ascii="宋体" w:hAnsi="宋体" w:eastAsia="宋体" w:cs="宋体"/>
          <w:color w:val="auto"/>
          <w:highlight w:val="none"/>
        </w:rPr>
      </w:pPr>
      <w:bookmarkStart w:id="378" w:name="_Toc152042359"/>
      <w:bookmarkStart w:id="379" w:name="_Toc144974549"/>
      <w:bookmarkStart w:id="380" w:name="_Toc247514006"/>
      <w:bookmarkStart w:id="381" w:name="_Toc152045582"/>
      <w:bookmarkStart w:id="382" w:name="_Toc247527607"/>
      <w:r>
        <w:rPr>
          <w:rFonts w:hint="eastAsia" w:ascii="宋体" w:hAnsi="宋体" w:eastAsia="宋体" w:cs="宋体"/>
          <w:color w:val="auto"/>
          <w:highlight w:val="none"/>
        </w:rPr>
        <w:t>附件二：问题澄清通知</w:t>
      </w:r>
      <w:bookmarkEnd w:id="378"/>
      <w:bookmarkEnd w:id="379"/>
      <w:bookmarkEnd w:id="380"/>
      <w:bookmarkEnd w:id="381"/>
      <w:bookmarkEnd w:id="382"/>
    </w:p>
    <w:p w14:paraId="4C6FAF30">
      <w:pPr>
        <w:shd w:val="clear"/>
        <w:spacing w:line="440" w:lineRule="exact"/>
        <w:jc w:val="center"/>
        <w:rPr>
          <w:rFonts w:hint="eastAsia" w:ascii="宋体" w:hAnsi="宋体" w:eastAsia="宋体" w:cs="宋体"/>
          <w:color w:val="auto"/>
          <w:szCs w:val="21"/>
          <w:highlight w:val="none"/>
        </w:rPr>
      </w:pPr>
    </w:p>
    <w:p w14:paraId="10BD2DF0">
      <w:pPr>
        <w:shd w:val="clea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问题澄清通知</w:t>
      </w:r>
    </w:p>
    <w:p w14:paraId="1F7D91A8">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编号：</w:t>
      </w:r>
    </w:p>
    <w:p w14:paraId="25114856">
      <w:pPr>
        <w:shd w:val="clear"/>
        <w:spacing w:line="440" w:lineRule="exact"/>
        <w:rPr>
          <w:rFonts w:hint="eastAsia" w:ascii="宋体" w:hAnsi="宋体" w:eastAsia="宋体" w:cs="宋体"/>
          <w:color w:val="auto"/>
          <w:szCs w:val="21"/>
          <w:highlight w:val="none"/>
        </w:rPr>
      </w:pPr>
    </w:p>
    <w:p w14:paraId="10E6C6A3">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p w14:paraId="4ADA0813">
      <w:pPr>
        <w:shd w:val="clear"/>
        <w:spacing w:line="440" w:lineRule="exact"/>
        <w:rPr>
          <w:rFonts w:hint="eastAsia" w:ascii="宋体" w:hAnsi="宋体" w:eastAsia="宋体" w:cs="宋体"/>
          <w:color w:val="auto"/>
          <w:szCs w:val="21"/>
          <w:highlight w:val="none"/>
        </w:rPr>
      </w:pPr>
    </w:p>
    <w:p w14:paraId="3A98F531">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（工程名称）设计施工总承包招标的评标委员会，对你方的投标文件进行了仔细的审查，现需你方对下列问题以书面形式予以澄清：</w:t>
      </w:r>
    </w:p>
    <w:p w14:paraId="2EA33FD8">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3F61172F">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w:t>
      </w:r>
    </w:p>
    <w:p w14:paraId="7ECF5643">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w:t>
      </w:r>
    </w:p>
    <w:p w14:paraId="4E98A2FA">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   </w:t>
      </w:r>
    </w:p>
    <w:p w14:paraId="5156836E">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2CCD71AE">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请将上述问题的澄清于年月日时前递交至（详细地址）或传真至（传真号码）。采用传真方式的，应在年月日时前将原件递交至（详细地址）。</w:t>
      </w:r>
    </w:p>
    <w:p w14:paraId="375BB37C">
      <w:pPr>
        <w:shd w:val="clear"/>
        <w:spacing w:line="440" w:lineRule="exact"/>
        <w:rPr>
          <w:rFonts w:hint="eastAsia" w:ascii="宋体" w:hAnsi="宋体" w:eastAsia="宋体" w:cs="宋体"/>
          <w:color w:val="auto"/>
          <w:szCs w:val="21"/>
          <w:highlight w:val="none"/>
        </w:rPr>
      </w:pPr>
    </w:p>
    <w:p w14:paraId="7F22133D">
      <w:pPr>
        <w:shd w:val="clear"/>
        <w:spacing w:line="440" w:lineRule="exact"/>
        <w:rPr>
          <w:rFonts w:hint="eastAsia" w:ascii="宋体" w:hAnsi="宋体" w:eastAsia="宋体" w:cs="宋体"/>
          <w:color w:val="auto"/>
          <w:szCs w:val="21"/>
          <w:highlight w:val="none"/>
        </w:rPr>
      </w:pPr>
    </w:p>
    <w:p w14:paraId="0EEE96DE">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评标委员会授权的招标人或招标代理机构：（签字或盖章）</w:t>
      </w:r>
    </w:p>
    <w:p w14:paraId="0D4C2BEC">
      <w:pPr>
        <w:shd w:val="clear"/>
        <w:spacing w:line="440" w:lineRule="exact"/>
        <w:rPr>
          <w:rFonts w:hint="eastAsia" w:ascii="宋体" w:hAnsi="宋体" w:eastAsia="宋体" w:cs="宋体"/>
          <w:color w:val="auto"/>
          <w:szCs w:val="21"/>
          <w:highlight w:val="none"/>
        </w:rPr>
      </w:pPr>
    </w:p>
    <w:p w14:paraId="0ACABDBE">
      <w:pPr>
        <w:shd w:val="clear"/>
        <w:spacing w:line="44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年月日</w:t>
      </w:r>
    </w:p>
    <w:p w14:paraId="69521980">
      <w:pPr>
        <w:shd w:val="clear"/>
        <w:spacing w:line="400" w:lineRule="exact"/>
        <w:rPr>
          <w:rFonts w:hint="eastAsia" w:ascii="宋体" w:hAnsi="宋体" w:eastAsia="宋体" w:cs="宋体"/>
          <w:color w:val="auto"/>
          <w:szCs w:val="21"/>
          <w:highlight w:val="none"/>
        </w:rPr>
      </w:pPr>
    </w:p>
    <w:p w14:paraId="06572EE4">
      <w:pPr>
        <w:shd w:val="clea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4030E262">
      <w:pPr>
        <w:pStyle w:val="4"/>
        <w:shd w:val="clear"/>
        <w:ind w:firstLine="0" w:firstLineChars="0"/>
        <w:rPr>
          <w:rFonts w:hint="eastAsia" w:ascii="宋体" w:hAnsi="宋体" w:eastAsia="宋体" w:cs="宋体"/>
          <w:color w:val="auto"/>
          <w:highlight w:val="none"/>
        </w:rPr>
      </w:pPr>
      <w:bookmarkStart w:id="383" w:name="_Toc247527608"/>
      <w:bookmarkStart w:id="384" w:name="_Toc152042360"/>
      <w:bookmarkStart w:id="385" w:name="_Toc11670"/>
      <w:bookmarkStart w:id="386" w:name="_Toc247514007"/>
      <w:bookmarkStart w:id="387" w:name="_Toc152045583"/>
      <w:bookmarkStart w:id="388" w:name="_Toc14870"/>
      <w:bookmarkStart w:id="389" w:name="_Toc144974550"/>
      <w:r>
        <w:rPr>
          <w:rFonts w:hint="eastAsia" w:ascii="宋体" w:hAnsi="宋体" w:eastAsia="宋体" w:cs="宋体"/>
          <w:color w:val="auto"/>
          <w:highlight w:val="none"/>
        </w:rPr>
        <w:t>附件三：问题的澄清</w:t>
      </w:r>
      <w:bookmarkEnd w:id="383"/>
      <w:bookmarkEnd w:id="384"/>
      <w:bookmarkEnd w:id="385"/>
      <w:bookmarkEnd w:id="386"/>
      <w:bookmarkEnd w:id="387"/>
      <w:bookmarkEnd w:id="388"/>
      <w:bookmarkEnd w:id="389"/>
    </w:p>
    <w:p w14:paraId="61B5474B">
      <w:pPr>
        <w:shd w:val="clear"/>
        <w:spacing w:line="400" w:lineRule="exact"/>
        <w:jc w:val="center"/>
        <w:rPr>
          <w:rFonts w:hint="eastAsia" w:ascii="宋体" w:hAnsi="宋体" w:eastAsia="宋体" w:cs="宋体"/>
          <w:color w:val="auto"/>
          <w:szCs w:val="21"/>
          <w:highlight w:val="none"/>
        </w:rPr>
      </w:pPr>
    </w:p>
    <w:p w14:paraId="2711EB66">
      <w:pPr>
        <w:shd w:val="clea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问题的澄清</w:t>
      </w:r>
    </w:p>
    <w:p w14:paraId="070E5671">
      <w:pPr>
        <w:shd w:val="clear"/>
        <w:spacing w:line="400" w:lineRule="exact"/>
        <w:ind w:firstLine="3465" w:firstLineChars="16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编号： </w:t>
      </w:r>
    </w:p>
    <w:p w14:paraId="37794149">
      <w:pPr>
        <w:shd w:val="clear"/>
        <w:spacing w:line="400" w:lineRule="exact"/>
        <w:rPr>
          <w:rFonts w:hint="eastAsia" w:ascii="宋体" w:hAnsi="宋体" w:eastAsia="宋体" w:cs="宋体"/>
          <w:color w:val="auto"/>
          <w:szCs w:val="21"/>
          <w:highlight w:val="none"/>
        </w:rPr>
      </w:pPr>
    </w:p>
    <w:p w14:paraId="558CFF2B">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（工程名称）设计施工总承包招标评标委员会：</w:t>
      </w:r>
    </w:p>
    <w:p w14:paraId="6059E536">
      <w:pPr>
        <w:shd w:val="clear"/>
        <w:spacing w:line="440" w:lineRule="exact"/>
        <w:rPr>
          <w:rFonts w:hint="eastAsia" w:ascii="宋体" w:hAnsi="宋体" w:eastAsia="宋体" w:cs="宋体"/>
          <w:color w:val="auto"/>
          <w:szCs w:val="21"/>
          <w:highlight w:val="none"/>
        </w:rPr>
      </w:pPr>
    </w:p>
    <w:p w14:paraId="654B99D8">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问题澄清通知（编号：）已收悉，现澄清如下：</w:t>
      </w:r>
    </w:p>
    <w:p w14:paraId="4A0C1A44">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1.</w:t>
      </w:r>
    </w:p>
    <w:p w14:paraId="0BCC5EC5">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2.</w:t>
      </w:r>
    </w:p>
    <w:p w14:paraId="13F2AC28">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70D86074">
      <w:pPr>
        <w:shd w:val="clear"/>
        <w:spacing w:line="440" w:lineRule="exact"/>
        <w:rPr>
          <w:rFonts w:hint="eastAsia" w:ascii="宋体" w:hAnsi="宋体" w:eastAsia="宋体" w:cs="宋体"/>
          <w:color w:val="auto"/>
          <w:szCs w:val="21"/>
          <w:highlight w:val="none"/>
        </w:rPr>
      </w:pPr>
    </w:p>
    <w:p w14:paraId="786FD10E">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E8B5934">
      <w:pPr>
        <w:shd w:val="clear"/>
        <w:spacing w:line="440" w:lineRule="exact"/>
        <w:rPr>
          <w:rFonts w:hint="eastAsia" w:ascii="宋体" w:hAnsi="宋体" w:eastAsia="宋体" w:cs="宋体"/>
          <w:color w:val="auto"/>
          <w:szCs w:val="21"/>
          <w:highlight w:val="none"/>
        </w:rPr>
      </w:pPr>
    </w:p>
    <w:p w14:paraId="24B9BC38">
      <w:pPr>
        <w:shd w:val="clear"/>
        <w:spacing w:line="440" w:lineRule="exact"/>
        <w:rPr>
          <w:rFonts w:hint="eastAsia" w:ascii="宋体" w:hAnsi="宋体" w:eastAsia="宋体" w:cs="宋体"/>
          <w:color w:val="auto"/>
          <w:szCs w:val="21"/>
          <w:highlight w:val="none"/>
        </w:rPr>
      </w:pPr>
    </w:p>
    <w:p w14:paraId="20C9DE6E">
      <w:pPr>
        <w:shd w:val="clear"/>
        <w:spacing w:line="440" w:lineRule="exact"/>
        <w:rPr>
          <w:rFonts w:hint="eastAsia" w:ascii="宋体" w:hAnsi="宋体" w:eastAsia="宋体" w:cs="宋体"/>
          <w:color w:val="auto"/>
          <w:szCs w:val="21"/>
          <w:highlight w:val="none"/>
        </w:rPr>
      </w:pPr>
    </w:p>
    <w:p w14:paraId="5ABCD10F">
      <w:pPr>
        <w:shd w:val="clear"/>
        <w:spacing w:line="440" w:lineRule="exact"/>
        <w:rPr>
          <w:rFonts w:hint="eastAsia" w:ascii="宋体" w:hAnsi="宋体" w:eastAsia="宋体" w:cs="宋体"/>
          <w:color w:val="auto"/>
          <w:szCs w:val="21"/>
          <w:highlight w:val="none"/>
        </w:rPr>
      </w:pPr>
    </w:p>
    <w:p w14:paraId="186E2F49">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投标人：（盖单位章）</w:t>
      </w:r>
    </w:p>
    <w:p w14:paraId="3A39E071">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2E7503E6">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法定代表人或其委托代理人：（签字）</w:t>
      </w:r>
    </w:p>
    <w:p w14:paraId="465E3EAC">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6BF9E3AF">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年月日</w:t>
      </w:r>
    </w:p>
    <w:p w14:paraId="1211E248">
      <w:pPr>
        <w:shd w:val="clear"/>
        <w:spacing w:line="400" w:lineRule="exact"/>
        <w:rPr>
          <w:rFonts w:hint="eastAsia" w:ascii="宋体" w:hAnsi="宋体" w:eastAsia="宋体" w:cs="宋体"/>
          <w:color w:val="auto"/>
          <w:highlight w:val="none"/>
        </w:rPr>
      </w:pPr>
    </w:p>
    <w:p w14:paraId="29544F07">
      <w:pPr>
        <w:shd w:val="clea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89B4DC4">
      <w:pPr>
        <w:pStyle w:val="4"/>
        <w:shd w:val="clear"/>
        <w:ind w:firstLine="0" w:firstLineChars="0"/>
        <w:rPr>
          <w:rFonts w:hint="eastAsia" w:ascii="宋体" w:hAnsi="宋体" w:eastAsia="宋体" w:cs="宋体"/>
          <w:color w:val="auto"/>
          <w:highlight w:val="none"/>
        </w:rPr>
      </w:pPr>
      <w:bookmarkStart w:id="390" w:name="_Toc247527609"/>
      <w:bookmarkStart w:id="391" w:name="_Toc144974551"/>
      <w:bookmarkStart w:id="392" w:name="_Toc247514008"/>
      <w:bookmarkStart w:id="393" w:name="_Toc32746"/>
      <w:bookmarkStart w:id="394" w:name="_Toc30680"/>
      <w:bookmarkStart w:id="395" w:name="_Toc152045584"/>
      <w:bookmarkStart w:id="396" w:name="_Toc152042361"/>
      <w:r>
        <w:rPr>
          <w:rFonts w:hint="eastAsia" w:ascii="宋体" w:hAnsi="宋体" w:eastAsia="宋体" w:cs="宋体"/>
          <w:color w:val="auto"/>
          <w:highlight w:val="none"/>
        </w:rPr>
        <w:t>附件四：中标通知书</w:t>
      </w:r>
      <w:bookmarkEnd w:id="390"/>
      <w:bookmarkEnd w:id="391"/>
      <w:bookmarkEnd w:id="392"/>
      <w:bookmarkEnd w:id="393"/>
      <w:bookmarkEnd w:id="394"/>
      <w:bookmarkEnd w:id="395"/>
      <w:bookmarkEnd w:id="396"/>
    </w:p>
    <w:p w14:paraId="74C30D3D">
      <w:pPr>
        <w:shd w:val="clear"/>
        <w:spacing w:line="400" w:lineRule="exact"/>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中标通知书（以交易中心出具为准）</w:t>
      </w:r>
    </w:p>
    <w:p w14:paraId="5B435068">
      <w:pPr>
        <w:pStyle w:val="2"/>
        <w:shd w:val="clear"/>
        <w:jc w:val="center"/>
        <w:rPr>
          <w:rFonts w:hint="eastAsia" w:ascii="宋体" w:hAnsi="宋体" w:eastAsia="宋体" w:cs="宋体"/>
          <w:color w:val="auto"/>
          <w:highlight w:val="none"/>
        </w:rPr>
      </w:pPr>
      <w:bookmarkStart w:id="397" w:name="_Toc152045598"/>
      <w:bookmarkStart w:id="398" w:name="_Toc144974565"/>
      <w:bookmarkStart w:id="399" w:name="_Toc247527623"/>
      <w:bookmarkStart w:id="400" w:name="_Toc152042375"/>
      <w:bookmarkStart w:id="401" w:name="_Toc247514022"/>
      <w:r>
        <w:rPr>
          <w:rFonts w:hint="eastAsia" w:ascii="宋体" w:hAnsi="宋体" w:eastAsia="宋体" w:cs="宋体"/>
          <w:color w:val="auto"/>
          <w:highlight w:val="none"/>
        </w:rPr>
        <w:br w:type="page"/>
      </w:r>
      <w:bookmarkStart w:id="402" w:name="_Toc12849"/>
      <w:bookmarkStart w:id="403" w:name="_Toc28885"/>
      <w:r>
        <w:rPr>
          <w:rFonts w:hint="eastAsia" w:ascii="宋体" w:hAnsi="宋体" w:eastAsia="宋体" w:cs="宋体"/>
          <w:color w:val="auto"/>
          <w:highlight w:val="none"/>
        </w:rPr>
        <w:t>第三章  评标办法（综合评估法）</w:t>
      </w:r>
      <w:bookmarkEnd w:id="397"/>
      <w:bookmarkEnd w:id="398"/>
      <w:bookmarkEnd w:id="399"/>
      <w:bookmarkEnd w:id="400"/>
      <w:bookmarkEnd w:id="401"/>
      <w:bookmarkEnd w:id="402"/>
      <w:bookmarkEnd w:id="403"/>
    </w:p>
    <w:p w14:paraId="36187E0F">
      <w:pPr>
        <w:pStyle w:val="3"/>
        <w:shd w:val="clear"/>
        <w:jc w:val="center"/>
        <w:rPr>
          <w:rFonts w:hint="eastAsia" w:ascii="宋体" w:hAnsi="宋体" w:eastAsia="宋体" w:cs="宋体"/>
          <w:color w:val="auto"/>
          <w:highlight w:val="none"/>
        </w:rPr>
      </w:pPr>
      <w:bookmarkStart w:id="404" w:name="_Toc4306"/>
      <w:bookmarkStart w:id="405" w:name="_Toc12277"/>
      <w:bookmarkStart w:id="406" w:name="_Toc247527624"/>
      <w:bookmarkStart w:id="407" w:name="_Toc152042376"/>
      <w:bookmarkStart w:id="408" w:name="_Toc152045599"/>
      <w:bookmarkStart w:id="409" w:name="_Toc144974566"/>
      <w:bookmarkStart w:id="410" w:name="_Toc247514023"/>
      <w:r>
        <w:rPr>
          <w:rFonts w:hint="eastAsia" w:ascii="宋体" w:hAnsi="宋体" w:eastAsia="宋体" w:cs="宋体"/>
          <w:color w:val="auto"/>
          <w:highlight w:val="none"/>
        </w:rPr>
        <w:t>评标办法前附表</w:t>
      </w:r>
      <w:bookmarkEnd w:id="404"/>
      <w:bookmarkEnd w:id="405"/>
      <w:bookmarkEnd w:id="406"/>
      <w:bookmarkEnd w:id="407"/>
      <w:bookmarkEnd w:id="408"/>
      <w:bookmarkEnd w:id="409"/>
      <w:bookmarkEnd w:id="410"/>
    </w:p>
    <w:tbl>
      <w:tblPr>
        <w:tblStyle w:val="40"/>
        <w:tblW w:w="9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9"/>
        <w:gridCol w:w="171"/>
        <w:gridCol w:w="670"/>
        <w:gridCol w:w="902"/>
        <w:gridCol w:w="1811"/>
        <w:gridCol w:w="5729"/>
      </w:tblGrid>
      <w:tr w14:paraId="07BD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trPr>
        <w:tc>
          <w:tcPr>
            <w:tcW w:w="2412" w:type="dxa"/>
            <w:gridSpan w:val="4"/>
            <w:shd w:val="clear" w:color="auto" w:fill="auto"/>
            <w:vAlign w:val="center"/>
          </w:tcPr>
          <w:p w14:paraId="46948640">
            <w:pPr>
              <w:shd w:val="clear"/>
              <w:spacing w:line="276" w:lineRule="auto"/>
              <w:jc w:val="center"/>
              <w:rPr>
                <w:rFonts w:hint="eastAsia" w:ascii="宋体" w:hAnsi="宋体" w:eastAsia="宋体" w:cs="宋体"/>
                <w:b/>
                <w:color w:val="auto"/>
                <w:sz w:val="21"/>
                <w:szCs w:val="21"/>
                <w:highlight w:val="none"/>
              </w:rPr>
            </w:pPr>
            <w:bookmarkStart w:id="411" w:name="_Toc152045600"/>
            <w:bookmarkStart w:id="412" w:name="_Toc247514024"/>
            <w:bookmarkStart w:id="413" w:name="_Toc144974567"/>
            <w:bookmarkStart w:id="414" w:name="_Toc152042377"/>
            <w:bookmarkStart w:id="415" w:name="_Toc247527625"/>
            <w:r>
              <w:rPr>
                <w:rFonts w:hint="eastAsia" w:ascii="宋体" w:hAnsi="宋体" w:eastAsia="宋体" w:cs="宋体"/>
                <w:b/>
                <w:color w:val="auto"/>
                <w:sz w:val="21"/>
                <w:szCs w:val="21"/>
                <w:highlight w:val="none"/>
              </w:rPr>
              <w:t>条款号</w:t>
            </w:r>
          </w:p>
        </w:tc>
        <w:tc>
          <w:tcPr>
            <w:tcW w:w="1811" w:type="dxa"/>
            <w:shd w:val="clear" w:color="auto" w:fill="auto"/>
            <w:vAlign w:val="center"/>
          </w:tcPr>
          <w:p w14:paraId="043C6319">
            <w:pPr>
              <w:shd w:val="clear"/>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5729" w:type="dxa"/>
            <w:shd w:val="clear" w:color="auto" w:fill="auto"/>
            <w:vAlign w:val="center"/>
          </w:tcPr>
          <w:p w14:paraId="69502609">
            <w:pPr>
              <w:shd w:val="clear"/>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r>
      <w:tr w14:paraId="71F6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restart"/>
            <w:shd w:val="clear" w:color="auto" w:fill="auto"/>
            <w:vAlign w:val="center"/>
          </w:tcPr>
          <w:p w14:paraId="16DA90CB">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743" w:type="dxa"/>
            <w:gridSpan w:val="3"/>
            <w:vMerge w:val="restart"/>
            <w:shd w:val="clear" w:color="auto" w:fill="auto"/>
            <w:vAlign w:val="center"/>
          </w:tcPr>
          <w:p w14:paraId="76C37A46">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1811" w:type="dxa"/>
            <w:shd w:val="clear" w:color="auto" w:fill="auto"/>
            <w:vAlign w:val="center"/>
          </w:tcPr>
          <w:p w14:paraId="7EF582FE">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5729" w:type="dxa"/>
            <w:shd w:val="clear" w:color="auto" w:fill="auto"/>
            <w:vAlign w:val="center"/>
          </w:tcPr>
          <w:p w14:paraId="27731F5B">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w:t>
            </w:r>
            <w:r>
              <w:rPr>
                <w:rFonts w:hint="eastAsia" w:ascii="宋体" w:hAnsi="宋体" w:eastAsia="宋体" w:cs="宋体"/>
                <w:color w:val="auto"/>
                <w:sz w:val="21"/>
                <w:szCs w:val="21"/>
                <w:highlight w:val="none"/>
                <w:u w:val="single"/>
              </w:rPr>
              <w:t>或法人证书</w:t>
            </w:r>
            <w:r>
              <w:rPr>
                <w:rFonts w:hint="eastAsia" w:ascii="宋体" w:hAnsi="宋体" w:eastAsia="宋体" w:cs="宋体"/>
                <w:color w:val="auto"/>
                <w:sz w:val="21"/>
                <w:szCs w:val="21"/>
                <w:highlight w:val="none"/>
              </w:rPr>
              <w:t>、资质证书一致</w:t>
            </w:r>
          </w:p>
        </w:tc>
      </w:tr>
      <w:tr w14:paraId="7CD2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5BC3D0C8">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2F321D8E">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750F4ED9">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法定代表人证明及授权</w:t>
            </w:r>
          </w:p>
        </w:tc>
        <w:tc>
          <w:tcPr>
            <w:tcW w:w="5729" w:type="dxa"/>
            <w:shd w:val="clear" w:color="auto" w:fill="auto"/>
            <w:vAlign w:val="center"/>
          </w:tcPr>
          <w:p w14:paraId="2D4593AD">
            <w:pPr>
              <w:shd w:val="clear"/>
              <w:spacing w:line="27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投标文件中有有效的法定代表人证明书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法人授权委托证明书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p>
        </w:tc>
      </w:tr>
      <w:tr w14:paraId="79ADA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506DA540">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6828DB34">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0A6787EB">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投标承诺函</w:t>
            </w:r>
          </w:p>
        </w:tc>
        <w:tc>
          <w:tcPr>
            <w:tcW w:w="5729" w:type="dxa"/>
            <w:shd w:val="clear" w:color="auto" w:fill="auto"/>
            <w:vAlign w:val="center"/>
          </w:tcPr>
          <w:p w14:paraId="6385D15B">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投标承诺函内容与招标文件规定一致，且按规定加盖投标人电子印章</w:t>
            </w:r>
          </w:p>
        </w:tc>
      </w:tr>
      <w:tr w14:paraId="3499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0669D980">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0129ADAC">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51B11B4C">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5729" w:type="dxa"/>
            <w:shd w:val="clear" w:color="auto" w:fill="auto"/>
            <w:vAlign w:val="center"/>
          </w:tcPr>
          <w:p w14:paraId="4DF2664F">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符合第七章“投标文件格式”的要求</w:t>
            </w:r>
          </w:p>
        </w:tc>
      </w:tr>
      <w:tr w14:paraId="6EDE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046D514C">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2E5D28B0">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01BA3B32">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5729" w:type="dxa"/>
            <w:shd w:val="clear" w:color="auto" w:fill="auto"/>
            <w:vAlign w:val="center"/>
          </w:tcPr>
          <w:p w14:paraId="6600EBB5">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只能有一个有效报价</w:t>
            </w:r>
          </w:p>
        </w:tc>
      </w:tr>
      <w:tr w14:paraId="64FE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64729F2F">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45E4216D">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7A0E6736">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机器特征码一致</w:t>
            </w:r>
          </w:p>
        </w:tc>
        <w:tc>
          <w:tcPr>
            <w:tcW w:w="5729" w:type="dxa"/>
            <w:shd w:val="clear" w:color="auto" w:fill="auto"/>
            <w:vAlign w:val="center"/>
          </w:tcPr>
          <w:p w14:paraId="7EE2F105">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不同投标人的加密打包投标文件电脑机器特征码不一致</w:t>
            </w:r>
          </w:p>
        </w:tc>
      </w:tr>
      <w:tr w14:paraId="22F8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restart"/>
            <w:shd w:val="clear" w:color="auto" w:fill="auto"/>
            <w:vAlign w:val="center"/>
          </w:tcPr>
          <w:p w14:paraId="000D2FFF">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1743" w:type="dxa"/>
            <w:gridSpan w:val="3"/>
            <w:vMerge w:val="restart"/>
            <w:shd w:val="clear" w:color="auto" w:fill="auto"/>
            <w:vAlign w:val="center"/>
          </w:tcPr>
          <w:p w14:paraId="6BB70EFA">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1811" w:type="dxa"/>
            <w:shd w:val="clear" w:color="auto" w:fill="auto"/>
            <w:vAlign w:val="center"/>
          </w:tcPr>
          <w:p w14:paraId="5BF25A7E">
            <w:pPr>
              <w:shd w:val="clear"/>
              <w:spacing w:line="276" w:lineRule="auto"/>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营业执照或事业单位法人证书</w:t>
            </w:r>
          </w:p>
        </w:tc>
        <w:tc>
          <w:tcPr>
            <w:tcW w:w="5729" w:type="dxa"/>
            <w:shd w:val="clear" w:color="auto" w:fill="auto"/>
            <w:vAlign w:val="center"/>
          </w:tcPr>
          <w:p w14:paraId="10E32396">
            <w:pPr>
              <w:shd w:val="clear"/>
              <w:spacing w:line="276"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投标人具有有效的工商行政管理部门（或市场监督管理部门）核发的法人营业执照或各级政府事业单位登记管理机关颁发的</w:t>
            </w:r>
            <w:bookmarkStart w:id="416" w:name="OLE_LINK10"/>
            <w:r>
              <w:rPr>
                <w:rFonts w:hint="eastAsia" w:ascii="宋体" w:hAnsi="宋体" w:eastAsia="宋体" w:cs="宋体"/>
                <w:color w:val="auto"/>
                <w:sz w:val="21"/>
                <w:szCs w:val="21"/>
                <w:highlight w:val="none"/>
                <w:u w:val="single"/>
              </w:rPr>
              <w:t>事业单位</w:t>
            </w:r>
            <w:bookmarkEnd w:id="416"/>
            <w:r>
              <w:rPr>
                <w:rFonts w:hint="eastAsia" w:ascii="宋体" w:hAnsi="宋体" w:eastAsia="宋体" w:cs="宋体"/>
                <w:color w:val="auto"/>
                <w:sz w:val="21"/>
                <w:szCs w:val="21"/>
                <w:highlight w:val="none"/>
                <w:u w:val="single"/>
              </w:rPr>
              <w:t>法人证书，按国家法律经营</w:t>
            </w:r>
          </w:p>
        </w:tc>
      </w:tr>
      <w:tr w14:paraId="0C54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5A824482">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5180BEA7">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2DBC9528">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资质等级</w:t>
            </w:r>
          </w:p>
        </w:tc>
        <w:tc>
          <w:tcPr>
            <w:tcW w:w="5729" w:type="dxa"/>
            <w:shd w:val="clear" w:color="auto" w:fill="auto"/>
            <w:vAlign w:val="center"/>
          </w:tcPr>
          <w:p w14:paraId="6BEDAC26">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符合第二章“投标人须知”第1.4.1项规定</w:t>
            </w:r>
          </w:p>
        </w:tc>
      </w:tr>
      <w:tr w14:paraId="4A42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79A83D67">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18E31DA9">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4AC481B0">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财务状况</w:t>
            </w:r>
          </w:p>
        </w:tc>
        <w:tc>
          <w:tcPr>
            <w:tcW w:w="5729" w:type="dxa"/>
            <w:shd w:val="clear" w:color="auto" w:fill="auto"/>
            <w:vAlign w:val="center"/>
          </w:tcPr>
          <w:p w14:paraId="5D7CC3D1">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DE2E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535C49BB">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4402A695">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0B36F01A">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类似项目业绩</w:t>
            </w:r>
          </w:p>
        </w:tc>
        <w:tc>
          <w:tcPr>
            <w:tcW w:w="5729" w:type="dxa"/>
            <w:shd w:val="clear" w:color="auto" w:fill="auto"/>
            <w:vAlign w:val="center"/>
          </w:tcPr>
          <w:p w14:paraId="576E294D">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53F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4B7517D0">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1E75BC3F">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4C6140C8">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w:t>
            </w:r>
          </w:p>
        </w:tc>
        <w:tc>
          <w:tcPr>
            <w:tcW w:w="5729" w:type="dxa"/>
            <w:shd w:val="clear" w:color="auto" w:fill="auto"/>
            <w:vAlign w:val="center"/>
          </w:tcPr>
          <w:p w14:paraId="1906E5FD">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204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3D9A6957">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280FB91C">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2AF76B59">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p>
        </w:tc>
        <w:tc>
          <w:tcPr>
            <w:tcW w:w="5729" w:type="dxa"/>
            <w:shd w:val="clear" w:color="auto" w:fill="auto"/>
            <w:vAlign w:val="center"/>
          </w:tcPr>
          <w:p w14:paraId="5A384136">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符合第二章“投标人须知”第1.4.1项规定</w:t>
            </w:r>
          </w:p>
        </w:tc>
      </w:tr>
      <w:tr w14:paraId="11CD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3C603671">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5CC568AD">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7BC9EE5E">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施工负责人</w:t>
            </w:r>
          </w:p>
        </w:tc>
        <w:tc>
          <w:tcPr>
            <w:tcW w:w="5729" w:type="dxa"/>
            <w:shd w:val="clear" w:color="auto" w:fill="auto"/>
            <w:vAlign w:val="center"/>
          </w:tcPr>
          <w:p w14:paraId="05F9ED19">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符合第二章“投标人须知”第1.4.1项规定</w:t>
            </w:r>
          </w:p>
        </w:tc>
      </w:tr>
      <w:tr w14:paraId="3B3B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415DF4CA">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1E13EA14">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3E39D203">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设计负责人</w:t>
            </w:r>
          </w:p>
        </w:tc>
        <w:tc>
          <w:tcPr>
            <w:tcW w:w="5729" w:type="dxa"/>
            <w:shd w:val="clear" w:color="auto" w:fill="auto"/>
            <w:vAlign w:val="center"/>
          </w:tcPr>
          <w:p w14:paraId="2BDEB2C0">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符合第二章“投标人须知”第1.4.1项规定</w:t>
            </w:r>
          </w:p>
        </w:tc>
      </w:tr>
      <w:tr w14:paraId="3AE6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2DC1E7B5">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6144C5DA">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18CB61C1">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施工技术负责人</w:t>
            </w:r>
          </w:p>
        </w:tc>
        <w:tc>
          <w:tcPr>
            <w:tcW w:w="5729" w:type="dxa"/>
            <w:shd w:val="clear" w:color="auto" w:fill="auto"/>
            <w:vAlign w:val="center"/>
          </w:tcPr>
          <w:p w14:paraId="5033A485">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符合第二章“投标人须知”第1.4.1项规定</w:t>
            </w:r>
          </w:p>
        </w:tc>
      </w:tr>
      <w:tr w14:paraId="3942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21A01B17">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249BB186">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353B0235">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专职安全员</w:t>
            </w:r>
          </w:p>
        </w:tc>
        <w:tc>
          <w:tcPr>
            <w:tcW w:w="5729" w:type="dxa"/>
            <w:shd w:val="clear" w:color="auto" w:fill="auto"/>
            <w:vAlign w:val="center"/>
          </w:tcPr>
          <w:p w14:paraId="63B82DFE">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符合第二章“投标人须知”第1.4.1项规定</w:t>
            </w:r>
          </w:p>
        </w:tc>
      </w:tr>
      <w:tr w14:paraId="0641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46C5BBFA">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3EF3D890">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7A8B6AF3">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5729" w:type="dxa"/>
            <w:shd w:val="clear" w:color="auto" w:fill="auto"/>
            <w:vAlign w:val="center"/>
          </w:tcPr>
          <w:p w14:paraId="6D14F7F0">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符合第二章“投标人须知”第1.4.1项规定</w:t>
            </w:r>
          </w:p>
        </w:tc>
      </w:tr>
      <w:tr w14:paraId="7092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551A8D9F">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20491AD4">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1E0AD0F2">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联合体投标人</w:t>
            </w:r>
          </w:p>
        </w:tc>
        <w:tc>
          <w:tcPr>
            <w:tcW w:w="5729" w:type="dxa"/>
            <w:shd w:val="clear" w:color="auto" w:fill="auto"/>
            <w:vAlign w:val="center"/>
          </w:tcPr>
          <w:p w14:paraId="146DD016">
            <w:pPr>
              <w:shd w:val="clear"/>
              <w:spacing w:line="276" w:lineRule="auto"/>
              <w:rPr>
                <w:rFonts w:hint="eastAsia" w:ascii="宋体" w:hAnsi="宋体" w:eastAsia="宋体" w:cs="宋体"/>
                <w:color w:val="auto"/>
                <w:sz w:val="21"/>
                <w:szCs w:val="21"/>
                <w:highlight w:val="none"/>
              </w:rPr>
            </w:pPr>
            <w:bookmarkStart w:id="417" w:name="OLE_LINK7"/>
            <w:r>
              <w:rPr>
                <w:rFonts w:hint="eastAsia" w:ascii="宋体" w:hAnsi="宋体" w:eastAsia="宋体" w:cs="宋体"/>
                <w:color w:val="auto"/>
                <w:sz w:val="21"/>
                <w:szCs w:val="21"/>
                <w:highlight w:val="none"/>
              </w:rPr>
              <w:t>符合第二章“投标人须知”第1.4.2项规定</w:t>
            </w:r>
            <w:bookmarkEnd w:id="417"/>
          </w:p>
        </w:tc>
      </w:tr>
      <w:tr w14:paraId="0937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restart"/>
            <w:shd w:val="clear" w:color="auto" w:fill="auto"/>
            <w:vAlign w:val="center"/>
          </w:tcPr>
          <w:p w14:paraId="22A89E63">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1743" w:type="dxa"/>
            <w:gridSpan w:val="3"/>
            <w:vMerge w:val="restart"/>
            <w:shd w:val="clear" w:color="auto" w:fill="auto"/>
            <w:vAlign w:val="center"/>
          </w:tcPr>
          <w:p w14:paraId="201A40D9">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工程总承包实施方案响应性评审标准</w:t>
            </w:r>
          </w:p>
        </w:tc>
        <w:tc>
          <w:tcPr>
            <w:tcW w:w="1811" w:type="dxa"/>
            <w:shd w:val="clear" w:color="auto" w:fill="auto"/>
            <w:vAlign w:val="center"/>
          </w:tcPr>
          <w:p w14:paraId="0E09FA23">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5729" w:type="dxa"/>
            <w:shd w:val="clear" w:color="auto" w:fill="auto"/>
            <w:vAlign w:val="center"/>
          </w:tcPr>
          <w:p w14:paraId="6E8741CE">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符合第二章“投标人须知”第3.2.2项规定且不低于企业成本</w:t>
            </w:r>
          </w:p>
        </w:tc>
      </w:tr>
      <w:tr w14:paraId="36D3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43A48A58">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41E3F234">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64B0F059">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5729" w:type="dxa"/>
            <w:shd w:val="clear" w:color="auto" w:fill="auto"/>
            <w:vAlign w:val="center"/>
          </w:tcPr>
          <w:p w14:paraId="195B7002">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符合第二章“投标人须知”第1.3.1项规定</w:t>
            </w:r>
          </w:p>
        </w:tc>
      </w:tr>
      <w:tr w14:paraId="0217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69" w:type="dxa"/>
            <w:vMerge w:val="continue"/>
            <w:shd w:val="clear" w:color="auto" w:fill="auto"/>
            <w:vAlign w:val="center"/>
          </w:tcPr>
          <w:p w14:paraId="4A17D1A5">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2E9655A9">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445C1D1D">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w:t>
            </w:r>
          </w:p>
        </w:tc>
        <w:tc>
          <w:tcPr>
            <w:tcW w:w="5729" w:type="dxa"/>
            <w:shd w:val="clear" w:color="auto" w:fill="auto"/>
            <w:vAlign w:val="center"/>
          </w:tcPr>
          <w:p w14:paraId="1545B7F8">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符合第二章“投标人须知”第1.3.2项规定</w:t>
            </w:r>
          </w:p>
        </w:tc>
      </w:tr>
      <w:tr w14:paraId="63B2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trPr>
        <w:tc>
          <w:tcPr>
            <w:tcW w:w="669" w:type="dxa"/>
            <w:vMerge w:val="continue"/>
            <w:shd w:val="clear" w:color="auto" w:fill="auto"/>
            <w:vAlign w:val="center"/>
          </w:tcPr>
          <w:p w14:paraId="4B107F32">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6E83F8A1">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1733C012">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5729" w:type="dxa"/>
            <w:shd w:val="clear" w:color="auto" w:fill="auto"/>
            <w:vAlign w:val="center"/>
          </w:tcPr>
          <w:p w14:paraId="4D3890A9">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符合第二章“投标人须知”第1.3.3项规定</w:t>
            </w:r>
          </w:p>
        </w:tc>
      </w:tr>
      <w:tr w14:paraId="34BA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trPr>
        <w:tc>
          <w:tcPr>
            <w:tcW w:w="669" w:type="dxa"/>
            <w:vMerge w:val="continue"/>
            <w:shd w:val="clear" w:color="auto" w:fill="auto"/>
            <w:vAlign w:val="center"/>
          </w:tcPr>
          <w:p w14:paraId="6D0B7EA0">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42547632">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4AF8D0D8">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5729" w:type="dxa"/>
            <w:shd w:val="clear" w:color="auto" w:fill="auto"/>
            <w:vAlign w:val="center"/>
          </w:tcPr>
          <w:p w14:paraId="6B2C721F">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符合第二章“投标人须知”第3.3.1项规定</w:t>
            </w:r>
          </w:p>
        </w:tc>
      </w:tr>
      <w:tr w14:paraId="7315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75BD3EF1">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7CD52782">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5C3DB912">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合法合规性</w:t>
            </w:r>
          </w:p>
        </w:tc>
        <w:tc>
          <w:tcPr>
            <w:tcW w:w="5729" w:type="dxa"/>
            <w:shd w:val="clear" w:color="auto" w:fill="auto"/>
            <w:vAlign w:val="center"/>
          </w:tcPr>
          <w:p w14:paraId="2C2E1D10">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投标人之间不存在《广东省实施&lt;中华人民共和国招标投标法&gt;</w:t>
            </w:r>
            <w:r>
              <w:rPr>
                <w:rFonts w:hint="eastAsia" w:ascii="宋体" w:hAnsi="宋体" w:eastAsia="宋体" w:cs="宋体"/>
                <w:color w:val="auto"/>
                <w:sz w:val="21"/>
                <w:szCs w:val="21"/>
                <w:highlight w:val="none"/>
                <w:lang w:val="en-US" w:eastAsia="zh-CN"/>
              </w:rPr>
              <w:t>办法</w:t>
            </w:r>
            <w:r>
              <w:rPr>
                <w:rFonts w:hint="eastAsia" w:ascii="宋体" w:hAnsi="宋体" w:eastAsia="宋体" w:cs="宋体"/>
                <w:color w:val="auto"/>
                <w:sz w:val="21"/>
                <w:szCs w:val="21"/>
                <w:highlight w:val="none"/>
              </w:rPr>
              <w:t>》第十六条所禁止的情形的</w:t>
            </w:r>
          </w:p>
        </w:tc>
      </w:tr>
      <w:tr w14:paraId="2801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12" w:type="dxa"/>
            <w:gridSpan w:val="4"/>
            <w:shd w:val="clear" w:color="auto" w:fill="auto"/>
            <w:vAlign w:val="center"/>
          </w:tcPr>
          <w:p w14:paraId="1A181BC6">
            <w:pPr>
              <w:shd w:val="clear"/>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811" w:type="dxa"/>
            <w:shd w:val="clear" w:color="auto" w:fill="auto"/>
            <w:vAlign w:val="center"/>
          </w:tcPr>
          <w:p w14:paraId="251E81A7">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条款内容</w:t>
            </w:r>
          </w:p>
        </w:tc>
        <w:tc>
          <w:tcPr>
            <w:tcW w:w="5729" w:type="dxa"/>
            <w:shd w:val="clear" w:color="auto" w:fill="auto"/>
            <w:vAlign w:val="center"/>
          </w:tcPr>
          <w:p w14:paraId="5EFE66F0">
            <w:pPr>
              <w:shd w:val="clear"/>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编列内容</w:t>
            </w:r>
          </w:p>
        </w:tc>
      </w:tr>
      <w:tr w14:paraId="6143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2412" w:type="dxa"/>
            <w:gridSpan w:val="4"/>
            <w:shd w:val="clear" w:color="auto" w:fill="auto"/>
            <w:vAlign w:val="center"/>
          </w:tcPr>
          <w:p w14:paraId="1B857249">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811" w:type="dxa"/>
            <w:shd w:val="clear" w:color="auto" w:fill="auto"/>
            <w:vAlign w:val="center"/>
          </w:tcPr>
          <w:p w14:paraId="78286F27">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14:paraId="01344B22">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(总分100分)</w:t>
            </w:r>
          </w:p>
        </w:tc>
        <w:tc>
          <w:tcPr>
            <w:tcW w:w="5729" w:type="dxa"/>
            <w:shd w:val="clear" w:color="auto" w:fill="auto"/>
            <w:vAlign w:val="center"/>
          </w:tcPr>
          <w:p w14:paraId="09784DF9">
            <w:pPr>
              <w:shd w:val="clear"/>
              <w:spacing w:line="276"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总分=设计</w:t>
            </w:r>
            <w:r>
              <w:rPr>
                <w:rFonts w:hint="eastAsia" w:ascii="宋体" w:hAnsi="宋体" w:cs="宋体"/>
                <w:b/>
                <w:bCs/>
                <w:color w:val="auto"/>
                <w:sz w:val="21"/>
                <w:szCs w:val="21"/>
                <w:highlight w:val="none"/>
                <w:lang w:val="en-US" w:eastAsia="zh-CN"/>
              </w:rPr>
              <w:t>部分</w:t>
            </w:r>
            <w:r>
              <w:rPr>
                <w:rFonts w:hint="eastAsia" w:ascii="宋体" w:hAnsi="宋体" w:eastAsia="宋体" w:cs="宋体"/>
                <w:b/>
                <w:bCs/>
                <w:color w:val="auto"/>
                <w:sz w:val="21"/>
                <w:szCs w:val="21"/>
                <w:highlight w:val="none"/>
              </w:rPr>
              <w:t>得分（10分）+施工标得分×权重90%</w:t>
            </w:r>
          </w:p>
          <w:p w14:paraId="052BA16C">
            <w:pPr>
              <w:shd w:val="clear"/>
              <w:spacing w:line="276" w:lineRule="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其中:施工标得分=</w:t>
            </w:r>
            <w:r>
              <w:rPr>
                <w:rFonts w:hint="eastAsia" w:ascii="宋体" w:hAnsi="宋体" w:cs="宋体"/>
                <w:b/>
                <w:bCs/>
                <w:color w:val="auto"/>
                <w:sz w:val="21"/>
                <w:szCs w:val="21"/>
                <w:highlight w:val="none"/>
                <w:lang w:val="en-US" w:eastAsia="zh-CN"/>
              </w:rPr>
              <w:t>施工技术标</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报价×</w:t>
            </w:r>
            <w:r>
              <w:rPr>
                <w:rFonts w:hint="eastAsia" w:ascii="宋体" w:hAnsi="宋体" w:cs="宋体"/>
                <w:b/>
                <w:bCs/>
                <w:color w:val="auto"/>
                <w:sz w:val="21"/>
                <w:szCs w:val="21"/>
                <w:highlight w:val="none"/>
                <w:lang w:val="en-US" w:eastAsia="zh-CN"/>
              </w:rPr>
              <w:t>80</w:t>
            </w:r>
            <w:r>
              <w:rPr>
                <w:rFonts w:hint="eastAsia" w:ascii="宋体" w:hAnsi="宋体" w:eastAsia="宋体" w:cs="宋体"/>
                <w:b/>
                <w:bCs/>
                <w:color w:val="auto"/>
                <w:sz w:val="21"/>
                <w:szCs w:val="21"/>
                <w:highlight w:val="none"/>
              </w:rPr>
              <w:t xml:space="preserve">%。 </w:t>
            </w:r>
          </w:p>
        </w:tc>
      </w:tr>
      <w:tr w14:paraId="0AEF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2412" w:type="dxa"/>
            <w:gridSpan w:val="4"/>
            <w:shd w:val="clear" w:color="auto" w:fill="auto"/>
            <w:vAlign w:val="center"/>
          </w:tcPr>
          <w:p w14:paraId="15895E61">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811" w:type="dxa"/>
            <w:shd w:val="clear" w:color="auto" w:fill="auto"/>
            <w:vAlign w:val="center"/>
          </w:tcPr>
          <w:p w14:paraId="581DAE83">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5729" w:type="dxa"/>
            <w:shd w:val="clear" w:color="auto" w:fill="auto"/>
            <w:vAlign w:val="center"/>
          </w:tcPr>
          <w:p w14:paraId="7564D65D">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初步评审且经算术校核的投标总报价位于[本项目最高投标限价×90%，本项目最高投标限价]区间的投标人大于5家时，去掉一个最高价和一个最低价后，取剩余报价的算术平均值为评标基准价；通过初步评审且经算术校核的投标总报价位于[本项目最高投标限价×90%，本项目最高投标限价]区间的投标人少于</w:t>
            </w:r>
            <w:r>
              <w:rPr>
                <w:rFonts w:hint="eastAsia" w:ascii="宋体" w:hAnsi="宋体" w:eastAsia="宋体" w:cs="宋体"/>
                <w:color w:val="auto"/>
                <w:sz w:val="21"/>
                <w:szCs w:val="21"/>
                <w:highlight w:val="none"/>
                <w:lang w:val="en-US" w:eastAsia="zh-CN"/>
              </w:rPr>
              <w:t>或等于</w:t>
            </w:r>
            <w:r>
              <w:rPr>
                <w:rFonts w:hint="eastAsia" w:ascii="宋体" w:hAnsi="宋体" w:eastAsia="宋体" w:cs="宋体"/>
                <w:color w:val="auto"/>
                <w:sz w:val="21"/>
                <w:szCs w:val="21"/>
                <w:highlight w:val="none"/>
              </w:rPr>
              <w:t>5家时，直接取区间中的投标总报价的算术平均值为评标基准价。通过初步评审且经算术校核的投标总报价若没有位于[本项目最高总投标限价×90%，本项目最高投标限价]区间，则以本项目最高投标限价×90%为评标基准价。</w:t>
            </w:r>
          </w:p>
        </w:tc>
      </w:tr>
      <w:tr w14:paraId="27B9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2412" w:type="dxa"/>
            <w:gridSpan w:val="4"/>
            <w:shd w:val="clear" w:color="auto" w:fill="auto"/>
            <w:vAlign w:val="center"/>
          </w:tcPr>
          <w:p w14:paraId="388E7DB0">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1811" w:type="dxa"/>
            <w:shd w:val="clear" w:color="auto" w:fill="auto"/>
            <w:vAlign w:val="center"/>
          </w:tcPr>
          <w:p w14:paraId="49A4ED05">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投标报价的偏差率计算公式</w:t>
            </w:r>
          </w:p>
        </w:tc>
        <w:tc>
          <w:tcPr>
            <w:tcW w:w="5729" w:type="dxa"/>
            <w:shd w:val="clear" w:color="auto" w:fill="auto"/>
            <w:vAlign w:val="center"/>
          </w:tcPr>
          <w:p w14:paraId="5B94C066">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偏差率=100%×（投标总报价－评标基准价）/评标基准价</w:t>
            </w:r>
          </w:p>
        </w:tc>
      </w:tr>
      <w:tr w14:paraId="3E77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12" w:type="dxa"/>
            <w:gridSpan w:val="4"/>
            <w:shd w:val="clear" w:color="auto" w:fill="auto"/>
            <w:vAlign w:val="center"/>
          </w:tcPr>
          <w:p w14:paraId="51EC98F4">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条款号</w:t>
            </w:r>
          </w:p>
        </w:tc>
        <w:tc>
          <w:tcPr>
            <w:tcW w:w="1811" w:type="dxa"/>
            <w:shd w:val="clear" w:color="auto" w:fill="auto"/>
            <w:vAlign w:val="center"/>
          </w:tcPr>
          <w:p w14:paraId="4973852F">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评分因素</w:t>
            </w:r>
          </w:p>
        </w:tc>
        <w:tc>
          <w:tcPr>
            <w:tcW w:w="5729" w:type="dxa"/>
            <w:shd w:val="clear" w:color="auto" w:fill="auto"/>
            <w:vAlign w:val="center"/>
          </w:tcPr>
          <w:p w14:paraId="4FF6E648">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评分标准</w:t>
            </w:r>
          </w:p>
        </w:tc>
      </w:tr>
      <w:tr w14:paraId="7B29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840" w:type="dxa"/>
            <w:gridSpan w:val="2"/>
            <w:vMerge w:val="restart"/>
            <w:shd w:val="clear" w:color="auto" w:fill="auto"/>
            <w:vAlign w:val="center"/>
          </w:tcPr>
          <w:p w14:paraId="000B55BF">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2.2.4（1）</w:t>
            </w:r>
          </w:p>
        </w:tc>
        <w:tc>
          <w:tcPr>
            <w:tcW w:w="670" w:type="dxa"/>
            <w:vMerge w:val="restart"/>
            <w:shd w:val="clear" w:color="auto" w:fill="auto"/>
            <w:vAlign w:val="center"/>
          </w:tcPr>
          <w:p w14:paraId="2B276253">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val="en-US" w:eastAsia="zh-CN"/>
              </w:rPr>
              <w:t>设计</w:t>
            </w:r>
            <w:r>
              <w:rPr>
                <w:rFonts w:hint="eastAsia" w:ascii="宋体" w:hAnsi="宋体" w:cs="宋体"/>
                <w:color w:val="auto"/>
                <w:sz w:val="21"/>
                <w:szCs w:val="21"/>
                <w:highlight w:val="none"/>
                <w:lang w:val="en-US" w:eastAsia="zh-CN"/>
              </w:rPr>
              <w:t>部分</w:t>
            </w:r>
            <w:r>
              <w:rPr>
                <w:rFonts w:hint="eastAsia" w:ascii="宋体" w:hAnsi="宋体" w:eastAsia="宋体" w:cs="宋体"/>
                <w:color w:val="auto"/>
                <w:kern w:val="1"/>
                <w:sz w:val="21"/>
                <w:szCs w:val="21"/>
                <w:highlight w:val="none"/>
              </w:rPr>
              <w:t>评分标准（10分）</w:t>
            </w:r>
          </w:p>
        </w:tc>
        <w:tc>
          <w:tcPr>
            <w:tcW w:w="2713" w:type="dxa"/>
            <w:gridSpan w:val="2"/>
            <w:shd w:val="clear" w:color="auto" w:fill="auto"/>
            <w:vAlign w:val="center"/>
          </w:tcPr>
          <w:p w14:paraId="00618867">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sz w:val="21"/>
                <w:szCs w:val="21"/>
                <w:highlight w:val="none"/>
                <w:lang w:val="zh-CN"/>
              </w:rPr>
              <w:t>设计业绩（</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5729" w:type="dxa"/>
            <w:shd w:val="clear" w:color="auto" w:fill="auto"/>
            <w:vAlign w:val="center"/>
          </w:tcPr>
          <w:p w14:paraId="70147697">
            <w:pPr>
              <w:keepNext w:val="0"/>
              <w:keepLines w:val="0"/>
              <w:pageBreakBefore w:val="0"/>
              <w:widowControl/>
              <w:shd w:val="clear"/>
              <w:kinsoku/>
              <w:overflowPunct/>
              <w:autoSpaceDE/>
              <w:autoSpaceDN/>
              <w:bidi w:val="0"/>
              <w:adjustRightInd/>
              <w:snapToGrid/>
              <w:spacing w:line="240" w:lineRule="auto"/>
              <w:textAlignment w:val="auto"/>
              <w:rPr>
                <w:rFonts w:hint="eastAsia" w:ascii="宋体" w:hAnsi="宋体" w:eastAsia="宋体" w:cs="宋体"/>
                <w:b w:val="0"/>
                <w:bCs/>
                <w:color w:val="auto"/>
                <w:kern w:val="1"/>
                <w:sz w:val="21"/>
                <w:szCs w:val="21"/>
                <w:highlight w:val="none"/>
                <w:u w:val="none"/>
                <w:lang w:val="zh-CN"/>
              </w:rPr>
            </w:pPr>
            <w:r>
              <w:rPr>
                <w:rFonts w:hint="eastAsia" w:ascii="宋体" w:hAnsi="宋体" w:eastAsia="宋体" w:cs="宋体"/>
                <w:b w:val="0"/>
                <w:bCs/>
                <w:color w:val="auto"/>
                <w:kern w:val="1"/>
                <w:sz w:val="21"/>
                <w:szCs w:val="21"/>
                <w:highlight w:val="none"/>
                <w:u w:val="none"/>
                <w:lang w:val="zh-CN"/>
              </w:rPr>
              <w:t>投标人（若为联合体，指联合体承担设计任务的单位）自</w:t>
            </w:r>
            <w:r>
              <w:rPr>
                <w:rFonts w:hint="eastAsia" w:ascii="宋体" w:hAnsi="宋体" w:eastAsia="宋体" w:cs="宋体"/>
                <w:b w:val="0"/>
                <w:bCs/>
                <w:color w:val="auto"/>
                <w:kern w:val="1"/>
                <w:sz w:val="21"/>
                <w:szCs w:val="21"/>
                <w:highlight w:val="none"/>
                <w:u w:val="none"/>
                <w:lang w:val="en-US" w:eastAsia="zh-CN"/>
              </w:rPr>
              <w:t>2022</w:t>
            </w:r>
            <w:r>
              <w:rPr>
                <w:rFonts w:hint="eastAsia" w:ascii="宋体" w:hAnsi="宋体" w:eastAsia="宋体" w:cs="宋体"/>
                <w:b w:val="0"/>
                <w:bCs/>
                <w:color w:val="auto"/>
                <w:kern w:val="1"/>
                <w:sz w:val="21"/>
                <w:szCs w:val="21"/>
                <w:highlight w:val="none"/>
                <w:u w:val="none"/>
                <w:lang w:val="zh-CN"/>
              </w:rPr>
              <w:t>年1月1日至今，完成过类似工程</w:t>
            </w:r>
            <w:r>
              <w:rPr>
                <w:rFonts w:hint="eastAsia" w:ascii="宋体" w:hAnsi="宋体" w:eastAsia="宋体" w:cs="宋体"/>
                <w:b w:val="0"/>
                <w:bCs/>
                <w:color w:val="auto"/>
                <w:kern w:val="1"/>
                <w:sz w:val="21"/>
                <w:szCs w:val="21"/>
                <w:highlight w:val="none"/>
                <w:u w:val="none"/>
                <w:lang w:val="en-US" w:eastAsia="zh-CN"/>
              </w:rPr>
              <w:t>设计</w:t>
            </w:r>
            <w:r>
              <w:rPr>
                <w:rFonts w:hint="eastAsia" w:ascii="宋体" w:hAnsi="宋体" w:eastAsia="宋体" w:cs="宋体"/>
                <w:b w:val="0"/>
                <w:bCs/>
                <w:color w:val="auto"/>
                <w:kern w:val="1"/>
                <w:sz w:val="21"/>
                <w:szCs w:val="21"/>
                <w:highlight w:val="none"/>
                <w:u w:val="none"/>
                <w:lang w:val="zh-CN"/>
              </w:rPr>
              <w:t>业绩的，每项得</w:t>
            </w:r>
            <w:r>
              <w:rPr>
                <w:rFonts w:hint="eastAsia" w:ascii="宋体" w:hAnsi="宋体" w:cs="宋体"/>
                <w:b w:val="0"/>
                <w:bCs/>
                <w:color w:val="auto"/>
                <w:kern w:val="1"/>
                <w:sz w:val="21"/>
                <w:szCs w:val="21"/>
                <w:highlight w:val="none"/>
                <w:u w:val="none"/>
                <w:lang w:val="en-US" w:eastAsia="zh-CN"/>
              </w:rPr>
              <w:t>1</w:t>
            </w:r>
            <w:r>
              <w:rPr>
                <w:rFonts w:hint="eastAsia" w:ascii="宋体" w:hAnsi="宋体" w:eastAsia="宋体" w:cs="宋体"/>
                <w:b w:val="0"/>
                <w:bCs/>
                <w:color w:val="auto"/>
                <w:kern w:val="1"/>
                <w:sz w:val="21"/>
                <w:szCs w:val="21"/>
                <w:highlight w:val="none"/>
                <w:u w:val="none"/>
                <w:lang w:val="zh-CN"/>
              </w:rPr>
              <w:t>分；本小项最高得</w:t>
            </w:r>
            <w:r>
              <w:rPr>
                <w:rFonts w:hint="eastAsia" w:ascii="宋体" w:hAnsi="宋体" w:cs="宋体"/>
                <w:b w:val="0"/>
                <w:bCs/>
                <w:color w:val="auto"/>
                <w:kern w:val="1"/>
                <w:sz w:val="21"/>
                <w:szCs w:val="21"/>
                <w:highlight w:val="none"/>
                <w:u w:val="none"/>
                <w:lang w:val="en-US" w:eastAsia="zh-CN"/>
              </w:rPr>
              <w:t>2</w:t>
            </w:r>
            <w:r>
              <w:rPr>
                <w:rFonts w:hint="eastAsia" w:ascii="宋体" w:hAnsi="宋体" w:eastAsia="宋体" w:cs="宋体"/>
                <w:b w:val="0"/>
                <w:bCs/>
                <w:color w:val="auto"/>
                <w:kern w:val="1"/>
                <w:sz w:val="21"/>
                <w:szCs w:val="21"/>
                <w:highlight w:val="none"/>
                <w:u w:val="none"/>
                <w:lang w:val="zh-CN"/>
              </w:rPr>
              <w:t>分。</w:t>
            </w:r>
          </w:p>
          <w:p w14:paraId="3B35375E">
            <w:pPr>
              <w:keepNext w:val="0"/>
              <w:keepLines w:val="0"/>
              <w:pageBreakBefore w:val="0"/>
              <w:widowControl/>
              <w:shd w:val="clear"/>
              <w:kinsoku/>
              <w:overflowPunct/>
              <w:autoSpaceDE/>
              <w:autoSpaceDN/>
              <w:bidi w:val="0"/>
              <w:adjustRightInd/>
              <w:snapToGrid/>
              <w:spacing w:line="240" w:lineRule="auto"/>
              <w:textAlignment w:val="auto"/>
              <w:rPr>
                <w:rFonts w:hint="eastAsia" w:ascii="宋体" w:hAnsi="宋体" w:eastAsia="宋体" w:cs="宋体"/>
                <w:b/>
                <w:color w:val="auto"/>
                <w:kern w:val="1"/>
                <w:sz w:val="21"/>
                <w:szCs w:val="21"/>
                <w:highlight w:val="none"/>
                <w:u w:val="single"/>
              </w:rPr>
            </w:pPr>
            <w:r>
              <w:rPr>
                <w:rFonts w:hint="eastAsia" w:ascii="宋体" w:hAnsi="宋体" w:eastAsia="宋体" w:cs="宋体"/>
                <w:b w:val="0"/>
                <w:bCs/>
                <w:color w:val="auto"/>
                <w:kern w:val="1"/>
                <w:sz w:val="21"/>
                <w:szCs w:val="21"/>
                <w:highlight w:val="none"/>
                <w:u w:val="none"/>
                <w:lang w:val="en-US" w:eastAsia="zh-CN"/>
              </w:rPr>
              <w:t>注：</w:t>
            </w:r>
            <w:r>
              <w:rPr>
                <w:rFonts w:hint="eastAsia" w:ascii="宋体" w:hAnsi="宋体" w:eastAsia="宋体" w:cs="宋体"/>
                <w:color w:val="auto"/>
                <w:szCs w:val="21"/>
                <w:highlight w:val="none"/>
              </w:rPr>
              <w:t>类似工程设计业绩是</w:t>
            </w:r>
            <w:r>
              <w:rPr>
                <w:rFonts w:hint="eastAsia" w:ascii="宋体" w:hAnsi="宋体" w:eastAsia="宋体" w:cs="宋体"/>
                <w:color w:val="auto"/>
                <w:szCs w:val="21"/>
                <w:highlight w:val="none"/>
                <w:lang w:val="en-US" w:eastAsia="zh-CN"/>
              </w:rPr>
              <w:t>指达到招标公告所述设计资质方能承接的</w:t>
            </w:r>
            <w:r>
              <w:rPr>
                <w:rFonts w:hint="eastAsia" w:ascii="宋体" w:hAnsi="宋体" w:eastAsia="宋体" w:cs="宋体"/>
                <w:color w:val="auto"/>
                <w:szCs w:val="21"/>
                <w:highlight w:val="none"/>
              </w:rPr>
              <w:t>建安工程费金额大于或等于</w:t>
            </w:r>
            <w:r>
              <w:rPr>
                <w:rFonts w:hint="eastAsia" w:ascii="宋体" w:hAnsi="宋体" w:eastAsia="宋体" w:cs="宋体"/>
                <w:color w:val="auto"/>
                <w:szCs w:val="21"/>
                <w:highlight w:val="none"/>
                <w:u w:val="single"/>
                <w:lang w:val="en-US" w:eastAsia="zh-CN"/>
              </w:rPr>
              <w:t>4</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u w:val="single"/>
              </w:rPr>
              <w:t>万元</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市政公用工程</w:t>
            </w:r>
            <w:r>
              <w:rPr>
                <w:rFonts w:hint="eastAsia" w:ascii="宋体" w:hAnsi="宋体" w:eastAsia="宋体" w:cs="宋体"/>
                <w:color w:val="auto"/>
                <w:szCs w:val="21"/>
                <w:highlight w:val="none"/>
              </w:rPr>
              <w:t>设计业绩</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zh-CN"/>
              </w:rPr>
              <w:t>包括勘察设计或设计业绩、工程总承包或勘察设计施工总承包或设计施工总承包或设计采购施工总承包或勘察设计采购施工总承包等项目中的</w:t>
            </w:r>
            <w:r>
              <w:rPr>
                <w:rFonts w:hint="eastAsia" w:ascii="宋体" w:hAnsi="宋体" w:cs="宋体"/>
                <w:color w:val="auto"/>
                <w:szCs w:val="21"/>
                <w:highlight w:val="none"/>
                <w:lang w:val="en-US" w:eastAsia="zh-CN"/>
              </w:rPr>
              <w:t>设计</w:t>
            </w:r>
            <w:r>
              <w:rPr>
                <w:rFonts w:hint="eastAsia" w:ascii="宋体" w:hAnsi="宋体" w:eastAsia="宋体" w:cs="宋体"/>
                <w:color w:val="auto"/>
                <w:szCs w:val="21"/>
                <w:highlight w:val="none"/>
                <w:lang w:val="zh-CN"/>
              </w:rPr>
              <w:t>部分业绩）</w:t>
            </w:r>
            <w:r>
              <w:rPr>
                <w:rFonts w:hint="eastAsia" w:ascii="宋体" w:hAnsi="宋体" w:eastAsia="宋体" w:cs="宋体"/>
                <w:color w:val="auto"/>
                <w:szCs w:val="21"/>
                <w:highlight w:val="none"/>
              </w:rPr>
              <w:t>，须同时提供合同</w:t>
            </w:r>
            <w:r>
              <w:rPr>
                <w:rFonts w:hint="eastAsia" w:ascii="宋体" w:hAnsi="宋体" w:eastAsia="宋体" w:cs="宋体"/>
                <w:color w:val="auto"/>
                <w:szCs w:val="21"/>
                <w:highlight w:val="none"/>
                <w:lang w:eastAsia="zh-CN"/>
              </w:rPr>
              <w:t>关键页</w:t>
            </w:r>
            <w:r>
              <w:rPr>
                <w:rFonts w:hint="eastAsia" w:ascii="宋体" w:hAnsi="宋体" w:eastAsia="宋体" w:cs="宋体"/>
                <w:color w:val="auto"/>
                <w:szCs w:val="21"/>
                <w:highlight w:val="none"/>
              </w:rPr>
              <w:t>、中标通知书（或</w:t>
            </w:r>
            <w:r>
              <w:rPr>
                <w:rFonts w:hint="eastAsia" w:ascii="宋体" w:hAnsi="宋体" w:eastAsia="宋体" w:cs="宋体"/>
                <w:color w:val="auto"/>
                <w:szCs w:val="21"/>
                <w:highlight w:val="none"/>
                <w:lang w:val="zh-CN" w:eastAsia="zh-CN"/>
              </w:rPr>
              <w:t>项目审批部门出具的</w:t>
            </w:r>
            <w:r>
              <w:rPr>
                <w:rFonts w:hint="eastAsia" w:ascii="宋体" w:hAnsi="宋体" w:eastAsia="宋体" w:cs="宋体"/>
                <w:color w:val="auto"/>
                <w:szCs w:val="21"/>
                <w:highlight w:val="none"/>
              </w:rPr>
              <w:t>免招标证明文件）、施工图审查</w:t>
            </w:r>
            <w:r>
              <w:rPr>
                <w:rFonts w:hint="eastAsia" w:ascii="宋体" w:hAnsi="宋体" w:eastAsia="宋体" w:cs="宋体"/>
                <w:color w:val="auto"/>
                <w:szCs w:val="21"/>
                <w:highlight w:val="none"/>
                <w:lang w:eastAsia="zh-CN"/>
              </w:rPr>
              <w:t>合格</w:t>
            </w:r>
            <w:r>
              <w:rPr>
                <w:rFonts w:hint="eastAsia" w:ascii="宋体" w:hAnsi="宋体" w:eastAsia="宋体" w:cs="宋体"/>
                <w:color w:val="auto"/>
                <w:szCs w:val="21"/>
                <w:highlight w:val="none"/>
              </w:rPr>
              <w:t>证明</w:t>
            </w:r>
            <w:r>
              <w:rPr>
                <w:rFonts w:hint="eastAsia" w:ascii="宋体" w:hAnsi="宋体" w:eastAsia="宋体" w:cs="宋体"/>
                <w:color w:val="auto"/>
                <w:szCs w:val="21"/>
                <w:highlight w:val="none"/>
                <w:lang w:eastAsia="zh-CN"/>
              </w:rPr>
              <w:t>文件</w:t>
            </w:r>
            <w:r>
              <w:rPr>
                <w:rFonts w:hint="eastAsia" w:ascii="宋体" w:hAnsi="宋体" w:eastAsia="宋体" w:cs="宋体"/>
                <w:color w:val="auto"/>
                <w:szCs w:val="21"/>
                <w:highlight w:val="none"/>
              </w:rPr>
              <w:t>扫描件</w:t>
            </w:r>
            <w:r>
              <w:rPr>
                <w:rFonts w:hint="eastAsia" w:ascii="宋体" w:hAnsi="宋体" w:eastAsia="宋体" w:cs="宋体"/>
                <w:color w:val="auto"/>
                <w:szCs w:val="21"/>
                <w:highlight w:val="none"/>
                <w:lang w:eastAsia="zh-CN"/>
              </w:rPr>
              <w:t>并加盖单位公章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业绩</w:t>
            </w: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lang w:val="en-US" w:eastAsia="zh-CN"/>
              </w:rPr>
              <w:t>以</w:t>
            </w:r>
            <w:r>
              <w:rPr>
                <w:rFonts w:hint="eastAsia" w:ascii="宋体" w:hAnsi="宋体" w:eastAsia="宋体" w:cs="宋体"/>
                <w:color w:val="auto"/>
                <w:szCs w:val="21"/>
                <w:highlight w:val="none"/>
              </w:rPr>
              <w:t>施工图审查</w:t>
            </w:r>
            <w:r>
              <w:rPr>
                <w:rFonts w:hint="eastAsia" w:ascii="宋体" w:hAnsi="宋体" w:eastAsia="宋体" w:cs="宋体"/>
                <w:color w:val="auto"/>
                <w:szCs w:val="21"/>
                <w:highlight w:val="none"/>
                <w:lang w:eastAsia="zh-CN"/>
              </w:rPr>
              <w:t>合格</w:t>
            </w:r>
            <w:r>
              <w:rPr>
                <w:rFonts w:hint="eastAsia" w:ascii="宋体" w:hAnsi="宋体" w:eastAsia="宋体" w:cs="宋体"/>
                <w:color w:val="auto"/>
                <w:szCs w:val="21"/>
                <w:highlight w:val="none"/>
              </w:rPr>
              <w:t>证明</w:t>
            </w:r>
            <w:r>
              <w:rPr>
                <w:rFonts w:hint="eastAsia" w:ascii="宋体" w:hAnsi="宋体" w:eastAsia="宋体" w:cs="宋体"/>
                <w:color w:val="auto"/>
                <w:szCs w:val="21"/>
                <w:highlight w:val="none"/>
                <w:lang w:eastAsia="zh-CN"/>
              </w:rPr>
              <w:t>文件</w:t>
            </w:r>
            <w:r>
              <w:rPr>
                <w:rFonts w:hint="eastAsia" w:ascii="宋体" w:hAnsi="宋体" w:eastAsia="宋体" w:cs="宋体"/>
                <w:color w:val="auto"/>
                <w:szCs w:val="21"/>
                <w:highlight w:val="none"/>
                <w:lang w:val="en-US" w:eastAsia="zh-CN"/>
              </w:rPr>
              <w:t>显示时间为准</w:t>
            </w:r>
            <w:r>
              <w:rPr>
                <w:rFonts w:hint="eastAsia" w:ascii="宋体" w:hAnsi="宋体" w:eastAsia="宋体" w:cs="宋体"/>
                <w:color w:val="auto"/>
                <w:szCs w:val="21"/>
                <w:highlight w:val="none"/>
              </w:rPr>
              <w:t>，业绩金额以合同或施工图审查</w:t>
            </w:r>
            <w:r>
              <w:rPr>
                <w:rFonts w:hint="eastAsia" w:ascii="宋体" w:hAnsi="宋体" w:eastAsia="宋体" w:cs="宋体"/>
                <w:color w:val="auto"/>
                <w:szCs w:val="21"/>
                <w:highlight w:val="none"/>
                <w:lang w:eastAsia="zh-CN"/>
              </w:rPr>
              <w:t>合格</w:t>
            </w:r>
            <w:r>
              <w:rPr>
                <w:rFonts w:hint="eastAsia" w:ascii="宋体" w:hAnsi="宋体" w:eastAsia="宋体" w:cs="宋体"/>
                <w:color w:val="auto"/>
                <w:szCs w:val="21"/>
                <w:highlight w:val="none"/>
              </w:rPr>
              <w:t>证明</w:t>
            </w:r>
            <w:r>
              <w:rPr>
                <w:rFonts w:hint="eastAsia" w:ascii="宋体" w:hAnsi="宋体" w:eastAsia="宋体" w:cs="宋体"/>
                <w:color w:val="auto"/>
                <w:szCs w:val="21"/>
                <w:highlight w:val="none"/>
                <w:lang w:eastAsia="zh-CN"/>
              </w:rPr>
              <w:t>文件</w:t>
            </w:r>
            <w:r>
              <w:rPr>
                <w:rFonts w:hint="eastAsia" w:ascii="宋体" w:hAnsi="宋体" w:eastAsia="宋体" w:cs="宋体"/>
                <w:color w:val="auto"/>
                <w:szCs w:val="21"/>
                <w:highlight w:val="none"/>
              </w:rPr>
              <w:t>显示金额为准。</w:t>
            </w:r>
          </w:p>
        </w:tc>
      </w:tr>
      <w:tr w14:paraId="620F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trPr>
        <w:tc>
          <w:tcPr>
            <w:tcW w:w="840" w:type="dxa"/>
            <w:gridSpan w:val="2"/>
            <w:vMerge w:val="continue"/>
            <w:shd w:val="clear" w:color="auto" w:fill="auto"/>
            <w:vAlign w:val="center"/>
          </w:tcPr>
          <w:p w14:paraId="4B29D518">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670" w:type="dxa"/>
            <w:vMerge w:val="continue"/>
            <w:shd w:val="clear" w:color="auto" w:fill="auto"/>
            <w:vAlign w:val="center"/>
          </w:tcPr>
          <w:p w14:paraId="7A171CEA">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2713" w:type="dxa"/>
            <w:gridSpan w:val="2"/>
            <w:shd w:val="clear" w:color="auto" w:fill="auto"/>
            <w:vAlign w:val="center"/>
          </w:tcPr>
          <w:p w14:paraId="6AD0CB4F">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sz w:val="21"/>
                <w:szCs w:val="21"/>
                <w:highlight w:val="none"/>
                <w:lang w:val="en-US" w:eastAsia="zh-CN"/>
              </w:rPr>
              <w:t>企业业绩获奖</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5729" w:type="dxa"/>
            <w:shd w:val="clear" w:color="auto" w:fill="auto"/>
            <w:vAlign w:val="center"/>
          </w:tcPr>
          <w:p w14:paraId="355BEDF3">
            <w:pPr>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（若为联合体，指联合体承担设计任务的单位）</w:t>
            </w:r>
            <w:r>
              <w:rPr>
                <w:rFonts w:hint="eastAsia" w:ascii="宋体" w:hAnsi="宋体" w:eastAsia="宋体" w:cs="宋体"/>
                <w:color w:val="auto"/>
                <w:sz w:val="21"/>
                <w:szCs w:val="21"/>
                <w:highlight w:val="none"/>
                <w:u w:val="none"/>
              </w:rPr>
              <w:t>自202</w:t>
            </w: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年1月1日</w:t>
            </w:r>
            <w:r>
              <w:rPr>
                <w:rFonts w:hint="eastAsia" w:ascii="宋体" w:hAnsi="宋体" w:eastAsia="宋体" w:cs="宋体"/>
                <w:b w:val="0"/>
                <w:bCs/>
                <w:color w:val="auto"/>
                <w:kern w:val="1"/>
                <w:sz w:val="21"/>
                <w:szCs w:val="21"/>
                <w:highlight w:val="none"/>
                <w:u w:val="none"/>
                <w:lang w:val="zh-CN"/>
              </w:rPr>
              <w:t>至今</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所承接的市政公用工程</w:t>
            </w:r>
            <w:r>
              <w:rPr>
                <w:rFonts w:hint="eastAsia" w:ascii="宋体" w:hAnsi="宋体" w:eastAsia="宋体" w:cs="宋体"/>
                <w:color w:val="auto"/>
                <w:sz w:val="21"/>
                <w:szCs w:val="21"/>
                <w:highlight w:val="none"/>
                <w:lang w:val="en-US" w:eastAsia="zh-CN"/>
              </w:rPr>
              <w:t>设计</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获得</w:t>
            </w:r>
            <w:r>
              <w:rPr>
                <w:rFonts w:hint="eastAsia" w:ascii="宋体" w:hAnsi="宋体" w:cs="宋体"/>
                <w:color w:val="auto"/>
                <w:sz w:val="21"/>
                <w:szCs w:val="21"/>
                <w:highlight w:val="none"/>
                <w:lang w:val="en-US" w:eastAsia="zh-CN"/>
              </w:rPr>
              <w:t>过：国家行业级奖项的每项得1分，获省级奖项的每项得0.5分，获市级奖项的每项得0.1</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本项最高得</w:t>
            </w:r>
            <w:r>
              <w:rPr>
                <w:rFonts w:hint="eastAsia" w:ascii="宋体" w:hAnsi="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分。</w:t>
            </w:r>
          </w:p>
          <w:p w14:paraId="67620F1B">
            <w:pPr>
              <w:keepNext w:val="0"/>
              <w:keepLines w:val="0"/>
              <w:pageBreakBefore w:val="0"/>
              <w:widowControl/>
              <w:shd w:val="clear"/>
              <w:kinsoku/>
              <w:overflowPunct/>
              <w:autoSpaceDE/>
              <w:autoSpaceDN/>
              <w:bidi w:val="0"/>
              <w:adjustRightInd/>
              <w:snapToGrid/>
              <w:spacing w:line="240" w:lineRule="auto"/>
              <w:textAlignment w:val="auto"/>
              <w:rPr>
                <w:rFonts w:hint="eastAsia" w:ascii="宋体" w:hAnsi="宋体" w:eastAsia="宋体" w:cs="宋体"/>
                <w:b/>
                <w:color w:val="auto"/>
                <w:kern w:val="1"/>
                <w:sz w:val="21"/>
                <w:szCs w:val="21"/>
                <w:highlight w:val="none"/>
                <w:u w:val="single"/>
                <w:lang w:val="zh-CN" w:eastAsia="zh-CN" w:bidi="ar-SA"/>
              </w:rPr>
            </w:pPr>
            <w:r>
              <w:rPr>
                <w:rFonts w:hint="eastAsia" w:ascii="宋体" w:hAnsi="宋体" w:eastAsia="宋体" w:cs="宋体"/>
                <w:color w:val="auto"/>
                <w:sz w:val="21"/>
                <w:szCs w:val="21"/>
                <w:highlight w:val="none"/>
                <w:u w:val="single"/>
              </w:rPr>
              <w:t>注：①获奖奖项为住建部颁发的全国优秀工程勘察设计奖、住建部的华夏建设科学技术奖励委员会颁发的华夏建设科学技术奖、中国勘察设计协会颁发的全国优秀工程勘察设计行业奖等、省级或市级（含副省级）工程勘察设计行业协会或建设行业主管部门颁发的省级或市级（含副省级）优秀工程勘察设计奖。②获奖时间以证书日期为准。工程项目获奖处于公示阶段的不得分。③须提供获奖证书（或获奖文件）并加盖单位公章，不提供者不得分。④同一项目获奖按最高级别计分一次</w:t>
            </w:r>
            <w:r>
              <w:rPr>
                <w:rFonts w:hint="eastAsia" w:ascii="宋体" w:hAnsi="宋体" w:eastAsia="宋体" w:cs="宋体"/>
                <w:color w:val="auto"/>
                <w:kern w:val="1"/>
                <w:sz w:val="21"/>
                <w:szCs w:val="21"/>
                <w:highlight w:val="none"/>
                <w:u w:val="single"/>
              </w:rPr>
              <w:t>。</w:t>
            </w:r>
          </w:p>
        </w:tc>
      </w:tr>
      <w:tr w14:paraId="516B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840" w:type="dxa"/>
            <w:gridSpan w:val="2"/>
            <w:vMerge w:val="continue"/>
            <w:shd w:val="clear" w:color="auto" w:fill="auto"/>
            <w:vAlign w:val="center"/>
          </w:tcPr>
          <w:p w14:paraId="6D9832C8">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670" w:type="dxa"/>
            <w:vMerge w:val="continue"/>
            <w:shd w:val="clear" w:color="auto" w:fill="auto"/>
            <w:vAlign w:val="center"/>
          </w:tcPr>
          <w:p w14:paraId="029D6852">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2713" w:type="dxa"/>
            <w:gridSpan w:val="2"/>
            <w:shd w:val="clear" w:color="auto" w:fill="auto"/>
            <w:vAlign w:val="center"/>
          </w:tcPr>
          <w:p w14:paraId="2572BBF7">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rPr>
              <w:t>履约信誉</w:t>
            </w:r>
            <w:r>
              <w:rPr>
                <w:rFonts w:hint="eastAsia" w:ascii="宋体" w:hAnsi="宋体" w:eastAsia="宋体" w:cs="宋体"/>
                <w:color w:val="auto"/>
                <w:kern w:val="1"/>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kern w:val="1"/>
                <w:sz w:val="21"/>
                <w:szCs w:val="21"/>
                <w:highlight w:val="none"/>
                <w:lang w:eastAsia="zh-CN"/>
              </w:rPr>
              <w:t>）</w:t>
            </w:r>
          </w:p>
        </w:tc>
        <w:tc>
          <w:tcPr>
            <w:tcW w:w="5729" w:type="dxa"/>
            <w:shd w:val="clear" w:color="auto" w:fill="auto"/>
            <w:vAlign w:val="center"/>
          </w:tcPr>
          <w:p w14:paraId="6CA4E0EC">
            <w:pPr>
              <w:rPr>
                <w:rFonts w:hint="eastAsia" w:ascii="宋体" w:hAnsi="宋体" w:eastAsia="宋体" w:cs="宋体"/>
                <w:bCs/>
                <w:snapToGrid w:val="0"/>
                <w:color w:val="auto"/>
                <w:kern w:val="0"/>
                <w:sz w:val="21"/>
                <w:szCs w:val="21"/>
                <w:highlight w:val="none"/>
              </w:rPr>
            </w:pPr>
            <w:r>
              <w:rPr>
                <w:rFonts w:hint="eastAsia" w:ascii="宋体" w:hAnsi="宋体" w:cs="宋体"/>
                <w:bCs/>
                <w:snapToGrid w:val="0"/>
                <w:color w:val="auto"/>
                <w:kern w:val="0"/>
                <w:sz w:val="21"/>
                <w:szCs w:val="21"/>
                <w:highlight w:val="none"/>
                <w:lang w:val="en-US" w:eastAsia="zh-CN"/>
              </w:rPr>
              <w:t>1、</w:t>
            </w:r>
            <w:r>
              <w:rPr>
                <w:rFonts w:hint="eastAsia" w:ascii="宋体" w:hAnsi="宋体" w:eastAsia="宋体" w:cs="宋体"/>
                <w:bCs/>
                <w:snapToGrid w:val="0"/>
                <w:color w:val="auto"/>
                <w:kern w:val="0"/>
                <w:sz w:val="21"/>
                <w:szCs w:val="21"/>
                <w:highlight w:val="none"/>
                <w:lang w:val="zh-CN"/>
              </w:rPr>
              <w:t>投标人</w:t>
            </w:r>
            <w:r>
              <w:rPr>
                <w:rFonts w:hint="eastAsia" w:ascii="宋体" w:hAnsi="宋体" w:eastAsia="宋体" w:cs="宋体"/>
                <w:bCs/>
                <w:snapToGrid w:val="0"/>
                <w:color w:val="auto"/>
                <w:kern w:val="0"/>
                <w:sz w:val="21"/>
                <w:szCs w:val="21"/>
                <w:highlight w:val="none"/>
              </w:rPr>
              <w:t>（若为联合体，指联合体</w:t>
            </w:r>
            <w:r>
              <w:rPr>
                <w:rFonts w:hint="eastAsia" w:ascii="宋体" w:hAnsi="宋体" w:cs="宋体"/>
                <w:bCs/>
                <w:snapToGrid w:val="0"/>
                <w:color w:val="auto"/>
                <w:kern w:val="0"/>
                <w:sz w:val="21"/>
                <w:szCs w:val="21"/>
                <w:highlight w:val="none"/>
                <w:lang w:val="en-US" w:eastAsia="zh-CN"/>
              </w:rPr>
              <w:t>设计</w:t>
            </w:r>
            <w:r>
              <w:rPr>
                <w:rFonts w:hint="eastAsia" w:ascii="宋体" w:hAnsi="宋体" w:eastAsia="宋体" w:cs="宋体"/>
                <w:bCs/>
                <w:snapToGrid w:val="0"/>
                <w:color w:val="auto"/>
                <w:kern w:val="0"/>
                <w:sz w:val="21"/>
                <w:szCs w:val="21"/>
                <w:highlight w:val="none"/>
              </w:rPr>
              <w:t>方）</w:t>
            </w:r>
            <w:r>
              <w:rPr>
                <w:rFonts w:hint="eastAsia" w:ascii="宋体" w:hAnsi="宋体" w:eastAsia="宋体" w:cs="宋体"/>
                <w:bCs/>
                <w:snapToGrid w:val="0"/>
                <w:color w:val="auto"/>
                <w:kern w:val="0"/>
                <w:sz w:val="21"/>
                <w:szCs w:val="21"/>
                <w:highlight w:val="none"/>
                <w:lang w:val="zh-CN"/>
              </w:rPr>
              <w:t>获得省级（或以上）市政行业协会颁发的企业诚信评价或信用等级评价且在有效期内：</w:t>
            </w:r>
            <w:r>
              <w:rPr>
                <w:rFonts w:hint="eastAsia" w:ascii="宋体" w:hAnsi="宋体" w:cs="宋体"/>
                <w:bCs/>
                <w:snapToGrid w:val="0"/>
                <w:color w:val="auto"/>
                <w:kern w:val="0"/>
                <w:sz w:val="21"/>
                <w:szCs w:val="21"/>
                <w:highlight w:val="none"/>
                <w:lang w:val="en-US" w:eastAsia="zh-CN"/>
              </w:rPr>
              <w:t>AA</w:t>
            </w:r>
            <w:r>
              <w:rPr>
                <w:rFonts w:hint="eastAsia" w:ascii="宋体" w:hAnsi="宋体" w:eastAsia="宋体" w:cs="宋体"/>
                <w:bCs/>
                <w:snapToGrid w:val="0"/>
                <w:color w:val="auto"/>
                <w:kern w:val="0"/>
                <w:sz w:val="21"/>
                <w:szCs w:val="21"/>
                <w:highlight w:val="none"/>
                <w:lang w:val="zh-CN"/>
              </w:rPr>
              <w:t>AA</w:t>
            </w:r>
            <w:r>
              <w:rPr>
                <w:rFonts w:hint="eastAsia" w:ascii="宋体" w:hAnsi="宋体" w:eastAsia="宋体" w:cs="宋体"/>
                <w:bCs/>
                <w:snapToGrid w:val="0"/>
                <w:color w:val="auto"/>
                <w:kern w:val="0"/>
                <w:sz w:val="21"/>
                <w:szCs w:val="21"/>
                <w:highlight w:val="none"/>
              </w:rPr>
              <w:t>A</w:t>
            </w:r>
            <w:r>
              <w:rPr>
                <w:rFonts w:hint="eastAsia" w:ascii="宋体" w:hAnsi="宋体" w:eastAsia="宋体" w:cs="宋体"/>
                <w:bCs/>
                <w:snapToGrid w:val="0"/>
                <w:color w:val="auto"/>
                <w:kern w:val="0"/>
                <w:sz w:val="21"/>
                <w:szCs w:val="21"/>
                <w:highlight w:val="none"/>
                <w:lang w:val="zh-CN"/>
              </w:rPr>
              <w:t>级得</w:t>
            </w:r>
            <w:r>
              <w:rPr>
                <w:rFonts w:hint="eastAsia" w:ascii="宋体" w:hAnsi="宋体" w:cs="宋体"/>
                <w:bCs/>
                <w:snapToGrid w:val="0"/>
                <w:color w:val="auto"/>
                <w:kern w:val="0"/>
                <w:sz w:val="21"/>
                <w:szCs w:val="21"/>
                <w:highlight w:val="none"/>
                <w:lang w:val="en-US" w:eastAsia="zh-CN"/>
              </w:rPr>
              <w:t>0.5</w:t>
            </w:r>
            <w:r>
              <w:rPr>
                <w:rFonts w:hint="eastAsia" w:ascii="宋体" w:hAnsi="宋体" w:eastAsia="宋体" w:cs="宋体"/>
                <w:bCs/>
                <w:snapToGrid w:val="0"/>
                <w:color w:val="auto"/>
                <w:kern w:val="0"/>
                <w:sz w:val="21"/>
                <w:szCs w:val="21"/>
                <w:highlight w:val="none"/>
                <w:lang w:val="zh-CN"/>
              </w:rPr>
              <w:t>分；</w:t>
            </w:r>
            <w:r>
              <w:rPr>
                <w:rFonts w:hint="eastAsia" w:ascii="宋体" w:hAnsi="宋体" w:cs="宋体"/>
                <w:bCs/>
                <w:snapToGrid w:val="0"/>
                <w:color w:val="auto"/>
                <w:kern w:val="0"/>
                <w:sz w:val="21"/>
                <w:szCs w:val="21"/>
                <w:highlight w:val="none"/>
                <w:lang w:val="en-US" w:eastAsia="zh-CN"/>
              </w:rPr>
              <w:t>A</w:t>
            </w:r>
            <w:r>
              <w:rPr>
                <w:rFonts w:hint="eastAsia" w:ascii="宋体" w:hAnsi="宋体" w:eastAsia="宋体" w:cs="宋体"/>
                <w:bCs/>
                <w:snapToGrid w:val="0"/>
                <w:color w:val="auto"/>
                <w:kern w:val="0"/>
                <w:sz w:val="21"/>
                <w:szCs w:val="21"/>
                <w:highlight w:val="none"/>
                <w:lang w:val="zh-CN"/>
              </w:rPr>
              <w:t>A</w:t>
            </w:r>
            <w:r>
              <w:rPr>
                <w:rFonts w:hint="eastAsia" w:ascii="宋体" w:hAnsi="宋体" w:eastAsia="宋体" w:cs="宋体"/>
                <w:bCs/>
                <w:snapToGrid w:val="0"/>
                <w:color w:val="auto"/>
                <w:kern w:val="0"/>
                <w:sz w:val="21"/>
                <w:szCs w:val="21"/>
                <w:highlight w:val="none"/>
              </w:rPr>
              <w:t>A</w:t>
            </w:r>
            <w:r>
              <w:rPr>
                <w:rFonts w:hint="eastAsia" w:ascii="宋体" w:hAnsi="宋体" w:eastAsia="宋体" w:cs="宋体"/>
                <w:bCs/>
                <w:snapToGrid w:val="0"/>
                <w:color w:val="auto"/>
                <w:kern w:val="0"/>
                <w:sz w:val="21"/>
                <w:szCs w:val="21"/>
                <w:highlight w:val="none"/>
                <w:lang w:val="zh-CN"/>
              </w:rPr>
              <w:t>级</w:t>
            </w:r>
            <w:r>
              <w:rPr>
                <w:rFonts w:hint="eastAsia" w:ascii="宋体" w:hAnsi="宋体" w:cs="宋体"/>
                <w:bCs/>
                <w:snapToGrid w:val="0"/>
                <w:color w:val="auto"/>
                <w:kern w:val="0"/>
                <w:sz w:val="21"/>
                <w:szCs w:val="21"/>
                <w:highlight w:val="none"/>
                <w:lang w:val="en-US" w:eastAsia="zh-CN"/>
              </w:rPr>
              <w:t>或以上</w:t>
            </w:r>
            <w:r>
              <w:rPr>
                <w:rFonts w:hint="eastAsia" w:ascii="宋体" w:hAnsi="宋体" w:eastAsia="宋体" w:cs="宋体"/>
                <w:bCs/>
                <w:snapToGrid w:val="0"/>
                <w:color w:val="auto"/>
                <w:kern w:val="0"/>
                <w:sz w:val="21"/>
                <w:szCs w:val="21"/>
                <w:highlight w:val="none"/>
                <w:lang w:val="zh-CN"/>
              </w:rPr>
              <w:t>得</w:t>
            </w:r>
            <w:r>
              <w:rPr>
                <w:rFonts w:hint="eastAsia" w:ascii="宋体" w:hAnsi="宋体" w:cs="宋体"/>
                <w:bCs/>
                <w:snapToGrid w:val="0"/>
                <w:color w:val="auto"/>
                <w:kern w:val="0"/>
                <w:sz w:val="21"/>
                <w:szCs w:val="21"/>
                <w:highlight w:val="none"/>
                <w:lang w:val="en-US" w:eastAsia="zh-CN"/>
              </w:rPr>
              <w:t>0.2</w:t>
            </w:r>
            <w:r>
              <w:rPr>
                <w:rFonts w:hint="eastAsia" w:ascii="宋体" w:hAnsi="宋体" w:eastAsia="宋体" w:cs="宋体"/>
                <w:bCs/>
                <w:snapToGrid w:val="0"/>
                <w:color w:val="auto"/>
                <w:kern w:val="0"/>
                <w:sz w:val="21"/>
                <w:szCs w:val="21"/>
                <w:highlight w:val="none"/>
                <w:lang w:val="zh-CN"/>
              </w:rPr>
              <w:t>分；</w:t>
            </w:r>
            <w:r>
              <w:rPr>
                <w:rFonts w:hint="eastAsia" w:ascii="宋体" w:hAnsi="宋体" w:eastAsia="宋体" w:cs="宋体"/>
                <w:bCs/>
                <w:snapToGrid w:val="0"/>
                <w:color w:val="auto"/>
                <w:kern w:val="0"/>
                <w:sz w:val="21"/>
                <w:szCs w:val="21"/>
                <w:highlight w:val="none"/>
              </w:rPr>
              <w:t>A级</w:t>
            </w:r>
            <w:r>
              <w:rPr>
                <w:rFonts w:hint="eastAsia" w:ascii="宋体" w:hAnsi="宋体" w:cs="宋体"/>
                <w:bCs/>
                <w:snapToGrid w:val="0"/>
                <w:color w:val="auto"/>
                <w:kern w:val="0"/>
                <w:sz w:val="21"/>
                <w:szCs w:val="21"/>
                <w:highlight w:val="none"/>
                <w:lang w:val="en-US" w:eastAsia="zh-CN"/>
              </w:rPr>
              <w:t>或以上</w:t>
            </w:r>
            <w:r>
              <w:rPr>
                <w:rFonts w:hint="eastAsia" w:ascii="宋体" w:hAnsi="宋体" w:eastAsia="宋体" w:cs="宋体"/>
                <w:bCs/>
                <w:snapToGrid w:val="0"/>
                <w:color w:val="auto"/>
                <w:kern w:val="0"/>
                <w:sz w:val="21"/>
                <w:szCs w:val="21"/>
                <w:highlight w:val="none"/>
              </w:rPr>
              <w:t>得</w:t>
            </w:r>
            <w:r>
              <w:rPr>
                <w:rFonts w:hint="eastAsia" w:ascii="宋体" w:hAnsi="宋体" w:cs="宋体"/>
                <w:bCs/>
                <w:snapToGrid w:val="0"/>
                <w:color w:val="auto"/>
                <w:kern w:val="0"/>
                <w:sz w:val="21"/>
                <w:szCs w:val="21"/>
                <w:highlight w:val="none"/>
                <w:lang w:val="en-US" w:eastAsia="zh-CN"/>
              </w:rPr>
              <w:t>0.1</w:t>
            </w:r>
            <w:r>
              <w:rPr>
                <w:rFonts w:hint="eastAsia" w:ascii="宋体" w:hAnsi="宋体" w:eastAsia="宋体" w:cs="宋体"/>
                <w:bCs/>
                <w:snapToGrid w:val="0"/>
                <w:color w:val="auto"/>
                <w:kern w:val="0"/>
                <w:sz w:val="21"/>
                <w:szCs w:val="21"/>
                <w:highlight w:val="none"/>
              </w:rPr>
              <w:t>分；</w:t>
            </w:r>
            <w:r>
              <w:rPr>
                <w:rFonts w:hint="eastAsia" w:ascii="宋体" w:hAnsi="宋体" w:eastAsia="宋体" w:cs="宋体"/>
                <w:bCs/>
                <w:snapToGrid w:val="0"/>
                <w:color w:val="auto"/>
                <w:kern w:val="0"/>
                <w:sz w:val="21"/>
                <w:szCs w:val="21"/>
                <w:highlight w:val="none"/>
                <w:lang w:val="zh-CN"/>
              </w:rPr>
              <w:t>其他情况不得分。</w:t>
            </w:r>
            <w:r>
              <w:rPr>
                <w:rFonts w:hint="eastAsia" w:ascii="宋体" w:hAnsi="宋体" w:eastAsia="宋体" w:cs="宋体"/>
                <w:b/>
                <w:bCs w:val="0"/>
                <w:snapToGrid w:val="0"/>
                <w:color w:val="auto"/>
                <w:kern w:val="0"/>
                <w:sz w:val="21"/>
                <w:szCs w:val="21"/>
                <w:highlight w:val="none"/>
                <w:lang w:val="zh-CN"/>
              </w:rPr>
              <w:t>本小项最多得</w:t>
            </w:r>
            <w:r>
              <w:rPr>
                <w:rFonts w:hint="eastAsia" w:ascii="宋体" w:hAnsi="宋体" w:cs="宋体"/>
                <w:b/>
                <w:bCs w:val="0"/>
                <w:snapToGrid w:val="0"/>
                <w:color w:val="auto"/>
                <w:kern w:val="0"/>
                <w:sz w:val="21"/>
                <w:szCs w:val="21"/>
                <w:highlight w:val="none"/>
                <w:lang w:val="en-US" w:eastAsia="zh-CN"/>
              </w:rPr>
              <w:t>0.5</w:t>
            </w:r>
            <w:r>
              <w:rPr>
                <w:rFonts w:hint="eastAsia" w:ascii="宋体" w:hAnsi="宋体" w:eastAsia="宋体" w:cs="宋体"/>
                <w:b/>
                <w:bCs w:val="0"/>
                <w:snapToGrid w:val="0"/>
                <w:color w:val="auto"/>
                <w:kern w:val="0"/>
                <w:sz w:val="21"/>
                <w:szCs w:val="21"/>
                <w:highlight w:val="none"/>
                <w:lang w:val="zh-CN"/>
              </w:rPr>
              <w:t>分。</w:t>
            </w:r>
          </w:p>
          <w:p w14:paraId="26806715">
            <w:pPr>
              <w:rPr>
                <w:rFonts w:hint="eastAsia"/>
                <w:highlight w:val="none"/>
                <w:lang w:val="zh-CN"/>
              </w:rPr>
            </w:pPr>
            <w:r>
              <w:rPr>
                <w:rFonts w:hint="eastAsia" w:ascii="宋体" w:hAnsi="宋体" w:eastAsia="宋体" w:cs="宋体"/>
                <w:bCs/>
                <w:snapToGrid w:val="0"/>
                <w:color w:val="auto"/>
                <w:kern w:val="0"/>
                <w:sz w:val="21"/>
                <w:szCs w:val="21"/>
                <w:highlight w:val="none"/>
                <w:lang w:val="zh-CN"/>
              </w:rPr>
              <w:t>注：提供相关证书应在有效期内，否则不计分。应提供证书原件扫描件，加盖单位公章。</w:t>
            </w:r>
          </w:p>
          <w:p w14:paraId="5D5DC699">
            <w:pPr>
              <w:rPr>
                <w:rFonts w:hint="eastAsia" w:ascii="宋体" w:hAnsi="宋体" w:eastAsia="宋体" w:cs="宋体"/>
                <w:bCs/>
                <w:snapToGrid w:val="0"/>
                <w:color w:val="auto"/>
                <w:kern w:val="0"/>
                <w:sz w:val="21"/>
                <w:szCs w:val="21"/>
                <w:highlight w:val="none"/>
                <w:lang w:val="zh-CN"/>
              </w:rPr>
            </w:pPr>
            <w:r>
              <w:rPr>
                <w:rFonts w:hint="eastAsia" w:hAnsi="宋体" w:cs="宋体"/>
                <w:bCs/>
                <w:snapToGrid w:val="0"/>
                <w:color w:val="auto"/>
                <w:kern w:val="0"/>
                <w:sz w:val="21"/>
                <w:szCs w:val="21"/>
                <w:highlight w:val="none"/>
                <w:lang w:val="en-US" w:eastAsia="zh-CN"/>
              </w:rPr>
              <w:t>2、</w:t>
            </w:r>
            <w:r>
              <w:rPr>
                <w:rFonts w:hint="eastAsia" w:ascii="宋体" w:hAnsi="宋体" w:eastAsia="宋体" w:cs="宋体"/>
                <w:bCs/>
                <w:snapToGrid w:val="0"/>
                <w:color w:val="auto"/>
                <w:kern w:val="0"/>
                <w:sz w:val="21"/>
                <w:szCs w:val="21"/>
                <w:highlight w:val="none"/>
                <w:lang w:val="zh-CN"/>
              </w:rPr>
              <w:t>投标人（若为联合体，指联合体</w:t>
            </w:r>
            <w:r>
              <w:rPr>
                <w:rFonts w:hint="eastAsia" w:ascii="宋体" w:hAnsi="宋体" w:cs="宋体"/>
                <w:bCs/>
                <w:snapToGrid w:val="0"/>
                <w:color w:val="auto"/>
                <w:kern w:val="0"/>
                <w:sz w:val="21"/>
                <w:szCs w:val="21"/>
                <w:highlight w:val="none"/>
                <w:lang w:val="en-US" w:eastAsia="zh-CN"/>
              </w:rPr>
              <w:t>设计</w:t>
            </w:r>
            <w:r>
              <w:rPr>
                <w:rFonts w:hint="eastAsia" w:ascii="宋体" w:hAnsi="宋体" w:eastAsia="宋体" w:cs="宋体"/>
                <w:bCs/>
                <w:snapToGrid w:val="0"/>
                <w:color w:val="auto"/>
                <w:kern w:val="0"/>
                <w:sz w:val="21"/>
                <w:szCs w:val="21"/>
                <w:highlight w:val="none"/>
                <w:lang w:val="zh-CN"/>
              </w:rPr>
              <w:t>方）至投标截止时间为止，连续获得“A级纳税人”称号情况：</w:t>
            </w:r>
          </w:p>
          <w:p w14:paraId="1044CA59">
            <w:pPr>
              <w:rPr>
                <w:rFonts w:hint="eastAsia" w:ascii="宋体" w:hAnsi="宋体" w:eastAsia="宋体" w:cs="宋体"/>
                <w:bCs/>
                <w:snapToGrid w:val="0"/>
                <w:color w:val="auto"/>
                <w:kern w:val="0"/>
                <w:sz w:val="21"/>
                <w:szCs w:val="21"/>
                <w:highlight w:val="none"/>
                <w:lang w:val="zh-CN"/>
              </w:rPr>
            </w:pPr>
            <w:r>
              <w:rPr>
                <w:rFonts w:hint="eastAsia" w:ascii="宋体" w:hAnsi="宋体" w:eastAsia="宋体" w:cs="宋体"/>
                <w:bCs/>
                <w:snapToGrid w:val="0"/>
                <w:color w:val="auto"/>
                <w:kern w:val="0"/>
                <w:sz w:val="21"/>
                <w:szCs w:val="21"/>
                <w:highlight w:val="none"/>
                <w:lang w:val="zh-CN"/>
              </w:rPr>
              <w:t>连续获得</w:t>
            </w:r>
            <w:r>
              <w:rPr>
                <w:rFonts w:hint="eastAsia" w:ascii="宋体" w:hAnsi="宋体" w:cs="宋体"/>
                <w:bCs/>
                <w:snapToGrid w:val="0"/>
                <w:color w:val="auto"/>
                <w:kern w:val="0"/>
                <w:sz w:val="21"/>
                <w:szCs w:val="21"/>
                <w:highlight w:val="none"/>
                <w:lang w:val="en-US" w:eastAsia="zh-CN"/>
              </w:rPr>
              <w:t>10</w:t>
            </w:r>
            <w:r>
              <w:rPr>
                <w:rFonts w:hint="eastAsia" w:ascii="宋体" w:hAnsi="宋体" w:eastAsia="宋体" w:cs="宋体"/>
                <w:bCs/>
                <w:snapToGrid w:val="0"/>
                <w:color w:val="auto"/>
                <w:kern w:val="0"/>
                <w:sz w:val="21"/>
                <w:szCs w:val="21"/>
                <w:highlight w:val="none"/>
                <w:lang w:val="zh-CN"/>
              </w:rPr>
              <w:t>年或以上的，得</w:t>
            </w:r>
            <w:r>
              <w:rPr>
                <w:rFonts w:hint="eastAsia" w:ascii="宋体" w:hAnsi="宋体" w:cs="宋体"/>
                <w:bCs/>
                <w:snapToGrid w:val="0"/>
                <w:color w:val="auto"/>
                <w:kern w:val="0"/>
                <w:sz w:val="21"/>
                <w:szCs w:val="21"/>
                <w:highlight w:val="none"/>
                <w:lang w:val="en-US" w:eastAsia="zh-CN"/>
              </w:rPr>
              <w:t>0.5</w:t>
            </w:r>
            <w:r>
              <w:rPr>
                <w:rFonts w:hint="eastAsia" w:ascii="宋体" w:hAnsi="宋体" w:eastAsia="宋体" w:cs="宋体"/>
                <w:bCs/>
                <w:snapToGrid w:val="0"/>
                <w:color w:val="auto"/>
                <w:kern w:val="0"/>
                <w:sz w:val="21"/>
                <w:szCs w:val="21"/>
                <w:highlight w:val="none"/>
                <w:lang w:val="zh-CN"/>
              </w:rPr>
              <w:t>分；</w:t>
            </w:r>
          </w:p>
          <w:p w14:paraId="66A80621">
            <w:pPr>
              <w:rPr>
                <w:rFonts w:hint="eastAsia" w:ascii="宋体" w:hAnsi="宋体" w:eastAsia="宋体" w:cs="宋体"/>
                <w:bCs/>
                <w:snapToGrid w:val="0"/>
                <w:color w:val="auto"/>
                <w:kern w:val="0"/>
                <w:sz w:val="21"/>
                <w:szCs w:val="21"/>
                <w:highlight w:val="none"/>
                <w:lang w:val="zh-CN"/>
              </w:rPr>
            </w:pPr>
            <w:r>
              <w:rPr>
                <w:rFonts w:hint="eastAsia" w:ascii="宋体" w:hAnsi="宋体" w:eastAsia="宋体" w:cs="宋体"/>
                <w:bCs/>
                <w:snapToGrid w:val="0"/>
                <w:color w:val="auto"/>
                <w:kern w:val="0"/>
                <w:sz w:val="21"/>
                <w:szCs w:val="21"/>
                <w:highlight w:val="none"/>
                <w:lang w:val="zh-CN"/>
              </w:rPr>
              <w:t>连续获得</w:t>
            </w:r>
            <w:r>
              <w:rPr>
                <w:rFonts w:hint="eastAsia" w:ascii="宋体" w:hAnsi="宋体" w:cs="宋体"/>
                <w:bCs/>
                <w:snapToGrid w:val="0"/>
                <w:color w:val="auto"/>
                <w:kern w:val="0"/>
                <w:sz w:val="21"/>
                <w:szCs w:val="21"/>
                <w:highlight w:val="none"/>
                <w:lang w:val="en-US" w:eastAsia="zh-CN"/>
              </w:rPr>
              <w:t>6</w:t>
            </w:r>
            <w:r>
              <w:rPr>
                <w:rFonts w:hint="eastAsia" w:ascii="宋体" w:hAnsi="宋体" w:eastAsia="宋体" w:cs="宋体"/>
                <w:bCs/>
                <w:snapToGrid w:val="0"/>
                <w:color w:val="auto"/>
                <w:kern w:val="0"/>
                <w:sz w:val="21"/>
                <w:szCs w:val="21"/>
                <w:highlight w:val="none"/>
                <w:lang w:val="zh-CN"/>
              </w:rPr>
              <w:t>年-</w:t>
            </w:r>
            <w:r>
              <w:rPr>
                <w:rFonts w:hint="eastAsia" w:ascii="宋体" w:hAnsi="宋体" w:cs="宋体"/>
                <w:bCs/>
                <w:snapToGrid w:val="0"/>
                <w:color w:val="auto"/>
                <w:kern w:val="0"/>
                <w:sz w:val="21"/>
                <w:szCs w:val="21"/>
                <w:highlight w:val="none"/>
                <w:lang w:val="en-US" w:eastAsia="zh-CN"/>
              </w:rPr>
              <w:t>9</w:t>
            </w:r>
            <w:r>
              <w:rPr>
                <w:rFonts w:hint="eastAsia" w:ascii="宋体" w:hAnsi="宋体" w:eastAsia="宋体" w:cs="宋体"/>
                <w:bCs/>
                <w:snapToGrid w:val="0"/>
                <w:color w:val="auto"/>
                <w:kern w:val="0"/>
                <w:sz w:val="21"/>
                <w:szCs w:val="21"/>
                <w:highlight w:val="none"/>
                <w:lang w:val="zh-CN"/>
              </w:rPr>
              <w:t>年的，得</w:t>
            </w:r>
            <w:r>
              <w:rPr>
                <w:rFonts w:hint="eastAsia" w:ascii="宋体" w:hAnsi="宋体" w:cs="宋体"/>
                <w:bCs/>
                <w:snapToGrid w:val="0"/>
                <w:color w:val="auto"/>
                <w:kern w:val="0"/>
                <w:sz w:val="21"/>
                <w:szCs w:val="21"/>
                <w:highlight w:val="none"/>
                <w:lang w:val="en-US" w:eastAsia="zh-CN"/>
              </w:rPr>
              <w:t>0.2</w:t>
            </w:r>
            <w:r>
              <w:rPr>
                <w:rFonts w:hint="eastAsia" w:ascii="宋体" w:hAnsi="宋体" w:eastAsia="宋体" w:cs="宋体"/>
                <w:bCs/>
                <w:snapToGrid w:val="0"/>
                <w:color w:val="auto"/>
                <w:kern w:val="0"/>
                <w:sz w:val="21"/>
                <w:szCs w:val="21"/>
                <w:highlight w:val="none"/>
                <w:lang w:val="zh-CN"/>
              </w:rPr>
              <w:t>分；</w:t>
            </w:r>
          </w:p>
          <w:p w14:paraId="232D8588">
            <w:pPr>
              <w:rPr>
                <w:rFonts w:hint="eastAsia" w:ascii="宋体" w:hAnsi="宋体" w:eastAsia="宋体" w:cs="宋体"/>
                <w:bCs/>
                <w:snapToGrid w:val="0"/>
                <w:color w:val="auto"/>
                <w:kern w:val="0"/>
                <w:sz w:val="21"/>
                <w:szCs w:val="21"/>
                <w:highlight w:val="none"/>
                <w:lang w:val="zh-CN"/>
              </w:rPr>
            </w:pPr>
            <w:r>
              <w:rPr>
                <w:rFonts w:hint="eastAsia" w:ascii="宋体" w:hAnsi="宋体" w:eastAsia="宋体" w:cs="宋体"/>
                <w:bCs/>
                <w:snapToGrid w:val="0"/>
                <w:color w:val="auto"/>
                <w:kern w:val="0"/>
                <w:sz w:val="21"/>
                <w:szCs w:val="21"/>
                <w:highlight w:val="none"/>
                <w:lang w:val="zh-CN"/>
              </w:rPr>
              <w:t>连续获得</w:t>
            </w:r>
            <w:r>
              <w:rPr>
                <w:rFonts w:hint="eastAsia" w:ascii="宋体" w:hAnsi="宋体" w:cs="宋体"/>
                <w:bCs/>
                <w:snapToGrid w:val="0"/>
                <w:color w:val="auto"/>
                <w:kern w:val="0"/>
                <w:sz w:val="21"/>
                <w:szCs w:val="21"/>
                <w:highlight w:val="none"/>
                <w:lang w:val="en-US" w:eastAsia="zh-CN"/>
              </w:rPr>
              <w:t>3</w:t>
            </w:r>
            <w:r>
              <w:rPr>
                <w:rFonts w:hint="eastAsia" w:ascii="宋体" w:hAnsi="宋体" w:eastAsia="宋体" w:cs="宋体"/>
                <w:bCs/>
                <w:snapToGrid w:val="0"/>
                <w:color w:val="auto"/>
                <w:kern w:val="0"/>
                <w:sz w:val="21"/>
                <w:szCs w:val="21"/>
                <w:highlight w:val="none"/>
                <w:lang w:val="zh-CN"/>
              </w:rPr>
              <w:t>年-</w:t>
            </w:r>
            <w:r>
              <w:rPr>
                <w:rFonts w:hint="eastAsia" w:ascii="宋体" w:hAnsi="宋体" w:cs="宋体"/>
                <w:bCs/>
                <w:snapToGrid w:val="0"/>
                <w:color w:val="auto"/>
                <w:kern w:val="0"/>
                <w:sz w:val="21"/>
                <w:szCs w:val="21"/>
                <w:highlight w:val="none"/>
                <w:lang w:val="en-US" w:eastAsia="zh-CN"/>
              </w:rPr>
              <w:t>5</w:t>
            </w:r>
            <w:r>
              <w:rPr>
                <w:rFonts w:hint="eastAsia" w:ascii="宋体" w:hAnsi="宋体" w:eastAsia="宋体" w:cs="宋体"/>
                <w:bCs/>
                <w:snapToGrid w:val="0"/>
                <w:color w:val="auto"/>
                <w:kern w:val="0"/>
                <w:sz w:val="21"/>
                <w:szCs w:val="21"/>
                <w:highlight w:val="none"/>
                <w:lang w:val="zh-CN"/>
              </w:rPr>
              <w:t>年的，得</w:t>
            </w:r>
            <w:r>
              <w:rPr>
                <w:rFonts w:hint="eastAsia" w:ascii="宋体" w:hAnsi="宋体" w:cs="宋体"/>
                <w:bCs/>
                <w:snapToGrid w:val="0"/>
                <w:color w:val="auto"/>
                <w:kern w:val="0"/>
                <w:sz w:val="21"/>
                <w:szCs w:val="21"/>
                <w:highlight w:val="none"/>
                <w:lang w:val="en-US" w:eastAsia="zh-CN"/>
              </w:rPr>
              <w:t>0.1</w:t>
            </w:r>
            <w:r>
              <w:rPr>
                <w:rFonts w:hint="eastAsia" w:ascii="宋体" w:hAnsi="宋体" w:eastAsia="宋体" w:cs="宋体"/>
                <w:bCs/>
                <w:snapToGrid w:val="0"/>
                <w:color w:val="auto"/>
                <w:kern w:val="0"/>
                <w:sz w:val="21"/>
                <w:szCs w:val="21"/>
                <w:highlight w:val="none"/>
                <w:lang w:val="zh-CN"/>
              </w:rPr>
              <w:t>分；</w:t>
            </w:r>
          </w:p>
          <w:p w14:paraId="42B7569F">
            <w:pPr>
              <w:keepNext w:val="0"/>
              <w:keepLines w:val="0"/>
              <w:pageBreakBefore w:val="0"/>
              <w:widowControl w:val="0"/>
              <w:shd w:val="clear"/>
              <w:kinsoku/>
              <w:wordWrap w:val="0"/>
              <w:overflowPunct/>
              <w:topLinePunct/>
              <w:autoSpaceDE/>
              <w:autoSpaceDN/>
              <w:bidi w:val="0"/>
              <w:adjustRightInd/>
              <w:snapToGrid/>
              <w:textAlignment w:val="auto"/>
              <w:rPr>
                <w:rFonts w:hint="eastAsia" w:ascii="宋体" w:hAnsi="宋体" w:eastAsia="宋体" w:cs="宋体"/>
                <w:b/>
                <w:bCs w:val="0"/>
                <w:snapToGrid w:val="0"/>
                <w:color w:val="auto"/>
                <w:kern w:val="0"/>
                <w:sz w:val="21"/>
                <w:szCs w:val="21"/>
                <w:highlight w:val="none"/>
                <w:lang w:val="zh-CN" w:eastAsia="zh-CN" w:bidi="ar-SA"/>
              </w:rPr>
            </w:pPr>
            <w:r>
              <w:rPr>
                <w:rFonts w:hint="eastAsia" w:ascii="宋体" w:hAnsi="宋体" w:eastAsia="宋体" w:cs="宋体"/>
                <w:bCs/>
                <w:snapToGrid w:val="0"/>
                <w:color w:val="auto"/>
                <w:kern w:val="0"/>
                <w:sz w:val="21"/>
                <w:szCs w:val="21"/>
                <w:highlight w:val="none"/>
                <w:lang w:val="zh-CN"/>
              </w:rPr>
              <w:t>其他不得分。</w:t>
            </w:r>
            <w:r>
              <w:rPr>
                <w:rFonts w:hint="eastAsia" w:ascii="宋体" w:hAnsi="宋体" w:eastAsia="宋体" w:cs="宋体"/>
                <w:b/>
                <w:bCs w:val="0"/>
                <w:snapToGrid w:val="0"/>
                <w:color w:val="auto"/>
                <w:kern w:val="0"/>
                <w:sz w:val="21"/>
                <w:szCs w:val="21"/>
                <w:highlight w:val="none"/>
                <w:lang w:val="zh-CN"/>
              </w:rPr>
              <w:t>本小项最多得</w:t>
            </w:r>
            <w:r>
              <w:rPr>
                <w:rFonts w:hint="eastAsia" w:ascii="宋体" w:hAnsi="宋体" w:cs="宋体"/>
                <w:b/>
                <w:bCs w:val="0"/>
                <w:snapToGrid w:val="0"/>
                <w:color w:val="auto"/>
                <w:kern w:val="0"/>
                <w:sz w:val="21"/>
                <w:szCs w:val="21"/>
                <w:highlight w:val="none"/>
                <w:lang w:val="en-US" w:eastAsia="zh-CN"/>
              </w:rPr>
              <w:t>0.5</w:t>
            </w:r>
            <w:r>
              <w:rPr>
                <w:rFonts w:hint="eastAsia" w:ascii="宋体" w:hAnsi="宋体" w:eastAsia="宋体" w:cs="宋体"/>
                <w:b/>
                <w:bCs w:val="0"/>
                <w:snapToGrid w:val="0"/>
                <w:color w:val="auto"/>
                <w:kern w:val="0"/>
                <w:sz w:val="21"/>
                <w:szCs w:val="21"/>
                <w:highlight w:val="none"/>
                <w:lang w:val="zh-CN"/>
              </w:rPr>
              <w:t>分。</w:t>
            </w:r>
          </w:p>
          <w:p w14:paraId="1278A944">
            <w:pPr>
              <w:keepNext w:val="0"/>
              <w:keepLines w:val="0"/>
              <w:pageBreakBefore w:val="0"/>
              <w:widowControl w:val="0"/>
              <w:shd w:val="clear"/>
              <w:kinsoku/>
              <w:wordWrap w:val="0"/>
              <w:overflowPunct/>
              <w:topLinePunct/>
              <w:autoSpaceDE/>
              <w:autoSpaceDN/>
              <w:bidi w:val="0"/>
              <w:adjustRightInd/>
              <w:snapToGrid/>
              <w:ind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注：本项需包含最近评审年度，需提供相关证明材料，时间以证明材料上注明的获奖年度为准，证明材料可为“国家税务总局”官网（http://www.chinatax.gov.cn/）查询结果截图或各省税务局管网查询结果（须提供在查询结果网页打印件）或信用中国官网（须提供在查询结果网页打印件），或税务局出具的官方证明为准。只计算投标人自身（不计算投标人的分公司和子公司）。</w:t>
            </w:r>
          </w:p>
        </w:tc>
      </w:tr>
      <w:tr w14:paraId="0F29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trPr>
        <w:tc>
          <w:tcPr>
            <w:tcW w:w="840" w:type="dxa"/>
            <w:gridSpan w:val="2"/>
            <w:vMerge w:val="continue"/>
            <w:shd w:val="clear" w:color="auto" w:fill="auto"/>
            <w:vAlign w:val="center"/>
          </w:tcPr>
          <w:p w14:paraId="2D584EDE">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670" w:type="dxa"/>
            <w:vMerge w:val="continue"/>
            <w:shd w:val="clear" w:color="auto" w:fill="auto"/>
            <w:vAlign w:val="center"/>
          </w:tcPr>
          <w:p w14:paraId="631DAA04">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2713" w:type="dxa"/>
            <w:gridSpan w:val="2"/>
            <w:shd w:val="clear" w:color="auto" w:fill="auto"/>
            <w:vAlign w:val="center"/>
          </w:tcPr>
          <w:p w14:paraId="757FE13E">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rPr>
              <w:t>设计团队</w:t>
            </w:r>
            <w:r>
              <w:rPr>
                <w:rFonts w:hint="eastAsia" w:ascii="宋体" w:hAnsi="宋体" w:eastAsia="宋体" w:cs="宋体"/>
                <w:bCs/>
                <w:snapToGrid w:val="0"/>
                <w:color w:val="auto"/>
                <w:kern w:val="0"/>
                <w:sz w:val="21"/>
                <w:szCs w:val="21"/>
                <w:highlight w:val="none"/>
              </w:rPr>
              <w:t>（若为联合体，</w:t>
            </w:r>
            <w:r>
              <w:rPr>
                <w:rFonts w:hint="eastAsia" w:ascii="宋体" w:hAnsi="宋体" w:eastAsia="宋体" w:cs="宋体"/>
                <w:bCs/>
                <w:snapToGrid w:val="0"/>
                <w:color w:val="auto"/>
                <w:kern w:val="0"/>
                <w:sz w:val="21"/>
                <w:szCs w:val="21"/>
                <w:highlight w:val="none"/>
                <w:lang w:val="en-US" w:eastAsia="zh-CN"/>
              </w:rPr>
              <w:t>由</w:t>
            </w:r>
            <w:r>
              <w:rPr>
                <w:rFonts w:hint="eastAsia" w:ascii="宋体" w:hAnsi="宋体" w:eastAsia="宋体" w:cs="宋体"/>
                <w:bCs/>
                <w:snapToGrid w:val="0"/>
                <w:color w:val="auto"/>
                <w:kern w:val="0"/>
                <w:sz w:val="21"/>
                <w:szCs w:val="21"/>
                <w:highlight w:val="none"/>
              </w:rPr>
              <w:t>联合体</w:t>
            </w:r>
            <w:r>
              <w:rPr>
                <w:rFonts w:hint="eastAsia" w:ascii="宋体" w:hAnsi="宋体" w:cs="宋体"/>
                <w:bCs/>
                <w:snapToGrid w:val="0"/>
                <w:color w:val="auto"/>
                <w:kern w:val="0"/>
                <w:sz w:val="21"/>
                <w:szCs w:val="21"/>
                <w:highlight w:val="none"/>
                <w:lang w:val="en-US" w:eastAsia="zh-CN"/>
              </w:rPr>
              <w:t>设计</w:t>
            </w:r>
            <w:r>
              <w:rPr>
                <w:rFonts w:hint="eastAsia" w:ascii="宋体" w:hAnsi="宋体" w:eastAsia="宋体" w:cs="宋体"/>
                <w:bCs/>
                <w:snapToGrid w:val="0"/>
                <w:color w:val="auto"/>
                <w:kern w:val="0"/>
                <w:sz w:val="21"/>
                <w:szCs w:val="21"/>
                <w:highlight w:val="none"/>
              </w:rPr>
              <w:t>方</w:t>
            </w:r>
            <w:r>
              <w:rPr>
                <w:rFonts w:hint="eastAsia" w:ascii="宋体" w:hAnsi="宋体" w:eastAsia="宋体" w:cs="宋体"/>
                <w:bCs/>
                <w:snapToGrid w:val="0"/>
                <w:color w:val="auto"/>
                <w:kern w:val="0"/>
                <w:sz w:val="21"/>
                <w:szCs w:val="21"/>
                <w:highlight w:val="none"/>
                <w:lang w:val="en-US" w:eastAsia="zh-CN"/>
              </w:rPr>
              <w:t>提供</w:t>
            </w:r>
            <w:r>
              <w:rPr>
                <w:rFonts w:hint="eastAsia" w:ascii="宋体" w:hAnsi="宋体" w:eastAsia="宋体" w:cs="宋体"/>
                <w:bCs/>
                <w:snapToGrid w:val="0"/>
                <w:color w:val="auto"/>
                <w:kern w:val="0"/>
                <w:sz w:val="21"/>
                <w:szCs w:val="21"/>
                <w:highlight w:val="none"/>
              </w:rPr>
              <w:t>）</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5分</w:t>
            </w:r>
            <w:r>
              <w:rPr>
                <w:rFonts w:hint="eastAsia" w:ascii="宋体" w:hAnsi="宋体" w:eastAsia="宋体" w:cs="宋体"/>
                <w:color w:val="auto"/>
                <w:kern w:val="1"/>
                <w:sz w:val="21"/>
                <w:szCs w:val="21"/>
                <w:highlight w:val="none"/>
                <w:lang w:eastAsia="zh-CN"/>
              </w:rPr>
              <w:t>）</w:t>
            </w:r>
          </w:p>
        </w:tc>
        <w:tc>
          <w:tcPr>
            <w:tcW w:w="5729" w:type="dxa"/>
            <w:shd w:val="clear" w:color="auto" w:fill="auto"/>
            <w:vAlign w:val="center"/>
          </w:tcPr>
          <w:p w14:paraId="71A21AE0">
            <w:pPr>
              <w:spacing w:after="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1、设计负责人设计经历及业务能力：</w:t>
            </w:r>
          </w:p>
          <w:p w14:paraId="414FA5AE">
            <w:pPr>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rPr>
              <w:t>设计经历在20年（不含）以上的，</w:t>
            </w:r>
            <w:r>
              <w:rPr>
                <w:rFonts w:hint="eastAsia" w:ascii="宋体" w:hAnsi="宋体" w:eastAsia="宋体" w:cs="宋体"/>
                <w:color w:val="auto"/>
                <w:sz w:val="21"/>
                <w:szCs w:val="21"/>
                <w:highlight w:val="none"/>
                <w:lang w:val="zh-CN"/>
              </w:rPr>
              <w:t>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设计经历在</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0年（含）以下的，</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p>
          <w:p w14:paraId="181AE6C7">
            <w:pPr>
              <w:spacing w:after="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）具备注册土木工程师（道路工程）得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val="zh-CN"/>
              </w:rPr>
              <w:t>分；</w:t>
            </w:r>
          </w:p>
          <w:p w14:paraId="4FB1ECE5">
            <w:pPr>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）自</w:t>
            </w: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年1月1日至今，参与的</w:t>
            </w:r>
            <w:r>
              <w:rPr>
                <w:rFonts w:hint="eastAsia" w:ascii="宋体" w:hAnsi="宋体" w:eastAsia="宋体" w:cs="宋体"/>
                <w:color w:val="auto"/>
                <w:sz w:val="21"/>
                <w:szCs w:val="21"/>
                <w:highlight w:val="none"/>
              </w:rPr>
              <w:t>市政公用工程设计获奖</w:t>
            </w:r>
            <w:r>
              <w:rPr>
                <w:rFonts w:hint="eastAsia" w:ascii="宋体" w:hAnsi="宋体" w:eastAsia="宋体" w:cs="宋体"/>
                <w:color w:val="auto"/>
                <w:sz w:val="21"/>
                <w:szCs w:val="21"/>
                <w:highlight w:val="none"/>
                <w:lang w:val="zh-CN"/>
              </w:rPr>
              <w:t>：获得省级（或以上）奖项的，每项得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zh-CN"/>
              </w:rPr>
              <w:t>分；市级奖（含副省级）的，每项得0.</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分。本小项最多得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p>
          <w:p w14:paraId="338A1027">
            <w:pPr>
              <w:spacing w:after="0"/>
              <w:jc w:val="left"/>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以上合计最多得</w:t>
            </w:r>
            <w:r>
              <w:rPr>
                <w:rFonts w:hint="eastAsia" w:ascii="宋体" w:hAnsi="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lang w:val="zh-CN"/>
              </w:rPr>
              <w:t>分。</w:t>
            </w:r>
          </w:p>
          <w:p w14:paraId="65CF434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注：①提供设计负责人毕业证书、注册证书、获奖证书（或获奖文件）、投标截止时间最近1个月（202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月份）在本单位（含分支机构）交纳的社保证明原件扫描件，加盖单位公章，不提供不得分；②设计经历以毕业时间起算；③获奖奖项为</w:t>
            </w:r>
            <w:r>
              <w:rPr>
                <w:rFonts w:hint="eastAsia" w:ascii="宋体" w:hAnsi="宋体" w:eastAsia="宋体" w:cs="宋体"/>
                <w:color w:val="auto"/>
                <w:kern w:val="0"/>
                <w:sz w:val="21"/>
                <w:szCs w:val="21"/>
                <w:highlight w:val="none"/>
              </w:rPr>
              <w:t>住建部颁发的全国优秀工程勘察设计奖、住建部的华夏建设科学技术奖励委员会颁发的华夏建设科学技术奖、中国勘察设计协会颁发的全国优秀工程勘察设计行业奖等、省级或市级（含副省级）工程勘察设计行业协会或建设行业主管部门颁发的省级或市级（含副省级）优秀工程勘察设计奖。</w:t>
            </w:r>
            <w:r>
              <w:rPr>
                <w:rFonts w:hint="eastAsia" w:ascii="宋体" w:hAnsi="宋体" w:eastAsia="宋体" w:cs="宋体"/>
                <w:color w:val="auto"/>
                <w:sz w:val="21"/>
                <w:szCs w:val="21"/>
                <w:highlight w:val="none"/>
              </w:rPr>
              <w:t>获奖时间以证书日期为准。工程项目获奖处于公示阶段的不得分。须提供获奖证书（或获奖文件）并加盖单位公章。同一项目获奖按最高级别计分一次。</w:t>
            </w:r>
          </w:p>
          <w:p w14:paraId="4742F6A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2、各专业负责人设计经历及业务能力（</w:t>
            </w:r>
            <w:r>
              <w:rPr>
                <w:rFonts w:hint="eastAsia" w:ascii="宋体" w:hAnsi="宋体" w:eastAsia="宋体" w:cs="宋体"/>
                <w:color w:val="auto"/>
                <w:sz w:val="21"/>
                <w:szCs w:val="21"/>
                <w:highlight w:val="none"/>
              </w:rPr>
              <w:t>道路、给排水、结构、电气、造价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勘察</w:t>
            </w:r>
            <w:r>
              <w:rPr>
                <w:rFonts w:hint="eastAsia" w:ascii="宋体" w:hAnsi="宋体" w:eastAsia="宋体" w:cs="宋体"/>
                <w:color w:val="auto"/>
                <w:sz w:val="21"/>
                <w:szCs w:val="21"/>
                <w:highlight w:val="none"/>
              </w:rPr>
              <w:t>各1名）：</w:t>
            </w:r>
          </w:p>
          <w:p w14:paraId="2ADD22E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rPr>
              <w:t>各专业负责人具有对应专业</w:t>
            </w:r>
            <w:r>
              <w:rPr>
                <w:rFonts w:hint="eastAsia" w:ascii="宋体" w:hAnsi="宋体" w:eastAsia="宋体" w:cs="宋体"/>
                <w:color w:val="auto"/>
                <w:sz w:val="21"/>
                <w:szCs w:val="21"/>
                <w:highlight w:val="none"/>
                <w:lang w:val="zh-CN"/>
              </w:rPr>
              <w:t>注册执业证书</w:t>
            </w:r>
            <w:r>
              <w:rPr>
                <w:rFonts w:hint="eastAsia" w:ascii="宋体" w:hAnsi="宋体" w:eastAsia="宋体" w:cs="宋体"/>
                <w:color w:val="auto"/>
                <w:sz w:val="21"/>
                <w:szCs w:val="21"/>
                <w:highlight w:val="none"/>
              </w:rPr>
              <w:t>或高级工程师（及以上）职称，每人得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分；具有中级工程师职称的，每人得0.</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本小项最多得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p>
          <w:p w14:paraId="08BD78BE">
            <w:pPr>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各专业负责人</w:t>
            </w:r>
            <w:r>
              <w:rPr>
                <w:rFonts w:hint="eastAsia" w:ascii="宋体" w:hAnsi="宋体" w:eastAsia="宋体" w:cs="宋体"/>
                <w:color w:val="auto"/>
                <w:sz w:val="21"/>
                <w:szCs w:val="21"/>
                <w:highlight w:val="none"/>
                <w:lang w:val="zh-CN"/>
              </w:rPr>
              <w:t>自</w:t>
            </w: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年1月1日至投标截止时间止，每1名参与设计</w:t>
            </w:r>
            <w:r>
              <w:rPr>
                <w:rFonts w:hint="eastAsia" w:ascii="宋体" w:hAnsi="宋体" w:cs="宋体"/>
                <w:color w:val="auto"/>
                <w:sz w:val="21"/>
                <w:szCs w:val="21"/>
                <w:highlight w:val="none"/>
                <w:lang w:val="en-US" w:eastAsia="zh-CN"/>
              </w:rPr>
              <w:t>或勘察</w:t>
            </w:r>
            <w:r>
              <w:rPr>
                <w:rFonts w:hint="eastAsia" w:ascii="宋体" w:hAnsi="宋体" w:eastAsia="宋体" w:cs="宋体"/>
                <w:color w:val="auto"/>
                <w:sz w:val="21"/>
                <w:szCs w:val="21"/>
                <w:highlight w:val="none"/>
                <w:lang w:val="zh-CN"/>
              </w:rPr>
              <w:t>的市政公用工程项目获省级（或以上）奖项的，每项得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zh-CN"/>
              </w:rPr>
              <w:t>分；获市（含副省级）奖项，每项得0.</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分。本小项最</w:t>
            </w:r>
            <w:r>
              <w:rPr>
                <w:rFonts w:hint="eastAsia" w:ascii="宋体" w:hAnsi="宋体" w:cs="宋体"/>
                <w:color w:val="auto"/>
                <w:sz w:val="21"/>
                <w:szCs w:val="21"/>
                <w:highlight w:val="none"/>
                <w:lang w:val="en-US" w:eastAsia="zh-CN"/>
              </w:rPr>
              <w:t>多</w:t>
            </w:r>
            <w:r>
              <w:rPr>
                <w:rFonts w:hint="eastAsia" w:ascii="宋体" w:hAnsi="宋体" w:eastAsia="宋体" w:cs="宋体"/>
                <w:color w:val="auto"/>
                <w:sz w:val="21"/>
                <w:szCs w:val="21"/>
                <w:highlight w:val="none"/>
                <w:lang w:val="zh-CN"/>
              </w:rPr>
              <w:t>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zh-CN"/>
              </w:rPr>
              <w:t>分。</w:t>
            </w:r>
          </w:p>
          <w:p w14:paraId="5FDC87ED">
            <w:pPr>
              <w:jc w:val="left"/>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以上合计最多得</w:t>
            </w:r>
            <w:r>
              <w:rPr>
                <w:rFonts w:hint="eastAsia" w:ascii="宋体" w:hAnsi="宋体" w:cs="宋体"/>
                <w:b/>
                <w:bCs/>
                <w:color w:val="auto"/>
                <w:sz w:val="21"/>
                <w:szCs w:val="21"/>
                <w:highlight w:val="none"/>
                <w:lang w:val="en-US" w:eastAsia="zh-CN"/>
              </w:rPr>
              <w:t>3.5</w:t>
            </w:r>
            <w:r>
              <w:rPr>
                <w:rFonts w:hint="eastAsia" w:ascii="宋体" w:hAnsi="宋体" w:eastAsia="宋体" w:cs="宋体"/>
                <w:b/>
                <w:bCs/>
                <w:color w:val="auto"/>
                <w:sz w:val="21"/>
                <w:szCs w:val="21"/>
                <w:highlight w:val="none"/>
                <w:lang w:val="zh-CN"/>
              </w:rPr>
              <w:t>分。</w:t>
            </w:r>
          </w:p>
          <w:p w14:paraId="3791CFC0">
            <w:pPr>
              <w:keepNext w:val="0"/>
              <w:keepLines w:val="0"/>
              <w:pageBreakBefore w:val="0"/>
              <w:widowControl/>
              <w:shd w:val="clear"/>
              <w:kinsoku/>
              <w:wordWrap/>
              <w:overflowPunct/>
              <w:topLinePunct w:val="0"/>
              <w:autoSpaceDE/>
              <w:autoSpaceDN/>
              <w:bidi w:val="0"/>
              <w:adjustRightInd/>
              <w:snapToGrid/>
              <w:spacing w:line="240" w:lineRule="auto"/>
              <w:textAlignment w:val="auto"/>
              <w:rPr>
                <w:rFonts w:hint="eastAsia" w:ascii="宋体" w:hAnsi="宋体" w:eastAsia="宋体" w:cs="宋体"/>
                <w:b/>
                <w:color w:val="auto"/>
                <w:kern w:val="2"/>
                <w:sz w:val="21"/>
                <w:szCs w:val="21"/>
                <w:highlight w:val="none"/>
                <w:u w:val="single"/>
                <w:lang w:val="zh-CN" w:eastAsia="zh-CN" w:bidi="ar-SA"/>
              </w:rPr>
            </w:pPr>
            <w:r>
              <w:rPr>
                <w:rFonts w:hint="eastAsia" w:ascii="宋体" w:hAnsi="宋体" w:eastAsia="宋体" w:cs="宋体"/>
                <w:color w:val="auto"/>
                <w:sz w:val="21"/>
                <w:szCs w:val="21"/>
                <w:highlight w:val="none"/>
              </w:rPr>
              <w:t>注：①提供各专业负责人的职称证书</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rPr>
              <w:t>注册证书、获奖证书（或获奖文件）等证明材料原件扫描件，同时提供投标截止时间最近1个月（202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月份）在本单位（含分支机构）交纳的社保证明文件，加盖单位公章，不提供不得分。上述各专业人员不可兼任，每专业仅计算一人得分，一个专业配置多人仅计算第一人得分；②获奖奖项为</w:t>
            </w:r>
            <w:r>
              <w:rPr>
                <w:rFonts w:hint="eastAsia" w:ascii="宋体" w:hAnsi="宋体" w:eastAsia="宋体" w:cs="宋体"/>
                <w:color w:val="auto"/>
                <w:kern w:val="0"/>
                <w:sz w:val="21"/>
                <w:szCs w:val="21"/>
                <w:highlight w:val="none"/>
              </w:rPr>
              <w:t>住建部颁发的全国优秀工程勘察设计奖、住建部的华夏建设科学技术奖励委员会颁发的华夏建设科学技术奖、中国勘察设计协会颁发的全国优秀工程勘察设计行业奖等、省级或市级（含副省级）工程勘察设计行业协会或建设行业主管部门颁发的省级或市级（含副省级）优秀工程勘察设计奖。</w:t>
            </w:r>
            <w:r>
              <w:rPr>
                <w:rFonts w:hint="eastAsia" w:ascii="宋体" w:hAnsi="宋体" w:eastAsia="宋体" w:cs="宋体"/>
                <w:color w:val="auto"/>
                <w:sz w:val="21"/>
                <w:szCs w:val="21"/>
                <w:highlight w:val="none"/>
              </w:rPr>
              <w:t>获奖时间以证书日期为准。工程项目获奖处于公示阶段的不得分。须提供获奖证书（或获奖文件）并加盖单位公章。同一项目获奖按最高级别计分一次。</w:t>
            </w:r>
          </w:p>
        </w:tc>
      </w:tr>
      <w:tr w14:paraId="1FE2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840" w:type="dxa"/>
            <w:gridSpan w:val="2"/>
            <w:vMerge w:val="restart"/>
            <w:shd w:val="clear" w:color="auto" w:fill="auto"/>
            <w:vAlign w:val="center"/>
          </w:tcPr>
          <w:p w14:paraId="3F6B77C0">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2.2.4（2）</w:t>
            </w:r>
          </w:p>
        </w:tc>
        <w:tc>
          <w:tcPr>
            <w:tcW w:w="670" w:type="dxa"/>
            <w:vMerge w:val="restart"/>
            <w:shd w:val="clear" w:color="auto" w:fill="auto"/>
            <w:vAlign w:val="center"/>
          </w:tcPr>
          <w:p w14:paraId="3A408906">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r>
              <w:rPr>
                <w:rFonts w:hint="eastAsia" w:ascii="宋体" w:hAnsi="宋体" w:eastAsia="宋体" w:cs="宋体"/>
                <w:i w:val="0"/>
                <w:iCs w:val="0"/>
                <w:caps w:val="0"/>
                <w:color w:val="666666"/>
                <w:spacing w:val="0"/>
                <w:sz w:val="21"/>
                <w:szCs w:val="21"/>
                <w:highlight w:val="none"/>
                <w:shd w:val="clear" w:fill="FFFFFF"/>
              </w:rPr>
              <w:t>施工技术标</w:t>
            </w:r>
            <w:r>
              <w:rPr>
                <w:rFonts w:hint="eastAsia" w:ascii="宋体" w:hAnsi="宋体" w:eastAsia="宋体" w:cs="宋体"/>
                <w:color w:val="auto"/>
                <w:kern w:val="1"/>
                <w:sz w:val="21"/>
                <w:szCs w:val="21"/>
                <w:highlight w:val="none"/>
              </w:rPr>
              <w:t>评分标准（100分）</w:t>
            </w:r>
          </w:p>
        </w:tc>
        <w:tc>
          <w:tcPr>
            <w:tcW w:w="902" w:type="dxa"/>
            <w:vMerge w:val="restart"/>
            <w:shd w:val="clear" w:color="auto" w:fill="auto"/>
            <w:vAlign w:val="center"/>
          </w:tcPr>
          <w:p w14:paraId="618F4212">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rPr>
              <w:t>资信</w:t>
            </w:r>
            <w:r>
              <w:rPr>
                <w:rFonts w:hint="eastAsia" w:ascii="宋体" w:hAnsi="宋体" w:eastAsia="宋体" w:cs="宋体"/>
                <w:color w:val="auto"/>
                <w:kern w:val="1"/>
                <w:sz w:val="21"/>
                <w:szCs w:val="21"/>
                <w:highlight w:val="none"/>
                <w:lang w:val="en-US" w:eastAsia="zh-CN"/>
              </w:rPr>
              <w:t>业绩</w:t>
            </w:r>
          </w:p>
          <w:p w14:paraId="5E29B742">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（3</w:t>
            </w:r>
            <w:r>
              <w:rPr>
                <w:rFonts w:hint="eastAsia" w:ascii="宋体" w:hAnsi="宋体" w:eastAsia="宋体" w:cs="宋体"/>
                <w:color w:val="auto"/>
                <w:kern w:val="1"/>
                <w:sz w:val="21"/>
                <w:szCs w:val="21"/>
                <w:highlight w:val="none"/>
                <w:lang w:val="en-US" w:eastAsia="zh-CN"/>
              </w:rPr>
              <w:t>6</w:t>
            </w:r>
            <w:r>
              <w:rPr>
                <w:rFonts w:hint="eastAsia" w:ascii="宋体" w:hAnsi="宋体" w:eastAsia="宋体" w:cs="宋体"/>
                <w:color w:val="auto"/>
                <w:kern w:val="1"/>
                <w:sz w:val="21"/>
                <w:szCs w:val="21"/>
                <w:highlight w:val="none"/>
              </w:rPr>
              <w:t>分）</w:t>
            </w:r>
          </w:p>
        </w:tc>
        <w:tc>
          <w:tcPr>
            <w:tcW w:w="1811" w:type="dxa"/>
            <w:shd w:val="clear" w:color="auto" w:fill="auto"/>
            <w:vAlign w:val="center"/>
          </w:tcPr>
          <w:p w14:paraId="1BE38B0A">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企业类似业绩</w:t>
            </w:r>
          </w:p>
          <w:p w14:paraId="59166EDE">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w:t>
            </w:r>
            <w:r>
              <w:rPr>
                <w:rFonts w:hint="eastAsia" w:ascii="宋体" w:hAnsi="宋体" w:cs="宋体"/>
                <w:color w:val="auto"/>
                <w:kern w:val="1"/>
                <w:sz w:val="21"/>
                <w:szCs w:val="21"/>
                <w:highlight w:val="none"/>
                <w:lang w:val="en-US" w:eastAsia="zh-CN"/>
              </w:rPr>
              <w:t>6</w:t>
            </w:r>
            <w:r>
              <w:rPr>
                <w:rFonts w:hint="eastAsia" w:ascii="宋体" w:hAnsi="宋体" w:eastAsia="宋体" w:cs="宋体"/>
                <w:color w:val="auto"/>
                <w:kern w:val="1"/>
                <w:sz w:val="21"/>
                <w:szCs w:val="21"/>
                <w:highlight w:val="none"/>
              </w:rPr>
              <w:t>分</w:t>
            </w:r>
            <w:r>
              <w:rPr>
                <w:rFonts w:hint="eastAsia" w:ascii="宋体" w:hAnsi="宋体" w:eastAsia="宋体" w:cs="宋体"/>
                <w:color w:val="auto"/>
                <w:kern w:val="1"/>
                <w:sz w:val="21"/>
                <w:szCs w:val="21"/>
                <w:highlight w:val="none"/>
                <w:lang w:val="en-US" w:eastAsia="zh-CN"/>
              </w:rPr>
              <w:t>）</w:t>
            </w:r>
          </w:p>
        </w:tc>
        <w:tc>
          <w:tcPr>
            <w:tcW w:w="5729" w:type="dxa"/>
            <w:shd w:val="clear" w:color="auto" w:fill="auto"/>
            <w:vAlign w:val="center"/>
          </w:tcPr>
          <w:p w14:paraId="5A8E0963">
            <w:pPr>
              <w:keepNext w:val="0"/>
              <w:keepLines w:val="0"/>
              <w:pageBreakBefore w:val="0"/>
              <w:widowControl/>
              <w:shd w:val="clear"/>
              <w:kinsoku/>
              <w:overflowPunct/>
              <w:autoSpaceDE/>
              <w:autoSpaceDN/>
              <w:bidi w:val="0"/>
              <w:adjustRightInd/>
              <w:snapToGrid/>
              <w:spacing w:line="240" w:lineRule="auto"/>
              <w:textAlignment w:val="auto"/>
              <w:rPr>
                <w:rFonts w:hint="eastAsia" w:ascii="宋体" w:hAnsi="宋体" w:eastAsia="宋体" w:cs="宋体"/>
                <w:b w:val="0"/>
                <w:bCs/>
                <w:color w:val="auto"/>
                <w:kern w:val="1"/>
                <w:sz w:val="21"/>
                <w:szCs w:val="21"/>
                <w:highlight w:val="none"/>
                <w:u w:val="none"/>
                <w:lang w:val="zh-CN"/>
              </w:rPr>
            </w:pPr>
            <w:r>
              <w:rPr>
                <w:rFonts w:hint="eastAsia" w:ascii="宋体" w:hAnsi="宋体" w:eastAsia="宋体" w:cs="宋体"/>
                <w:b w:val="0"/>
                <w:bCs/>
                <w:color w:val="auto"/>
                <w:kern w:val="1"/>
                <w:sz w:val="21"/>
                <w:szCs w:val="21"/>
                <w:highlight w:val="none"/>
                <w:u w:val="none"/>
                <w:lang w:val="zh-CN"/>
              </w:rPr>
              <w:t>投标人（若为联合体，指联合体主办方）自20</w:t>
            </w:r>
            <w:r>
              <w:rPr>
                <w:rFonts w:hint="eastAsia" w:ascii="宋体" w:hAnsi="宋体" w:eastAsia="宋体" w:cs="宋体"/>
                <w:b w:val="0"/>
                <w:bCs/>
                <w:color w:val="auto"/>
                <w:kern w:val="1"/>
                <w:sz w:val="21"/>
                <w:szCs w:val="21"/>
                <w:highlight w:val="none"/>
                <w:u w:val="none"/>
                <w:lang w:val="en-US" w:eastAsia="zh-CN"/>
              </w:rPr>
              <w:t>22</w:t>
            </w:r>
            <w:r>
              <w:rPr>
                <w:rFonts w:hint="eastAsia" w:ascii="宋体" w:hAnsi="宋体" w:eastAsia="宋体" w:cs="宋体"/>
                <w:b w:val="0"/>
                <w:bCs/>
                <w:color w:val="auto"/>
                <w:kern w:val="1"/>
                <w:sz w:val="21"/>
                <w:szCs w:val="21"/>
                <w:highlight w:val="none"/>
                <w:u w:val="none"/>
                <w:lang w:val="zh-CN"/>
              </w:rPr>
              <w:t>年1月1日至今，完成过质量合格的类似工程施工业绩，每项得</w:t>
            </w:r>
            <w:r>
              <w:rPr>
                <w:rFonts w:hint="eastAsia" w:ascii="宋体" w:hAnsi="宋体" w:cs="宋体"/>
                <w:b w:val="0"/>
                <w:bCs/>
                <w:color w:val="auto"/>
                <w:kern w:val="1"/>
                <w:sz w:val="21"/>
                <w:szCs w:val="21"/>
                <w:highlight w:val="none"/>
                <w:u w:val="none"/>
                <w:lang w:val="en-US" w:eastAsia="zh-CN"/>
              </w:rPr>
              <w:t>1</w:t>
            </w:r>
            <w:r>
              <w:rPr>
                <w:rFonts w:hint="eastAsia" w:ascii="宋体" w:hAnsi="宋体" w:eastAsia="宋体" w:cs="宋体"/>
                <w:b w:val="0"/>
                <w:bCs/>
                <w:color w:val="auto"/>
                <w:kern w:val="1"/>
                <w:sz w:val="21"/>
                <w:szCs w:val="21"/>
                <w:highlight w:val="none"/>
                <w:u w:val="none"/>
                <w:lang w:val="zh-CN"/>
              </w:rPr>
              <w:t>分；本小项最高得</w:t>
            </w:r>
            <w:r>
              <w:rPr>
                <w:rFonts w:hint="eastAsia" w:ascii="宋体" w:hAnsi="宋体" w:cs="宋体"/>
                <w:b w:val="0"/>
                <w:bCs/>
                <w:color w:val="auto"/>
                <w:kern w:val="1"/>
                <w:sz w:val="21"/>
                <w:szCs w:val="21"/>
                <w:highlight w:val="none"/>
                <w:u w:val="none"/>
                <w:lang w:val="en-US" w:eastAsia="zh-CN"/>
              </w:rPr>
              <w:t>6</w:t>
            </w:r>
            <w:r>
              <w:rPr>
                <w:rFonts w:hint="eastAsia" w:ascii="宋体" w:hAnsi="宋体" w:eastAsia="宋体" w:cs="宋体"/>
                <w:b w:val="0"/>
                <w:bCs/>
                <w:color w:val="auto"/>
                <w:kern w:val="1"/>
                <w:sz w:val="21"/>
                <w:szCs w:val="21"/>
                <w:highlight w:val="none"/>
                <w:u w:val="none"/>
                <w:lang w:val="zh-CN"/>
              </w:rPr>
              <w:t>分。</w:t>
            </w:r>
          </w:p>
          <w:p w14:paraId="74332F93">
            <w:pPr>
              <w:keepNext w:val="0"/>
              <w:keepLines w:val="0"/>
              <w:pageBreakBefore w:val="0"/>
              <w:widowControl/>
              <w:shd w:val="clear"/>
              <w:kinsoku/>
              <w:overflowPunct/>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kern w:val="1"/>
                <w:sz w:val="21"/>
                <w:szCs w:val="21"/>
                <w:highlight w:val="none"/>
                <w:u w:val="none"/>
                <w:lang w:val="en-US" w:eastAsia="zh-CN"/>
              </w:rPr>
              <w:t>注：</w:t>
            </w:r>
            <w:r>
              <w:rPr>
                <w:rFonts w:hint="eastAsia" w:ascii="宋体" w:hAnsi="宋体" w:eastAsia="宋体" w:cs="宋体"/>
                <w:color w:val="auto"/>
                <w:szCs w:val="30"/>
                <w:highlight w:val="none"/>
              </w:rPr>
              <w:t>类似工程施工业绩是指单项工程中标金额大于或等于</w:t>
            </w:r>
            <w:r>
              <w:rPr>
                <w:rFonts w:hint="eastAsia" w:ascii="宋体" w:hAnsi="宋体" w:eastAsia="宋体" w:cs="宋体"/>
                <w:color w:val="auto"/>
                <w:szCs w:val="30"/>
                <w:highlight w:val="none"/>
                <w:u w:val="single"/>
                <w:lang w:val="en-US" w:eastAsia="zh-CN"/>
              </w:rPr>
              <w:t>4</w:t>
            </w:r>
            <w:r>
              <w:rPr>
                <w:rFonts w:hint="eastAsia" w:ascii="宋体" w:hAnsi="宋体" w:cs="宋体"/>
                <w:color w:val="auto"/>
                <w:szCs w:val="30"/>
                <w:highlight w:val="none"/>
                <w:u w:val="single"/>
                <w:lang w:val="en-US" w:eastAsia="zh-CN"/>
              </w:rPr>
              <w:t>0</w:t>
            </w:r>
            <w:r>
              <w:rPr>
                <w:rFonts w:hint="eastAsia" w:ascii="宋体" w:hAnsi="宋体" w:eastAsia="宋体" w:cs="宋体"/>
                <w:color w:val="auto"/>
                <w:szCs w:val="30"/>
                <w:highlight w:val="none"/>
                <w:u w:val="single"/>
                <w:lang w:val="en-US" w:eastAsia="zh-CN"/>
              </w:rPr>
              <w:t>00</w:t>
            </w:r>
            <w:r>
              <w:rPr>
                <w:rFonts w:hint="eastAsia" w:ascii="宋体" w:hAnsi="宋体" w:eastAsia="宋体" w:cs="宋体"/>
                <w:color w:val="auto"/>
                <w:szCs w:val="30"/>
                <w:highlight w:val="none"/>
                <w:u w:val="single"/>
              </w:rPr>
              <w:t>万元</w:t>
            </w:r>
            <w:r>
              <w:rPr>
                <w:rFonts w:hint="eastAsia" w:ascii="宋体" w:hAnsi="宋体" w:eastAsia="宋体" w:cs="宋体"/>
                <w:color w:val="auto"/>
                <w:szCs w:val="30"/>
                <w:highlight w:val="none"/>
              </w:rPr>
              <w:t>的市政公用工程</w:t>
            </w:r>
            <w:r>
              <w:rPr>
                <w:rFonts w:hint="eastAsia" w:ascii="宋体" w:hAnsi="宋体" w:eastAsia="宋体" w:cs="宋体"/>
                <w:color w:val="auto"/>
                <w:szCs w:val="21"/>
                <w:highlight w:val="none"/>
                <w:lang w:val="zh-CN"/>
              </w:rPr>
              <w:t>施工业绩（包括施工总承包业绩、工程总承包或勘察设计施工总承包或设计施工总承包或设计采购施工总承包或勘察设计采购施工总承包等项目中的施工部分业绩）</w:t>
            </w:r>
            <w:r>
              <w:rPr>
                <w:rFonts w:hint="eastAsia" w:ascii="宋体" w:hAnsi="宋体" w:eastAsia="宋体" w:cs="宋体"/>
                <w:color w:val="auto"/>
                <w:szCs w:val="30"/>
                <w:highlight w:val="none"/>
              </w:rPr>
              <w:t>，</w:t>
            </w:r>
            <w:r>
              <w:rPr>
                <w:rFonts w:hint="eastAsia" w:ascii="宋体" w:hAnsi="宋体" w:eastAsia="宋体" w:cs="宋体"/>
                <w:color w:val="auto"/>
                <w:szCs w:val="21"/>
                <w:highlight w:val="none"/>
              </w:rPr>
              <w:t>需提供中标通知书（如为免招标项目无须提供中标通知书，但须提供相应的免招标证明文件）、合同</w:t>
            </w:r>
            <w:r>
              <w:rPr>
                <w:rFonts w:hint="eastAsia" w:ascii="宋体" w:hAnsi="宋体" w:eastAsia="宋体" w:cs="宋体"/>
                <w:color w:val="auto"/>
                <w:szCs w:val="21"/>
                <w:highlight w:val="none"/>
                <w:lang w:eastAsia="zh-CN"/>
              </w:rPr>
              <w:t>关键页</w:t>
            </w:r>
            <w:r>
              <w:rPr>
                <w:rFonts w:hint="eastAsia" w:ascii="宋体" w:hAnsi="宋体" w:eastAsia="宋体" w:cs="宋体"/>
                <w:color w:val="auto"/>
                <w:szCs w:val="21"/>
                <w:highlight w:val="none"/>
              </w:rPr>
              <w:t>（不含补充合同）、竣工验收文件的扫描件并加盖电子签章，中标金额以中标通知书为准，中标通知书上没有金额或免招标的，以合同文件（不含补充合同）为准。完成时间以竣工验收文件为准。验收文件至少具有建设单位、设计、施工和监理单位盖章。</w:t>
            </w:r>
          </w:p>
        </w:tc>
      </w:tr>
      <w:tr w14:paraId="5AA2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11" w:hRule="atLeast"/>
        </w:trPr>
        <w:tc>
          <w:tcPr>
            <w:tcW w:w="840" w:type="dxa"/>
            <w:gridSpan w:val="2"/>
            <w:vMerge w:val="continue"/>
            <w:shd w:val="clear" w:color="auto" w:fill="auto"/>
            <w:vAlign w:val="center"/>
          </w:tcPr>
          <w:p w14:paraId="0D48DBDD">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670" w:type="dxa"/>
            <w:vMerge w:val="continue"/>
            <w:shd w:val="clear" w:color="auto" w:fill="auto"/>
            <w:vAlign w:val="center"/>
          </w:tcPr>
          <w:p w14:paraId="378BDCAC">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902" w:type="dxa"/>
            <w:vMerge w:val="continue"/>
            <w:shd w:val="clear" w:color="auto" w:fill="auto"/>
            <w:vAlign w:val="center"/>
          </w:tcPr>
          <w:p w14:paraId="0C2B9748">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1811" w:type="dxa"/>
            <w:shd w:val="clear" w:color="auto" w:fill="auto"/>
            <w:vAlign w:val="center"/>
          </w:tcPr>
          <w:p w14:paraId="5BC9A203">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val="zh-CN"/>
              </w:rPr>
              <w:t>企业</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val="zh-CN"/>
              </w:rPr>
              <w:t>获奖</w:t>
            </w:r>
          </w:p>
          <w:p w14:paraId="23EC7BCB">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eastAsia="zh-CN"/>
              </w:rPr>
              <w:t>（</w:t>
            </w:r>
            <w:r>
              <w:rPr>
                <w:rFonts w:hint="eastAsia" w:ascii="宋体" w:hAnsi="宋体" w:cs="宋体"/>
                <w:color w:val="auto"/>
                <w:kern w:val="1"/>
                <w:sz w:val="21"/>
                <w:szCs w:val="21"/>
                <w:highlight w:val="none"/>
                <w:lang w:val="en-US" w:eastAsia="zh-CN"/>
              </w:rPr>
              <w:t>6</w:t>
            </w:r>
            <w:r>
              <w:rPr>
                <w:rFonts w:hint="eastAsia" w:ascii="宋体" w:hAnsi="宋体" w:eastAsia="宋体" w:cs="宋体"/>
                <w:color w:val="auto"/>
                <w:kern w:val="1"/>
                <w:sz w:val="21"/>
                <w:szCs w:val="21"/>
                <w:highlight w:val="none"/>
              </w:rPr>
              <w:t>分</w:t>
            </w:r>
            <w:r>
              <w:rPr>
                <w:rFonts w:hint="eastAsia" w:ascii="宋体" w:hAnsi="宋体" w:eastAsia="宋体" w:cs="宋体"/>
                <w:color w:val="auto"/>
                <w:kern w:val="1"/>
                <w:sz w:val="21"/>
                <w:szCs w:val="21"/>
                <w:highlight w:val="none"/>
                <w:lang w:eastAsia="zh-CN"/>
              </w:rPr>
              <w:t>）</w:t>
            </w:r>
          </w:p>
        </w:tc>
        <w:tc>
          <w:tcPr>
            <w:tcW w:w="5729" w:type="dxa"/>
            <w:shd w:val="clear" w:color="auto" w:fill="auto"/>
            <w:vAlign w:val="center"/>
          </w:tcPr>
          <w:p w14:paraId="165A1342">
            <w:pPr>
              <w:autoSpaceDE/>
              <w:autoSpaceDN/>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（若为联合体，指联合体主办方）</w:t>
            </w:r>
            <w:r>
              <w:rPr>
                <w:rFonts w:hint="eastAsia" w:ascii="宋体" w:hAnsi="宋体" w:eastAsia="宋体" w:cs="宋体"/>
                <w:color w:val="auto"/>
                <w:sz w:val="21"/>
                <w:szCs w:val="21"/>
                <w:highlight w:val="none"/>
              </w:rPr>
              <w:t>自20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年1月1日至今，承接的市政公用工程获得过：</w:t>
            </w:r>
            <w:r>
              <w:rPr>
                <w:rFonts w:hint="eastAsia" w:ascii="宋体" w:hAnsi="宋体" w:eastAsia="宋体" w:cs="宋体"/>
                <w:color w:val="auto"/>
                <w:sz w:val="21"/>
                <w:szCs w:val="21"/>
                <w:highlight w:val="none"/>
                <w:lang w:val="zh-CN"/>
              </w:rPr>
              <w:t>国家级奖项的每项得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分，获省级奖项的每项得</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分，获市级（含副省级）奖项的每项得</w:t>
            </w:r>
            <w:r>
              <w:rPr>
                <w:rFonts w:hint="eastAsia" w:ascii="宋体" w:hAnsi="宋体" w:cs="宋体"/>
                <w:color w:val="auto"/>
                <w:sz w:val="21"/>
                <w:szCs w:val="21"/>
                <w:highlight w:val="none"/>
                <w:lang w:eastAsia="zh-CN"/>
              </w:rPr>
              <w:t>1</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，本小项最高得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65C53C77">
            <w:pPr>
              <w:wordWrap/>
              <w:rPr>
                <w:rFonts w:hint="eastAsia" w:ascii="宋体" w:hAnsi="宋体" w:eastAsia="宋体" w:cs="宋体"/>
                <w:color w:val="auto"/>
                <w:kern w:val="1"/>
                <w:sz w:val="21"/>
                <w:szCs w:val="21"/>
                <w:highlight w:val="none"/>
                <w:u w:val="single"/>
              </w:rPr>
            </w:pPr>
            <w:r>
              <w:rPr>
                <w:rFonts w:hint="eastAsia" w:ascii="宋体" w:hAnsi="宋体" w:eastAsia="宋体" w:cs="宋体"/>
                <w:b/>
                <w:color w:val="auto"/>
                <w:kern w:val="1"/>
                <w:sz w:val="21"/>
                <w:szCs w:val="21"/>
                <w:highlight w:val="none"/>
                <w:u w:val="single"/>
              </w:rPr>
              <w:t>注：</w:t>
            </w:r>
            <w:r>
              <w:rPr>
                <w:rFonts w:hint="eastAsia" w:ascii="宋体" w:hAnsi="宋体" w:eastAsia="宋体" w:cs="宋体"/>
                <w:color w:val="auto"/>
                <w:kern w:val="1"/>
                <w:sz w:val="21"/>
                <w:szCs w:val="21"/>
                <w:highlight w:val="none"/>
                <w:u w:val="single"/>
              </w:rPr>
              <w:t>①须提供获奖证书或证明文件作为证明材料。</w:t>
            </w:r>
            <w:r>
              <w:rPr>
                <w:rFonts w:hint="eastAsia" w:ascii="宋体" w:hAnsi="宋体" w:eastAsia="宋体" w:cs="宋体"/>
                <w:color w:val="auto"/>
                <w:sz w:val="21"/>
                <w:szCs w:val="21"/>
                <w:highlight w:val="none"/>
                <w:u w:val="single"/>
              </w:rPr>
              <w:t>若发证机构为学会或协会的，须提供该学会或协会在“全国社会组织信用信息公示平台（试运行)”网站（https://xxgs.chinanpo.mca.gov.cn/gsxt/newList）查询结果的网页打印页。</w:t>
            </w:r>
          </w:p>
          <w:p w14:paraId="3E66A474">
            <w:pPr>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rPr>
              <w:t>②时间以获奖证书或证明文件颁发的时间为准，奖项级别以颁发单位的区域级别为准。</w:t>
            </w:r>
          </w:p>
          <w:p w14:paraId="3FC08685">
            <w:pPr>
              <w:keepNext w:val="0"/>
              <w:keepLines w:val="0"/>
              <w:pageBreakBefore w:val="0"/>
              <w:widowControl/>
              <w:shd w:val="clear"/>
              <w:kinsoku/>
              <w:overflowPunct/>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1"/>
                <w:sz w:val="21"/>
                <w:szCs w:val="21"/>
                <w:highlight w:val="none"/>
                <w:u w:val="single"/>
              </w:rPr>
              <w:t>③同一工程获不同等级奖项，只按最高级别计算一次得分。</w:t>
            </w:r>
          </w:p>
        </w:tc>
      </w:tr>
      <w:tr w14:paraId="626B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840" w:type="dxa"/>
            <w:gridSpan w:val="2"/>
            <w:vMerge w:val="continue"/>
            <w:shd w:val="clear" w:color="auto" w:fill="auto"/>
            <w:vAlign w:val="center"/>
          </w:tcPr>
          <w:p w14:paraId="46F25E21">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670" w:type="dxa"/>
            <w:vMerge w:val="continue"/>
            <w:shd w:val="clear" w:color="auto" w:fill="auto"/>
            <w:vAlign w:val="center"/>
          </w:tcPr>
          <w:p w14:paraId="7456779E">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902" w:type="dxa"/>
            <w:vMerge w:val="continue"/>
            <w:shd w:val="clear" w:color="auto" w:fill="auto"/>
            <w:vAlign w:val="center"/>
          </w:tcPr>
          <w:p w14:paraId="767AD781">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1811" w:type="dxa"/>
            <w:shd w:val="clear" w:color="auto" w:fill="auto"/>
            <w:vAlign w:val="center"/>
          </w:tcPr>
          <w:p w14:paraId="18BDE2D4">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第三方信用评价</w:t>
            </w:r>
          </w:p>
          <w:p w14:paraId="7F2D8F0A">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eastAsia="zh-CN"/>
              </w:rPr>
              <w:t>（</w:t>
            </w:r>
            <w:r>
              <w:rPr>
                <w:rFonts w:hint="eastAsia" w:ascii="宋体" w:hAnsi="宋体" w:cs="宋体"/>
                <w:color w:val="auto"/>
                <w:kern w:val="1"/>
                <w:sz w:val="21"/>
                <w:szCs w:val="21"/>
                <w:highlight w:val="none"/>
                <w:lang w:val="en-US" w:eastAsia="zh-CN"/>
              </w:rPr>
              <w:t>4</w:t>
            </w:r>
            <w:r>
              <w:rPr>
                <w:rFonts w:hint="eastAsia" w:ascii="宋体" w:hAnsi="宋体" w:eastAsia="宋体" w:cs="宋体"/>
                <w:color w:val="auto"/>
                <w:kern w:val="1"/>
                <w:sz w:val="21"/>
                <w:szCs w:val="21"/>
                <w:highlight w:val="none"/>
              </w:rPr>
              <w:t>分</w:t>
            </w:r>
            <w:r>
              <w:rPr>
                <w:rFonts w:hint="eastAsia" w:ascii="宋体" w:hAnsi="宋体" w:eastAsia="宋体" w:cs="宋体"/>
                <w:color w:val="auto"/>
                <w:kern w:val="1"/>
                <w:sz w:val="21"/>
                <w:szCs w:val="21"/>
                <w:highlight w:val="none"/>
                <w:lang w:eastAsia="zh-CN"/>
              </w:rPr>
              <w:t>）</w:t>
            </w:r>
          </w:p>
        </w:tc>
        <w:tc>
          <w:tcPr>
            <w:tcW w:w="5729" w:type="dxa"/>
            <w:shd w:val="clear" w:color="auto" w:fill="auto"/>
            <w:vAlign w:val="center"/>
          </w:tcPr>
          <w:p w14:paraId="6D5B6CF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w:t>
            </w:r>
            <w:r>
              <w:rPr>
                <w:rFonts w:hint="eastAsia" w:ascii="宋体" w:hAnsi="宋体" w:eastAsia="宋体" w:cs="宋体"/>
                <w:color w:val="auto"/>
                <w:sz w:val="21"/>
                <w:szCs w:val="21"/>
                <w:highlight w:val="none"/>
                <w:u w:val="single"/>
              </w:rPr>
              <w:t>（若为联合体，指联合体主办方）</w:t>
            </w:r>
            <w:r>
              <w:rPr>
                <w:rFonts w:hint="eastAsia" w:ascii="宋体" w:hAnsi="宋体" w:eastAsia="宋体" w:cs="宋体"/>
                <w:color w:val="auto"/>
                <w:sz w:val="21"/>
                <w:szCs w:val="21"/>
                <w:highlight w:val="none"/>
              </w:rPr>
              <w:t>至投标截止时间为止，连续获得“A级纳税人”称号情况：</w:t>
            </w:r>
          </w:p>
          <w:p w14:paraId="5310D3D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连续获得5年或以上的，得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328740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连续获得3年-4年的，得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0D62C25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连续获得1年-2年的，得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78857CE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其他不得分。</w:t>
            </w:r>
            <w:r>
              <w:rPr>
                <w:rFonts w:hint="eastAsia" w:ascii="宋体" w:hAnsi="宋体" w:eastAsia="宋体" w:cs="宋体"/>
                <w:color w:val="auto"/>
                <w:sz w:val="21"/>
                <w:szCs w:val="21"/>
                <w:highlight w:val="none"/>
                <w:lang w:val="zh-CN"/>
              </w:rPr>
              <w:t>本小项最多得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w:t>
            </w:r>
          </w:p>
          <w:p w14:paraId="0724CD4D">
            <w:pPr>
              <w:pStyle w:val="12"/>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项需包含最近评审年度，需提供相关证明材料，时间以证明材料上注明的获奖年度为准，证明材料可为“国家税务总局”官网（http://www.chinatax.gov.cn/）查询结果截图或各省税务局管网查询结果（须提供在查询结果网页打印件）或信用中国官网（须提供在查询结果网页打印件），或税务局出具的官方证明为准。只计算投标人自身（不计算投标人的分公司和子公司）。</w:t>
            </w:r>
          </w:p>
          <w:p w14:paraId="10D7EAE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投标人</w:t>
            </w:r>
            <w:r>
              <w:rPr>
                <w:rFonts w:hint="eastAsia" w:ascii="宋体" w:hAnsi="宋体" w:eastAsia="宋体" w:cs="宋体"/>
                <w:color w:val="auto"/>
                <w:sz w:val="21"/>
                <w:szCs w:val="21"/>
                <w:highlight w:val="none"/>
                <w:u w:val="single"/>
              </w:rPr>
              <w:t>（若为联合体，指联合体主办方）</w:t>
            </w:r>
            <w:r>
              <w:rPr>
                <w:rFonts w:hint="eastAsia" w:ascii="宋体" w:hAnsi="宋体" w:eastAsia="宋体" w:cs="宋体"/>
                <w:color w:val="auto"/>
                <w:sz w:val="21"/>
                <w:szCs w:val="21"/>
                <w:highlight w:val="none"/>
                <w:lang w:val="zh-CN"/>
              </w:rPr>
              <w:t>获得省级（或以上）市政行业协会颁发的企业诚信评价（施工）或信用等级评价（施工）且在有效期内：AA</w:t>
            </w: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lang w:val="zh-CN"/>
              </w:rPr>
              <w:t>级</w:t>
            </w:r>
            <w:r>
              <w:rPr>
                <w:rFonts w:hint="eastAsia" w:ascii="宋体" w:hAnsi="宋体" w:eastAsia="宋体" w:cs="宋体"/>
                <w:color w:val="auto"/>
                <w:sz w:val="21"/>
                <w:szCs w:val="21"/>
                <w:highlight w:val="none"/>
                <w:lang w:val="en-US" w:eastAsia="zh-CN"/>
              </w:rPr>
              <w:t>或以上</w:t>
            </w:r>
            <w:r>
              <w:rPr>
                <w:rFonts w:hint="eastAsia" w:ascii="宋体" w:hAnsi="宋体" w:eastAsia="宋体" w:cs="宋体"/>
                <w:color w:val="auto"/>
                <w:sz w:val="21"/>
                <w:szCs w:val="21"/>
                <w:highlight w:val="none"/>
                <w:lang w:val="zh-CN"/>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分；A</w:t>
            </w: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lang w:val="zh-CN"/>
              </w:rPr>
              <w:t>级得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A级得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其他情况不得分。本小项最多得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w:t>
            </w:r>
          </w:p>
          <w:p w14:paraId="05569DAA">
            <w:pPr>
              <w:pStyle w:val="12"/>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val="0"/>
                <w:color w:val="auto"/>
                <w:sz w:val="21"/>
                <w:szCs w:val="21"/>
                <w:highlight w:val="none"/>
                <w:lang w:val="zh-CN"/>
              </w:rPr>
              <w:t>注：提供相关证书应在有效期内，否则不计分。应提供证书原件扫描件，加盖单位公章。</w:t>
            </w:r>
          </w:p>
        </w:tc>
      </w:tr>
      <w:tr w14:paraId="2B63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63" w:hRule="atLeast"/>
        </w:trPr>
        <w:tc>
          <w:tcPr>
            <w:tcW w:w="840" w:type="dxa"/>
            <w:gridSpan w:val="2"/>
            <w:vMerge w:val="continue"/>
            <w:shd w:val="clear" w:color="auto" w:fill="auto"/>
            <w:vAlign w:val="center"/>
          </w:tcPr>
          <w:p w14:paraId="2CBFFCD6">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670" w:type="dxa"/>
            <w:vMerge w:val="continue"/>
            <w:shd w:val="clear" w:color="auto" w:fill="auto"/>
            <w:vAlign w:val="center"/>
          </w:tcPr>
          <w:p w14:paraId="064077CA">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902" w:type="dxa"/>
            <w:vMerge w:val="continue"/>
            <w:shd w:val="clear" w:color="auto" w:fill="auto"/>
            <w:vAlign w:val="center"/>
          </w:tcPr>
          <w:p w14:paraId="1F554245">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1811" w:type="dxa"/>
            <w:shd w:val="clear" w:color="auto" w:fill="auto"/>
            <w:vAlign w:val="center"/>
          </w:tcPr>
          <w:p w14:paraId="3C32413C">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lang w:eastAsia="zh-CN"/>
              </w:rPr>
            </w:pPr>
            <w:r>
              <w:rPr>
                <w:rFonts w:hint="eastAsia" w:ascii="宋体" w:hAnsi="宋体" w:cs="宋体"/>
                <w:color w:val="auto"/>
                <w:sz w:val="21"/>
                <w:szCs w:val="21"/>
                <w:highlight w:val="none"/>
                <w:lang w:val="en-US" w:eastAsia="zh-CN"/>
              </w:rPr>
              <w:t>工程</w:t>
            </w:r>
            <w:r>
              <w:rPr>
                <w:rFonts w:hint="eastAsia" w:ascii="宋体" w:hAnsi="宋体" w:eastAsia="宋体" w:cs="宋体"/>
                <w:color w:val="auto"/>
                <w:sz w:val="21"/>
                <w:szCs w:val="21"/>
                <w:highlight w:val="none"/>
              </w:rPr>
              <w:t>研发能力（</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5729" w:type="dxa"/>
            <w:shd w:val="clear" w:color="auto" w:fill="auto"/>
            <w:vAlign w:val="center"/>
          </w:tcPr>
          <w:p w14:paraId="7C32B582">
            <w:pPr>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投标人（若为联合体，指联合体主办方）自2022年1月1日至今（以证书颁发时间为准）获得过国家级土木工程类工法证书，每项得1分；省级土木工程类工法证书，每项得</w:t>
            </w:r>
            <w:r>
              <w:rPr>
                <w:rFonts w:hint="default" w:ascii="宋体" w:hAnsi="宋体" w:cs="宋体"/>
                <w:bCs/>
                <w:snapToGrid w:val="0"/>
                <w:color w:val="auto"/>
                <w:kern w:val="0"/>
                <w:sz w:val="21"/>
                <w:szCs w:val="21"/>
                <w:highlight w:val="none"/>
                <w:lang w:val="en-US" w:eastAsia="zh-CN"/>
              </w:rPr>
              <w:t>0.5</w:t>
            </w:r>
            <w:r>
              <w:rPr>
                <w:rFonts w:hint="eastAsia" w:ascii="宋体" w:hAnsi="宋体" w:eastAsia="宋体" w:cs="宋体"/>
                <w:bCs/>
                <w:snapToGrid w:val="0"/>
                <w:color w:val="auto"/>
                <w:kern w:val="0"/>
                <w:sz w:val="21"/>
                <w:szCs w:val="21"/>
                <w:highlight w:val="none"/>
              </w:rPr>
              <w:t>分；</w:t>
            </w:r>
            <w:r>
              <w:rPr>
                <w:rFonts w:hint="eastAsia" w:ascii="宋体" w:hAnsi="宋体" w:eastAsia="宋体" w:cs="宋体"/>
                <w:color w:val="auto"/>
                <w:sz w:val="21"/>
                <w:szCs w:val="21"/>
                <w:highlight w:val="none"/>
                <w:lang w:val="zh-CN"/>
              </w:rPr>
              <w:t>本小项最多得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p>
          <w:p w14:paraId="35609C42">
            <w:pPr>
              <w:keepNext w:val="0"/>
              <w:keepLines w:val="0"/>
              <w:pageBreakBefore w:val="0"/>
              <w:widowControl/>
              <w:kinsoku/>
              <w:overflowPunct/>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Cs/>
                <w:snapToGrid w:val="0"/>
                <w:color w:val="auto"/>
                <w:kern w:val="0"/>
                <w:sz w:val="21"/>
                <w:szCs w:val="21"/>
                <w:highlight w:val="none"/>
              </w:rPr>
              <w:t>注：①须提供建设行政主管部门颁发的工法证书扫描件及网上公布截图或打印页，时间以证书颁发时间为准，同一项目获得多个奖项的，该项目获奖只按其中一个奖项所在最高级别计算一次分数，不得重复计算。②须提供政府机构或建设职能部门或主管的行业协会出具的科学技术成果鉴定证书扫描件，并在科学技术成果鉴定证书中反映该科学技术奖励的研究背景项目为市政类项目，否则不得分。</w:t>
            </w:r>
          </w:p>
        </w:tc>
      </w:tr>
      <w:tr w14:paraId="529E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63" w:hRule="atLeast"/>
        </w:trPr>
        <w:tc>
          <w:tcPr>
            <w:tcW w:w="840" w:type="dxa"/>
            <w:gridSpan w:val="2"/>
            <w:vMerge w:val="continue"/>
            <w:shd w:val="clear" w:color="auto" w:fill="auto"/>
            <w:vAlign w:val="center"/>
          </w:tcPr>
          <w:p w14:paraId="7C68D9AE">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670" w:type="dxa"/>
            <w:vMerge w:val="continue"/>
            <w:shd w:val="clear" w:color="auto" w:fill="auto"/>
            <w:vAlign w:val="center"/>
          </w:tcPr>
          <w:p w14:paraId="092976EA">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2713" w:type="dxa"/>
            <w:gridSpan w:val="2"/>
            <w:shd w:val="clear" w:color="auto" w:fill="auto"/>
            <w:vAlign w:val="center"/>
          </w:tcPr>
          <w:p w14:paraId="181DABF5">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kern w:val="0"/>
                <w:sz w:val="21"/>
                <w:szCs w:val="21"/>
                <w:highlight w:val="none"/>
              </w:rPr>
              <w:t>项目管理团队</w:t>
            </w:r>
            <w:r>
              <w:rPr>
                <w:rFonts w:hint="eastAsia" w:ascii="宋体" w:hAnsi="宋体" w:eastAsia="宋体" w:cs="宋体"/>
                <w:b w:val="0"/>
                <w:bCs/>
                <w:color w:val="auto"/>
                <w:kern w:val="1"/>
                <w:sz w:val="21"/>
                <w:szCs w:val="21"/>
                <w:highlight w:val="none"/>
                <w:u w:val="none"/>
                <w:lang w:val="zh-CN"/>
              </w:rPr>
              <w:t>（若为联合体，</w:t>
            </w:r>
            <w:r>
              <w:rPr>
                <w:rFonts w:hint="eastAsia" w:ascii="宋体" w:hAnsi="宋体" w:eastAsia="宋体" w:cs="宋体"/>
                <w:b w:val="0"/>
                <w:bCs/>
                <w:color w:val="auto"/>
                <w:kern w:val="1"/>
                <w:sz w:val="21"/>
                <w:szCs w:val="21"/>
                <w:highlight w:val="none"/>
                <w:u w:val="none"/>
                <w:lang w:val="en-US" w:eastAsia="zh-CN"/>
              </w:rPr>
              <w:t>由</w:t>
            </w:r>
            <w:r>
              <w:rPr>
                <w:rFonts w:hint="eastAsia" w:ascii="宋体" w:hAnsi="宋体" w:eastAsia="宋体" w:cs="宋体"/>
                <w:b w:val="0"/>
                <w:bCs/>
                <w:color w:val="auto"/>
                <w:kern w:val="1"/>
                <w:sz w:val="21"/>
                <w:szCs w:val="21"/>
                <w:highlight w:val="none"/>
                <w:u w:val="none"/>
                <w:lang w:val="zh-CN"/>
              </w:rPr>
              <w:t>联合体主办方</w:t>
            </w:r>
            <w:r>
              <w:rPr>
                <w:rFonts w:hint="eastAsia" w:ascii="宋体" w:hAnsi="宋体" w:eastAsia="宋体" w:cs="宋体"/>
                <w:b w:val="0"/>
                <w:bCs/>
                <w:color w:val="auto"/>
                <w:kern w:val="1"/>
                <w:sz w:val="21"/>
                <w:szCs w:val="21"/>
                <w:highlight w:val="none"/>
                <w:u w:val="none"/>
                <w:lang w:val="en-US" w:eastAsia="zh-CN"/>
              </w:rPr>
              <w:t>提供</w:t>
            </w:r>
            <w:r>
              <w:rPr>
                <w:rFonts w:hint="eastAsia" w:ascii="宋体" w:hAnsi="宋体" w:eastAsia="宋体" w:cs="宋体"/>
                <w:b w:val="0"/>
                <w:bCs/>
                <w:color w:val="auto"/>
                <w:kern w:val="1"/>
                <w:sz w:val="21"/>
                <w:szCs w:val="21"/>
                <w:highlight w:val="none"/>
                <w:u w:val="none"/>
                <w:lang w:val="zh-CN"/>
              </w:rPr>
              <w:t>）</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17</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lang w:eastAsia="zh-CN"/>
              </w:rPr>
              <w:t>）</w:t>
            </w:r>
          </w:p>
        </w:tc>
        <w:tc>
          <w:tcPr>
            <w:tcW w:w="5729" w:type="dxa"/>
            <w:shd w:val="clear" w:color="auto" w:fill="auto"/>
            <w:vAlign w:val="top"/>
          </w:tcPr>
          <w:p w14:paraId="706DDE28">
            <w:pP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施工</w:t>
            </w:r>
            <w:r>
              <w:rPr>
                <w:rFonts w:hint="eastAsia" w:ascii="宋体" w:hAnsi="宋体" w:cs="宋体"/>
                <w:color w:val="auto"/>
                <w:szCs w:val="21"/>
                <w:highlight w:val="none"/>
              </w:rPr>
              <w:t>技术负责人（4分）</w:t>
            </w:r>
          </w:p>
          <w:p w14:paraId="75C23A80">
            <w:pPr>
              <w:rPr>
                <w:rFonts w:ascii="宋体" w:hAnsi="宋体" w:cs="宋体"/>
                <w:color w:val="auto"/>
                <w:szCs w:val="21"/>
                <w:highlight w:val="none"/>
              </w:rPr>
            </w:pPr>
            <w:r>
              <w:rPr>
                <w:rFonts w:hint="eastAsia" w:ascii="宋体" w:hAnsi="宋体" w:cs="宋体"/>
                <w:color w:val="auto"/>
                <w:szCs w:val="21"/>
                <w:highlight w:val="none"/>
              </w:rPr>
              <w:t>（1）取得市政类专业高级（或以上）工程师职称10年以上（不含10年）得2分，10年及以下得1分；</w:t>
            </w:r>
          </w:p>
          <w:p w14:paraId="73E0FE66">
            <w:pPr>
              <w:rPr>
                <w:rFonts w:ascii="宋体" w:hAnsi="宋体" w:cs="宋体"/>
                <w:color w:val="auto"/>
                <w:szCs w:val="21"/>
                <w:highlight w:val="none"/>
              </w:rPr>
            </w:pPr>
            <w:r>
              <w:rPr>
                <w:rFonts w:hint="eastAsia" w:ascii="宋体" w:hAnsi="宋体" w:cs="宋体"/>
                <w:color w:val="auto"/>
                <w:szCs w:val="21"/>
                <w:highlight w:val="none"/>
              </w:rPr>
              <w:t>（2）作为项目负责人或者技术负责人完成过质量合格的市政公用工程业绩，得2分。</w:t>
            </w:r>
          </w:p>
          <w:p w14:paraId="1F8F043A">
            <w:pPr>
              <w:rPr>
                <w:rFonts w:ascii="宋体" w:hAnsi="宋体" w:cs="宋体"/>
                <w:color w:val="auto"/>
                <w:szCs w:val="21"/>
                <w:highlight w:val="none"/>
              </w:rPr>
            </w:pPr>
            <w:r>
              <w:rPr>
                <w:rFonts w:hint="eastAsia" w:ascii="宋体" w:hAnsi="宋体" w:cs="宋体"/>
                <w:color w:val="auto"/>
                <w:szCs w:val="21"/>
                <w:highlight w:val="none"/>
              </w:rPr>
              <w:t>2、质量负责人（3分）</w:t>
            </w:r>
          </w:p>
          <w:p w14:paraId="4C96F9E4">
            <w:pPr>
              <w:rPr>
                <w:rFonts w:hint="eastAsia"/>
                <w:color w:val="auto"/>
                <w:highlight w:val="none"/>
              </w:rPr>
            </w:pPr>
            <w:r>
              <w:rPr>
                <w:rFonts w:hint="eastAsia" w:ascii="宋体" w:hAnsi="宋体" w:cs="宋体"/>
                <w:color w:val="auto"/>
                <w:szCs w:val="21"/>
                <w:highlight w:val="none"/>
              </w:rPr>
              <w:t>（1）具有市政类专业高级（或以上）职称得1分，具有市政类专业中级职称得0.5分；</w:t>
            </w:r>
          </w:p>
          <w:p w14:paraId="78F76706">
            <w:pPr>
              <w:rPr>
                <w:rFonts w:hint="eastAsia"/>
                <w:color w:val="auto"/>
                <w:highlight w:val="none"/>
              </w:rPr>
            </w:pPr>
            <w:r>
              <w:rPr>
                <w:rFonts w:hint="eastAsia" w:ascii="宋体" w:hAnsi="宋体" w:cs="宋体"/>
                <w:color w:val="auto"/>
                <w:szCs w:val="21"/>
                <w:highlight w:val="none"/>
              </w:rPr>
              <w:t>（2）取得市政类专业高级（或以上）工程师职称10年以上（不含10年）得2分，10年及以下得1分；取得市政类专业中级工程师职称10年以上（不含10年）得</w:t>
            </w:r>
            <w:r>
              <w:rPr>
                <w:rFonts w:ascii="宋体" w:hAnsi="宋体" w:cs="宋体"/>
                <w:color w:val="auto"/>
                <w:szCs w:val="21"/>
                <w:highlight w:val="none"/>
              </w:rPr>
              <w:t>1</w:t>
            </w:r>
            <w:r>
              <w:rPr>
                <w:rFonts w:hint="eastAsia" w:ascii="宋体" w:hAnsi="宋体" w:cs="宋体"/>
                <w:color w:val="auto"/>
                <w:szCs w:val="21"/>
                <w:highlight w:val="none"/>
              </w:rPr>
              <w:t>分，10年及以下得</w:t>
            </w:r>
            <w:r>
              <w:rPr>
                <w:rFonts w:ascii="宋体" w:hAnsi="宋体" w:cs="宋体"/>
                <w:color w:val="auto"/>
                <w:szCs w:val="21"/>
                <w:highlight w:val="none"/>
              </w:rPr>
              <w:t>0.5</w:t>
            </w:r>
            <w:r>
              <w:rPr>
                <w:rFonts w:hint="eastAsia" w:ascii="宋体" w:hAnsi="宋体" w:cs="宋体"/>
                <w:color w:val="auto"/>
                <w:szCs w:val="21"/>
                <w:highlight w:val="none"/>
              </w:rPr>
              <w:t>分；</w:t>
            </w:r>
          </w:p>
          <w:p w14:paraId="0E37E30F">
            <w:pPr>
              <w:rPr>
                <w:rFonts w:ascii="宋体" w:hAnsi="宋体" w:cs="宋体"/>
                <w:color w:val="auto"/>
                <w:szCs w:val="21"/>
                <w:highlight w:val="none"/>
              </w:rPr>
            </w:pPr>
            <w:r>
              <w:rPr>
                <w:rFonts w:hint="eastAsia" w:ascii="宋体" w:hAnsi="宋体" w:cs="宋体"/>
                <w:color w:val="auto"/>
                <w:szCs w:val="21"/>
                <w:highlight w:val="none"/>
              </w:rPr>
              <w:t>3、安全负责人（</w:t>
            </w:r>
            <w:r>
              <w:rPr>
                <w:rFonts w:ascii="宋体" w:hAnsi="宋体" w:cs="宋体"/>
                <w:color w:val="auto"/>
                <w:szCs w:val="21"/>
                <w:highlight w:val="none"/>
              </w:rPr>
              <w:t>5</w:t>
            </w:r>
            <w:r>
              <w:rPr>
                <w:rFonts w:hint="eastAsia" w:ascii="宋体" w:hAnsi="宋体" w:cs="宋体"/>
                <w:color w:val="auto"/>
                <w:szCs w:val="21"/>
                <w:highlight w:val="none"/>
              </w:rPr>
              <w:t>分）</w:t>
            </w:r>
          </w:p>
          <w:p w14:paraId="28CE7F4C">
            <w:pPr>
              <w:rPr>
                <w:rFonts w:ascii="宋体" w:hAnsi="宋体" w:cs="宋体"/>
                <w:color w:val="auto"/>
                <w:szCs w:val="21"/>
                <w:highlight w:val="none"/>
              </w:rPr>
            </w:pPr>
            <w:r>
              <w:rPr>
                <w:rFonts w:hint="eastAsia" w:ascii="宋体" w:hAnsi="宋体" w:cs="宋体"/>
                <w:color w:val="auto"/>
                <w:szCs w:val="21"/>
                <w:highlight w:val="none"/>
              </w:rPr>
              <w:t>（1）具备注册安全工程师资格得</w:t>
            </w:r>
            <w:r>
              <w:rPr>
                <w:rFonts w:ascii="宋体" w:hAnsi="宋体" w:cs="宋体"/>
                <w:color w:val="auto"/>
                <w:szCs w:val="21"/>
                <w:highlight w:val="none"/>
              </w:rPr>
              <w:t>2</w:t>
            </w:r>
            <w:r>
              <w:rPr>
                <w:rFonts w:hint="eastAsia" w:ascii="宋体" w:hAnsi="宋体" w:cs="宋体"/>
                <w:color w:val="auto"/>
                <w:szCs w:val="21"/>
                <w:highlight w:val="none"/>
              </w:rPr>
              <w:t>分；</w:t>
            </w:r>
          </w:p>
          <w:p w14:paraId="403335AC">
            <w:pPr>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）具有市政类专业高级（或以上）职称得1分，具有市政类专业中级职称得0.5分；</w:t>
            </w:r>
          </w:p>
          <w:p w14:paraId="1AAA49B7">
            <w:pPr>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）取得市政类专业高级（或以上）工程师职称10年以上（不含10年）得2分，10年及以下得1分；取得市政类专业中级工程师职称10年以上（不含10年）得</w:t>
            </w:r>
            <w:r>
              <w:rPr>
                <w:rFonts w:ascii="宋体" w:hAnsi="宋体" w:cs="宋体"/>
                <w:color w:val="auto"/>
                <w:szCs w:val="21"/>
                <w:highlight w:val="none"/>
              </w:rPr>
              <w:t>1</w:t>
            </w:r>
            <w:r>
              <w:rPr>
                <w:rFonts w:hint="eastAsia" w:ascii="宋体" w:hAnsi="宋体" w:cs="宋体"/>
                <w:color w:val="auto"/>
                <w:szCs w:val="21"/>
                <w:highlight w:val="none"/>
              </w:rPr>
              <w:t>分，10年及以下得</w:t>
            </w:r>
            <w:r>
              <w:rPr>
                <w:rFonts w:ascii="宋体" w:hAnsi="宋体" w:cs="宋体"/>
                <w:color w:val="auto"/>
                <w:szCs w:val="21"/>
                <w:highlight w:val="none"/>
              </w:rPr>
              <w:t>0.5</w:t>
            </w:r>
            <w:r>
              <w:rPr>
                <w:rFonts w:hint="eastAsia" w:ascii="宋体" w:hAnsi="宋体" w:cs="宋体"/>
                <w:color w:val="auto"/>
                <w:szCs w:val="21"/>
                <w:highlight w:val="none"/>
              </w:rPr>
              <w:t>分；</w:t>
            </w:r>
          </w:p>
          <w:p w14:paraId="493B38A1">
            <w:pPr>
              <w:rPr>
                <w:rFonts w:ascii="宋体" w:hAnsi="宋体" w:cs="宋体"/>
                <w:color w:val="auto"/>
                <w:szCs w:val="21"/>
                <w:highlight w:val="none"/>
              </w:rPr>
            </w:pPr>
            <w:r>
              <w:rPr>
                <w:rFonts w:hint="eastAsia" w:ascii="宋体" w:hAnsi="宋体" w:cs="宋体"/>
                <w:color w:val="auto"/>
                <w:szCs w:val="21"/>
                <w:highlight w:val="none"/>
              </w:rPr>
              <w:t>4、造价负责人（</w:t>
            </w:r>
            <w:r>
              <w:rPr>
                <w:rFonts w:hint="eastAsia" w:ascii="宋体" w:hAnsi="宋体" w:cs="宋体"/>
                <w:color w:val="auto"/>
                <w:szCs w:val="21"/>
                <w:highlight w:val="none"/>
                <w:lang w:eastAsia="zh-CN"/>
              </w:rPr>
              <w:t>5</w:t>
            </w:r>
            <w:r>
              <w:rPr>
                <w:rFonts w:hint="eastAsia" w:ascii="宋体" w:hAnsi="宋体" w:cs="宋体"/>
                <w:color w:val="auto"/>
                <w:szCs w:val="21"/>
                <w:highlight w:val="none"/>
              </w:rPr>
              <w:t>分）</w:t>
            </w:r>
          </w:p>
          <w:p w14:paraId="0D30AABC">
            <w:pPr>
              <w:rPr>
                <w:rFonts w:ascii="宋体" w:hAnsi="宋体" w:cs="宋体"/>
                <w:color w:val="auto"/>
                <w:szCs w:val="21"/>
                <w:highlight w:val="none"/>
              </w:rPr>
            </w:pPr>
            <w:r>
              <w:rPr>
                <w:rFonts w:hint="eastAsia" w:ascii="宋体" w:hAnsi="宋体" w:cs="宋体"/>
                <w:color w:val="auto"/>
                <w:szCs w:val="21"/>
                <w:highlight w:val="none"/>
              </w:rPr>
              <w:t>（1）具备一级注册造价工程师资格得</w:t>
            </w:r>
            <w:r>
              <w:rPr>
                <w:rFonts w:hint="eastAsia" w:ascii="宋体" w:hAnsi="宋体" w:cs="宋体"/>
                <w:color w:val="auto"/>
                <w:szCs w:val="21"/>
                <w:highlight w:val="none"/>
                <w:lang w:eastAsia="zh-CN"/>
              </w:rPr>
              <w:t>2</w:t>
            </w:r>
            <w:r>
              <w:rPr>
                <w:rFonts w:hint="eastAsia" w:ascii="宋体" w:hAnsi="宋体" w:cs="宋体"/>
                <w:color w:val="auto"/>
                <w:szCs w:val="21"/>
                <w:highlight w:val="none"/>
              </w:rPr>
              <w:t>分；具备二级注册造价工程师资格得</w:t>
            </w:r>
            <w:r>
              <w:rPr>
                <w:rFonts w:hint="eastAsia" w:ascii="宋体" w:hAnsi="宋体" w:cs="宋体"/>
                <w:color w:val="auto"/>
                <w:szCs w:val="21"/>
                <w:highlight w:val="none"/>
                <w:lang w:eastAsia="zh-CN"/>
              </w:rPr>
              <w:t>1</w:t>
            </w:r>
            <w:r>
              <w:rPr>
                <w:rFonts w:hint="eastAsia" w:ascii="宋体" w:hAnsi="宋体" w:cs="宋体"/>
                <w:color w:val="auto"/>
                <w:szCs w:val="21"/>
                <w:highlight w:val="none"/>
              </w:rPr>
              <w:t>分；</w:t>
            </w:r>
          </w:p>
          <w:p w14:paraId="6F4158D3">
            <w:pPr>
              <w:rPr>
                <w:rFonts w:ascii="宋体" w:hAnsi="宋体" w:cs="宋体"/>
                <w:color w:val="auto"/>
                <w:szCs w:val="21"/>
                <w:highlight w:val="none"/>
              </w:rPr>
            </w:pPr>
            <w:r>
              <w:rPr>
                <w:rFonts w:hint="eastAsia" w:ascii="宋体" w:hAnsi="宋体" w:cs="宋体"/>
                <w:color w:val="auto"/>
                <w:szCs w:val="21"/>
                <w:highlight w:val="none"/>
              </w:rPr>
              <w:t>（2）具有市政类专业高级（或以上）职称得1分，具有市政类专业中级职称0.5分；</w:t>
            </w:r>
          </w:p>
          <w:p w14:paraId="4F84584D">
            <w:pPr>
              <w:rPr>
                <w:rFonts w:ascii="宋体" w:hAnsi="宋体" w:cs="宋体"/>
                <w:color w:val="auto"/>
                <w:szCs w:val="21"/>
                <w:highlight w:val="none"/>
              </w:rPr>
            </w:pPr>
            <w:r>
              <w:rPr>
                <w:rFonts w:hint="eastAsia" w:ascii="宋体" w:hAnsi="宋体" w:cs="宋体"/>
                <w:color w:val="auto"/>
                <w:szCs w:val="21"/>
                <w:highlight w:val="none"/>
              </w:rPr>
              <w:t>（3）取得市政类专业高级（或以上）工程师职称10年以上（不含10年）得2分，10年及以下得1分；取得市政类专业中级工程师职称10年以上（不含10年）得</w:t>
            </w:r>
            <w:r>
              <w:rPr>
                <w:rFonts w:ascii="宋体" w:hAnsi="宋体" w:cs="宋体"/>
                <w:color w:val="auto"/>
                <w:szCs w:val="21"/>
                <w:highlight w:val="none"/>
              </w:rPr>
              <w:t>1</w:t>
            </w:r>
            <w:r>
              <w:rPr>
                <w:rFonts w:hint="eastAsia" w:ascii="宋体" w:hAnsi="宋体" w:cs="宋体"/>
                <w:color w:val="auto"/>
                <w:szCs w:val="21"/>
                <w:highlight w:val="none"/>
              </w:rPr>
              <w:t>分，10年及以下得</w:t>
            </w:r>
            <w:r>
              <w:rPr>
                <w:rFonts w:ascii="宋体" w:hAnsi="宋体" w:cs="宋体"/>
                <w:color w:val="auto"/>
                <w:szCs w:val="21"/>
                <w:highlight w:val="none"/>
              </w:rPr>
              <w:t>0.5</w:t>
            </w:r>
            <w:r>
              <w:rPr>
                <w:rFonts w:hint="eastAsia" w:ascii="宋体" w:hAnsi="宋体" w:cs="宋体"/>
                <w:color w:val="auto"/>
                <w:szCs w:val="21"/>
                <w:highlight w:val="none"/>
              </w:rPr>
              <w:t>分；</w:t>
            </w:r>
          </w:p>
          <w:p w14:paraId="0422C2E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Cs w:val="21"/>
                <w:highlight w:val="none"/>
              </w:rPr>
              <w:t>注：以上各人员不得兼任，本项最多得1</w:t>
            </w:r>
            <w:r>
              <w:rPr>
                <w:rFonts w:hint="eastAsia" w:ascii="宋体" w:hAnsi="宋体" w:cs="宋体"/>
                <w:color w:val="auto"/>
                <w:szCs w:val="21"/>
                <w:highlight w:val="none"/>
                <w:lang w:eastAsia="zh-CN"/>
              </w:rPr>
              <w:t>7</w:t>
            </w:r>
            <w:r>
              <w:rPr>
                <w:rFonts w:hint="eastAsia" w:ascii="宋体" w:hAnsi="宋体" w:cs="宋体"/>
                <w:color w:val="auto"/>
                <w:szCs w:val="21"/>
                <w:highlight w:val="none"/>
              </w:rPr>
              <w:t>分。需提供相关证书扫描件并加盖电子印章。人员须为投标人（若为联合体投标，指联合体主办方）正式职工，需提供投标截止时间最近1个月（2025年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月份）在本单位（含分支机构）交纳的社保证明原件扫描件，加盖单位公章，不提供不得分。</w:t>
            </w:r>
          </w:p>
        </w:tc>
      </w:tr>
      <w:tr w14:paraId="7773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9" w:hRule="atLeast"/>
        </w:trPr>
        <w:tc>
          <w:tcPr>
            <w:tcW w:w="840" w:type="dxa"/>
            <w:gridSpan w:val="2"/>
            <w:vMerge w:val="continue"/>
            <w:shd w:val="clear" w:color="auto" w:fill="auto"/>
            <w:vAlign w:val="center"/>
          </w:tcPr>
          <w:p w14:paraId="2D18EAAD">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670" w:type="dxa"/>
            <w:vMerge w:val="continue"/>
            <w:shd w:val="clear" w:color="auto" w:fill="auto"/>
            <w:vAlign w:val="center"/>
          </w:tcPr>
          <w:p w14:paraId="35EEFE22">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902" w:type="dxa"/>
            <w:vMerge w:val="restart"/>
            <w:shd w:val="clear" w:color="auto" w:fill="auto"/>
            <w:vAlign w:val="center"/>
          </w:tcPr>
          <w:p w14:paraId="6AA5AB1C">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工程实施方案（6</w:t>
            </w:r>
            <w:r>
              <w:rPr>
                <w:rFonts w:hint="eastAsia" w:ascii="宋体" w:hAnsi="宋体" w:eastAsia="宋体" w:cs="宋体"/>
                <w:color w:val="auto"/>
                <w:kern w:val="1"/>
                <w:sz w:val="21"/>
                <w:szCs w:val="21"/>
                <w:highlight w:val="none"/>
                <w:lang w:val="en-US" w:eastAsia="zh-CN"/>
              </w:rPr>
              <w:t>4</w:t>
            </w:r>
            <w:r>
              <w:rPr>
                <w:rFonts w:hint="eastAsia" w:ascii="宋体" w:hAnsi="宋体" w:eastAsia="宋体" w:cs="宋体"/>
                <w:color w:val="auto"/>
                <w:kern w:val="1"/>
                <w:sz w:val="21"/>
                <w:szCs w:val="21"/>
                <w:highlight w:val="none"/>
              </w:rPr>
              <w:t>分）</w:t>
            </w:r>
          </w:p>
        </w:tc>
        <w:tc>
          <w:tcPr>
            <w:tcW w:w="1811" w:type="dxa"/>
            <w:shd w:val="clear" w:color="auto" w:fill="auto"/>
            <w:vAlign w:val="center"/>
          </w:tcPr>
          <w:p w14:paraId="0F661F3B">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设计和施工的融合措施</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12分</w:t>
            </w:r>
            <w:r>
              <w:rPr>
                <w:rFonts w:hint="eastAsia" w:ascii="宋体" w:hAnsi="宋体" w:cs="宋体"/>
                <w:color w:val="auto"/>
                <w:kern w:val="0"/>
                <w:sz w:val="21"/>
                <w:szCs w:val="21"/>
                <w:highlight w:val="none"/>
                <w:lang w:eastAsia="zh-CN"/>
              </w:rPr>
              <w:t>）</w:t>
            </w:r>
          </w:p>
        </w:tc>
        <w:tc>
          <w:tcPr>
            <w:tcW w:w="5729" w:type="dxa"/>
            <w:shd w:val="clear" w:color="auto" w:fill="auto"/>
            <w:vAlign w:val="top"/>
          </w:tcPr>
          <w:p w14:paraId="5C1F5060">
            <w:pPr>
              <w:keepNext w:val="0"/>
              <w:keepLines w:val="0"/>
              <w:pageBreakBefore w:val="0"/>
              <w:widowControl/>
              <w:shd w:val="clear"/>
              <w:kinsoku/>
              <w:overflowPunct/>
              <w:autoSpaceDE/>
              <w:autoSpaceDN/>
              <w:bidi w:val="0"/>
              <w:adjustRightInd/>
              <w:snapToGrid/>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针对本项目编制了设计和施工融合目标、管理体系、管理措施；设计施工全寿命周期协同工作方案完善，能满足项目的设计、施工及保修过程中，设计方、施工方紧密协作的需求。</w:t>
            </w:r>
          </w:p>
          <w:p w14:paraId="61DBED9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优得[1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]分，良得（</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]分，一般得（</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,0]分。无不得分。</w:t>
            </w:r>
          </w:p>
        </w:tc>
      </w:tr>
      <w:tr w14:paraId="100F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9" w:hRule="atLeast"/>
        </w:trPr>
        <w:tc>
          <w:tcPr>
            <w:tcW w:w="840" w:type="dxa"/>
            <w:gridSpan w:val="2"/>
            <w:vMerge w:val="continue"/>
            <w:shd w:val="clear" w:color="auto" w:fill="auto"/>
            <w:vAlign w:val="center"/>
          </w:tcPr>
          <w:p w14:paraId="54BCE9CF">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670" w:type="dxa"/>
            <w:vMerge w:val="continue"/>
            <w:shd w:val="clear" w:color="auto" w:fill="auto"/>
            <w:vAlign w:val="center"/>
          </w:tcPr>
          <w:p w14:paraId="628A56C6">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902" w:type="dxa"/>
            <w:vMerge w:val="continue"/>
            <w:shd w:val="clear" w:color="auto" w:fill="auto"/>
            <w:vAlign w:val="center"/>
          </w:tcPr>
          <w:p w14:paraId="13B34ECA">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1811" w:type="dxa"/>
            <w:shd w:val="clear" w:color="auto" w:fill="auto"/>
            <w:vAlign w:val="center"/>
          </w:tcPr>
          <w:p w14:paraId="73D8EC20">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安全控制措施</w:t>
            </w:r>
          </w:p>
          <w:p w14:paraId="643769BE">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729" w:type="dxa"/>
            <w:shd w:val="clear" w:color="auto" w:fill="auto"/>
            <w:vAlign w:val="center"/>
          </w:tcPr>
          <w:p w14:paraId="71B8872C">
            <w:pPr>
              <w:keepNext w:val="0"/>
              <w:keepLines w:val="0"/>
              <w:pageBreakBefore w:val="0"/>
              <w:widowControl/>
              <w:shd w:val="clear"/>
              <w:kinsoku/>
              <w:overflowPunct/>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针对本项目编制了安全文明施工保证体系、施工安全管理制度；安全应急预案制度健全，施工安全保护措施明确，承诺不发生安全事故；对降低施工作业周边的影响有合理可行的措施。</w:t>
            </w:r>
          </w:p>
          <w:p w14:paraId="7321C490">
            <w:pPr>
              <w:keepNext w:val="0"/>
              <w:keepLines w:val="0"/>
              <w:pageBreakBefore w:val="0"/>
              <w:widowControl/>
              <w:shd w:val="clear"/>
              <w:kinsoku/>
              <w:overflowPunct/>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优得[</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]分，良得（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]分，一般得（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,0]分。无不得分。</w:t>
            </w:r>
          </w:p>
        </w:tc>
      </w:tr>
      <w:tr w14:paraId="77D1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trPr>
        <w:tc>
          <w:tcPr>
            <w:tcW w:w="840" w:type="dxa"/>
            <w:gridSpan w:val="2"/>
            <w:vMerge w:val="continue"/>
            <w:shd w:val="clear" w:color="auto" w:fill="auto"/>
            <w:vAlign w:val="center"/>
          </w:tcPr>
          <w:p w14:paraId="5C9B22AF">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670" w:type="dxa"/>
            <w:vMerge w:val="continue"/>
            <w:shd w:val="clear" w:color="auto" w:fill="auto"/>
            <w:vAlign w:val="center"/>
          </w:tcPr>
          <w:p w14:paraId="42BC1F3D">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902" w:type="dxa"/>
            <w:vMerge w:val="continue"/>
            <w:shd w:val="clear" w:color="auto" w:fill="auto"/>
            <w:vAlign w:val="center"/>
          </w:tcPr>
          <w:p w14:paraId="0F3A3BB3">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1811" w:type="dxa"/>
            <w:shd w:val="clear" w:color="auto" w:fill="auto"/>
            <w:vAlign w:val="center"/>
          </w:tcPr>
          <w:p w14:paraId="059C2AC1">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质量控制措施</w:t>
            </w:r>
          </w:p>
          <w:p w14:paraId="4DEA6074">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729" w:type="dxa"/>
            <w:shd w:val="clear" w:color="auto" w:fill="auto"/>
            <w:vAlign w:val="center"/>
          </w:tcPr>
          <w:p w14:paraId="059F6EE1">
            <w:pPr>
              <w:keepNext w:val="0"/>
              <w:keepLines w:val="0"/>
              <w:pageBreakBefore w:val="0"/>
              <w:widowControl/>
              <w:shd w:val="clear"/>
              <w:kinsoku/>
              <w:overflowPunct/>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针对本项目编制了质量目标，质量保证方案；有完善的质量管理制度，质量事故应急预案；质量控制措施明确，逻辑性强、可行、合理。</w:t>
            </w:r>
          </w:p>
          <w:p w14:paraId="6784604B">
            <w:pPr>
              <w:keepNext w:val="0"/>
              <w:keepLines w:val="0"/>
              <w:pageBreakBefore w:val="0"/>
              <w:widowControl/>
              <w:shd w:val="clear"/>
              <w:kinsoku/>
              <w:overflowPunct/>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优得[</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]分，良得（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]分，一般得（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,0]分。无不得分。</w:t>
            </w:r>
          </w:p>
        </w:tc>
      </w:tr>
      <w:tr w14:paraId="4D06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0" w:type="dxa"/>
            <w:gridSpan w:val="2"/>
            <w:vMerge w:val="continue"/>
            <w:shd w:val="clear" w:color="auto" w:fill="auto"/>
            <w:vAlign w:val="center"/>
          </w:tcPr>
          <w:p w14:paraId="791A3E91">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670" w:type="dxa"/>
            <w:vMerge w:val="continue"/>
            <w:shd w:val="clear" w:color="auto" w:fill="auto"/>
            <w:vAlign w:val="center"/>
          </w:tcPr>
          <w:p w14:paraId="0C6635B2">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902" w:type="dxa"/>
            <w:vMerge w:val="continue"/>
            <w:shd w:val="clear" w:color="auto" w:fill="auto"/>
            <w:vAlign w:val="center"/>
          </w:tcPr>
          <w:p w14:paraId="378BD2C5">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1811" w:type="dxa"/>
            <w:shd w:val="clear" w:color="auto" w:fill="auto"/>
            <w:vAlign w:val="center"/>
          </w:tcPr>
          <w:p w14:paraId="3DD41F48">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lang w:eastAsia="zh-CN"/>
              </w:rPr>
            </w:pPr>
            <w:r>
              <w:rPr>
                <w:rFonts w:hint="eastAsia" w:ascii="宋体" w:hAnsi="宋体" w:eastAsia="宋体" w:cs="宋体"/>
                <w:bCs/>
                <w:snapToGrid w:val="0"/>
                <w:color w:val="auto"/>
                <w:kern w:val="0"/>
                <w:sz w:val="21"/>
                <w:szCs w:val="21"/>
                <w:highlight w:val="none"/>
              </w:rPr>
              <w:t>实名制管理方案</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729" w:type="dxa"/>
            <w:shd w:val="clear" w:color="auto" w:fill="auto"/>
            <w:vAlign w:val="center"/>
          </w:tcPr>
          <w:p w14:paraId="3CCB9492">
            <w:pPr>
              <w:keepNext w:val="0"/>
              <w:keepLines w:val="0"/>
              <w:pageBreakBefore w:val="0"/>
              <w:widowControl/>
              <w:shd w:val="clear"/>
              <w:kinsoku/>
              <w:overflowPunct/>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针对本项目编制完善可行的实名制管理方案；劳动合同备案制度完善、合理；考勤制度完善、合理；人员档案完整，工资支付监管机制完善、合理；责任落实与监管联动措施合理、可行。</w:t>
            </w:r>
          </w:p>
          <w:p w14:paraId="7C63C74E">
            <w:pPr>
              <w:keepNext w:val="0"/>
              <w:keepLines w:val="0"/>
              <w:pageBreakBefore w:val="0"/>
              <w:widowControl/>
              <w:shd w:val="clear"/>
              <w:kinsoku/>
              <w:overflowPunct/>
              <w:autoSpaceDE/>
              <w:autoSpaceDN/>
              <w:bidi w:val="0"/>
              <w:adjustRightInd/>
              <w:snapToGrid/>
              <w:spacing w:line="240" w:lineRule="auto"/>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rPr>
              <w:t>优得[</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]分，良得（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]分，一般得（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,0]分。无不得分。</w:t>
            </w:r>
          </w:p>
        </w:tc>
      </w:tr>
      <w:tr w14:paraId="7588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0" w:type="dxa"/>
            <w:gridSpan w:val="2"/>
            <w:vMerge w:val="continue"/>
            <w:shd w:val="clear" w:color="auto" w:fill="auto"/>
            <w:vAlign w:val="center"/>
          </w:tcPr>
          <w:p w14:paraId="3860B27E">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670" w:type="dxa"/>
            <w:vMerge w:val="continue"/>
            <w:shd w:val="clear" w:color="auto" w:fill="auto"/>
            <w:vAlign w:val="center"/>
          </w:tcPr>
          <w:p w14:paraId="2B3A4EC9">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902" w:type="dxa"/>
            <w:vMerge w:val="continue"/>
            <w:shd w:val="clear" w:color="auto" w:fill="auto"/>
            <w:vAlign w:val="center"/>
          </w:tcPr>
          <w:p w14:paraId="2A47D53E">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1811" w:type="dxa"/>
            <w:shd w:val="clear" w:color="auto" w:fill="auto"/>
            <w:vAlign w:val="center"/>
          </w:tcPr>
          <w:p w14:paraId="2AC81D56">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班子述标</w:t>
            </w:r>
          </w:p>
          <w:p w14:paraId="3897E343">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eastAsia="宋体" w:cs="宋体"/>
                <w:bCs/>
                <w:snapToGrid w:val="0"/>
                <w:color w:val="auto"/>
                <w:kern w:val="0"/>
                <w:sz w:val="21"/>
                <w:szCs w:val="21"/>
                <w:highlight w:val="none"/>
              </w:rPr>
              <w:t xml:space="preserve">  </w:t>
            </w:r>
          </w:p>
        </w:tc>
        <w:tc>
          <w:tcPr>
            <w:tcW w:w="5729" w:type="dxa"/>
            <w:shd w:val="clear" w:color="auto" w:fill="auto"/>
            <w:vAlign w:val="center"/>
          </w:tcPr>
          <w:p w14:paraId="0814E2F4">
            <w:pPr>
              <w:widowControl/>
              <w:spacing w:line="24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（一）</w:t>
            </w:r>
            <w:r>
              <w:rPr>
                <w:rFonts w:hint="eastAsia" w:ascii="宋体" w:hAnsi="宋体" w:eastAsia="宋体" w:cs="宋体"/>
                <w:b w:val="0"/>
                <w:bCs w:val="0"/>
                <w:color w:val="auto"/>
                <w:sz w:val="21"/>
                <w:szCs w:val="21"/>
                <w:highlight w:val="none"/>
              </w:rPr>
              <w:t>述标</w:t>
            </w:r>
            <w:r>
              <w:rPr>
                <w:rFonts w:hint="eastAsia" w:ascii="宋体" w:hAnsi="宋体" w:eastAsia="宋体" w:cs="宋体"/>
                <w:b w:val="0"/>
                <w:bCs w:val="0"/>
                <w:color w:val="auto"/>
                <w:kern w:val="0"/>
                <w:sz w:val="21"/>
                <w:szCs w:val="21"/>
                <w:highlight w:val="none"/>
              </w:rPr>
              <w:t>流程：</w:t>
            </w:r>
          </w:p>
          <w:p w14:paraId="64689CCD">
            <w:pPr>
              <w:widowControl/>
              <w:spacing w:line="24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述标</w:t>
            </w:r>
            <w:r>
              <w:rPr>
                <w:rFonts w:hint="eastAsia" w:ascii="宋体" w:hAnsi="宋体" w:eastAsia="宋体" w:cs="宋体"/>
                <w:b w:val="0"/>
                <w:bCs w:val="0"/>
                <w:color w:val="auto"/>
                <w:kern w:val="0"/>
                <w:sz w:val="21"/>
                <w:szCs w:val="21"/>
                <w:highlight w:val="none"/>
              </w:rPr>
              <w:t>人员陈述（包括但不限于以下）：</w:t>
            </w:r>
          </w:p>
          <w:p w14:paraId="23B6A5EE">
            <w:pPr>
              <w:widowControl/>
              <w:spacing w:line="24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1、对</w:t>
            </w:r>
            <w:r>
              <w:rPr>
                <w:rFonts w:hint="eastAsia" w:ascii="宋体" w:hAnsi="宋体" w:eastAsia="宋体" w:cs="宋体"/>
                <w:b w:val="0"/>
                <w:bCs w:val="0"/>
                <w:color w:val="auto"/>
                <w:sz w:val="21"/>
                <w:szCs w:val="21"/>
                <w:highlight w:val="none"/>
              </w:rPr>
              <w:t>本招</w:t>
            </w:r>
            <w:r>
              <w:rPr>
                <w:rFonts w:hint="eastAsia" w:ascii="宋体" w:hAnsi="宋体" w:eastAsia="宋体" w:cs="宋体"/>
                <w:b w:val="0"/>
                <w:bCs w:val="0"/>
                <w:color w:val="auto"/>
                <w:kern w:val="0"/>
                <w:sz w:val="21"/>
                <w:szCs w:val="21"/>
                <w:highlight w:val="none"/>
              </w:rPr>
              <w:t>标项目的了解情况；</w:t>
            </w:r>
          </w:p>
          <w:p w14:paraId="440125A2">
            <w:pPr>
              <w:widowControl/>
              <w:spacing w:line="24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2、本项目施工重点、难点及建议。</w:t>
            </w:r>
          </w:p>
          <w:p w14:paraId="6D49AA75">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w:t>
            </w:r>
            <w:r>
              <w:rPr>
                <w:rFonts w:hint="eastAsia" w:ascii="宋体" w:hAnsi="宋体" w:eastAsia="宋体" w:cs="宋体"/>
                <w:b w:val="0"/>
                <w:bCs w:val="0"/>
                <w:color w:val="auto"/>
                <w:sz w:val="21"/>
                <w:szCs w:val="21"/>
                <w:highlight w:val="none"/>
                <w:lang w:val="en-US" w:eastAsia="zh-CN"/>
              </w:rPr>
              <w:t>评审</w:t>
            </w:r>
            <w:r>
              <w:rPr>
                <w:rFonts w:hint="eastAsia" w:ascii="宋体" w:hAnsi="宋体" w:eastAsia="宋体" w:cs="宋体"/>
                <w:b w:val="0"/>
                <w:bCs w:val="0"/>
                <w:color w:val="auto"/>
                <w:sz w:val="21"/>
                <w:szCs w:val="21"/>
                <w:highlight w:val="none"/>
              </w:rPr>
              <w:t>标准：</w:t>
            </w:r>
          </w:p>
          <w:p w14:paraId="63D8894B">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sz w:val="21"/>
                <w:szCs w:val="21"/>
                <w:highlight w:val="none"/>
              </w:rPr>
              <w:t>优</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sz w:val="21"/>
                <w:szCs w:val="21"/>
                <w:highlight w:val="none"/>
              </w:rPr>
              <w:t>：对项目情况认识清晰，对项目的重点、难点理解到位，应对措施合理健全，对工程质量和工期、安全的保证措施合理可行，述标内容与标书内容一致性高。得[</w:t>
            </w: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p w14:paraId="3381ABDB">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【良】：</w:t>
            </w:r>
            <w:r>
              <w:rPr>
                <w:rFonts w:hint="eastAsia" w:ascii="宋体" w:hAnsi="宋体" w:eastAsia="宋体" w:cs="宋体"/>
                <w:b w:val="0"/>
                <w:bCs w:val="0"/>
                <w:color w:val="auto"/>
                <w:sz w:val="21"/>
                <w:szCs w:val="21"/>
                <w:highlight w:val="none"/>
              </w:rPr>
              <w:t>对项目情况认识比较清晰，对项目的重点、难点理解比较到位，应对措施较比较合理，对工程质量和工期、安全的保证措施比较合理可行，述标内容与标书内容一致性较高。得[</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p w14:paraId="68663B1C">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【中】：</w:t>
            </w:r>
            <w:r>
              <w:rPr>
                <w:rFonts w:hint="eastAsia" w:ascii="宋体" w:hAnsi="宋体" w:eastAsia="宋体" w:cs="宋体"/>
                <w:b w:val="0"/>
                <w:bCs w:val="0"/>
                <w:color w:val="auto"/>
                <w:sz w:val="21"/>
                <w:szCs w:val="21"/>
                <w:highlight w:val="none"/>
              </w:rPr>
              <w:t>对项目情况认识一般，但重点、难点把握不准，应对措施欠合理，工程质量和工期、安全的保证措施欠合理，述标内容与标书内容一致性一般。得[</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p w14:paraId="327E1F94">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【差】：</w:t>
            </w:r>
            <w:r>
              <w:rPr>
                <w:rFonts w:hint="eastAsia" w:ascii="宋体" w:hAnsi="宋体" w:eastAsia="宋体" w:cs="宋体"/>
                <w:b w:val="0"/>
                <w:bCs w:val="0"/>
                <w:color w:val="auto"/>
                <w:sz w:val="21"/>
                <w:szCs w:val="21"/>
                <w:highlight w:val="none"/>
              </w:rPr>
              <w:t>对项目不了解，或述标内容与标书内容不一致。得[</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-0）分。</w:t>
            </w:r>
          </w:p>
          <w:p w14:paraId="4CA797A2">
            <w:pPr>
              <w:spacing w:line="240" w:lineRule="auto"/>
              <w:jc w:val="left"/>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u w:val="single"/>
              </w:rPr>
              <w:t>注意事项如下：</w:t>
            </w:r>
          </w:p>
          <w:p w14:paraId="1065182B">
            <w:pPr>
              <w:spacing w:line="240" w:lineRule="auto"/>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u w:val="single"/>
              </w:rPr>
              <w:t>（1）不通过</w:t>
            </w:r>
            <w:r>
              <w:rPr>
                <w:rFonts w:hint="eastAsia" w:ascii="宋体" w:hAnsi="宋体" w:eastAsia="宋体" w:cs="宋体"/>
                <w:b w:val="0"/>
                <w:bCs w:val="0"/>
                <w:color w:val="auto"/>
                <w:szCs w:val="21"/>
                <w:highlight w:val="none"/>
                <w:u w:val="single"/>
              </w:rPr>
              <w:t>工程总承包实施方案响应性评审</w:t>
            </w:r>
            <w:r>
              <w:rPr>
                <w:rFonts w:hint="eastAsia" w:ascii="宋体" w:hAnsi="宋体" w:eastAsia="宋体" w:cs="宋体"/>
                <w:b w:val="0"/>
                <w:bCs w:val="0"/>
                <w:color w:val="auto"/>
                <w:sz w:val="21"/>
                <w:szCs w:val="21"/>
                <w:highlight w:val="none"/>
                <w:u w:val="single"/>
              </w:rPr>
              <w:t>的投标人不须参与述标环节。</w:t>
            </w:r>
          </w:p>
          <w:p w14:paraId="3A050983">
            <w:pPr>
              <w:spacing w:line="240" w:lineRule="auto"/>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u w:val="single"/>
              </w:rPr>
              <w:t>（2）述标人员组成：项目负责人或</w:t>
            </w:r>
            <w:r>
              <w:rPr>
                <w:rFonts w:hint="eastAsia" w:ascii="宋体" w:hAnsi="宋体" w:eastAsia="宋体" w:cs="宋体"/>
                <w:b w:val="0"/>
                <w:bCs w:val="0"/>
                <w:color w:val="auto"/>
                <w:sz w:val="21"/>
                <w:szCs w:val="21"/>
                <w:highlight w:val="none"/>
                <w:u w:val="single"/>
                <w:lang w:val="en-US" w:eastAsia="zh-CN"/>
              </w:rPr>
              <w:t>施工</w:t>
            </w:r>
            <w:r>
              <w:rPr>
                <w:rFonts w:hint="eastAsia" w:ascii="宋体" w:hAnsi="宋体" w:eastAsia="宋体" w:cs="宋体"/>
                <w:b w:val="0"/>
                <w:bCs w:val="0"/>
                <w:color w:val="auto"/>
                <w:sz w:val="21"/>
                <w:szCs w:val="21"/>
                <w:highlight w:val="none"/>
                <w:u w:val="single"/>
              </w:rPr>
              <w:t>技术负责人其中一人参加述标。</w:t>
            </w:r>
          </w:p>
          <w:p w14:paraId="7472E924">
            <w:pPr>
              <w:spacing w:line="240" w:lineRule="auto"/>
              <w:jc w:val="left"/>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u w:val="single"/>
              </w:rPr>
              <w:t>（3）述标顺序：顺序为“开标记录表”由上往下的顺序（即从序号1开始）。</w:t>
            </w:r>
          </w:p>
          <w:p w14:paraId="18EAC6E6">
            <w:pPr>
              <w:spacing w:line="240" w:lineRule="auto"/>
              <w:jc w:val="left"/>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u w:val="single"/>
              </w:rPr>
              <w:t>（4）述标人员的要求：投标人在参加述标时，应向招标人（招标代理）提供一份加盖公章的法定代表人证明书及授权委托书，并展示讲解人员在本单位近1个月</w:t>
            </w:r>
            <w:r>
              <w:rPr>
                <w:rFonts w:hint="eastAsia" w:ascii="宋体" w:hAnsi="宋体" w:eastAsia="宋体" w:cs="宋体"/>
                <w:b w:val="0"/>
                <w:bCs w:val="0"/>
                <w:color w:val="auto"/>
                <w:sz w:val="21"/>
                <w:szCs w:val="21"/>
                <w:highlight w:val="none"/>
                <w:u w:val="single"/>
                <w:lang w:eastAsia="zh-CN"/>
              </w:rPr>
              <w:t>（</w:t>
            </w:r>
            <w:r>
              <w:rPr>
                <w:rFonts w:hint="eastAsia" w:ascii="宋体" w:hAnsi="宋体" w:eastAsia="宋体" w:cs="宋体"/>
                <w:b w:val="0"/>
                <w:bCs w:val="0"/>
                <w:color w:val="auto"/>
                <w:sz w:val="21"/>
                <w:szCs w:val="21"/>
                <w:highlight w:val="none"/>
                <w:u w:val="single"/>
                <w:lang w:val="en-US" w:eastAsia="zh-CN"/>
              </w:rPr>
              <w:t>2025年</w:t>
            </w:r>
            <w:r>
              <w:rPr>
                <w:rFonts w:hint="eastAsia" w:ascii="宋体" w:hAnsi="宋体" w:cs="宋体"/>
                <w:b w:val="0"/>
                <w:bCs w:val="0"/>
                <w:color w:val="auto"/>
                <w:sz w:val="21"/>
                <w:szCs w:val="21"/>
                <w:highlight w:val="none"/>
                <w:u w:val="single"/>
                <w:lang w:val="en-US" w:eastAsia="zh-CN"/>
              </w:rPr>
              <w:t>8</w:t>
            </w:r>
            <w:r>
              <w:rPr>
                <w:rFonts w:hint="eastAsia" w:ascii="宋体" w:hAnsi="宋体" w:eastAsia="宋体" w:cs="宋体"/>
                <w:b w:val="0"/>
                <w:bCs w:val="0"/>
                <w:color w:val="auto"/>
                <w:sz w:val="21"/>
                <w:szCs w:val="21"/>
                <w:highlight w:val="none"/>
                <w:u w:val="single"/>
                <w:lang w:val="en-US" w:eastAsia="zh-CN"/>
              </w:rPr>
              <w:t>月</w:t>
            </w:r>
            <w:r>
              <w:rPr>
                <w:rFonts w:hint="eastAsia" w:ascii="宋体" w:hAnsi="宋体" w:eastAsia="宋体" w:cs="宋体"/>
                <w:b w:val="0"/>
                <w:bCs w:val="0"/>
                <w:color w:val="auto"/>
                <w:sz w:val="21"/>
                <w:szCs w:val="21"/>
                <w:highlight w:val="none"/>
                <w:u w:val="single"/>
                <w:lang w:eastAsia="zh-CN"/>
              </w:rPr>
              <w:t>）</w:t>
            </w:r>
            <w:r>
              <w:rPr>
                <w:rFonts w:hint="eastAsia" w:ascii="宋体" w:hAnsi="宋体" w:eastAsia="宋体" w:cs="宋体"/>
                <w:b w:val="0"/>
                <w:bCs w:val="0"/>
                <w:color w:val="auto"/>
                <w:sz w:val="21"/>
                <w:szCs w:val="21"/>
                <w:highlight w:val="none"/>
                <w:u w:val="single"/>
              </w:rPr>
              <w:t>的有效社保证明复印件并加盖单位公章)、身份证原件，招标人（招标代理）核对确认身份后再进行述标。未能出示前述证明文件的单位不予参加述标环节。</w:t>
            </w:r>
          </w:p>
          <w:p w14:paraId="0E48D36E">
            <w:pPr>
              <w:spacing w:line="240" w:lineRule="auto"/>
              <w:jc w:val="left"/>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u w:val="single"/>
              </w:rPr>
              <w:t>（5）述标形式与要求：述标环节在评标时进行，具体时间根据评标委员会评审进度而定；招标人（招标代理）在述标开始前通知通过技术标有效性审查的投标人到达述标地点（述标人员应预留出足够的时间，并保持通讯畅通）。</w:t>
            </w:r>
          </w:p>
          <w:p w14:paraId="723CC08B">
            <w:pPr>
              <w:snapToGrid w:val="0"/>
              <w:spacing w:line="240" w:lineRule="auto"/>
              <w:ind w:right="-31" w:rightChars="-15"/>
              <w:rPr>
                <w:rFonts w:hint="eastAsia" w:ascii="宋体" w:hAnsi="宋体" w:eastAsia="宋体" w:cs="宋体"/>
                <w:color w:val="auto"/>
                <w:kern w:val="1"/>
                <w:sz w:val="21"/>
                <w:szCs w:val="21"/>
                <w:highlight w:val="none"/>
              </w:rPr>
            </w:pPr>
            <w:r>
              <w:rPr>
                <w:rFonts w:hint="eastAsia" w:ascii="宋体" w:hAnsi="宋体" w:eastAsia="宋体" w:cs="宋体"/>
                <w:b w:val="0"/>
                <w:bCs w:val="0"/>
                <w:color w:val="auto"/>
                <w:sz w:val="21"/>
                <w:szCs w:val="21"/>
                <w:highlight w:val="none"/>
                <w:u w:val="single"/>
              </w:rPr>
              <w:t>（6）述标时长控制：每家投标人陈述时长不超5分钟。</w:t>
            </w:r>
          </w:p>
        </w:tc>
      </w:tr>
      <w:tr w14:paraId="5D4A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840" w:type="dxa"/>
            <w:gridSpan w:val="2"/>
            <w:shd w:val="clear" w:color="auto" w:fill="auto"/>
            <w:vAlign w:val="center"/>
          </w:tcPr>
          <w:p w14:paraId="311615E5">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2.2.4（3）</w:t>
            </w:r>
          </w:p>
        </w:tc>
        <w:tc>
          <w:tcPr>
            <w:tcW w:w="1572" w:type="dxa"/>
            <w:gridSpan w:val="2"/>
            <w:shd w:val="clear" w:color="auto" w:fill="auto"/>
            <w:vAlign w:val="center"/>
          </w:tcPr>
          <w:p w14:paraId="5393D016">
            <w:pPr>
              <w:keepNext w:val="0"/>
              <w:keepLines w:val="0"/>
              <w:pageBreakBefore w:val="0"/>
              <w:widowControl w:val="0"/>
              <w:shd w:val="clear"/>
              <w:kinsoku/>
              <w:overflowPunct/>
              <w:autoSpaceDE/>
              <w:autoSpaceDN/>
              <w:bidi w:val="0"/>
              <w:adjustRightInd/>
              <w:snapToGrid/>
              <w:spacing w:line="240" w:lineRule="auto"/>
              <w:jc w:val="lef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投标报价评分标准（100分）</w:t>
            </w:r>
          </w:p>
        </w:tc>
        <w:tc>
          <w:tcPr>
            <w:tcW w:w="1811" w:type="dxa"/>
            <w:shd w:val="clear" w:color="auto" w:fill="auto"/>
            <w:vAlign w:val="center"/>
          </w:tcPr>
          <w:p w14:paraId="73554434">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投标报价</w:t>
            </w:r>
          </w:p>
          <w:p w14:paraId="665A2BC5">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（100分）</w:t>
            </w:r>
          </w:p>
        </w:tc>
        <w:tc>
          <w:tcPr>
            <w:tcW w:w="5729" w:type="dxa"/>
            <w:shd w:val="clear" w:color="auto" w:fill="auto"/>
            <w:vAlign w:val="center"/>
          </w:tcPr>
          <w:p w14:paraId="5C1A9E60">
            <w:pPr>
              <w:keepNext w:val="0"/>
              <w:keepLines w:val="0"/>
              <w:pageBreakBefore w:val="0"/>
              <w:widowControl w:val="0"/>
              <w:shd w:val="clear"/>
              <w:kinsoku/>
              <w:overflowPunct/>
              <w:autoSpaceDE/>
              <w:autoSpaceDN/>
              <w:bidi w:val="0"/>
              <w:adjustRightInd/>
              <w:snapToGrid/>
              <w:spacing w:line="240" w:lineRule="auto"/>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当投标总报价等于评标基准价时得100分，投标总报价每高于评标基准价1%，扣0.</w:t>
            </w:r>
            <w:r>
              <w:rPr>
                <w:rFonts w:hint="eastAsia" w:ascii="宋体" w:hAnsi="宋体" w:eastAsia="宋体" w:cs="宋体"/>
                <w:color w:val="auto"/>
                <w:kern w:val="1"/>
                <w:sz w:val="21"/>
                <w:szCs w:val="21"/>
                <w:highlight w:val="none"/>
                <w:lang w:val="en-US" w:eastAsia="zh-CN"/>
              </w:rPr>
              <w:t>2</w:t>
            </w:r>
            <w:r>
              <w:rPr>
                <w:rFonts w:hint="eastAsia" w:ascii="宋体" w:hAnsi="宋体" w:eastAsia="宋体" w:cs="宋体"/>
                <w:color w:val="auto"/>
                <w:kern w:val="1"/>
                <w:sz w:val="21"/>
                <w:szCs w:val="21"/>
                <w:highlight w:val="none"/>
              </w:rPr>
              <w:t>分，每低于评标基准价1%，扣0.</w:t>
            </w:r>
            <w:r>
              <w:rPr>
                <w:rFonts w:hint="eastAsia" w:ascii="宋体" w:hAnsi="宋体" w:eastAsia="宋体" w:cs="宋体"/>
                <w:color w:val="auto"/>
                <w:kern w:val="1"/>
                <w:sz w:val="21"/>
                <w:szCs w:val="21"/>
                <w:highlight w:val="none"/>
                <w:lang w:val="en-US" w:eastAsia="zh-CN"/>
              </w:rPr>
              <w:t>1</w:t>
            </w:r>
            <w:r>
              <w:rPr>
                <w:rFonts w:hint="eastAsia" w:ascii="宋体" w:hAnsi="宋体" w:eastAsia="宋体" w:cs="宋体"/>
                <w:color w:val="auto"/>
                <w:kern w:val="1"/>
                <w:sz w:val="21"/>
                <w:szCs w:val="21"/>
                <w:highlight w:val="none"/>
              </w:rPr>
              <w:t>分，得出投标报价得分，最多扣100分，精确到小数点后两位，第三位小数四舍五入。</w:t>
            </w:r>
          </w:p>
        </w:tc>
      </w:tr>
    </w:tbl>
    <w:p w14:paraId="3C26294F">
      <w:pPr>
        <w:shd w:val="clea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7246264A">
      <w:pPr>
        <w:shd w:val="clear"/>
        <w:spacing w:line="360" w:lineRule="auto"/>
        <w:ind w:firstLine="422" w:firstLineChars="20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（1）如组成联合体投标的，施工部分评分以承接施工任务的单位为准；设计部分评分以承接设计任务的单位为准。</w:t>
      </w:r>
    </w:p>
    <w:p w14:paraId="0676C087">
      <w:pPr>
        <w:shd w:val="clear"/>
        <w:spacing w:line="360" w:lineRule="auto"/>
        <w:ind w:firstLine="422" w:firstLineChars="20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（2）本评分表中所附所有证明材料必须加盖投标人电子印章且内容必须清晰可辨，如因提供资料内容模糊导致评标时无法判断的，后果由投标人自负。上述资料不提供或提供不完整或提供不符合要求的不得分。</w:t>
      </w:r>
    </w:p>
    <w:p w14:paraId="56155FCD">
      <w:pPr>
        <w:pStyle w:val="3"/>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418" w:name="_Toc1966"/>
      <w:bookmarkStart w:id="419" w:name="_Toc27342"/>
      <w:r>
        <w:rPr>
          <w:rFonts w:hint="eastAsia" w:ascii="宋体" w:hAnsi="宋体" w:eastAsia="宋体" w:cs="宋体"/>
          <w:color w:val="auto"/>
          <w:highlight w:val="none"/>
        </w:rPr>
        <w:t>1. 评标方法</w:t>
      </w:r>
      <w:bookmarkEnd w:id="411"/>
      <w:bookmarkEnd w:id="412"/>
      <w:bookmarkEnd w:id="413"/>
      <w:bookmarkEnd w:id="414"/>
      <w:bookmarkEnd w:id="415"/>
      <w:bookmarkEnd w:id="418"/>
      <w:bookmarkEnd w:id="419"/>
    </w:p>
    <w:p w14:paraId="091FC35C">
      <w:pPr>
        <w:shd w:val="clear"/>
        <w:spacing w:line="360" w:lineRule="auto"/>
        <w:ind w:firstLine="420" w:firstLineChars="200"/>
        <w:rPr>
          <w:rFonts w:hint="eastAsia" w:ascii="宋体" w:hAnsi="宋体" w:eastAsia="宋体" w:cs="宋体"/>
          <w:color w:val="auto"/>
          <w:highlight w:val="none"/>
        </w:rPr>
      </w:pPr>
      <w:bookmarkStart w:id="420" w:name="_Toc247527626"/>
      <w:bookmarkStart w:id="421" w:name="_Toc152042378"/>
      <w:bookmarkStart w:id="422" w:name="_Toc152045601"/>
      <w:bookmarkStart w:id="423" w:name="_Toc247514025"/>
      <w:bookmarkStart w:id="424" w:name="_Toc144974568"/>
      <w:r>
        <w:rPr>
          <w:rFonts w:hint="eastAsia" w:ascii="宋体" w:hAnsi="宋体" w:eastAsia="宋体" w:cs="宋体"/>
          <w:color w:val="auto"/>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w:t>
      </w:r>
    </w:p>
    <w:p w14:paraId="0ED6F127">
      <w:pPr>
        <w:pStyle w:val="3"/>
        <w:shd w:val="clear"/>
        <w:rPr>
          <w:rFonts w:hint="eastAsia" w:ascii="宋体" w:hAnsi="宋体" w:eastAsia="宋体" w:cs="宋体"/>
          <w:color w:val="auto"/>
          <w:highlight w:val="none"/>
        </w:rPr>
      </w:pPr>
      <w:bookmarkStart w:id="425" w:name="_Toc14448"/>
      <w:bookmarkStart w:id="426" w:name="_Toc18218"/>
      <w:r>
        <w:rPr>
          <w:rFonts w:hint="eastAsia" w:ascii="宋体" w:hAnsi="宋体" w:eastAsia="宋体" w:cs="宋体"/>
          <w:color w:val="auto"/>
          <w:highlight w:val="none"/>
        </w:rPr>
        <w:t>2. 评审标准</w:t>
      </w:r>
      <w:bookmarkEnd w:id="420"/>
      <w:bookmarkEnd w:id="421"/>
      <w:bookmarkEnd w:id="422"/>
      <w:bookmarkEnd w:id="423"/>
      <w:bookmarkEnd w:id="424"/>
      <w:bookmarkEnd w:id="425"/>
      <w:bookmarkEnd w:id="426"/>
    </w:p>
    <w:p w14:paraId="478B3D08">
      <w:pPr>
        <w:pStyle w:val="4"/>
        <w:shd w:val="clear"/>
        <w:rPr>
          <w:rFonts w:hint="eastAsia" w:ascii="宋体" w:hAnsi="宋体" w:eastAsia="宋体" w:cs="宋体"/>
          <w:color w:val="auto"/>
          <w:highlight w:val="none"/>
        </w:rPr>
      </w:pPr>
      <w:bookmarkStart w:id="427" w:name="_Toc247514026"/>
      <w:bookmarkStart w:id="428" w:name="_Toc247527627"/>
      <w:bookmarkStart w:id="429" w:name="_Toc152042379"/>
      <w:bookmarkStart w:id="430" w:name="_Toc152045602"/>
      <w:bookmarkStart w:id="431" w:name="_Toc144974569"/>
      <w:bookmarkStart w:id="432" w:name="_Toc18349"/>
      <w:bookmarkStart w:id="433" w:name="_Toc24698"/>
      <w:r>
        <w:rPr>
          <w:rFonts w:hint="eastAsia" w:ascii="宋体" w:hAnsi="宋体" w:eastAsia="宋体" w:cs="宋体"/>
          <w:color w:val="auto"/>
          <w:highlight w:val="none"/>
        </w:rPr>
        <w:t>2.1 初步评审标准</w:t>
      </w:r>
      <w:bookmarkEnd w:id="427"/>
      <w:bookmarkEnd w:id="428"/>
      <w:bookmarkEnd w:id="429"/>
      <w:bookmarkEnd w:id="430"/>
      <w:bookmarkEnd w:id="431"/>
      <w:bookmarkEnd w:id="432"/>
      <w:bookmarkEnd w:id="433"/>
    </w:p>
    <w:p w14:paraId="60ADEFBC">
      <w:pPr>
        <w:shd w:val="clear"/>
        <w:spacing w:line="360" w:lineRule="auto"/>
        <w:ind w:firstLine="420" w:firstLineChars="200"/>
        <w:rPr>
          <w:rFonts w:hint="eastAsia" w:ascii="宋体" w:hAnsi="宋体" w:eastAsia="宋体" w:cs="宋体"/>
          <w:color w:val="auto"/>
          <w:highlight w:val="none"/>
        </w:rPr>
      </w:pPr>
      <w:bookmarkStart w:id="434" w:name="_Toc152042380"/>
      <w:bookmarkStart w:id="435" w:name="_Toc247527628"/>
      <w:bookmarkStart w:id="436" w:name="_Toc247514027"/>
      <w:bookmarkStart w:id="437" w:name="_Toc152045603"/>
      <w:bookmarkStart w:id="438" w:name="_Toc144974570"/>
      <w:r>
        <w:rPr>
          <w:rFonts w:hint="eastAsia" w:ascii="宋体" w:hAnsi="宋体" w:eastAsia="宋体" w:cs="宋体"/>
          <w:color w:val="auto"/>
          <w:highlight w:val="none"/>
        </w:rPr>
        <w:t>2.1.1 形式评审标准：见评标办法前附表。</w:t>
      </w:r>
    </w:p>
    <w:p w14:paraId="5C98883F">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2.1.2 资格评审标准：见评标办法前附表。</w:t>
      </w:r>
    </w:p>
    <w:p w14:paraId="473ECED9">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2.1.3 </w:t>
      </w:r>
      <w:r>
        <w:rPr>
          <w:rFonts w:hint="eastAsia" w:ascii="宋体" w:hAnsi="宋体" w:eastAsia="宋体" w:cs="宋体"/>
          <w:color w:val="auto"/>
          <w:kern w:val="1"/>
          <w:szCs w:val="21"/>
          <w:highlight w:val="none"/>
        </w:rPr>
        <w:t>工程总承包实施方案</w:t>
      </w:r>
      <w:r>
        <w:rPr>
          <w:rFonts w:hint="eastAsia" w:ascii="宋体" w:hAnsi="宋体" w:eastAsia="宋体" w:cs="宋体"/>
          <w:color w:val="auto"/>
          <w:highlight w:val="none"/>
        </w:rPr>
        <w:t>响应性评审标准：见评标办法前附表。</w:t>
      </w:r>
    </w:p>
    <w:p w14:paraId="02035793">
      <w:pPr>
        <w:pStyle w:val="4"/>
        <w:shd w:val="clear"/>
        <w:rPr>
          <w:rFonts w:hint="eastAsia" w:ascii="宋体" w:hAnsi="宋体" w:eastAsia="宋体" w:cs="宋体"/>
          <w:color w:val="auto"/>
          <w:highlight w:val="none"/>
        </w:rPr>
      </w:pPr>
      <w:bookmarkStart w:id="439" w:name="_Toc4204"/>
      <w:bookmarkStart w:id="440" w:name="_Toc2683"/>
      <w:r>
        <w:rPr>
          <w:rFonts w:hint="eastAsia" w:ascii="宋体" w:hAnsi="宋体" w:eastAsia="宋体" w:cs="宋体"/>
          <w:color w:val="auto"/>
          <w:highlight w:val="none"/>
        </w:rPr>
        <w:t>2.2 分值构成与评分标准</w:t>
      </w:r>
      <w:bookmarkEnd w:id="434"/>
      <w:bookmarkEnd w:id="435"/>
      <w:bookmarkEnd w:id="436"/>
      <w:bookmarkEnd w:id="437"/>
      <w:bookmarkEnd w:id="438"/>
      <w:bookmarkEnd w:id="439"/>
      <w:bookmarkEnd w:id="440"/>
    </w:p>
    <w:p w14:paraId="624C84A0">
      <w:pPr>
        <w:shd w:val="clea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2.2.1 分值构成及权重：见评标办法前附表；</w:t>
      </w:r>
    </w:p>
    <w:p w14:paraId="1C913D77">
      <w:pPr>
        <w:shd w:val="clear"/>
        <w:spacing w:line="360" w:lineRule="auto"/>
        <w:ind w:firstLine="420" w:firstLineChars="200"/>
        <w:rPr>
          <w:rFonts w:hint="eastAsia" w:ascii="宋体" w:hAnsi="宋体" w:eastAsia="宋体" w:cs="宋体"/>
          <w:color w:val="auto"/>
          <w:highlight w:val="none"/>
          <w:u w:val="single"/>
        </w:rPr>
      </w:pPr>
      <w:bookmarkStart w:id="441" w:name="_Toc144974571"/>
      <w:bookmarkStart w:id="442" w:name="_Toc152045604"/>
      <w:bookmarkStart w:id="443" w:name="_Toc247527629"/>
      <w:bookmarkStart w:id="444" w:name="_Toc152042381"/>
      <w:bookmarkStart w:id="445" w:name="_Toc247514028"/>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1</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设计</w:t>
      </w:r>
      <w:r>
        <w:rPr>
          <w:rFonts w:hint="eastAsia" w:ascii="宋体" w:hAnsi="宋体" w:cs="宋体"/>
          <w:color w:val="auto"/>
          <w:highlight w:val="none"/>
          <w:u w:val="single"/>
          <w:lang w:val="en-US" w:eastAsia="zh-CN"/>
        </w:rPr>
        <w:t>部分</w:t>
      </w:r>
      <w:r>
        <w:rPr>
          <w:rFonts w:hint="eastAsia" w:ascii="宋体" w:hAnsi="宋体" w:eastAsia="宋体" w:cs="宋体"/>
          <w:color w:val="auto"/>
          <w:highlight w:val="none"/>
          <w:u w:val="single"/>
        </w:rPr>
        <w:t>：见评标办法前附表；</w:t>
      </w:r>
    </w:p>
    <w:p w14:paraId="609E5D77">
      <w:pPr>
        <w:shd w:val="clea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）施工技术标：见评标办法前附表；</w:t>
      </w:r>
    </w:p>
    <w:p w14:paraId="4BC114AA">
      <w:pPr>
        <w:shd w:val="clea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（3）投标报价：见评标办法前附表。</w:t>
      </w:r>
    </w:p>
    <w:p w14:paraId="2DC4CA75">
      <w:pPr>
        <w:shd w:val="clea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2.2.2 评标基准价计算</w:t>
      </w:r>
    </w:p>
    <w:p w14:paraId="6E94B2C8">
      <w:pPr>
        <w:shd w:val="clea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评标基准价计算方法：见评标办法前附表。</w:t>
      </w:r>
    </w:p>
    <w:p w14:paraId="70DA401E">
      <w:pPr>
        <w:shd w:val="clea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2.2.3 投标报价的偏差率计算</w:t>
      </w:r>
    </w:p>
    <w:p w14:paraId="662EC86F">
      <w:pPr>
        <w:shd w:val="clea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投标报价的偏差率计算公式：见评标办法前附表。</w:t>
      </w:r>
    </w:p>
    <w:p w14:paraId="0976C710">
      <w:pPr>
        <w:shd w:val="clea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2.2.4 评分标准</w:t>
      </w:r>
    </w:p>
    <w:p w14:paraId="52CB8DBF">
      <w:pPr>
        <w:shd w:val="clea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w:t>
      </w:r>
      <w:r>
        <w:rPr>
          <w:rFonts w:hint="eastAsia" w:ascii="宋体" w:hAnsi="宋体" w:eastAsia="宋体" w:cs="宋体"/>
          <w:color w:val="auto"/>
          <w:highlight w:val="none"/>
          <w:u w:val="single"/>
          <w:lang w:val="en-US" w:eastAsia="zh-CN"/>
        </w:rPr>
        <w:t>设计</w:t>
      </w:r>
      <w:r>
        <w:rPr>
          <w:rFonts w:hint="eastAsia" w:ascii="宋体" w:hAnsi="宋体" w:cs="宋体"/>
          <w:color w:val="auto"/>
          <w:highlight w:val="none"/>
          <w:u w:val="single"/>
          <w:lang w:val="en-US" w:eastAsia="zh-CN"/>
        </w:rPr>
        <w:t>部分</w:t>
      </w:r>
      <w:r>
        <w:rPr>
          <w:rFonts w:hint="eastAsia" w:ascii="宋体" w:hAnsi="宋体" w:eastAsia="宋体" w:cs="宋体"/>
          <w:color w:val="auto"/>
          <w:highlight w:val="none"/>
          <w:u w:val="single"/>
        </w:rPr>
        <w:t>评分标准：见评标办法前附表；</w:t>
      </w:r>
    </w:p>
    <w:p w14:paraId="7607A230">
      <w:pPr>
        <w:shd w:val="clea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（2）施工技术标评分标准：见评标办法前附表；</w:t>
      </w:r>
    </w:p>
    <w:p w14:paraId="2FF42627">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rPr>
        <w:t>（3）投标报价评分标准：见评标办法前附表。</w:t>
      </w:r>
    </w:p>
    <w:p w14:paraId="3A357E7E">
      <w:pPr>
        <w:pStyle w:val="3"/>
        <w:shd w:val="clear"/>
        <w:rPr>
          <w:rFonts w:hint="eastAsia" w:ascii="宋体" w:hAnsi="宋体" w:eastAsia="宋体" w:cs="宋体"/>
          <w:color w:val="auto"/>
          <w:highlight w:val="none"/>
        </w:rPr>
      </w:pPr>
      <w:bookmarkStart w:id="446" w:name="_Toc26445"/>
      <w:bookmarkStart w:id="447" w:name="_Toc455"/>
      <w:r>
        <w:rPr>
          <w:rFonts w:hint="eastAsia" w:ascii="宋体" w:hAnsi="宋体" w:eastAsia="宋体" w:cs="宋体"/>
          <w:color w:val="auto"/>
          <w:highlight w:val="none"/>
        </w:rPr>
        <w:t>3. 评标程序</w:t>
      </w:r>
      <w:bookmarkEnd w:id="441"/>
      <w:bookmarkEnd w:id="442"/>
      <w:bookmarkEnd w:id="443"/>
      <w:bookmarkEnd w:id="444"/>
      <w:bookmarkEnd w:id="445"/>
      <w:bookmarkEnd w:id="446"/>
      <w:bookmarkEnd w:id="447"/>
    </w:p>
    <w:p w14:paraId="43FA7AA0">
      <w:pPr>
        <w:pStyle w:val="4"/>
        <w:shd w:val="clear"/>
        <w:spacing w:before="120" w:after="0"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3.1 本项目采取电子评标。</w:t>
      </w:r>
    </w:p>
    <w:p w14:paraId="6BB82B90">
      <w:pPr>
        <w:shd w:val="clear"/>
        <w:spacing w:line="360" w:lineRule="auto"/>
        <w:ind w:firstLine="420" w:firstLineChars="200"/>
        <w:rPr>
          <w:rFonts w:hint="eastAsia" w:ascii="宋体" w:hAnsi="宋体" w:eastAsia="宋体" w:cs="宋体"/>
          <w:color w:val="auto"/>
          <w:szCs w:val="21"/>
          <w:highlight w:val="none"/>
          <w:u w:val="single"/>
        </w:rPr>
      </w:pPr>
      <w:bookmarkStart w:id="448" w:name="_Hlk179403238"/>
      <w:r>
        <w:rPr>
          <w:rFonts w:hint="eastAsia" w:ascii="宋体" w:hAnsi="宋体" w:eastAsia="宋体" w:cs="宋体"/>
          <w:color w:val="auto"/>
          <w:szCs w:val="21"/>
          <w:highlight w:val="none"/>
          <w:u w:val="single"/>
        </w:rPr>
        <w:t>投标文件由评标委员会负责评审。</w:t>
      </w:r>
    </w:p>
    <w:bookmarkEnd w:id="448"/>
    <w:p w14:paraId="4FA22C44">
      <w:pPr>
        <w:pStyle w:val="4"/>
        <w:shd w:val="clear"/>
        <w:spacing w:before="120" w:after="0" w:line="360" w:lineRule="auto"/>
        <w:rPr>
          <w:rFonts w:hint="eastAsia" w:ascii="宋体" w:hAnsi="宋体" w:eastAsia="宋体" w:cs="宋体"/>
          <w:color w:val="auto"/>
          <w:highlight w:val="none"/>
          <w:u w:val="single"/>
        </w:rPr>
      </w:pPr>
      <w:bookmarkStart w:id="449" w:name="_Toc80124911"/>
      <w:bookmarkStart w:id="450" w:name="_Toc439240660"/>
      <w:bookmarkStart w:id="451" w:name="_Toc439246059"/>
      <w:bookmarkStart w:id="452" w:name="_Toc2974"/>
      <w:bookmarkStart w:id="453" w:name="_Toc144974576"/>
      <w:bookmarkStart w:id="454" w:name="_Toc247514032"/>
      <w:bookmarkStart w:id="455" w:name="_Toc247527633"/>
      <w:bookmarkStart w:id="456" w:name="_Toc152045608"/>
      <w:bookmarkStart w:id="457" w:name="_Toc152042386"/>
      <w:r>
        <w:rPr>
          <w:rFonts w:hint="eastAsia" w:ascii="宋体" w:hAnsi="宋体" w:eastAsia="宋体" w:cs="宋体"/>
          <w:color w:val="auto"/>
          <w:highlight w:val="none"/>
          <w:u w:val="single"/>
        </w:rPr>
        <w:t>3.</w:t>
      </w:r>
      <w:bookmarkEnd w:id="449"/>
      <w:bookmarkStart w:id="458" w:name="_Toc80124912"/>
      <w:r>
        <w:rPr>
          <w:rFonts w:hint="eastAsia" w:ascii="宋体" w:hAnsi="宋体" w:eastAsia="宋体" w:cs="宋体"/>
          <w:color w:val="auto"/>
          <w:highlight w:val="none"/>
          <w:u w:val="single"/>
        </w:rPr>
        <w:t xml:space="preserve">2 </w:t>
      </w:r>
      <w:bookmarkEnd w:id="458"/>
      <w:r>
        <w:rPr>
          <w:rFonts w:hint="eastAsia" w:ascii="宋体" w:hAnsi="宋体" w:eastAsia="宋体" w:cs="宋体"/>
          <w:color w:val="auto"/>
          <w:highlight w:val="none"/>
          <w:u w:val="single"/>
        </w:rPr>
        <w:t>初步评审</w:t>
      </w:r>
    </w:p>
    <w:p w14:paraId="505E7D25">
      <w:pPr>
        <w:shd w:val="clea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3.2.1</w:t>
      </w:r>
      <w:bookmarkEnd w:id="450"/>
      <w:bookmarkEnd w:id="451"/>
      <w:bookmarkEnd w:id="452"/>
      <w:bookmarkStart w:id="459" w:name="_Hlk179579056"/>
      <w:bookmarkStart w:id="460" w:name="_Toc2723"/>
      <w:r>
        <w:rPr>
          <w:rFonts w:hint="eastAsia" w:ascii="宋体" w:hAnsi="宋体" w:eastAsia="宋体" w:cs="宋体"/>
          <w:color w:val="auto"/>
          <w:szCs w:val="21"/>
          <w:highlight w:val="none"/>
          <w:u w:val="single"/>
        </w:rPr>
        <w:t>评标委员会依据本章第2.1款规定的标准对投标文件依次进行</w:t>
      </w:r>
      <w:r>
        <w:rPr>
          <w:rFonts w:hint="eastAsia" w:ascii="宋体" w:hAnsi="宋体" w:eastAsia="宋体" w:cs="宋体"/>
          <w:b w:val="0"/>
          <w:bCs w:val="0"/>
          <w:color w:val="auto"/>
          <w:szCs w:val="21"/>
          <w:highlight w:val="none"/>
          <w:u w:val="single"/>
        </w:rPr>
        <w:t>形式评审、资格评审</w:t>
      </w:r>
      <w:r>
        <w:rPr>
          <w:rFonts w:hint="eastAsia" w:ascii="宋体" w:hAnsi="宋体" w:eastAsia="宋体" w:cs="宋体"/>
          <w:b w:val="0"/>
          <w:bCs w:val="0"/>
          <w:color w:val="auto"/>
          <w:szCs w:val="21"/>
          <w:highlight w:val="none"/>
          <w:u w:val="single"/>
          <w:lang w:val="en-US" w:eastAsia="zh-CN"/>
        </w:rPr>
        <w:t>和</w:t>
      </w:r>
      <w:r>
        <w:rPr>
          <w:rFonts w:hint="eastAsia" w:ascii="宋体" w:hAnsi="宋体" w:eastAsia="宋体" w:cs="宋体"/>
          <w:b w:val="0"/>
          <w:bCs w:val="0"/>
          <w:color w:val="auto"/>
          <w:szCs w:val="21"/>
          <w:highlight w:val="none"/>
          <w:u w:val="single"/>
        </w:rPr>
        <w:t>工程总承包实施方案响应性评审</w:t>
      </w:r>
      <w:r>
        <w:rPr>
          <w:rFonts w:hint="eastAsia" w:ascii="宋体" w:hAnsi="宋体" w:eastAsia="宋体" w:cs="宋体"/>
          <w:color w:val="auto"/>
          <w:szCs w:val="21"/>
          <w:highlight w:val="none"/>
          <w:u w:val="single"/>
        </w:rPr>
        <w:t>，有一项不符合评审标准的，评标委员会应当否决其投标，只有通过相应评审的投标文件方可进入下一阶段的评审。如评标委员会成员的评审意见不一致时，以评标委员会过半数成员的意见作为评标委员会对该情形的认定结论。</w:t>
      </w:r>
      <w:bookmarkEnd w:id="459"/>
    </w:p>
    <w:p w14:paraId="515A247F">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 投标人有以下情形之一的，评标委员会应当否决其投标：</w:t>
      </w:r>
    </w:p>
    <w:p w14:paraId="7B04C2B7">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投标人存在《投标人声明》第三条情形之一的；</w:t>
      </w:r>
    </w:p>
    <w:p w14:paraId="6A6F8182">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（2）有串通投标、弄虚作假、行贿等违法行为；</w:t>
      </w:r>
    </w:p>
    <w:p w14:paraId="461AA26D">
      <w:pPr>
        <w:shd w:val="clear"/>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（3）不按评标委员会要求澄清、说明或补正的。</w:t>
      </w:r>
    </w:p>
    <w:p w14:paraId="2AC5548C">
      <w:pPr>
        <w:shd w:val="clea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特别声明：资审合格后，投标人的资格发生变化而不满足投标人合格条件，在发出中标通知书前，资格问题仍未解决的，招标人将取消其中标资格。</w:t>
      </w:r>
    </w:p>
    <w:p w14:paraId="0FF161EA">
      <w:pPr>
        <w:keepNext/>
        <w:keepLines/>
        <w:shd w:val="clear"/>
        <w:spacing w:before="120" w:line="360" w:lineRule="auto"/>
        <w:outlineLvl w:val="2"/>
        <w:rPr>
          <w:rFonts w:hint="eastAsia" w:ascii="宋体" w:hAnsi="宋体" w:eastAsia="宋体" w:cs="宋体"/>
          <w:bCs/>
          <w:color w:val="auto"/>
          <w:sz w:val="28"/>
          <w:szCs w:val="28"/>
          <w:highlight w:val="none"/>
          <w:u w:val="single"/>
        </w:rPr>
      </w:pPr>
      <w:bookmarkStart w:id="461" w:name="_Toc80124913"/>
      <w:r>
        <w:rPr>
          <w:rFonts w:hint="eastAsia" w:ascii="宋体" w:hAnsi="宋体" w:eastAsia="宋体" w:cs="宋体"/>
          <w:bCs/>
          <w:color w:val="auto"/>
          <w:sz w:val="28"/>
          <w:szCs w:val="28"/>
          <w:highlight w:val="none"/>
          <w:u w:val="single"/>
        </w:rPr>
        <w:t>3.</w:t>
      </w:r>
      <w:r>
        <w:rPr>
          <w:rFonts w:hint="eastAsia" w:ascii="宋体" w:hAnsi="宋体" w:eastAsia="宋体" w:cs="宋体"/>
          <w:bCs/>
          <w:color w:val="auto"/>
          <w:sz w:val="28"/>
          <w:szCs w:val="28"/>
          <w:highlight w:val="none"/>
          <w:u w:val="single"/>
          <w:lang w:val="en-US" w:eastAsia="zh-CN"/>
        </w:rPr>
        <w:t>3</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u w:val="single"/>
          <w:lang w:eastAsia="zh-CN"/>
        </w:rPr>
        <w:t>设计</w:t>
      </w:r>
      <w:r>
        <w:rPr>
          <w:rFonts w:hint="eastAsia" w:ascii="宋体" w:hAnsi="宋体" w:cs="宋体"/>
          <w:bCs/>
          <w:color w:val="auto"/>
          <w:sz w:val="28"/>
          <w:szCs w:val="28"/>
          <w:highlight w:val="none"/>
          <w:u w:val="single"/>
          <w:lang w:val="en-US" w:eastAsia="zh-CN"/>
        </w:rPr>
        <w:t>部分</w:t>
      </w:r>
      <w:r>
        <w:rPr>
          <w:rFonts w:hint="eastAsia" w:ascii="宋体" w:hAnsi="宋体" w:eastAsia="宋体" w:cs="宋体"/>
          <w:bCs/>
          <w:color w:val="auto"/>
          <w:sz w:val="28"/>
          <w:szCs w:val="28"/>
          <w:highlight w:val="none"/>
          <w:u w:val="single"/>
        </w:rPr>
        <w:t>评审</w:t>
      </w:r>
    </w:p>
    <w:p w14:paraId="3E58D703">
      <w:pPr>
        <w:shd w:val="clea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.1评标委员会按照</w:t>
      </w:r>
      <w:r>
        <w:rPr>
          <w:rFonts w:hint="eastAsia" w:ascii="宋体" w:hAnsi="宋体" w:eastAsia="宋体" w:cs="宋体"/>
          <w:color w:val="auto"/>
          <w:szCs w:val="21"/>
          <w:highlight w:val="none"/>
          <w:u w:val="single"/>
          <w:lang w:eastAsia="zh-CN"/>
        </w:rPr>
        <w:t>设计</w:t>
      </w:r>
      <w:r>
        <w:rPr>
          <w:rFonts w:hint="eastAsia" w:ascii="宋体" w:hAnsi="宋体" w:cs="宋体"/>
          <w:color w:val="auto"/>
          <w:szCs w:val="21"/>
          <w:highlight w:val="none"/>
          <w:u w:val="single"/>
          <w:lang w:val="en-US" w:eastAsia="zh-CN"/>
        </w:rPr>
        <w:t>部分</w:t>
      </w:r>
      <w:r>
        <w:rPr>
          <w:rFonts w:hint="eastAsia" w:ascii="宋体" w:hAnsi="宋体" w:eastAsia="宋体" w:cs="宋体"/>
          <w:color w:val="auto"/>
          <w:szCs w:val="21"/>
          <w:highlight w:val="none"/>
          <w:u w:val="single"/>
        </w:rPr>
        <w:t>评分标准（详见前附表）对通过初步评审的</w:t>
      </w:r>
      <w:r>
        <w:rPr>
          <w:rFonts w:hint="eastAsia" w:ascii="宋体" w:hAnsi="宋体" w:cs="宋体"/>
          <w:color w:val="auto"/>
          <w:szCs w:val="21"/>
          <w:highlight w:val="none"/>
          <w:u w:val="single"/>
          <w:lang w:val="en-US" w:eastAsia="zh-CN"/>
        </w:rPr>
        <w:t>投标</w:t>
      </w:r>
      <w:r>
        <w:rPr>
          <w:rFonts w:hint="eastAsia" w:ascii="宋体" w:hAnsi="宋体" w:eastAsia="宋体" w:cs="宋体"/>
          <w:color w:val="auto"/>
          <w:szCs w:val="21"/>
          <w:highlight w:val="none"/>
          <w:u w:val="single"/>
        </w:rPr>
        <w:t>文件进行详细评分。</w:t>
      </w:r>
    </w:p>
    <w:p w14:paraId="4F191C60">
      <w:pPr>
        <w:shd w:val="clea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w:t>
      </w:r>
      <w:bookmarkStart w:id="462" w:name="_Hlk179403273"/>
      <w:r>
        <w:rPr>
          <w:rFonts w:hint="eastAsia" w:ascii="宋体" w:hAnsi="宋体" w:eastAsia="宋体" w:cs="宋体"/>
          <w:color w:val="auto"/>
          <w:szCs w:val="21"/>
          <w:highlight w:val="none"/>
          <w:u w:val="single"/>
        </w:rPr>
        <w:t>2投标人</w:t>
      </w:r>
      <w:bookmarkEnd w:id="462"/>
      <w:r>
        <w:rPr>
          <w:rFonts w:hint="eastAsia" w:ascii="宋体" w:hAnsi="宋体" w:eastAsia="宋体" w:cs="宋体"/>
          <w:color w:val="auto"/>
          <w:szCs w:val="21"/>
          <w:highlight w:val="none"/>
          <w:u w:val="single"/>
          <w:lang w:eastAsia="zh-CN"/>
        </w:rPr>
        <w:t>设计</w:t>
      </w:r>
      <w:r>
        <w:rPr>
          <w:rFonts w:hint="eastAsia" w:ascii="宋体" w:hAnsi="宋体" w:cs="宋体"/>
          <w:color w:val="auto"/>
          <w:szCs w:val="21"/>
          <w:highlight w:val="none"/>
          <w:u w:val="single"/>
          <w:lang w:val="en-US" w:eastAsia="zh-CN"/>
        </w:rPr>
        <w:t>部分</w:t>
      </w:r>
      <w:r>
        <w:rPr>
          <w:rFonts w:hint="eastAsia" w:ascii="宋体" w:hAnsi="宋体" w:eastAsia="宋体" w:cs="宋体"/>
          <w:color w:val="auto"/>
          <w:szCs w:val="21"/>
          <w:highlight w:val="none"/>
          <w:u w:val="single"/>
        </w:rPr>
        <w:t>得分为所有评委评分的算术平均值，分数出现小数点，保留小数点后二位，第三位小数四舍五入。</w:t>
      </w:r>
    </w:p>
    <w:p w14:paraId="1EB7FEFD">
      <w:pPr>
        <w:keepNext/>
        <w:keepLines/>
        <w:shd w:val="clear"/>
        <w:spacing w:before="120" w:line="360" w:lineRule="auto"/>
        <w:outlineLvl w:val="2"/>
        <w:rPr>
          <w:rFonts w:hint="eastAsia" w:ascii="宋体" w:hAnsi="宋体" w:eastAsia="宋体" w:cs="宋体"/>
          <w:color w:val="auto"/>
          <w:szCs w:val="21"/>
          <w:highlight w:val="none"/>
          <w:u w:val="single"/>
        </w:rPr>
      </w:pPr>
      <w:r>
        <w:rPr>
          <w:rFonts w:hint="eastAsia" w:ascii="宋体" w:hAnsi="宋体" w:eastAsia="宋体" w:cs="宋体"/>
          <w:bCs/>
          <w:color w:val="auto"/>
          <w:sz w:val="28"/>
          <w:szCs w:val="28"/>
          <w:highlight w:val="none"/>
          <w:u w:val="single"/>
        </w:rPr>
        <w:t>3.</w:t>
      </w:r>
      <w:r>
        <w:rPr>
          <w:rFonts w:hint="eastAsia" w:ascii="宋体" w:hAnsi="宋体" w:eastAsia="宋体" w:cs="宋体"/>
          <w:bCs/>
          <w:color w:val="auto"/>
          <w:sz w:val="28"/>
          <w:szCs w:val="28"/>
          <w:highlight w:val="none"/>
          <w:u w:val="single"/>
          <w:lang w:val="en-US" w:eastAsia="zh-CN"/>
        </w:rPr>
        <w:t>4</w:t>
      </w:r>
      <w:r>
        <w:rPr>
          <w:rFonts w:hint="eastAsia" w:ascii="宋体" w:hAnsi="宋体" w:eastAsia="宋体" w:cs="宋体"/>
          <w:bCs/>
          <w:color w:val="auto"/>
          <w:sz w:val="28"/>
          <w:szCs w:val="28"/>
          <w:highlight w:val="none"/>
          <w:u w:val="single"/>
        </w:rPr>
        <w:t xml:space="preserve"> 施工技术标评审</w:t>
      </w:r>
      <w:bookmarkEnd w:id="461"/>
    </w:p>
    <w:p w14:paraId="00B7182C">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.1</w:t>
      </w:r>
      <w:r>
        <w:rPr>
          <w:rFonts w:hint="eastAsia" w:ascii="宋体" w:hAnsi="宋体" w:eastAsia="宋体" w:cs="宋体"/>
          <w:color w:val="auto"/>
          <w:szCs w:val="24"/>
          <w:highlight w:val="none"/>
          <w:u w:val="single"/>
        </w:rPr>
        <w:t>评标委员会</w:t>
      </w:r>
      <w:r>
        <w:rPr>
          <w:rFonts w:hint="eastAsia" w:ascii="宋体" w:hAnsi="宋体" w:eastAsia="宋体" w:cs="宋体"/>
          <w:color w:val="auto"/>
          <w:szCs w:val="21"/>
          <w:highlight w:val="none"/>
          <w:u w:val="single"/>
        </w:rPr>
        <w:t>按照施工技术标评分标准（详见前附表）对通过</w:t>
      </w:r>
      <w:r>
        <w:rPr>
          <w:rFonts w:hint="eastAsia" w:ascii="宋体" w:hAnsi="宋体" w:eastAsia="宋体" w:cs="宋体"/>
          <w:color w:val="auto"/>
          <w:szCs w:val="24"/>
          <w:highlight w:val="none"/>
          <w:u w:val="single"/>
        </w:rPr>
        <w:t>初步评审</w:t>
      </w:r>
      <w:r>
        <w:rPr>
          <w:rFonts w:hint="eastAsia" w:ascii="宋体" w:hAnsi="宋体" w:eastAsia="宋体" w:cs="宋体"/>
          <w:color w:val="auto"/>
          <w:szCs w:val="21"/>
          <w:highlight w:val="none"/>
          <w:u w:val="single"/>
        </w:rPr>
        <w:t>的投标文件进行详细评分。</w:t>
      </w:r>
    </w:p>
    <w:p w14:paraId="756FB9C6">
      <w:pPr>
        <w:keepNext/>
        <w:keepLines/>
        <w:shd w:val="clear"/>
        <w:spacing w:before="120" w:line="360" w:lineRule="auto"/>
        <w:ind w:firstLine="420" w:firstLineChars="200"/>
        <w:outlineLvl w:val="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.2 投标人施工技术标得分为所有评委评分的算术平均值，分数出现小数点，保留小数点后二位，第三位小数四舍五入。</w:t>
      </w:r>
      <w:bookmarkStart w:id="463" w:name="_Toc28052"/>
      <w:bookmarkStart w:id="464" w:name="_Toc33695050"/>
      <w:bookmarkStart w:id="465" w:name="_Toc439246060"/>
      <w:bookmarkStart w:id="466" w:name="_Toc439240661"/>
      <w:bookmarkStart w:id="467" w:name="_Toc29953"/>
      <w:bookmarkStart w:id="468" w:name="_Toc414"/>
    </w:p>
    <w:bookmarkEnd w:id="463"/>
    <w:bookmarkEnd w:id="464"/>
    <w:bookmarkEnd w:id="465"/>
    <w:bookmarkEnd w:id="466"/>
    <w:bookmarkEnd w:id="467"/>
    <w:bookmarkEnd w:id="468"/>
    <w:p w14:paraId="43E9A3B3">
      <w:pPr>
        <w:keepNext w:val="0"/>
        <w:keepLines w:val="0"/>
        <w:pageBreakBefore w:val="0"/>
        <w:widowControl w:val="0"/>
        <w:shd w:val="clear"/>
        <w:kinsoku/>
        <w:wordWrap/>
        <w:overflowPunct/>
        <w:topLinePunct w:val="0"/>
        <w:autoSpaceDE/>
        <w:autoSpaceDN/>
        <w:bidi w:val="0"/>
        <w:adjustRightInd/>
        <w:snapToGrid/>
        <w:spacing w:before="100" w:after="100" w:line="360" w:lineRule="auto"/>
        <w:textAlignment w:val="auto"/>
        <w:outlineLvl w:val="2"/>
        <w:rPr>
          <w:rFonts w:hint="eastAsia" w:ascii="宋体" w:hAnsi="宋体" w:eastAsia="宋体" w:cs="宋体"/>
          <w:bCs/>
          <w:color w:val="auto"/>
          <w:sz w:val="28"/>
          <w:szCs w:val="28"/>
          <w:highlight w:val="none"/>
        </w:rPr>
      </w:pPr>
      <w:bookmarkStart w:id="469" w:name="_Toc17199"/>
      <w:bookmarkStart w:id="470" w:name="_Toc78788121"/>
      <w:bookmarkStart w:id="471" w:name="_Toc439246061"/>
      <w:bookmarkStart w:id="472" w:name="_Toc439240662"/>
      <w:bookmarkStart w:id="473" w:name="_Toc16232"/>
      <w:bookmarkStart w:id="474" w:name="_Toc26775"/>
      <w:r>
        <w:rPr>
          <w:rFonts w:hint="eastAsia" w:ascii="宋体" w:hAnsi="宋体" w:eastAsia="宋体" w:cs="宋体"/>
          <w:bCs/>
          <w:color w:val="auto"/>
          <w:sz w:val="28"/>
          <w:szCs w:val="28"/>
          <w:highlight w:val="none"/>
        </w:rPr>
        <w:t>3.5 投标报价评审</w:t>
      </w:r>
      <w:bookmarkEnd w:id="469"/>
      <w:bookmarkEnd w:id="470"/>
    </w:p>
    <w:p w14:paraId="1DAA0F0A">
      <w:pPr>
        <w:keepNext w:val="0"/>
        <w:keepLines w:val="0"/>
        <w:pageBreakBefore w:val="0"/>
        <w:widowControl w:val="0"/>
        <w:shd w:val="clear"/>
        <w:kinsoku/>
        <w:wordWrap/>
        <w:overflowPunct/>
        <w:topLinePunct w:val="0"/>
        <w:autoSpaceDE/>
        <w:autoSpaceDN/>
        <w:bidi w:val="0"/>
        <w:adjustRightInd/>
        <w:snapToGrid/>
        <w:spacing w:line="360" w:lineRule="auto"/>
        <w:ind w:firstLine="424" w:firstLineChars="202"/>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3.5.1评标委员会对通过</w:t>
      </w:r>
      <w:r>
        <w:rPr>
          <w:rFonts w:hint="eastAsia" w:ascii="宋体" w:hAnsi="宋体" w:eastAsia="宋体" w:cs="宋体"/>
          <w:color w:val="auto"/>
          <w:szCs w:val="24"/>
          <w:highlight w:val="none"/>
          <w:u w:val="single"/>
        </w:rPr>
        <w:t>初步评审</w:t>
      </w:r>
      <w:r>
        <w:rPr>
          <w:rFonts w:hint="eastAsia" w:ascii="宋体" w:hAnsi="宋体" w:eastAsia="宋体" w:cs="宋体"/>
          <w:color w:val="auto"/>
          <w:szCs w:val="21"/>
          <w:highlight w:val="none"/>
          <w:u w:val="single"/>
        </w:rPr>
        <w:t>的投标文件的投标报价进行算术校核，具体标准如下：</w:t>
      </w:r>
    </w:p>
    <w:p w14:paraId="540A184F">
      <w:pPr>
        <w:keepNext w:val="0"/>
        <w:keepLines w:val="0"/>
        <w:pageBreakBefore w:val="0"/>
        <w:widowControl w:val="0"/>
        <w:shd w:val="clear"/>
        <w:kinsoku/>
        <w:wordWrap/>
        <w:overflowPunct/>
        <w:topLinePunct w:val="0"/>
        <w:autoSpaceDE/>
        <w:autoSpaceDN/>
        <w:bidi w:val="0"/>
        <w:adjustRightInd/>
        <w:snapToGrid/>
        <w:spacing w:line="360" w:lineRule="auto"/>
        <w:ind w:firstLine="424" w:firstLineChars="202"/>
        <w:textAlignment w:val="auto"/>
        <w:rPr>
          <w:rFonts w:hint="eastAsia" w:ascii="宋体" w:hAnsi="宋体" w:eastAsia="宋体" w:cs="宋体"/>
          <w:color w:val="auto"/>
          <w:szCs w:val="24"/>
          <w:highlight w:val="none"/>
        </w:rPr>
      </w:pPr>
      <w:r>
        <w:rPr>
          <w:rFonts w:hint="eastAsia" w:ascii="宋体" w:hAnsi="宋体" w:eastAsia="宋体" w:cs="宋体"/>
          <w:color w:val="auto"/>
          <w:szCs w:val="21"/>
          <w:highlight w:val="none"/>
          <w:u w:val="single"/>
        </w:rPr>
        <w:t>（1）如（1-下浮率）与最高限价乘积不等于投标报价时，以下浮率为准修正投标报价（下浮率有明显的数量级错误的除外，此时应修正下浮率），若修正后的投标报价超过最高投标限价的，作否决投标处理；</w:t>
      </w:r>
    </w:p>
    <w:p w14:paraId="543E0F4C">
      <w:pPr>
        <w:shd w:val="clea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（2）如果数字表示的金额和用文字表示的金额不一致时，应以文字表示的金额为准；</w:t>
      </w:r>
    </w:p>
    <w:p w14:paraId="52AB5DED">
      <w:pPr>
        <w:shd w:val="clea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（3）如果分项报价累加不等总价的，以分项报价累加为准，修正总价；</w:t>
      </w:r>
    </w:p>
    <w:p w14:paraId="47831D3E">
      <w:pPr>
        <w:shd w:val="clea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（4）投标文件存在其他计算性错误的，按就低不就高计算并修正；</w:t>
      </w:r>
    </w:p>
    <w:p w14:paraId="50828E40">
      <w:pPr>
        <w:shd w:val="clea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（5）按上述修正错误的原则及方法调整或修正投标文件的投标报价，调整后的投标报价对投标人起约束作用。如果投标人不接受修正后的报价，则否决其投标。</w:t>
      </w:r>
    </w:p>
    <w:p w14:paraId="357A2718">
      <w:pPr>
        <w:shd w:val="clea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3.5.2 投标报价评分</w:t>
      </w:r>
    </w:p>
    <w:bookmarkEnd w:id="471"/>
    <w:bookmarkEnd w:id="472"/>
    <w:bookmarkEnd w:id="473"/>
    <w:bookmarkEnd w:id="474"/>
    <w:p w14:paraId="13D92F57">
      <w:pPr>
        <w:shd w:val="clear"/>
        <w:spacing w:line="360" w:lineRule="auto"/>
        <w:ind w:firstLine="424" w:firstLineChars="202"/>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u w:val="single"/>
        </w:rPr>
        <w:t>（1）</w:t>
      </w:r>
      <w:r>
        <w:rPr>
          <w:rFonts w:hint="eastAsia" w:ascii="宋体" w:hAnsi="宋体" w:eastAsia="宋体" w:cs="宋体"/>
          <w:color w:val="auto"/>
          <w:szCs w:val="21"/>
          <w:highlight w:val="none"/>
          <w:u w:val="single"/>
        </w:rPr>
        <w:t>评标委员会对</w:t>
      </w:r>
      <w:r>
        <w:rPr>
          <w:rFonts w:hint="eastAsia" w:ascii="宋体" w:hAnsi="宋体" w:eastAsia="宋体" w:cs="宋体"/>
          <w:color w:val="auto"/>
          <w:szCs w:val="24"/>
          <w:highlight w:val="none"/>
          <w:u w:val="single"/>
        </w:rPr>
        <w:t>通过</w:t>
      </w:r>
      <w:r>
        <w:rPr>
          <w:rFonts w:hint="eastAsia" w:ascii="宋体" w:hAnsi="宋体" w:eastAsia="宋体" w:cs="宋体"/>
          <w:color w:val="auto"/>
          <w:szCs w:val="24"/>
          <w:highlight w:val="none"/>
          <w:u w:val="single"/>
          <w:lang w:val="en-US" w:eastAsia="zh-CN"/>
        </w:rPr>
        <w:t>初步</w:t>
      </w:r>
      <w:r>
        <w:rPr>
          <w:rFonts w:hint="eastAsia" w:ascii="宋体" w:hAnsi="宋体" w:eastAsia="宋体" w:cs="宋体"/>
          <w:color w:val="auto"/>
          <w:szCs w:val="24"/>
          <w:highlight w:val="none"/>
          <w:u w:val="single"/>
        </w:rPr>
        <w:t>评审且经算术校核的投标总报价位于[本项目最高投标限价×90%，本项目最高投标限价]区间的投标人大于5家时，去掉一个最高价和一个最低价后，取剩余报价的算术平均值为评标基准价；通过</w:t>
      </w:r>
      <w:r>
        <w:rPr>
          <w:rFonts w:hint="eastAsia" w:ascii="宋体" w:hAnsi="宋体" w:eastAsia="宋体" w:cs="宋体"/>
          <w:color w:val="auto"/>
          <w:szCs w:val="24"/>
          <w:highlight w:val="none"/>
          <w:u w:val="single"/>
          <w:lang w:val="en-US" w:eastAsia="zh-CN"/>
        </w:rPr>
        <w:t>初步</w:t>
      </w:r>
      <w:r>
        <w:rPr>
          <w:rFonts w:hint="eastAsia" w:ascii="宋体" w:hAnsi="宋体" w:eastAsia="宋体" w:cs="宋体"/>
          <w:color w:val="auto"/>
          <w:szCs w:val="24"/>
          <w:highlight w:val="none"/>
          <w:u w:val="single"/>
        </w:rPr>
        <w:t>评审且经算术校核的投标总报价位于[本项目最高投标限价×90%，本项目最高投标限价]区间的投标人少于或等于5家时，直接取区间中的投标总报价的算术平均值为评标基准价。通过</w:t>
      </w:r>
      <w:r>
        <w:rPr>
          <w:rFonts w:hint="eastAsia" w:ascii="宋体" w:hAnsi="宋体" w:eastAsia="宋体" w:cs="宋体"/>
          <w:color w:val="auto"/>
          <w:szCs w:val="24"/>
          <w:highlight w:val="none"/>
          <w:u w:val="single"/>
          <w:lang w:val="en-US" w:eastAsia="zh-CN"/>
        </w:rPr>
        <w:t>初步</w:t>
      </w:r>
      <w:r>
        <w:rPr>
          <w:rFonts w:hint="eastAsia" w:ascii="宋体" w:hAnsi="宋体" w:eastAsia="宋体" w:cs="宋体"/>
          <w:color w:val="auto"/>
          <w:szCs w:val="24"/>
          <w:highlight w:val="none"/>
          <w:u w:val="single"/>
        </w:rPr>
        <w:t>评审且经算术校核的投标总报价若没有位于[本项目最高总投标限价×90%，本项目最高投标限价]区间，则以本项目最高投标限价×90%为评标基准价。</w:t>
      </w:r>
    </w:p>
    <w:p w14:paraId="23991593">
      <w:pPr>
        <w:shd w:val="clea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4"/>
          <w:highlight w:val="none"/>
          <w:u w:val="single"/>
        </w:rPr>
        <w:t>（2）当投标总报价等于评标基准价时得100分，投标总报价每高于评标基准价1%，扣0.2分，每低于评标基准价1%，扣0.1分，</w:t>
      </w:r>
      <w:r>
        <w:rPr>
          <w:rFonts w:hint="eastAsia" w:ascii="宋体" w:hAnsi="宋体" w:eastAsia="宋体" w:cs="宋体"/>
          <w:color w:val="auto"/>
          <w:szCs w:val="21"/>
          <w:highlight w:val="none"/>
          <w:u w:val="single"/>
        </w:rPr>
        <w:t>得出投标报价得分，</w:t>
      </w:r>
      <w:r>
        <w:rPr>
          <w:rFonts w:hint="eastAsia" w:ascii="宋体" w:hAnsi="宋体" w:eastAsia="宋体" w:cs="宋体"/>
          <w:color w:val="auto"/>
          <w:szCs w:val="24"/>
          <w:highlight w:val="none"/>
          <w:u w:val="single"/>
        </w:rPr>
        <w:t>最多扣100分，精确到小数点后两位，第三位小数四舍五入。</w:t>
      </w:r>
    </w:p>
    <w:p w14:paraId="6F5D3888">
      <w:pPr>
        <w:keepNext/>
        <w:keepLines/>
        <w:shd w:val="clear"/>
        <w:outlineLvl w:val="2"/>
        <w:rPr>
          <w:rFonts w:hint="eastAsia" w:ascii="宋体" w:hAnsi="宋体" w:eastAsia="宋体" w:cs="宋体"/>
          <w:bCs/>
          <w:color w:val="auto"/>
          <w:sz w:val="28"/>
          <w:szCs w:val="28"/>
          <w:highlight w:val="none"/>
        </w:rPr>
      </w:pPr>
      <w:bookmarkStart w:id="475" w:name="_Toc31590"/>
      <w:bookmarkStart w:id="476" w:name="_Toc78788122"/>
      <w:r>
        <w:rPr>
          <w:rFonts w:hint="eastAsia" w:ascii="宋体" w:hAnsi="宋体" w:eastAsia="宋体" w:cs="宋体"/>
          <w:bCs/>
          <w:color w:val="auto"/>
          <w:sz w:val="28"/>
          <w:szCs w:val="28"/>
          <w:highlight w:val="none"/>
        </w:rPr>
        <w:t>3.6 评审汇总</w:t>
      </w:r>
      <w:bookmarkEnd w:id="475"/>
      <w:bookmarkEnd w:id="476"/>
    </w:p>
    <w:p w14:paraId="04582779">
      <w:pPr>
        <w:shd w:val="clea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3.6.1 </w:t>
      </w:r>
      <w:r>
        <w:rPr>
          <w:rFonts w:hint="eastAsia" w:ascii="宋体" w:hAnsi="宋体" w:eastAsia="宋体" w:cs="宋体"/>
          <w:color w:val="auto"/>
          <w:szCs w:val="24"/>
          <w:highlight w:val="none"/>
          <w:u w:val="single"/>
        </w:rPr>
        <w:t>评标委员会</w:t>
      </w:r>
      <w:r>
        <w:rPr>
          <w:rFonts w:hint="eastAsia" w:ascii="宋体" w:hAnsi="宋体" w:eastAsia="宋体" w:cs="宋体"/>
          <w:color w:val="auto"/>
          <w:szCs w:val="21"/>
          <w:highlight w:val="none"/>
          <w:u w:val="single"/>
        </w:rPr>
        <w:t>在评标系统汇总投标人总得分。</w:t>
      </w:r>
    </w:p>
    <w:p w14:paraId="1AA92CD7">
      <w:pPr>
        <w:shd w:val="clea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3.6.2投标人总得分满分为100分，分数出现小数点，保留小数点后二位，第三位小数四舍五入。总分权重分配见:评标办法前附表。</w:t>
      </w:r>
    </w:p>
    <w:p w14:paraId="2B6DDEF4">
      <w:pPr>
        <w:shd w:val="clear"/>
        <w:spacing w:line="360" w:lineRule="auto"/>
        <w:ind w:firstLine="420" w:firstLineChars="200"/>
        <w:rPr>
          <w:rFonts w:hint="eastAsia" w:ascii="宋体" w:hAnsi="宋体" w:eastAsia="宋体" w:cs="宋体"/>
          <w:color w:val="auto"/>
          <w:szCs w:val="24"/>
          <w:highlight w:val="none"/>
          <w:u w:val="single"/>
        </w:rPr>
      </w:pPr>
      <w:r>
        <w:rPr>
          <w:rFonts w:hint="eastAsia" w:ascii="宋体" w:hAnsi="宋体" w:eastAsia="宋体" w:cs="宋体"/>
          <w:color w:val="auto"/>
          <w:szCs w:val="21"/>
          <w:highlight w:val="none"/>
          <w:u w:val="single"/>
        </w:rPr>
        <w:t>3.6.3</w:t>
      </w:r>
      <w:r>
        <w:rPr>
          <w:rFonts w:hint="eastAsia" w:ascii="宋体" w:hAnsi="宋体" w:eastAsia="宋体" w:cs="宋体"/>
          <w:color w:val="auto"/>
          <w:szCs w:val="24"/>
          <w:highlight w:val="none"/>
          <w:u w:val="single"/>
        </w:rPr>
        <w:t>评标委员会</w:t>
      </w:r>
      <w:r>
        <w:rPr>
          <w:rFonts w:hint="eastAsia" w:ascii="宋体" w:hAnsi="宋体" w:eastAsia="宋体" w:cs="宋体"/>
          <w:color w:val="auto"/>
          <w:szCs w:val="21"/>
          <w:highlight w:val="none"/>
          <w:u w:val="single"/>
        </w:rPr>
        <w:t>按照“评标办法前附表”所述公式，只有通过初步评审方可计算各有效投标文件的总分，并按照总分从高到低排列先后次序。总分相同的，以施工技术标得分高的优先</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施工技术标得分也相同的</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以</w:t>
      </w:r>
      <w:r>
        <w:rPr>
          <w:rFonts w:hint="eastAsia" w:ascii="宋体" w:hAnsi="宋体" w:eastAsia="宋体" w:cs="宋体"/>
          <w:color w:val="auto"/>
          <w:szCs w:val="21"/>
          <w:highlight w:val="none"/>
          <w:u w:val="single"/>
          <w:lang w:val="en-US" w:eastAsia="zh-CN"/>
        </w:rPr>
        <w:t>设计部分得分</w:t>
      </w:r>
      <w:r>
        <w:rPr>
          <w:rFonts w:hint="eastAsia" w:ascii="宋体" w:hAnsi="宋体" w:eastAsia="宋体" w:cs="宋体"/>
          <w:color w:val="auto"/>
          <w:szCs w:val="21"/>
          <w:highlight w:val="none"/>
          <w:u w:val="single"/>
        </w:rPr>
        <w:t>高的优先；总分、</w:t>
      </w:r>
      <w:r>
        <w:rPr>
          <w:rFonts w:hint="eastAsia" w:ascii="宋体" w:hAnsi="宋体" w:eastAsia="宋体" w:cs="宋体"/>
          <w:color w:val="auto"/>
          <w:szCs w:val="21"/>
          <w:highlight w:val="none"/>
          <w:u w:val="single"/>
          <w:lang w:val="en-US" w:eastAsia="zh-CN"/>
        </w:rPr>
        <w:t>设计部分得分</w:t>
      </w:r>
      <w:r>
        <w:rPr>
          <w:rFonts w:hint="eastAsia" w:ascii="宋体" w:hAnsi="宋体" w:eastAsia="宋体" w:cs="宋体"/>
          <w:color w:val="auto"/>
          <w:szCs w:val="21"/>
          <w:highlight w:val="none"/>
          <w:u w:val="single"/>
        </w:rPr>
        <w:t>与施工技术标得分均相同的投标文件，则对具有相同情况的投标人，按中标候选人数量规定，由</w:t>
      </w:r>
      <w:r>
        <w:rPr>
          <w:rFonts w:hint="eastAsia" w:ascii="宋体" w:hAnsi="宋体" w:eastAsia="宋体" w:cs="宋体"/>
          <w:color w:val="auto"/>
          <w:szCs w:val="24"/>
          <w:highlight w:val="none"/>
          <w:u w:val="single"/>
        </w:rPr>
        <w:t>评标委员会</w:t>
      </w:r>
      <w:r>
        <w:rPr>
          <w:rFonts w:hint="eastAsia" w:ascii="宋体" w:hAnsi="宋体" w:eastAsia="宋体" w:cs="宋体"/>
          <w:color w:val="auto"/>
          <w:szCs w:val="21"/>
          <w:highlight w:val="none"/>
          <w:u w:val="single"/>
        </w:rPr>
        <w:t>采用实名投票方式，确定中标候选人的排序。</w:t>
      </w:r>
      <w:r>
        <w:rPr>
          <w:rFonts w:hint="eastAsia" w:ascii="宋体" w:hAnsi="宋体" w:eastAsia="宋体" w:cs="宋体"/>
          <w:color w:val="auto"/>
          <w:szCs w:val="24"/>
          <w:highlight w:val="none"/>
          <w:u w:val="single"/>
        </w:rPr>
        <w:t>评标委员会</w:t>
      </w:r>
      <w:r>
        <w:rPr>
          <w:rFonts w:hint="eastAsia" w:ascii="宋体" w:hAnsi="宋体" w:eastAsia="宋体" w:cs="宋体"/>
          <w:color w:val="auto"/>
          <w:szCs w:val="21"/>
          <w:highlight w:val="none"/>
          <w:u w:val="single"/>
        </w:rPr>
        <w:t>应按排序先后，在招标文件有效的投标人中，向招标人推荐前3名投标人依次为第一中标候选人至第三中标候选人，并编写评标报告（对评标结论持有异议的评标委员会成员可以书面方式阐述其不同意见和理由）。</w:t>
      </w:r>
    </w:p>
    <w:p w14:paraId="28B8DEFB">
      <w:pPr>
        <w:shd w:val="clea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3.6.</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u w:val="single"/>
        </w:rPr>
        <w:t xml:space="preserve"> 通过初步评审的投标人不足3名的为招标失败。</w:t>
      </w:r>
    </w:p>
    <w:bookmarkEnd w:id="453"/>
    <w:bookmarkEnd w:id="454"/>
    <w:bookmarkEnd w:id="455"/>
    <w:bookmarkEnd w:id="456"/>
    <w:bookmarkEnd w:id="457"/>
    <w:bookmarkEnd w:id="460"/>
    <w:p w14:paraId="2918E990">
      <w:pPr>
        <w:pStyle w:val="4"/>
        <w:shd w:val="clear"/>
        <w:rPr>
          <w:rFonts w:hint="eastAsia" w:ascii="宋体" w:hAnsi="宋体" w:eastAsia="宋体" w:cs="宋体"/>
          <w:color w:val="auto"/>
          <w:highlight w:val="none"/>
        </w:rPr>
      </w:pPr>
      <w:bookmarkStart w:id="477" w:name="_Toc4273"/>
      <w:bookmarkStart w:id="478" w:name="_Toc16169"/>
      <w:bookmarkStart w:id="479" w:name="_Toc533330533"/>
      <w:r>
        <w:rPr>
          <w:rFonts w:hint="eastAsia" w:ascii="宋体" w:hAnsi="宋体" w:eastAsia="宋体" w:cs="宋体"/>
          <w:color w:val="auto"/>
          <w:highlight w:val="none"/>
        </w:rPr>
        <w:t>3.7 投标文件的澄清和补正</w:t>
      </w:r>
      <w:bookmarkEnd w:id="477"/>
      <w:bookmarkEnd w:id="478"/>
      <w:bookmarkEnd w:id="479"/>
    </w:p>
    <w:p w14:paraId="3D5E8A89">
      <w:pPr>
        <w:shd w:val="clear"/>
        <w:spacing w:line="360" w:lineRule="auto"/>
        <w:ind w:firstLine="424" w:firstLineChars="202"/>
        <w:rPr>
          <w:rFonts w:hint="eastAsia" w:ascii="宋体" w:hAnsi="宋体" w:eastAsia="宋体" w:cs="宋体"/>
          <w:color w:val="auto"/>
          <w:szCs w:val="21"/>
          <w:highlight w:val="none"/>
          <w:u w:val="single"/>
        </w:rPr>
      </w:pPr>
      <w:bookmarkStart w:id="480" w:name="_Toc533330534"/>
      <w:r>
        <w:rPr>
          <w:rFonts w:hint="eastAsia" w:ascii="宋体" w:hAnsi="宋体" w:eastAsia="宋体" w:cs="宋体"/>
          <w:color w:val="auto"/>
          <w:szCs w:val="21"/>
          <w:highlight w:val="none"/>
          <w:u w:val="single"/>
        </w:rPr>
        <w:t>3.7.1 为有助于投标文件的审查、评价和比较，评标期间，经评标委员会中两人以上（含两人）的成员以书面形式提出动议，评标委员会应当书面发出澄清通知，要求投标人对投标文件含义不明确的内容作出澄清。</w:t>
      </w:r>
    </w:p>
    <w:p w14:paraId="0BC6B0A4">
      <w:pPr>
        <w:shd w:val="clea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3.7.2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14:paraId="41CF17E0">
      <w:pPr>
        <w:shd w:val="clea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3.7.3 评标委员会成员均应当阅读投标人的澄清，但应独立参考澄清对投标文件进行评审。</w:t>
      </w:r>
    </w:p>
    <w:p w14:paraId="01F99D84">
      <w:pPr>
        <w:shd w:val="clea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3.7.4 如果投标文件实质上不响应招标文件的各项要求，评标委员会相应评审将按照响应性审查标准予以拒绝，不接受投标人通过修改或撤销其不符合要求的差异或保留，使之成为具有响应性的投标。</w:t>
      </w:r>
    </w:p>
    <w:p w14:paraId="208683E3">
      <w:pPr>
        <w:pStyle w:val="4"/>
        <w:shd w:val="clear"/>
        <w:rPr>
          <w:rFonts w:hint="eastAsia" w:ascii="宋体" w:hAnsi="宋体" w:eastAsia="宋体" w:cs="宋体"/>
          <w:color w:val="auto"/>
          <w:highlight w:val="none"/>
        </w:rPr>
      </w:pPr>
      <w:bookmarkStart w:id="481" w:name="_Toc30315"/>
      <w:bookmarkStart w:id="482" w:name="_Toc1734"/>
      <w:r>
        <w:rPr>
          <w:rFonts w:hint="eastAsia" w:ascii="宋体" w:hAnsi="宋体" w:eastAsia="宋体" w:cs="宋体"/>
          <w:color w:val="auto"/>
          <w:highlight w:val="none"/>
        </w:rPr>
        <w:t>3.8 评标结果</w:t>
      </w:r>
      <w:bookmarkEnd w:id="480"/>
      <w:bookmarkEnd w:id="481"/>
      <w:bookmarkEnd w:id="482"/>
    </w:p>
    <w:p w14:paraId="3DF29F74">
      <w:pPr>
        <w:shd w:val="clea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3.8.1 除第二章“投标人须知”前附表授权直接确定中标人外，评标委员会按照得分由高到低的顺序推荐中标候选人。</w:t>
      </w:r>
    </w:p>
    <w:p w14:paraId="539A6282">
      <w:pPr>
        <w:shd w:val="clea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3.8.2 评标委员会完成评标后，应当向招标人提交书面评标报告。</w:t>
      </w:r>
    </w:p>
    <w:p w14:paraId="346D3D9B">
      <w:pPr>
        <w:shd w:val="clea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3.8.3 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14:paraId="2E502671">
      <w:pPr>
        <w:shd w:val="clear"/>
        <w:spacing w:line="400" w:lineRule="exact"/>
        <w:ind w:firstLine="457" w:firstLineChars="218"/>
        <w:rPr>
          <w:rFonts w:hint="eastAsia" w:ascii="宋体" w:hAnsi="宋体" w:eastAsia="宋体" w:cs="宋体"/>
          <w:color w:val="auto"/>
          <w:highlight w:val="none"/>
        </w:rPr>
        <w:sectPr>
          <w:pgSz w:w="11906" w:h="16838"/>
          <w:pgMar w:top="1304" w:right="1304" w:bottom="1304" w:left="1304" w:header="851" w:footer="964" w:gutter="0"/>
          <w:cols w:space="720" w:num="1"/>
          <w:docGrid w:type="lines" w:linePitch="312" w:charSpace="0"/>
        </w:sectPr>
      </w:pPr>
    </w:p>
    <w:p w14:paraId="12B7262D">
      <w:pPr>
        <w:shd w:val="clea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p>
    <w:p w14:paraId="178A5F5F">
      <w:pPr>
        <w:shd w:val="clear"/>
        <w:spacing w:line="300" w:lineRule="auto"/>
        <w:ind w:left="-424" w:leftChars="-20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投标总报价得分计算表</w:t>
      </w:r>
    </w:p>
    <w:p w14:paraId="555FD3AA">
      <w:pPr>
        <w:shd w:val="clear"/>
        <w:jc w:val="center"/>
        <w:rPr>
          <w:rFonts w:hint="eastAsia" w:ascii="宋体" w:hAnsi="宋体" w:eastAsia="宋体" w:cs="宋体"/>
          <w:b/>
          <w:color w:val="auto"/>
          <w:sz w:val="24"/>
          <w:highlight w:val="none"/>
        </w:rPr>
      </w:pPr>
    </w:p>
    <w:tbl>
      <w:tblPr>
        <w:tblStyle w:val="40"/>
        <w:tblW w:w="14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1011"/>
        <w:gridCol w:w="1008"/>
        <w:gridCol w:w="1008"/>
        <w:gridCol w:w="1008"/>
        <w:gridCol w:w="1007"/>
        <w:gridCol w:w="1007"/>
        <w:gridCol w:w="1007"/>
        <w:gridCol w:w="1007"/>
        <w:gridCol w:w="1007"/>
        <w:gridCol w:w="1007"/>
        <w:gridCol w:w="1007"/>
        <w:gridCol w:w="1033"/>
      </w:tblGrid>
      <w:tr w14:paraId="3A14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2275" w:type="dxa"/>
            <w:tcBorders>
              <w:top w:val="single" w:color="auto" w:sz="4" w:space="0"/>
              <w:left w:val="single" w:color="auto" w:sz="4" w:space="0"/>
              <w:bottom w:val="single" w:color="auto" w:sz="4" w:space="0"/>
              <w:right w:val="single" w:color="auto" w:sz="4" w:space="0"/>
            </w:tcBorders>
            <w:vAlign w:val="center"/>
          </w:tcPr>
          <w:p w14:paraId="3A1D9003">
            <w:pPr>
              <w:shd w:val="clea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1011" w:type="dxa"/>
            <w:tcBorders>
              <w:top w:val="single" w:color="auto" w:sz="4" w:space="0"/>
              <w:left w:val="single" w:color="auto" w:sz="4" w:space="0"/>
              <w:bottom w:val="single" w:color="auto" w:sz="4" w:space="0"/>
              <w:right w:val="single" w:color="auto" w:sz="4" w:space="0"/>
            </w:tcBorders>
            <w:vAlign w:val="center"/>
          </w:tcPr>
          <w:p w14:paraId="6BD6EC28">
            <w:pPr>
              <w:shd w:val="clear"/>
              <w:rPr>
                <w:rFonts w:hint="eastAsia" w:ascii="宋体" w:hAnsi="宋体" w:eastAsia="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4030B5CE">
            <w:pPr>
              <w:shd w:val="clear"/>
              <w:rPr>
                <w:rFonts w:hint="eastAsia" w:ascii="宋体" w:hAnsi="宋体" w:eastAsia="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6DFB8D83">
            <w:pPr>
              <w:shd w:val="clear"/>
              <w:rPr>
                <w:rFonts w:hint="eastAsia" w:ascii="宋体" w:hAnsi="宋体" w:eastAsia="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1D695349">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714546D3">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58993702">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7A359A2F">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75A6B071">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5253A4F2">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4361F411">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2DDA8CCD">
            <w:pPr>
              <w:shd w:val="clear"/>
              <w:rPr>
                <w:rFonts w:hint="eastAsia" w:ascii="宋体" w:hAnsi="宋体" w:eastAsia="宋体" w:cs="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24A584D7">
            <w:pPr>
              <w:shd w:val="clear"/>
              <w:rPr>
                <w:rFonts w:hint="eastAsia" w:ascii="宋体" w:hAnsi="宋体" w:eastAsia="宋体" w:cs="宋体"/>
                <w:color w:val="auto"/>
                <w:szCs w:val="21"/>
                <w:highlight w:val="none"/>
              </w:rPr>
            </w:pPr>
          </w:p>
        </w:tc>
      </w:tr>
      <w:tr w14:paraId="2AEA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275" w:type="dxa"/>
            <w:tcBorders>
              <w:top w:val="single" w:color="auto" w:sz="4" w:space="0"/>
              <w:left w:val="single" w:color="auto" w:sz="4" w:space="0"/>
              <w:bottom w:val="single" w:color="auto" w:sz="4" w:space="0"/>
              <w:right w:val="single" w:color="auto" w:sz="4" w:space="0"/>
            </w:tcBorders>
            <w:vAlign w:val="center"/>
          </w:tcPr>
          <w:p w14:paraId="3B819F58">
            <w:pPr>
              <w:shd w:val="clea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投标报价PT（元）</w:t>
            </w:r>
          </w:p>
          <w:p w14:paraId="1EDE4D58">
            <w:pPr>
              <w:shd w:val="clear"/>
              <w:rPr>
                <w:rFonts w:hint="eastAsia" w:ascii="宋体" w:hAnsi="宋体" w:eastAsia="宋体" w:cs="宋体"/>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14:paraId="409A3A67">
            <w:pPr>
              <w:shd w:val="clear"/>
              <w:rPr>
                <w:rFonts w:hint="eastAsia" w:ascii="宋体" w:hAnsi="宋体" w:eastAsia="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757D0C2E">
            <w:pPr>
              <w:shd w:val="clear"/>
              <w:rPr>
                <w:rFonts w:hint="eastAsia" w:ascii="宋体" w:hAnsi="宋体" w:eastAsia="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15930A60">
            <w:pPr>
              <w:shd w:val="clear"/>
              <w:rPr>
                <w:rFonts w:hint="eastAsia" w:ascii="宋体" w:hAnsi="宋体" w:eastAsia="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5A5CB40C">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4BF19170">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7B938FA7">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0021DA1F">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12892D46">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4EA894EE">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672C8581">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49E83A78">
            <w:pPr>
              <w:shd w:val="clear"/>
              <w:rPr>
                <w:rFonts w:hint="eastAsia" w:ascii="宋体" w:hAnsi="宋体" w:eastAsia="宋体" w:cs="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3E7348E8">
            <w:pPr>
              <w:shd w:val="clear"/>
              <w:rPr>
                <w:rFonts w:hint="eastAsia" w:ascii="宋体" w:hAnsi="宋体" w:eastAsia="宋体" w:cs="宋体"/>
                <w:color w:val="auto"/>
                <w:szCs w:val="21"/>
                <w:highlight w:val="none"/>
              </w:rPr>
            </w:pPr>
          </w:p>
        </w:tc>
      </w:tr>
      <w:tr w14:paraId="68A2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275" w:type="dxa"/>
            <w:tcBorders>
              <w:top w:val="single" w:color="auto" w:sz="4" w:space="0"/>
              <w:left w:val="single" w:color="auto" w:sz="4" w:space="0"/>
              <w:bottom w:val="single" w:color="auto" w:sz="4" w:space="0"/>
              <w:right w:val="single" w:color="auto" w:sz="4" w:space="0"/>
            </w:tcBorders>
            <w:vAlign w:val="center"/>
          </w:tcPr>
          <w:p w14:paraId="4AFFD3A6">
            <w:pPr>
              <w:shd w:val="clea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评标基准价PC（元）</w:t>
            </w:r>
          </w:p>
        </w:tc>
        <w:tc>
          <w:tcPr>
            <w:tcW w:w="12117" w:type="dxa"/>
            <w:gridSpan w:val="12"/>
            <w:tcBorders>
              <w:top w:val="single" w:color="auto" w:sz="4" w:space="0"/>
              <w:left w:val="single" w:color="auto" w:sz="4" w:space="0"/>
              <w:bottom w:val="single" w:color="auto" w:sz="4" w:space="0"/>
              <w:right w:val="single" w:color="auto" w:sz="4" w:space="0"/>
            </w:tcBorders>
            <w:vAlign w:val="center"/>
          </w:tcPr>
          <w:p w14:paraId="24AA37E2">
            <w:pPr>
              <w:shd w:val="clear"/>
              <w:rPr>
                <w:rFonts w:hint="eastAsia" w:ascii="宋体" w:hAnsi="宋体" w:eastAsia="宋体" w:cs="宋体"/>
                <w:color w:val="auto"/>
                <w:szCs w:val="21"/>
                <w:highlight w:val="none"/>
              </w:rPr>
            </w:pPr>
          </w:p>
        </w:tc>
      </w:tr>
      <w:tr w14:paraId="016F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275" w:type="dxa"/>
            <w:tcBorders>
              <w:top w:val="single" w:color="auto" w:sz="4" w:space="0"/>
              <w:left w:val="single" w:color="auto" w:sz="4" w:space="0"/>
              <w:bottom w:val="single" w:color="auto" w:sz="4" w:space="0"/>
              <w:right w:val="single" w:color="auto" w:sz="4" w:space="0"/>
            </w:tcBorders>
            <w:vAlign w:val="center"/>
          </w:tcPr>
          <w:p w14:paraId="714C2C9F">
            <w:pPr>
              <w:shd w:val="clear"/>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偏差（（PT-PC）/PC）（%）</w:t>
            </w:r>
          </w:p>
        </w:tc>
        <w:tc>
          <w:tcPr>
            <w:tcW w:w="1011" w:type="dxa"/>
            <w:tcBorders>
              <w:top w:val="single" w:color="auto" w:sz="4" w:space="0"/>
              <w:left w:val="single" w:color="auto" w:sz="4" w:space="0"/>
              <w:bottom w:val="single" w:color="auto" w:sz="4" w:space="0"/>
              <w:right w:val="single" w:color="auto" w:sz="4" w:space="0"/>
            </w:tcBorders>
            <w:vAlign w:val="center"/>
          </w:tcPr>
          <w:p w14:paraId="733EB9FC">
            <w:pPr>
              <w:shd w:val="clear"/>
              <w:rPr>
                <w:rFonts w:hint="eastAsia" w:ascii="宋体" w:hAnsi="宋体" w:eastAsia="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518A0881">
            <w:pPr>
              <w:shd w:val="clear"/>
              <w:rPr>
                <w:rFonts w:hint="eastAsia" w:ascii="宋体" w:hAnsi="宋体" w:eastAsia="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5D1BD75C">
            <w:pPr>
              <w:shd w:val="clear"/>
              <w:rPr>
                <w:rFonts w:hint="eastAsia" w:ascii="宋体" w:hAnsi="宋体" w:eastAsia="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755D80BE">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32E645B8">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177334A0">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13F7CFE5">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09A3918D">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7A0745D8">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124C7912">
            <w:pPr>
              <w:shd w:val="clear"/>
              <w:rPr>
                <w:rFonts w:hint="eastAsia" w:ascii="宋体" w:hAnsi="宋体" w:eastAsia="宋体" w:cs="宋体"/>
                <w:color w:val="auto"/>
                <w:szCs w:val="21"/>
                <w:highlight w:val="none"/>
              </w:rPr>
            </w:pPr>
          </w:p>
          <w:p w14:paraId="16741C60">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6847A93C">
            <w:pPr>
              <w:shd w:val="clear"/>
              <w:rPr>
                <w:rFonts w:hint="eastAsia" w:ascii="宋体" w:hAnsi="宋体" w:eastAsia="宋体" w:cs="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7511ACA7">
            <w:pPr>
              <w:shd w:val="clear"/>
              <w:rPr>
                <w:rFonts w:hint="eastAsia" w:ascii="宋体" w:hAnsi="宋体" w:eastAsia="宋体" w:cs="宋体"/>
                <w:color w:val="auto"/>
                <w:szCs w:val="21"/>
                <w:highlight w:val="none"/>
              </w:rPr>
            </w:pPr>
          </w:p>
        </w:tc>
      </w:tr>
      <w:tr w14:paraId="197D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275" w:type="dxa"/>
            <w:tcBorders>
              <w:top w:val="single" w:color="auto" w:sz="4" w:space="0"/>
              <w:left w:val="single" w:color="auto" w:sz="4" w:space="0"/>
              <w:bottom w:val="single" w:color="auto" w:sz="4" w:space="0"/>
              <w:right w:val="single" w:color="auto" w:sz="4" w:space="0"/>
            </w:tcBorders>
            <w:vAlign w:val="center"/>
          </w:tcPr>
          <w:p w14:paraId="03FF566C">
            <w:pPr>
              <w:shd w:val="clea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减分（A）</w:t>
            </w:r>
          </w:p>
        </w:tc>
        <w:tc>
          <w:tcPr>
            <w:tcW w:w="1011" w:type="dxa"/>
            <w:tcBorders>
              <w:top w:val="single" w:color="auto" w:sz="4" w:space="0"/>
              <w:left w:val="single" w:color="auto" w:sz="4" w:space="0"/>
              <w:bottom w:val="single" w:color="auto" w:sz="4" w:space="0"/>
              <w:right w:val="single" w:color="auto" w:sz="4" w:space="0"/>
            </w:tcBorders>
            <w:vAlign w:val="center"/>
          </w:tcPr>
          <w:p w14:paraId="071BA738">
            <w:pPr>
              <w:shd w:val="clear"/>
              <w:rPr>
                <w:rFonts w:hint="eastAsia" w:ascii="宋体" w:hAnsi="宋体" w:eastAsia="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10FBEEDB">
            <w:pPr>
              <w:shd w:val="clear"/>
              <w:rPr>
                <w:rFonts w:hint="eastAsia" w:ascii="宋体" w:hAnsi="宋体" w:eastAsia="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21440B8E">
            <w:pPr>
              <w:shd w:val="clear"/>
              <w:rPr>
                <w:rFonts w:hint="eastAsia" w:ascii="宋体" w:hAnsi="宋体" w:eastAsia="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05689976">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02557603">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35CF7831">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247EAF60">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1621C4D5">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0B6DDB20">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617C6984">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1822D43A">
            <w:pPr>
              <w:shd w:val="clear"/>
              <w:rPr>
                <w:rFonts w:hint="eastAsia" w:ascii="宋体" w:hAnsi="宋体" w:eastAsia="宋体" w:cs="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74A93CEE">
            <w:pPr>
              <w:shd w:val="clear"/>
              <w:rPr>
                <w:rFonts w:hint="eastAsia" w:ascii="宋体" w:hAnsi="宋体" w:eastAsia="宋体" w:cs="宋体"/>
                <w:color w:val="auto"/>
                <w:szCs w:val="21"/>
                <w:highlight w:val="none"/>
              </w:rPr>
            </w:pPr>
          </w:p>
        </w:tc>
      </w:tr>
      <w:tr w14:paraId="3902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275" w:type="dxa"/>
            <w:tcBorders>
              <w:top w:val="single" w:color="auto" w:sz="4" w:space="0"/>
              <w:left w:val="single" w:color="auto" w:sz="4" w:space="0"/>
              <w:bottom w:val="single" w:color="auto" w:sz="4" w:space="0"/>
              <w:right w:val="single" w:color="auto" w:sz="4" w:space="0"/>
            </w:tcBorders>
            <w:vAlign w:val="center"/>
          </w:tcPr>
          <w:p w14:paraId="58A67D7B">
            <w:pPr>
              <w:shd w:val="clear"/>
              <w:rPr>
                <w:rFonts w:hint="eastAsia" w:ascii="宋体" w:hAnsi="宋体" w:eastAsia="宋体" w:cs="宋体"/>
                <w:color w:val="auto"/>
                <w:szCs w:val="21"/>
                <w:highlight w:val="none"/>
              </w:rPr>
            </w:pPr>
            <w:r>
              <w:rPr>
                <w:rFonts w:hint="eastAsia" w:ascii="宋体" w:hAnsi="宋体" w:eastAsia="宋体" w:cs="宋体"/>
                <w:color w:val="auto"/>
                <w:szCs w:val="21"/>
                <w:highlight w:val="none"/>
              </w:rPr>
              <w:t>得分(I=100-A)</w:t>
            </w:r>
          </w:p>
        </w:tc>
        <w:tc>
          <w:tcPr>
            <w:tcW w:w="1011" w:type="dxa"/>
            <w:tcBorders>
              <w:top w:val="single" w:color="auto" w:sz="4" w:space="0"/>
              <w:left w:val="single" w:color="auto" w:sz="4" w:space="0"/>
              <w:bottom w:val="single" w:color="auto" w:sz="4" w:space="0"/>
              <w:right w:val="single" w:color="auto" w:sz="4" w:space="0"/>
            </w:tcBorders>
            <w:vAlign w:val="center"/>
          </w:tcPr>
          <w:p w14:paraId="652DA030">
            <w:pPr>
              <w:shd w:val="clear"/>
              <w:rPr>
                <w:rFonts w:hint="eastAsia" w:ascii="宋体" w:hAnsi="宋体" w:eastAsia="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7628F81C">
            <w:pPr>
              <w:shd w:val="clear"/>
              <w:rPr>
                <w:rFonts w:hint="eastAsia" w:ascii="宋体" w:hAnsi="宋体" w:eastAsia="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66CC3E45">
            <w:pPr>
              <w:shd w:val="clear"/>
              <w:rPr>
                <w:rFonts w:hint="eastAsia" w:ascii="宋体" w:hAnsi="宋体" w:eastAsia="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3AF91954">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6CF3637E">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18D7A91B">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6925401F">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15C04884">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6C77A774">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75B6DD37">
            <w:pPr>
              <w:shd w:val="clear"/>
              <w:rPr>
                <w:rFonts w:hint="eastAsia" w:ascii="宋体" w:hAnsi="宋体" w:eastAsia="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14:paraId="301E6DB1">
            <w:pPr>
              <w:shd w:val="clear"/>
              <w:rPr>
                <w:rFonts w:hint="eastAsia" w:ascii="宋体" w:hAnsi="宋体" w:eastAsia="宋体" w:cs="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5FD16D0F">
            <w:pPr>
              <w:shd w:val="clear"/>
              <w:rPr>
                <w:rFonts w:hint="eastAsia" w:ascii="宋体" w:hAnsi="宋体" w:eastAsia="宋体" w:cs="宋体"/>
                <w:color w:val="auto"/>
                <w:szCs w:val="21"/>
                <w:highlight w:val="none"/>
              </w:rPr>
            </w:pPr>
          </w:p>
        </w:tc>
      </w:tr>
    </w:tbl>
    <w:p w14:paraId="41EB406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注：报价得分精确到小数点后两位。</w:t>
      </w:r>
    </w:p>
    <w:p w14:paraId="3B57C830">
      <w:pPr>
        <w:shd w:val="clear"/>
        <w:spacing w:line="360" w:lineRule="auto"/>
        <w:ind w:firstLine="405"/>
        <w:rPr>
          <w:rFonts w:hint="eastAsia" w:ascii="宋体" w:hAnsi="宋体" w:eastAsia="宋体" w:cs="宋体"/>
          <w:color w:val="auto"/>
          <w:szCs w:val="21"/>
          <w:highlight w:val="none"/>
        </w:rPr>
      </w:pPr>
    </w:p>
    <w:p w14:paraId="1AC17619">
      <w:pPr>
        <w:shd w:val="clear"/>
        <w:spacing w:line="360" w:lineRule="auto"/>
        <w:ind w:left="209" w:leftChars="-67" w:hanging="350" w:hangingChars="16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评委签名：                              日期：</w:t>
      </w:r>
    </w:p>
    <w:p w14:paraId="607E443E">
      <w:pPr>
        <w:shd w:val="clear"/>
        <w:spacing w:line="360" w:lineRule="auto"/>
        <w:ind w:left="209" w:leftChars="-67" w:hanging="350" w:hangingChars="167"/>
        <w:jc w:val="left"/>
        <w:rPr>
          <w:rFonts w:hint="eastAsia" w:ascii="宋体" w:hAnsi="宋体" w:eastAsia="宋体" w:cs="宋体"/>
          <w:color w:val="auto"/>
          <w:szCs w:val="21"/>
          <w:highlight w:val="none"/>
        </w:rPr>
      </w:pPr>
    </w:p>
    <w:p w14:paraId="532C96F6">
      <w:pPr>
        <w:shd w:val="clear"/>
        <w:spacing w:line="360" w:lineRule="auto"/>
        <w:ind w:left="209" w:leftChars="-67" w:hanging="350" w:hangingChars="167"/>
        <w:jc w:val="left"/>
        <w:rPr>
          <w:rFonts w:hint="eastAsia" w:ascii="宋体" w:hAnsi="宋体" w:eastAsia="宋体" w:cs="宋体"/>
          <w:color w:val="auto"/>
          <w:szCs w:val="21"/>
          <w:highlight w:val="none"/>
        </w:rPr>
      </w:pPr>
    </w:p>
    <w:p w14:paraId="693EC473">
      <w:pPr>
        <w:shd w:val="clear"/>
        <w:spacing w:line="400" w:lineRule="exact"/>
        <w:rPr>
          <w:rFonts w:hint="eastAsia" w:ascii="宋体" w:hAnsi="宋体" w:eastAsia="宋体" w:cs="宋体"/>
          <w:color w:val="auto"/>
          <w:highlight w:val="none"/>
        </w:rPr>
      </w:pPr>
      <w:bookmarkStart w:id="483" w:name="_Toc152042387"/>
      <w:bookmarkStart w:id="484" w:name="_Toc152045609"/>
      <w:bookmarkStart w:id="485" w:name="_Toc247514033"/>
      <w:bookmarkStart w:id="486" w:name="_Toc144974577"/>
      <w:bookmarkStart w:id="487" w:name="_Toc247527634"/>
    </w:p>
    <w:p w14:paraId="48D69C6F">
      <w:pPr>
        <w:pStyle w:val="2"/>
        <w:shd w:val="clear"/>
        <w:rPr>
          <w:rFonts w:hint="eastAsia" w:ascii="宋体" w:hAnsi="宋体" w:eastAsia="宋体" w:cs="宋体"/>
          <w:color w:val="auto"/>
          <w:highlight w:val="none"/>
        </w:rPr>
        <w:sectPr>
          <w:headerReference r:id="rId4" w:type="default"/>
          <w:footerReference r:id="rId5" w:type="default"/>
          <w:footnotePr>
            <w:numRestart w:val="eachPage"/>
          </w:footnotePr>
          <w:pgSz w:w="16838" w:h="11905" w:orient="landscape"/>
          <w:pgMar w:top="1304" w:right="1304" w:bottom="1304" w:left="1304" w:header="851" w:footer="992" w:gutter="0"/>
          <w:cols w:space="720" w:num="1"/>
          <w:docGrid w:type="lines" w:linePitch="321" w:charSpace="0"/>
        </w:sectPr>
      </w:pPr>
    </w:p>
    <w:p w14:paraId="3C0ADFCD">
      <w:pPr>
        <w:pStyle w:val="2"/>
        <w:shd w:val="clear"/>
        <w:jc w:val="center"/>
        <w:rPr>
          <w:rFonts w:hint="eastAsia" w:ascii="宋体" w:hAnsi="宋体" w:eastAsia="宋体" w:cs="宋体"/>
          <w:color w:val="auto"/>
          <w:highlight w:val="none"/>
        </w:rPr>
      </w:pPr>
      <w:bookmarkStart w:id="488" w:name="_Toc24223"/>
      <w:bookmarkStart w:id="489" w:name="_Toc30231"/>
      <w:r>
        <w:rPr>
          <w:rFonts w:hint="eastAsia" w:ascii="宋体" w:hAnsi="宋体" w:eastAsia="宋体" w:cs="宋体"/>
          <w:color w:val="auto"/>
          <w:highlight w:val="none"/>
        </w:rPr>
        <w:t>第四章  合同条款及格式</w:t>
      </w:r>
      <w:bookmarkEnd w:id="483"/>
      <w:bookmarkEnd w:id="484"/>
      <w:bookmarkEnd w:id="485"/>
      <w:bookmarkEnd w:id="486"/>
      <w:bookmarkEnd w:id="487"/>
      <w:bookmarkEnd w:id="488"/>
      <w:bookmarkEnd w:id="489"/>
      <w:bookmarkStart w:id="490" w:name="_Toc144974578"/>
      <w:bookmarkStart w:id="491" w:name="_Toc152045610"/>
      <w:bookmarkStart w:id="492" w:name="_Toc152042388"/>
      <w:bookmarkStart w:id="493" w:name="_Toc247514034"/>
      <w:bookmarkStart w:id="494" w:name="_Toc184635097"/>
      <w:bookmarkStart w:id="495" w:name="_Toc247527635"/>
    </w:p>
    <w:p w14:paraId="635962CA">
      <w:pPr>
        <w:shd w:val="clear"/>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（另册）</w:t>
      </w:r>
      <w:bookmarkEnd w:id="490"/>
      <w:bookmarkEnd w:id="491"/>
      <w:bookmarkEnd w:id="492"/>
      <w:bookmarkEnd w:id="493"/>
      <w:bookmarkEnd w:id="494"/>
      <w:bookmarkEnd w:id="495"/>
    </w:p>
    <w:p w14:paraId="18EC737E">
      <w:pPr>
        <w:pStyle w:val="2"/>
        <w:shd w:val="clear"/>
        <w:jc w:val="center"/>
        <w:rPr>
          <w:rFonts w:hint="eastAsia" w:ascii="宋体" w:hAnsi="宋体" w:eastAsia="宋体" w:cs="宋体"/>
          <w:color w:val="auto"/>
          <w:highlight w:val="none"/>
        </w:rPr>
      </w:pPr>
      <w:bookmarkStart w:id="496" w:name="_Toc152045782"/>
      <w:bookmarkStart w:id="497" w:name="_Toc247514233"/>
      <w:bookmarkStart w:id="498" w:name="_Toc152042571"/>
      <w:bookmarkStart w:id="499" w:name="_Toc144974851"/>
      <w:bookmarkStart w:id="500" w:name="_Toc247527820"/>
      <w:bookmarkStart w:id="501" w:name="_Toc9547"/>
      <w:bookmarkStart w:id="502" w:name="_Toc16246"/>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第五章  </w:t>
      </w:r>
      <w:bookmarkEnd w:id="496"/>
      <w:bookmarkEnd w:id="497"/>
      <w:bookmarkEnd w:id="498"/>
      <w:bookmarkEnd w:id="499"/>
      <w:bookmarkEnd w:id="500"/>
      <w:r>
        <w:rPr>
          <w:rFonts w:hint="eastAsia" w:ascii="宋体" w:hAnsi="宋体" w:eastAsia="宋体" w:cs="宋体"/>
          <w:color w:val="auto"/>
          <w:highlight w:val="none"/>
        </w:rPr>
        <w:t>招标人要求</w:t>
      </w:r>
      <w:bookmarkEnd w:id="501"/>
      <w:bookmarkEnd w:id="502"/>
    </w:p>
    <w:p w14:paraId="53B5D99A">
      <w:pPr>
        <w:pStyle w:val="21"/>
        <w:spacing w:line="360" w:lineRule="auto"/>
        <w:ind w:firstLine="880"/>
        <w:jc w:val="center"/>
        <w:rPr>
          <w:rFonts w:hAnsi="宋体" w:cs="宋体"/>
          <w:b/>
          <w:bCs/>
          <w:kern w:val="44"/>
          <w:sz w:val="44"/>
          <w:szCs w:val="44"/>
          <w:highlight w:val="none"/>
        </w:rPr>
      </w:pPr>
      <w:bookmarkStart w:id="503" w:name="_Toc152045786"/>
      <w:bookmarkStart w:id="504" w:name="_Toc247527826"/>
      <w:bookmarkStart w:id="505" w:name="_Toc144974855"/>
      <w:bookmarkStart w:id="506" w:name="_Toc247514245"/>
      <w:bookmarkStart w:id="507" w:name="_Toc152042575"/>
      <w:r>
        <w:rPr>
          <w:rFonts w:hint="eastAsia" w:hAnsi="宋体" w:cs="宋体"/>
          <w:b/>
          <w:bCs/>
          <w:kern w:val="44"/>
          <w:sz w:val="44"/>
          <w:szCs w:val="44"/>
          <w:highlight w:val="none"/>
        </w:rPr>
        <w:t>设计任务书</w:t>
      </w:r>
    </w:p>
    <w:p w14:paraId="0D5B31DC">
      <w:pPr>
        <w:pStyle w:val="121"/>
        <w:spacing w:line="360" w:lineRule="auto"/>
        <w:ind w:left="0" w:firstLine="422" w:firstLineChars="200"/>
        <w:jc w:val="left"/>
        <w:rPr>
          <w:rFonts w:ascii="宋体" w:hAnsi="宋体" w:eastAsia="宋体" w:cstheme="minorEastAsia"/>
          <w:b/>
          <w:bCs/>
          <w:sz w:val="21"/>
          <w:szCs w:val="21"/>
          <w:highlight w:val="none"/>
        </w:rPr>
      </w:pPr>
      <w:r>
        <w:rPr>
          <w:rFonts w:hint="eastAsia" w:ascii="宋体" w:hAnsi="宋体" w:eastAsia="宋体" w:cstheme="minorEastAsia"/>
          <w:b/>
          <w:bCs/>
          <w:sz w:val="21"/>
          <w:szCs w:val="21"/>
          <w:highlight w:val="none"/>
        </w:rPr>
        <w:t>一、设计任务</w:t>
      </w:r>
    </w:p>
    <w:p w14:paraId="5199A066">
      <w:pPr>
        <w:pStyle w:val="121"/>
        <w:spacing w:line="360" w:lineRule="auto"/>
        <w:ind w:left="0" w:firstLine="422" w:firstLineChars="200"/>
        <w:jc w:val="left"/>
        <w:rPr>
          <w:rFonts w:ascii="宋体" w:hAnsi="宋体" w:eastAsia="宋体" w:cstheme="minorEastAsia"/>
          <w:b/>
          <w:bCs/>
          <w:sz w:val="21"/>
          <w:szCs w:val="21"/>
          <w:highlight w:val="none"/>
        </w:rPr>
      </w:pPr>
      <w:r>
        <w:rPr>
          <w:rFonts w:hint="eastAsia" w:ascii="宋体" w:hAnsi="宋体" w:eastAsia="宋体" w:cstheme="minorEastAsia"/>
          <w:b/>
          <w:bCs/>
          <w:sz w:val="21"/>
          <w:szCs w:val="21"/>
          <w:highlight w:val="none"/>
        </w:rPr>
        <w:t>（一）项目背景</w:t>
      </w:r>
    </w:p>
    <w:p w14:paraId="6411DB2C">
      <w:pPr>
        <w:spacing w:line="360" w:lineRule="auto"/>
        <w:ind w:firstLine="420" w:firstLineChars="200"/>
        <w:rPr>
          <w:rFonts w:hint="eastAsia" w:ascii="宋体" w:hAnsi="宋体" w:cs="仿宋"/>
          <w:szCs w:val="21"/>
          <w:highlight w:val="none"/>
        </w:rPr>
      </w:pPr>
      <w:r>
        <w:rPr>
          <w:rFonts w:hint="eastAsia" w:ascii="宋体" w:hAnsi="宋体" w:cs="仿宋"/>
          <w:szCs w:val="21"/>
          <w:highlight w:val="none"/>
        </w:rPr>
        <w:t xml:space="preserve">花都区位于广州市北部，东接广州市从化区，南邻广州市白云区，西连佛山市三水区和南海区，北邻清远市。花都区行政辖区面积970.04km²，下辖4个街道和6个镇。2023年实现地区生产总值1801亿元，年末常住人口172.8万人，户籍人口90.5万人。 </w:t>
      </w:r>
    </w:p>
    <w:p w14:paraId="3AE0120C">
      <w:pPr>
        <w:spacing w:line="360" w:lineRule="auto"/>
        <w:ind w:firstLine="420" w:firstLineChars="200"/>
        <w:rPr>
          <w:rFonts w:hint="eastAsia" w:ascii="宋体" w:hAnsi="宋体" w:cs="仿宋"/>
          <w:szCs w:val="21"/>
          <w:highlight w:val="none"/>
        </w:rPr>
      </w:pPr>
      <w:r>
        <w:rPr>
          <w:rFonts w:hint="eastAsia" w:ascii="宋体" w:hAnsi="宋体" w:cs="仿宋"/>
          <w:szCs w:val="21"/>
          <w:highlight w:val="none"/>
        </w:rPr>
        <w:t>花都区北部属南岭青云山脉，南部属广花平原，呈现“三山一水六平原”的自然地理地貌特征；坐拥广州白云国际机场和广州北站两大交通枢纽，是粤港澳大湾区重要的汽车制造、都市消费工业、电子信息等产业基地。</w:t>
      </w:r>
    </w:p>
    <w:p w14:paraId="574C2E4A">
      <w:pPr>
        <w:pStyle w:val="121"/>
        <w:spacing w:line="360" w:lineRule="auto"/>
        <w:ind w:left="0" w:firstLine="422" w:firstLineChars="200"/>
        <w:jc w:val="left"/>
        <w:rPr>
          <w:rFonts w:ascii="宋体" w:hAnsi="宋体" w:eastAsia="宋体" w:cstheme="minorEastAsia"/>
          <w:sz w:val="21"/>
          <w:szCs w:val="21"/>
          <w:highlight w:val="none"/>
        </w:rPr>
      </w:pPr>
      <w:r>
        <w:rPr>
          <w:rFonts w:hint="eastAsia" w:ascii="宋体" w:hAnsi="宋体" w:eastAsia="宋体" w:cstheme="minorEastAsia"/>
          <w:b/>
          <w:bCs/>
          <w:sz w:val="21"/>
          <w:szCs w:val="21"/>
          <w:highlight w:val="none"/>
        </w:rPr>
        <w:t>（二）项目概况</w:t>
      </w:r>
    </w:p>
    <w:p w14:paraId="1F88AA5D">
      <w:pPr>
        <w:pStyle w:val="121"/>
        <w:spacing w:line="360" w:lineRule="auto"/>
        <w:ind w:left="0" w:firstLine="420" w:firstLineChars="200"/>
        <w:jc w:val="left"/>
        <w:rPr>
          <w:rFonts w:ascii="宋体" w:hAnsi="宋体" w:eastAsia="宋体" w:cstheme="minorEastAsia"/>
          <w:sz w:val="21"/>
          <w:szCs w:val="21"/>
          <w:highlight w:val="none"/>
        </w:rPr>
      </w:pPr>
      <w:r>
        <w:rPr>
          <w:rFonts w:hint="eastAsia" w:ascii="宋体" w:hAnsi="宋体" w:eastAsia="宋体" w:cstheme="minorEastAsia"/>
          <w:sz w:val="21"/>
          <w:szCs w:val="21"/>
          <w:highlight w:val="none"/>
        </w:rPr>
        <w:t>项目名称：</w:t>
      </w:r>
      <w:r>
        <w:rPr>
          <w:rFonts w:hint="eastAsia" w:ascii="宋体" w:hAnsi="宋体" w:eastAsia="宋体" w:cs="仿宋"/>
          <w:sz w:val="21"/>
          <w:szCs w:val="21"/>
          <w:highlight w:val="none"/>
        </w:rPr>
        <w:t>白云机场北花山镇城区道路承载力优化提升</w:t>
      </w:r>
      <w:r>
        <w:rPr>
          <w:rFonts w:hint="eastAsia" w:ascii="宋体" w:hAnsi="宋体" w:eastAsia="宋体" w:cs="仿宋"/>
          <w:sz w:val="21"/>
          <w:szCs w:val="21"/>
          <w:highlight w:val="none"/>
          <w:lang w:eastAsia="zh-CN"/>
        </w:rPr>
        <w:t>二</w:t>
      </w:r>
      <w:r>
        <w:rPr>
          <w:rFonts w:hint="eastAsia" w:ascii="宋体" w:hAnsi="宋体" w:eastAsia="宋体" w:cs="仿宋"/>
          <w:sz w:val="21"/>
          <w:szCs w:val="21"/>
          <w:highlight w:val="none"/>
        </w:rPr>
        <w:t>期项目</w:t>
      </w:r>
    </w:p>
    <w:p w14:paraId="7A3D447A">
      <w:pPr>
        <w:pStyle w:val="121"/>
        <w:spacing w:line="360" w:lineRule="auto"/>
        <w:ind w:left="0" w:firstLine="420" w:firstLineChars="200"/>
        <w:jc w:val="left"/>
        <w:rPr>
          <w:rFonts w:ascii="宋体" w:hAnsi="宋体" w:eastAsia="宋体" w:cstheme="minorEastAsia"/>
          <w:sz w:val="21"/>
          <w:szCs w:val="21"/>
          <w:highlight w:val="none"/>
        </w:rPr>
      </w:pPr>
      <w:r>
        <w:rPr>
          <w:rFonts w:hint="eastAsia" w:ascii="宋体" w:hAnsi="宋体" w:eastAsia="宋体" w:cstheme="minorEastAsia"/>
          <w:sz w:val="21"/>
          <w:szCs w:val="21"/>
          <w:highlight w:val="none"/>
        </w:rPr>
        <w:t>建设单位：广州市花都区花山镇人民政府</w:t>
      </w:r>
    </w:p>
    <w:p w14:paraId="6BF5D901">
      <w:pPr>
        <w:spacing w:line="360" w:lineRule="auto"/>
        <w:ind w:firstLine="420" w:firstLineChars="200"/>
        <w:rPr>
          <w:rFonts w:hint="eastAsia" w:ascii="宋体" w:hAnsi="宋体" w:cs="仿宋"/>
          <w:szCs w:val="21"/>
          <w:highlight w:val="none"/>
        </w:rPr>
      </w:pPr>
      <w:r>
        <w:rPr>
          <w:rFonts w:hint="eastAsia" w:ascii="宋体" w:hAnsi="宋体" w:cs="仿宋"/>
          <w:szCs w:val="21"/>
          <w:highlight w:val="none"/>
        </w:rPr>
        <w:t>项目概况：</w:t>
      </w:r>
      <w:r>
        <w:rPr>
          <w:rFonts w:hint="eastAsia" w:ascii="宋体" w:hAnsi="宋体" w:cs="仿宋"/>
          <w:szCs w:val="21"/>
          <w:highlight w:val="none"/>
          <w:lang w:val="en-US" w:eastAsia="zh-CN"/>
        </w:rPr>
        <w:t>本项目包含1条改造道路及2条新建道路，其中花山大道为改造道路，道路等级为城市次干路，设计速度30公里/小时；流溪河南路及厂区支路为新建道路，道路等级为城市支路，限速20公里/小时；3条道路总长度约1.7公里</w:t>
      </w:r>
      <w:r>
        <w:rPr>
          <w:rFonts w:hint="eastAsia" w:ascii="宋体" w:hAnsi="宋体" w:eastAsia="宋体" w:cs="宋体"/>
          <w:color w:val="auto"/>
          <w:szCs w:val="21"/>
          <w:highlight w:val="none"/>
          <w:u w:val="none"/>
          <w:lang w:val="en-US" w:eastAsia="zh-CN"/>
        </w:rPr>
        <w:t>；新建DN500～</w:t>
      </w:r>
      <w:r>
        <w:rPr>
          <w:rFonts w:hint="eastAsia" w:ascii="宋体" w:hAnsi="宋体" w:eastAsia="宋体" w:cs="宋体"/>
          <w:color w:val="auto"/>
          <w:sz w:val="21"/>
          <w:szCs w:val="21"/>
          <w:highlight w:val="none"/>
          <w:u w:val="none"/>
        </w:rPr>
        <w:t>DN1</w:t>
      </w:r>
      <w:r>
        <w:rPr>
          <w:rFonts w:hint="eastAsia" w:ascii="宋体" w:hAnsi="宋体" w:eastAsia="宋体" w:cs="宋体"/>
          <w:color w:val="auto"/>
          <w:sz w:val="21"/>
          <w:szCs w:val="21"/>
          <w:highlight w:val="none"/>
          <w:u w:val="none"/>
          <w:lang w:val="en-US" w:eastAsia="zh-CN"/>
        </w:rPr>
        <w:t>0</w:t>
      </w:r>
      <w:r>
        <w:rPr>
          <w:rFonts w:hint="eastAsia" w:ascii="宋体" w:hAnsi="宋体" w:eastAsia="宋体" w:cs="宋体"/>
          <w:color w:val="auto"/>
          <w:sz w:val="21"/>
          <w:szCs w:val="21"/>
          <w:highlight w:val="none"/>
          <w:u w:val="none"/>
        </w:rPr>
        <w:t>00</w:t>
      </w:r>
      <w:r>
        <w:rPr>
          <w:rFonts w:hint="eastAsia" w:ascii="宋体" w:hAnsi="宋体" w:eastAsia="宋体" w:cs="宋体"/>
          <w:color w:val="auto"/>
          <w:sz w:val="21"/>
          <w:szCs w:val="21"/>
          <w:highlight w:val="none"/>
          <w:u w:val="none"/>
          <w:lang w:val="en-US" w:eastAsia="zh-CN"/>
        </w:rPr>
        <w:t>排</w:t>
      </w:r>
      <w:r>
        <w:rPr>
          <w:rFonts w:hint="eastAsia" w:ascii="宋体" w:hAnsi="宋体" w:eastAsia="宋体" w:cs="宋体"/>
          <w:color w:val="auto"/>
          <w:szCs w:val="21"/>
          <w:highlight w:val="none"/>
          <w:u w:val="none"/>
          <w:lang w:val="en-US" w:eastAsia="zh-CN"/>
        </w:rPr>
        <w:t>水管，新建DN300给水管</w:t>
      </w:r>
      <w:r>
        <w:rPr>
          <w:rFonts w:hint="eastAsia" w:ascii="宋体" w:hAnsi="宋体" w:cs="仿宋"/>
          <w:szCs w:val="21"/>
          <w:highlight w:val="none"/>
          <w:lang w:val="en-US" w:eastAsia="zh-CN"/>
        </w:rPr>
        <w:t>。建设内容包含道路工程、给排水工程、涵洞工程、交通设施工程、照明工程、电力通信及其他附属工程等</w:t>
      </w:r>
      <w:r>
        <w:rPr>
          <w:rFonts w:hint="eastAsia" w:ascii="宋体" w:hAnsi="宋体" w:cs="仿宋"/>
          <w:szCs w:val="21"/>
          <w:highlight w:val="none"/>
        </w:rPr>
        <w:t>。</w:t>
      </w:r>
    </w:p>
    <w:p w14:paraId="2C21E87B">
      <w:pPr>
        <w:pStyle w:val="121"/>
        <w:spacing w:line="360" w:lineRule="auto"/>
        <w:ind w:left="0" w:firstLine="422" w:firstLineChars="200"/>
        <w:jc w:val="left"/>
        <w:rPr>
          <w:rFonts w:ascii="宋体" w:hAnsi="宋体" w:eastAsia="宋体" w:cstheme="minorEastAsia"/>
          <w:sz w:val="21"/>
          <w:szCs w:val="21"/>
          <w:highlight w:val="none"/>
        </w:rPr>
      </w:pPr>
      <w:r>
        <w:rPr>
          <w:rFonts w:hint="eastAsia" w:ascii="宋体" w:hAnsi="宋体" w:eastAsia="宋体" w:cstheme="minorEastAsia"/>
          <w:b/>
          <w:bCs/>
          <w:sz w:val="21"/>
          <w:szCs w:val="21"/>
          <w:highlight w:val="none"/>
        </w:rPr>
        <w:t>（三）项目建设内容和规模</w:t>
      </w:r>
    </w:p>
    <w:p w14:paraId="63639CCF">
      <w:pPr>
        <w:spacing w:line="360" w:lineRule="auto"/>
        <w:ind w:firstLine="420" w:firstLineChars="200"/>
        <w:rPr>
          <w:rFonts w:hint="eastAsia" w:ascii="宋体" w:hAnsi="宋体" w:cs="仿宋"/>
          <w:szCs w:val="21"/>
          <w:highlight w:val="none"/>
        </w:rPr>
      </w:pPr>
      <w:r>
        <w:rPr>
          <w:rFonts w:hint="eastAsia" w:ascii="宋体" w:hAnsi="宋体" w:cs="仿宋"/>
          <w:szCs w:val="21"/>
          <w:highlight w:val="none"/>
        </w:rPr>
        <w:t>本项目位于花都区花山镇城区，</w:t>
      </w:r>
      <w:r>
        <w:rPr>
          <w:rFonts w:hint="eastAsia" w:cs="Times New Roman"/>
          <w:color w:val="auto"/>
          <w:highlight w:val="none"/>
          <w:lang w:val="en-US" w:eastAsia="zh-CN"/>
        </w:rPr>
        <w:t>本项目包含1条改造道路及2条新建道路，其中花山大道为改造道路，道路等级为城市次干路，设计速度30公里/小时；流溪河南路及厂区支路为新建道路，道路等级为城市支路，限速20公里/小时；3条道路总长度约1.7公里</w:t>
      </w:r>
      <w:r>
        <w:rPr>
          <w:rFonts w:hint="eastAsia" w:ascii="宋体" w:hAnsi="宋体" w:eastAsia="宋体" w:cs="宋体"/>
          <w:color w:val="auto"/>
          <w:szCs w:val="21"/>
          <w:highlight w:val="none"/>
          <w:u w:val="none"/>
          <w:lang w:val="en-US" w:eastAsia="zh-CN"/>
        </w:rPr>
        <w:t>；新建DN500～</w:t>
      </w:r>
      <w:r>
        <w:rPr>
          <w:rFonts w:hint="eastAsia" w:ascii="宋体" w:hAnsi="宋体" w:eastAsia="宋体" w:cs="宋体"/>
          <w:color w:val="auto"/>
          <w:sz w:val="21"/>
          <w:szCs w:val="21"/>
          <w:highlight w:val="none"/>
          <w:u w:val="none"/>
        </w:rPr>
        <w:t>DN1</w:t>
      </w:r>
      <w:r>
        <w:rPr>
          <w:rFonts w:hint="eastAsia" w:ascii="宋体" w:hAnsi="宋体" w:eastAsia="宋体" w:cs="宋体"/>
          <w:color w:val="auto"/>
          <w:sz w:val="21"/>
          <w:szCs w:val="21"/>
          <w:highlight w:val="none"/>
          <w:u w:val="none"/>
          <w:lang w:val="en-US" w:eastAsia="zh-CN"/>
        </w:rPr>
        <w:t>0</w:t>
      </w:r>
      <w:r>
        <w:rPr>
          <w:rFonts w:hint="eastAsia" w:ascii="宋体" w:hAnsi="宋体" w:eastAsia="宋体" w:cs="宋体"/>
          <w:color w:val="auto"/>
          <w:sz w:val="21"/>
          <w:szCs w:val="21"/>
          <w:highlight w:val="none"/>
          <w:u w:val="none"/>
        </w:rPr>
        <w:t>00</w:t>
      </w:r>
      <w:r>
        <w:rPr>
          <w:rFonts w:hint="eastAsia" w:ascii="宋体" w:hAnsi="宋体" w:eastAsia="宋体" w:cs="宋体"/>
          <w:color w:val="auto"/>
          <w:sz w:val="21"/>
          <w:szCs w:val="21"/>
          <w:highlight w:val="none"/>
          <w:u w:val="none"/>
          <w:lang w:val="en-US" w:eastAsia="zh-CN"/>
        </w:rPr>
        <w:t>排</w:t>
      </w:r>
      <w:r>
        <w:rPr>
          <w:rFonts w:hint="eastAsia" w:ascii="宋体" w:hAnsi="宋体" w:eastAsia="宋体" w:cs="宋体"/>
          <w:color w:val="auto"/>
          <w:szCs w:val="21"/>
          <w:highlight w:val="none"/>
          <w:u w:val="none"/>
          <w:lang w:val="en-US" w:eastAsia="zh-CN"/>
        </w:rPr>
        <w:t>水管，新建DN300给水管</w:t>
      </w:r>
      <w:r>
        <w:rPr>
          <w:rFonts w:hint="eastAsia" w:ascii="宋体" w:hAnsi="宋体" w:cs="仿宋"/>
          <w:szCs w:val="21"/>
          <w:highlight w:val="none"/>
          <w:lang w:val="en-US" w:eastAsia="zh-CN"/>
        </w:rPr>
        <w:t>。</w:t>
      </w:r>
      <w:r>
        <w:rPr>
          <w:rFonts w:hint="eastAsia" w:cs="Times New Roman"/>
          <w:color w:val="auto"/>
          <w:highlight w:val="none"/>
          <w:lang w:val="en-US" w:eastAsia="zh-CN"/>
        </w:rPr>
        <w:t>建设内容包含道路工程、给排水工程、涵洞工程、交通设施工程、照明工程、电力通信及其他附属工程等</w:t>
      </w:r>
      <w:r>
        <w:rPr>
          <w:rFonts w:hint="eastAsia" w:ascii="宋体" w:hAnsi="宋体" w:cs="仿宋"/>
          <w:szCs w:val="21"/>
          <w:highlight w:val="none"/>
        </w:rPr>
        <w:t>。</w:t>
      </w:r>
    </w:p>
    <w:p w14:paraId="22B86504">
      <w:pPr>
        <w:spacing w:line="360" w:lineRule="auto"/>
        <w:jc w:val="center"/>
        <w:rPr>
          <w:rFonts w:hint="eastAsia" w:ascii="仿宋" w:hAnsi="仿宋" w:eastAsia="仿宋" w:cs="仿宋"/>
          <w:sz w:val="24"/>
          <w:highlight w:val="none"/>
        </w:rPr>
      </w:pPr>
      <w:bookmarkStart w:id="508" w:name="OLE_LINK133"/>
      <w:bookmarkStart w:id="509" w:name="OLE_LINK132"/>
      <w:r>
        <w:rPr>
          <w:rFonts w:ascii="仿宋" w:hAnsi="仿宋" w:eastAsia="仿宋" w:cs="仿宋"/>
          <w:sz w:val="24"/>
          <w:highlight w:val="none"/>
        </w:rPr>
        <w:drawing>
          <wp:inline distT="0" distB="0" distL="114300" distR="114300">
            <wp:extent cx="5401310" cy="3700145"/>
            <wp:effectExtent l="0" t="0" r="8890" b="14605"/>
            <wp:docPr id="3" name="图片 1" descr="02 规划路网设计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02 规划路网设计图"/>
                    <pic:cNvPicPr>
                      <a:picLocks noChangeAspect="1"/>
                    </pic:cNvPicPr>
                  </pic:nvPicPr>
                  <pic:blipFill>
                    <a:blip r:embed="rId10"/>
                    <a:srcRect l="9853" t="6953" r="4926" b="10315"/>
                    <a:stretch>
                      <a:fillRect/>
                    </a:stretch>
                  </pic:blipFill>
                  <pic:spPr>
                    <a:xfrm>
                      <a:off x="0" y="0"/>
                      <a:ext cx="5401310" cy="3700145"/>
                    </a:xfrm>
                    <a:prstGeom prst="rect">
                      <a:avLst/>
                    </a:prstGeom>
                    <a:noFill/>
                    <a:ln>
                      <a:noFill/>
                    </a:ln>
                  </pic:spPr>
                </pic:pic>
              </a:graphicData>
            </a:graphic>
          </wp:inline>
        </w:drawing>
      </w:r>
      <w:bookmarkEnd w:id="508"/>
      <w:bookmarkEnd w:id="509"/>
    </w:p>
    <w:p w14:paraId="5BB9625E">
      <w:pPr>
        <w:snapToGrid w:val="0"/>
        <w:spacing w:line="360" w:lineRule="auto"/>
        <w:jc w:val="center"/>
        <w:rPr>
          <w:rFonts w:hint="eastAsia" w:ascii="仿宋" w:hAnsi="仿宋" w:eastAsia="仿宋" w:cs="仿宋"/>
          <w:sz w:val="24"/>
          <w:highlight w:val="none"/>
        </w:rPr>
      </w:pPr>
      <w:r>
        <w:rPr>
          <w:rFonts w:hint="eastAsia" w:ascii="仿宋" w:hAnsi="仿宋" w:eastAsia="仿宋" w:cs="仿宋"/>
          <w:b/>
          <w:bCs/>
          <w:sz w:val="24"/>
          <w:highlight w:val="none"/>
        </w:rPr>
        <w:t>项目总平面图</w:t>
      </w:r>
    </w:p>
    <w:p w14:paraId="3E4033DC">
      <w:pPr>
        <w:pStyle w:val="121"/>
        <w:spacing w:line="360" w:lineRule="auto"/>
        <w:ind w:left="0" w:firstLine="422" w:firstLineChars="200"/>
        <w:jc w:val="left"/>
        <w:rPr>
          <w:rFonts w:hint="eastAsia" w:ascii="宋体" w:hAnsi="宋体" w:eastAsia="宋体" w:cstheme="minorEastAsia"/>
          <w:b/>
          <w:bCs/>
          <w:sz w:val="21"/>
          <w:szCs w:val="21"/>
          <w:highlight w:val="none"/>
        </w:rPr>
      </w:pPr>
      <w:r>
        <w:rPr>
          <w:rFonts w:hint="eastAsia" w:ascii="宋体" w:hAnsi="宋体" w:eastAsia="宋体" w:cstheme="minorEastAsia"/>
          <w:b/>
          <w:bCs/>
          <w:sz w:val="21"/>
          <w:szCs w:val="21"/>
          <w:highlight w:val="none"/>
        </w:rPr>
        <w:t>（</w:t>
      </w:r>
      <w:r>
        <w:rPr>
          <w:rFonts w:hint="eastAsia" w:ascii="宋体" w:hAnsi="宋体" w:eastAsia="宋体" w:cstheme="minorEastAsia"/>
          <w:b/>
          <w:bCs/>
          <w:sz w:val="21"/>
          <w:szCs w:val="21"/>
          <w:highlight w:val="none"/>
          <w:lang w:val="en-US" w:eastAsia="zh-CN"/>
        </w:rPr>
        <w:t>四</w:t>
      </w:r>
      <w:r>
        <w:rPr>
          <w:rFonts w:hint="eastAsia" w:ascii="宋体" w:hAnsi="宋体" w:eastAsia="宋体" w:cstheme="minorEastAsia"/>
          <w:b/>
          <w:bCs/>
          <w:sz w:val="21"/>
          <w:szCs w:val="21"/>
          <w:highlight w:val="none"/>
        </w:rPr>
        <w:t>）设计依据</w:t>
      </w:r>
    </w:p>
    <w:p w14:paraId="7BCB2DFD">
      <w:pPr>
        <w:pStyle w:val="122"/>
        <w:numPr>
          <w:ilvl w:val="0"/>
          <w:numId w:val="3"/>
        </w:numPr>
        <w:spacing w:line="360" w:lineRule="auto"/>
        <w:ind w:firstLine="420" w:firstLineChars="200"/>
        <w:rPr>
          <w:rFonts w:hint="eastAsia" w:ascii="宋体" w:hAnsi="宋体" w:cs="仿宋"/>
          <w:szCs w:val="21"/>
          <w:highlight w:val="none"/>
          <w:lang w:val="en-US"/>
        </w:rPr>
      </w:pPr>
      <w:r>
        <w:rPr>
          <w:rFonts w:hint="eastAsia" w:ascii="宋体" w:hAnsi="宋体" w:cs="仿宋"/>
          <w:szCs w:val="21"/>
          <w:highlight w:val="none"/>
          <w:lang w:val="en-US"/>
        </w:rPr>
        <w:t>本区域的控制性详细规划</w:t>
      </w:r>
    </w:p>
    <w:p w14:paraId="0F1F1637">
      <w:pPr>
        <w:pStyle w:val="122"/>
        <w:numPr>
          <w:ilvl w:val="0"/>
          <w:numId w:val="3"/>
        </w:numPr>
        <w:spacing w:line="360" w:lineRule="auto"/>
        <w:ind w:firstLine="420" w:firstLineChars="200"/>
        <w:rPr>
          <w:rFonts w:hint="eastAsia" w:ascii="宋体" w:hAnsi="宋体" w:cs="仿宋"/>
          <w:szCs w:val="21"/>
          <w:highlight w:val="none"/>
          <w:lang w:val="en-US"/>
        </w:rPr>
      </w:pPr>
      <w:r>
        <w:rPr>
          <w:rFonts w:hint="eastAsia" w:ascii="宋体" w:hAnsi="宋体" w:cs="仿宋"/>
          <w:szCs w:val="21"/>
          <w:highlight w:val="none"/>
          <w:lang w:val="en-US"/>
        </w:rPr>
        <w:t>《广州市城市总体规划（2017-2035 年）》；</w:t>
      </w:r>
    </w:p>
    <w:p w14:paraId="6C098186">
      <w:pPr>
        <w:pStyle w:val="122"/>
        <w:numPr>
          <w:ilvl w:val="0"/>
          <w:numId w:val="3"/>
        </w:numPr>
        <w:spacing w:line="360" w:lineRule="auto"/>
        <w:ind w:firstLine="420" w:firstLineChars="200"/>
        <w:rPr>
          <w:rFonts w:hint="eastAsia" w:ascii="宋体" w:hAnsi="宋体" w:cs="仿宋"/>
          <w:szCs w:val="21"/>
          <w:highlight w:val="none"/>
          <w:lang w:val="en-US"/>
        </w:rPr>
      </w:pPr>
      <w:r>
        <w:rPr>
          <w:rFonts w:hint="eastAsia" w:ascii="宋体" w:hAnsi="宋体" w:cs="仿宋"/>
          <w:szCs w:val="21"/>
          <w:highlight w:val="none"/>
          <w:lang w:val="en-US"/>
        </w:rPr>
        <w:t>《广州市花都区国土空间总体规划（2021-2035年）》；</w:t>
      </w:r>
    </w:p>
    <w:p w14:paraId="46A33A34">
      <w:pPr>
        <w:pStyle w:val="122"/>
        <w:numPr>
          <w:ilvl w:val="0"/>
          <w:numId w:val="3"/>
        </w:numPr>
        <w:spacing w:line="360" w:lineRule="auto"/>
        <w:ind w:firstLine="420" w:firstLineChars="200"/>
        <w:rPr>
          <w:rFonts w:hint="eastAsia" w:ascii="宋体" w:hAnsi="宋体" w:cs="仿宋"/>
          <w:szCs w:val="21"/>
          <w:highlight w:val="none"/>
          <w:lang w:val="en-US"/>
        </w:rPr>
      </w:pPr>
      <w:r>
        <w:rPr>
          <w:rFonts w:hint="eastAsia" w:ascii="宋体" w:hAnsi="宋体" w:cs="仿宋"/>
          <w:szCs w:val="21"/>
          <w:highlight w:val="none"/>
          <w:lang w:val="en-US"/>
        </w:rPr>
        <w:t>《2023年广州市国民经济和社会发展统计公报》（2023年12月）；</w:t>
      </w:r>
    </w:p>
    <w:p w14:paraId="199362DA">
      <w:pPr>
        <w:pStyle w:val="122"/>
        <w:numPr>
          <w:ilvl w:val="0"/>
          <w:numId w:val="3"/>
        </w:numPr>
        <w:spacing w:line="360" w:lineRule="auto"/>
        <w:ind w:firstLine="420" w:firstLineChars="200"/>
        <w:rPr>
          <w:rFonts w:hint="eastAsia" w:ascii="宋体" w:hAnsi="宋体" w:cs="仿宋"/>
          <w:szCs w:val="21"/>
          <w:highlight w:val="none"/>
          <w:lang w:val="en-US"/>
        </w:rPr>
      </w:pPr>
      <w:r>
        <w:rPr>
          <w:rFonts w:hint="eastAsia" w:ascii="宋体" w:hAnsi="宋体" w:cs="仿宋"/>
          <w:szCs w:val="21"/>
          <w:highlight w:val="none"/>
          <w:lang w:val="en-US"/>
        </w:rPr>
        <w:t>《2024年花都统计月报》（2024年1-5月）；</w:t>
      </w:r>
    </w:p>
    <w:p w14:paraId="7E51A7EE">
      <w:pPr>
        <w:pStyle w:val="122"/>
        <w:numPr>
          <w:ilvl w:val="0"/>
          <w:numId w:val="3"/>
        </w:numPr>
        <w:spacing w:line="360" w:lineRule="auto"/>
        <w:ind w:firstLine="420" w:firstLineChars="200"/>
        <w:rPr>
          <w:rFonts w:hint="eastAsia" w:ascii="宋体" w:hAnsi="宋体" w:cs="仿宋"/>
          <w:szCs w:val="21"/>
          <w:highlight w:val="none"/>
          <w:lang w:val="en-US"/>
        </w:rPr>
      </w:pPr>
      <w:r>
        <w:rPr>
          <w:rFonts w:hint="eastAsia" w:ascii="宋体" w:hAnsi="宋体" w:cs="仿宋"/>
          <w:szCs w:val="21"/>
          <w:highlight w:val="none"/>
          <w:lang w:val="en-US"/>
        </w:rPr>
        <w:t>《广州市花都区国民经济和社会发展第一四个五年规划和2035年远景目标纲要》；</w:t>
      </w:r>
    </w:p>
    <w:p w14:paraId="502F2E7E">
      <w:pPr>
        <w:pStyle w:val="122"/>
        <w:numPr>
          <w:ilvl w:val="0"/>
          <w:numId w:val="3"/>
        </w:numPr>
        <w:spacing w:line="360" w:lineRule="auto"/>
        <w:ind w:firstLine="420" w:firstLineChars="200"/>
        <w:rPr>
          <w:rFonts w:hint="eastAsia" w:ascii="宋体" w:hAnsi="宋体" w:cs="仿宋"/>
          <w:szCs w:val="21"/>
          <w:highlight w:val="none"/>
          <w:lang w:val="en-US"/>
        </w:rPr>
      </w:pPr>
      <w:r>
        <w:rPr>
          <w:rFonts w:hint="eastAsia" w:ascii="宋体" w:hAnsi="宋体" w:cs="仿宋"/>
          <w:szCs w:val="21"/>
          <w:highlight w:val="none"/>
          <w:lang w:val="en-US"/>
        </w:rPr>
        <w:t>交通部、住建部颁发的有关标准、规范、规程及其他有关规定等，主要有：</w:t>
      </w:r>
    </w:p>
    <w:p w14:paraId="6A4C2AF9">
      <w:pPr>
        <w:pStyle w:val="122"/>
        <w:numPr>
          <w:ilvl w:val="0"/>
          <w:numId w:val="4"/>
        </w:numPr>
        <w:spacing w:line="360" w:lineRule="auto"/>
        <w:ind w:left="0" w:firstLine="420" w:firstLineChars="200"/>
        <w:rPr>
          <w:rFonts w:hint="eastAsia" w:ascii="宋体" w:hAnsi="宋体" w:cs="仿宋"/>
          <w:szCs w:val="21"/>
          <w:highlight w:val="none"/>
        </w:rPr>
      </w:pPr>
      <w:r>
        <w:rPr>
          <w:rFonts w:hint="eastAsia" w:ascii="宋体" w:hAnsi="宋体" w:cs="仿宋"/>
          <w:szCs w:val="21"/>
          <w:highlight w:val="none"/>
        </w:rPr>
        <w:t>《城市道路工程设计规范》（CJJ37-2012）（2016 年版）；</w:t>
      </w:r>
    </w:p>
    <w:p w14:paraId="511123D6">
      <w:pPr>
        <w:pStyle w:val="122"/>
        <w:numPr>
          <w:ilvl w:val="0"/>
          <w:numId w:val="4"/>
        </w:numPr>
        <w:spacing w:line="360" w:lineRule="auto"/>
        <w:ind w:left="0" w:firstLine="420" w:firstLineChars="200"/>
        <w:rPr>
          <w:rFonts w:hint="eastAsia" w:ascii="宋体" w:hAnsi="宋体" w:cs="仿宋"/>
          <w:szCs w:val="21"/>
          <w:highlight w:val="none"/>
        </w:rPr>
      </w:pPr>
      <w:r>
        <w:rPr>
          <w:rFonts w:hint="eastAsia" w:ascii="宋体" w:hAnsi="宋体" w:cs="仿宋"/>
          <w:szCs w:val="21"/>
          <w:highlight w:val="none"/>
        </w:rPr>
        <w:t>《城市道路路线设计规范》(CJJ193-201</w:t>
      </w:r>
      <w:r>
        <w:rPr>
          <w:rFonts w:hint="eastAsia" w:ascii="宋体" w:hAnsi="宋体" w:cs="仿宋"/>
          <w:szCs w:val="21"/>
          <w:highlight w:val="none"/>
          <w:lang w:val="en-US"/>
        </w:rPr>
        <w:t>2</w:t>
      </w:r>
      <w:r>
        <w:rPr>
          <w:rFonts w:hint="eastAsia" w:ascii="宋体" w:hAnsi="宋体" w:cs="仿宋"/>
          <w:szCs w:val="21"/>
          <w:highlight w:val="none"/>
        </w:rPr>
        <w:t>)；</w:t>
      </w:r>
    </w:p>
    <w:p w14:paraId="1CCD2EC2">
      <w:pPr>
        <w:pStyle w:val="122"/>
        <w:numPr>
          <w:ilvl w:val="0"/>
          <w:numId w:val="4"/>
        </w:numPr>
        <w:spacing w:line="360" w:lineRule="auto"/>
        <w:ind w:left="0" w:firstLine="420" w:firstLineChars="200"/>
        <w:rPr>
          <w:rFonts w:hint="eastAsia" w:ascii="宋体" w:hAnsi="宋体" w:cs="仿宋"/>
          <w:szCs w:val="21"/>
          <w:highlight w:val="none"/>
        </w:rPr>
      </w:pPr>
      <w:r>
        <w:rPr>
          <w:rFonts w:hint="eastAsia" w:ascii="宋体" w:hAnsi="宋体" w:cs="仿宋"/>
          <w:szCs w:val="21"/>
          <w:highlight w:val="none"/>
        </w:rPr>
        <w:t>《城镇道路路面设计规范》（CJJ169-2012）；</w:t>
      </w:r>
    </w:p>
    <w:p w14:paraId="6051C7C4">
      <w:pPr>
        <w:pStyle w:val="122"/>
        <w:numPr>
          <w:ilvl w:val="0"/>
          <w:numId w:val="4"/>
        </w:numPr>
        <w:spacing w:line="360" w:lineRule="auto"/>
        <w:ind w:left="0" w:firstLine="420" w:firstLineChars="200"/>
        <w:rPr>
          <w:rFonts w:hint="eastAsia" w:ascii="宋体" w:hAnsi="宋体" w:cs="仿宋"/>
          <w:szCs w:val="21"/>
          <w:highlight w:val="none"/>
        </w:rPr>
      </w:pPr>
      <w:r>
        <w:rPr>
          <w:rFonts w:hint="eastAsia" w:ascii="宋体" w:hAnsi="宋体" w:cs="仿宋"/>
          <w:szCs w:val="21"/>
          <w:highlight w:val="none"/>
        </w:rPr>
        <w:t>《城市道路路基设计规范》（CJJ194-2013）；</w:t>
      </w:r>
    </w:p>
    <w:p w14:paraId="68399DB3">
      <w:pPr>
        <w:pStyle w:val="122"/>
        <w:numPr>
          <w:ilvl w:val="0"/>
          <w:numId w:val="4"/>
        </w:numPr>
        <w:spacing w:line="360" w:lineRule="auto"/>
        <w:ind w:left="0" w:firstLine="420" w:firstLineChars="200"/>
        <w:rPr>
          <w:rFonts w:hint="eastAsia" w:ascii="宋体" w:hAnsi="宋体" w:cs="仿宋"/>
          <w:szCs w:val="21"/>
          <w:highlight w:val="none"/>
        </w:rPr>
      </w:pPr>
      <w:r>
        <w:rPr>
          <w:rFonts w:hint="eastAsia" w:ascii="宋体" w:hAnsi="宋体" w:cs="仿宋"/>
          <w:szCs w:val="21"/>
          <w:highlight w:val="none"/>
        </w:rPr>
        <w:t>《城市道路交叉口设计规程》（CJJ152-2010）；</w:t>
      </w:r>
    </w:p>
    <w:p w14:paraId="0A7C2FC5">
      <w:pPr>
        <w:pStyle w:val="122"/>
        <w:numPr>
          <w:ilvl w:val="0"/>
          <w:numId w:val="4"/>
        </w:numPr>
        <w:spacing w:line="360" w:lineRule="auto"/>
        <w:ind w:left="0" w:firstLine="420" w:firstLineChars="200"/>
        <w:rPr>
          <w:rFonts w:hint="eastAsia" w:ascii="宋体" w:hAnsi="宋体" w:cs="仿宋"/>
          <w:szCs w:val="21"/>
          <w:highlight w:val="none"/>
        </w:rPr>
      </w:pPr>
      <w:r>
        <w:rPr>
          <w:rFonts w:hint="eastAsia" w:ascii="宋体" w:hAnsi="宋体" w:cs="仿宋"/>
          <w:szCs w:val="21"/>
          <w:highlight w:val="none"/>
        </w:rPr>
        <w:t>《城镇道路工程施工</w:t>
      </w:r>
      <w:r>
        <w:rPr>
          <w:rFonts w:hint="eastAsia" w:ascii="宋体" w:hAnsi="宋体" w:cs="仿宋"/>
          <w:szCs w:val="21"/>
          <w:highlight w:val="none"/>
          <w:lang w:val="en-US"/>
        </w:rPr>
        <w:t>与</w:t>
      </w:r>
      <w:r>
        <w:rPr>
          <w:rFonts w:hint="eastAsia" w:ascii="宋体" w:hAnsi="宋体" w:cs="仿宋"/>
          <w:szCs w:val="21"/>
          <w:highlight w:val="none"/>
        </w:rPr>
        <w:t>质量验收规范》（CJJ1-2008）；</w:t>
      </w:r>
    </w:p>
    <w:p w14:paraId="48969FA8">
      <w:pPr>
        <w:pStyle w:val="122"/>
        <w:numPr>
          <w:ilvl w:val="0"/>
          <w:numId w:val="4"/>
        </w:numPr>
        <w:spacing w:line="360" w:lineRule="auto"/>
        <w:ind w:left="0" w:firstLine="420" w:firstLineChars="200"/>
        <w:rPr>
          <w:rFonts w:hint="eastAsia" w:ascii="宋体" w:hAnsi="宋体" w:cs="仿宋"/>
          <w:szCs w:val="21"/>
          <w:highlight w:val="none"/>
        </w:rPr>
      </w:pPr>
      <w:r>
        <w:rPr>
          <w:rFonts w:hint="eastAsia" w:ascii="宋体" w:hAnsi="宋体" w:cs="仿宋"/>
          <w:szCs w:val="21"/>
          <w:highlight w:val="none"/>
        </w:rPr>
        <w:t>《城市桥梁设计规范（</w:t>
      </w:r>
      <w:r>
        <w:rPr>
          <w:rFonts w:hint="eastAsia" w:ascii="宋体" w:hAnsi="宋体" w:cs="仿宋"/>
          <w:szCs w:val="21"/>
          <w:highlight w:val="none"/>
          <w:lang w:val="en-US"/>
        </w:rPr>
        <w:t>2019年版）</w:t>
      </w:r>
      <w:r>
        <w:rPr>
          <w:rFonts w:hint="eastAsia" w:ascii="宋体" w:hAnsi="宋体" w:cs="仿宋"/>
          <w:szCs w:val="21"/>
          <w:highlight w:val="none"/>
        </w:rPr>
        <w:t>》（CJJ11-2011）；</w:t>
      </w:r>
    </w:p>
    <w:p w14:paraId="70C40800">
      <w:pPr>
        <w:pStyle w:val="122"/>
        <w:numPr>
          <w:ilvl w:val="0"/>
          <w:numId w:val="4"/>
        </w:numPr>
        <w:spacing w:line="360" w:lineRule="auto"/>
        <w:ind w:left="0" w:firstLine="420" w:firstLineChars="200"/>
        <w:rPr>
          <w:rFonts w:hint="eastAsia" w:ascii="宋体" w:hAnsi="宋体" w:cs="仿宋"/>
          <w:szCs w:val="21"/>
          <w:highlight w:val="none"/>
        </w:rPr>
      </w:pPr>
      <w:r>
        <w:rPr>
          <w:rFonts w:hint="eastAsia" w:ascii="宋体" w:hAnsi="宋体" w:cs="仿宋"/>
          <w:szCs w:val="21"/>
          <w:highlight w:val="none"/>
        </w:rPr>
        <w:t>《道路交通标志和标线》（GB5768.1-2009）、（GB5768.2-20</w:t>
      </w:r>
      <w:r>
        <w:rPr>
          <w:rFonts w:hint="eastAsia" w:ascii="宋体" w:hAnsi="宋体" w:cs="仿宋"/>
          <w:szCs w:val="21"/>
          <w:highlight w:val="none"/>
          <w:lang w:val="en-US"/>
        </w:rPr>
        <w:t>22</w:t>
      </w:r>
      <w:r>
        <w:rPr>
          <w:rFonts w:hint="eastAsia" w:ascii="宋体" w:hAnsi="宋体" w:cs="仿宋"/>
          <w:szCs w:val="21"/>
          <w:highlight w:val="none"/>
        </w:rPr>
        <w:t>）、（GB5768.3-2009）；</w:t>
      </w:r>
    </w:p>
    <w:p w14:paraId="677F853E">
      <w:pPr>
        <w:pStyle w:val="122"/>
        <w:numPr>
          <w:ilvl w:val="0"/>
          <w:numId w:val="4"/>
        </w:numPr>
        <w:spacing w:line="360" w:lineRule="auto"/>
        <w:ind w:left="0" w:firstLine="420" w:firstLineChars="200"/>
        <w:rPr>
          <w:rFonts w:hint="eastAsia" w:ascii="宋体" w:hAnsi="宋体" w:cs="仿宋"/>
          <w:szCs w:val="21"/>
          <w:highlight w:val="none"/>
        </w:rPr>
      </w:pPr>
      <w:r>
        <w:rPr>
          <w:rFonts w:hint="eastAsia" w:ascii="宋体" w:hAnsi="宋体" w:cs="仿宋"/>
          <w:szCs w:val="21"/>
          <w:highlight w:val="none"/>
        </w:rPr>
        <w:t>《城市道路交通设施设计规范（2019年板）》（GB50688-2011）；</w:t>
      </w:r>
    </w:p>
    <w:p w14:paraId="40A428DF">
      <w:pPr>
        <w:pStyle w:val="122"/>
        <w:spacing w:line="360" w:lineRule="auto"/>
        <w:ind w:left="420" w:leftChars="200"/>
        <w:rPr>
          <w:rFonts w:hint="eastAsia" w:ascii="宋体" w:hAnsi="宋体" w:cs="仿宋"/>
          <w:szCs w:val="21"/>
          <w:highlight w:val="none"/>
        </w:rPr>
      </w:pPr>
      <w:r>
        <w:rPr>
          <w:rFonts w:hint="eastAsia" w:ascii="宋体" w:hAnsi="宋体" w:cs="仿宋"/>
          <w:szCs w:val="21"/>
          <w:highlight w:val="none"/>
          <w:lang w:val="en-US"/>
        </w:rPr>
        <w:t>10）</w:t>
      </w:r>
      <w:r>
        <w:rPr>
          <w:rFonts w:hint="eastAsia" w:ascii="宋体" w:hAnsi="宋体" w:cs="仿宋"/>
          <w:szCs w:val="21"/>
          <w:highlight w:val="none"/>
        </w:rPr>
        <w:t>《城市道路交通标志和标线设置规范》（GB51038-2015）；</w:t>
      </w:r>
    </w:p>
    <w:p w14:paraId="72E2C408">
      <w:pPr>
        <w:pStyle w:val="122"/>
        <w:spacing w:line="360" w:lineRule="auto"/>
        <w:ind w:left="420" w:leftChars="200"/>
        <w:rPr>
          <w:rFonts w:hint="eastAsia" w:ascii="宋体" w:hAnsi="宋体" w:cs="仿宋"/>
          <w:szCs w:val="21"/>
          <w:highlight w:val="none"/>
        </w:rPr>
      </w:pPr>
      <w:r>
        <w:rPr>
          <w:rFonts w:hint="eastAsia" w:ascii="宋体" w:hAnsi="宋体" w:cs="仿宋"/>
          <w:szCs w:val="21"/>
          <w:highlight w:val="none"/>
          <w:lang w:val="en-US"/>
        </w:rPr>
        <w:t>11）</w:t>
      </w:r>
      <w:r>
        <w:rPr>
          <w:rFonts w:hint="eastAsia" w:ascii="宋体" w:hAnsi="宋体" w:cs="仿宋"/>
          <w:szCs w:val="21"/>
          <w:highlight w:val="none"/>
        </w:rPr>
        <w:t>《无障碍设计规范》（GB50763-2012）；</w:t>
      </w:r>
    </w:p>
    <w:p w14:paraId="6ED81FFB">
      <w:pPr>
        <w:pStyle w:val="122"/>
        <w:spacing w:line="360" w:lineRule="auto"/>
        <w:ind w:left="420" w:leftChars="200"/>
        <w:rPr>
          <w:rFonts w:hint="eastAsia" w:ascii="宋体" w:hAnsi="宋体" w:cs="仿宋"/>
          <w:szCs w:val="21"/>
          <w:highlight w:val="none"/>
        </w:rPr>
      </w:pPr>
      <w:r>
        <w:rPr>
          <w:rFonts w:hint="eastAsia" w:ascii="宋体" w:hAnsi="宋体" w:cs="仿宋"/>
          <w:szCs w:val="21"/>
          <w:highlight w:val="none"/>
          <w:lang w:val="en-US"/>
        </w:rPr>
        <w:t>12）</w:t>
      </w:r>
      <w:r>
        <w:rPr>
          <w:rFonts w:hint="eastAsia" w:ascii="宋体" w:hAnsi="宋体" w:cs="仿宋"/>
          <w:szCs w:val="21"/>
          <w:highlight w:val="none"/>
        </w:rPr>
        <w:t>《公路水泥混凝土路面设计规范》（JTG D40－2011）；</w:t>
      </w:r>
    </w:p>
    <w:p w14:paraId="0E07B925">
      <w:pPr>
        <w:pStyle w:val="122"/>
        <w:spacing w:line="360" w:lineRule="auto"/>
        <w:ind w:left="420" w:leftChars="200"/>
        <w:rPr>
          <w:rFonts w:hint="eastAsia" w:ascii="宋体" w:hAnsi="宋体" w:cs="仿宋"/>
          <w:szCs w:val="21"/>
          <w:highlight w:val="none"/>
        </w:rPr>
      </w:pPr>
      <w:r>
        <w:rPr>
          <w:rFonts w:hint="eastAsia" w:ascii="宋体" w:hAnsi="宋体" w:cs="仿宋"/>
          <w:szCs w:val="21"/>
          <w:highlight w:val="none"/>
          <w:lang w:val="en-US"/>
        </w:rPr>
        <w:t>13）</w:t>
      </w:r>
      <w:r>
        <w:rPr>
          <w:rFonts w:hint="eastAsia" w:ascii="宋体" w:hAnsi="宋体" w:cs="仿宋"/>
          <w:szCs w:val="21"/>
          <w:highlight w:val="none"/>
        </w:rPr>
        <w:t>《公路沥青路面设计规范》（JTG D50－2017）；</w:t>
      </w:r>
    </w:p>
    <w:p w14:paraId="75021D44">
      <w:pPr>
        <w:pStyle w:val="122"/>
        <w:numPr>
          <w:ilvl w:val="0"/>
          <w:numId w:val="3"/>
        </w:numPr>
        <w:spacing w:line="360" w:lineRule="auto"/>
        <w:ind w:firstLine="420" w:firstLineChars="200"/>
        <w:rPr>
          <w:rFonts w:hint="eastAsia" w:ascii="宋体" w:hAnsi="宋体" w:cs="仿宋"/>
          <w:szCs w:val="21"/>
          <w:highlight w:val="none"/>
          <w:lang w:val="en-US"/>
        </w:rPr>
      </w:pPr>
      <w:r>
        <w:rPr>
          <w:rFonts w:hint="eastAsia" w:ascii="宋体" w:hAnsi="宋体" w:cs="仿宋"/>
          <w:szCs w:val="21"/>
          <w:highlight w:val="none"/>
          <w:lang w:val="en-US"/>
        </w:rPr>
        <w:t>国家发展改革委、建设部发改投资[2006]1325号发布的《建设项目经济评价方法与参数（第三版）》；</w:t>
      </w:r>
    </w:p>
    <w:p w14:paraId="2D0E128B">
      <w:pPr>
        <w:pStyle w:val="122"/>
        <w:numPr>
          <w:ilvl w:val="0"/>
          <w:numId w:val="3"/>
        </w:numPr>
        <w:spacing w:line="360" w:lineRule="auto"/>
        <w:ind w:firstLine="420" w:firstLineChars="200"/>
        <w:rPr>
          <w:rFonts w:hint="eastAsia" w:ascii="宋体" w:hAnsi="宋体" w:cs="仿宋"/>
          <w:szCs w:val="21"/>
          <w:highlight w:val="none"/>
          <w:lang w:val="en-US"/>
        </w:rPr>
      </w:pPr>
      <w:r>
        <w:rPr>
          <w:rFonts w:hint="eastAsia" w:ascii="宋体" w:hAnsi="宋体" w:cs="仿宋"/>
          <w:szCs w:val="21"/>
          <w:highlight w:val="none"/>
          <w:lang w:val="en-US"/>
        </w:rPr>
        <w:t>《广州市本级政府投资项目估算编制指引（市政交通项目）》 广州市发展和改革委员会；</w:t>
      </w:r>
    </w:p>
    <w:p w14:paraId="4F8078D7">
      <w:pPr>
        <w:pStyle w:val="122"/>
        <w:numPr>
          <w:ilvl w:val="0"/>
          <w:numId w:val="3"/>
        </w:numPr>
        <w:spacing w:line="360" w:lineRule="auto"/>
        <w:ind w:firstLine="420" w:firstLineChars="200"/>
        <w:rPr>
          <w:rFonts w:hint="eastAsia" w:ascii="宋体" w:hAnsi="宋体" w:cs="仿宋"/>
          <w:szCs w:val="21"/>
          <w:highlight w:val="none"/>
          <w:lang w:val="en-US"/>
        </w:rPr>
      </w:pPr>
      <w:r>
        <w:rPr>
          <w:rFonts w:hint="eastAsia" w:ascii="宋体" w:hAnsi="宋体" w:cs="仿宋"/>
          <w:szCs w:val="21"/>
          <w:highlight w:val="none"/>
          <w:lang w:val="en-US"/>
        </w:rPr>
        <w:t>建标［2007］164 号《市政工程投资估算编制办法》。</w:t>
      </w:r>
    </w:p>
    <w:p w14:paraId="01565885">
      <w:pPr>
        <w:pStyle w:val="122"/>
        <w:numPr>
          <w:ilvl w:val="0"/>
          <w:numId w:val="3"/>
        </w:numPr>
        <w:spacing w:line="360" w:lineRule="auto"/>
        <w:ind w:firstLine="420" w:firstLineChars="200"/>
        <w:rPr>
          <w:rFonts w:hint="eastAsia" w:ascii="宋体" w:hAnsi="宋体" w:cs="仿宋"/>
          <w:szCs w:val="21"/>
          <w:highlight w:val="none"/>
          <w:lang w:val="en-US"/>
        </w:rPr>
      </w:pPr>
      <w:r>
        <w:rPr>
          <w:rFonts w:hint="eastAsia" w:ascii="宋体" w:hAnsi="宋体" w:cs="仿宋"/>
          <w:szCs w:val="21"/>
          <w:highlight w:val="none"/>
          <w:lang w:val="en-US"/>
        </w:rPr>
        <w:t>交通部2018年第86号公布实施的《公路工程建设项目投资估算编制办法》（JTG 3820-2018）；</w:t>
      </w:r>
    </w:p>
    <w:p w14:paraId="34668E8F">
      <w:pPr>
        <w:pStyle w:val="122"/>
        <w:numPr>
          <w:ilvl w:val="0"/>
          <w:numId w:val="3"/>
        </w:numPr>
        <w:spacing w:line="360" w:lineRule="auto"/>
        <w:ind w:firstLine="420" w:firstLineChars="200"/>
        <w:rPr>
          <w:rFonts w:hint="eastAsia" w:ascii="宋体" w:hAnsi="宋体" w:cs="仿宋"/>
          <w:szCs w:val="21"/>
          <w:highlight w:val="none"/>
          <w:lang w:val="en-US"/>
        </w:rPr>
      </w:pPr>
      <w:r>
        <w:rPr>
          <w:rFonts w:hint="eastAsia" w:ascii="宋体" w:hAnsi="宋体" w:cs="仿宋"/>
          <w:szCs w:val="21"/>
          <w:highlight w:val="none"/>
          <w:lang w:val="en-US"/>
        </w:rPr>
        <w:t>国家发展和改革委员会2023年3月23日发布的《国家发展和改革委关于印发投资项目可行性研究报告编写大纲及说明的通知》（发改投资规﹝2023﹞304号）；</w:t>
      </w:r>
    </w:p>
    <w:p w14:paraId="20647610">
      <w:pPr>
        <w:pStyle w:val="122"/>
        <w:numPr>
          <w:ilvl w:val="0"/>
          <w:numId w:val="3"/>
        </w:numPr>
        <w:spacing w:line="360" w:lineRule="auto"/>
        <w:ind w:firstLine="420" w:firstLineChars="200"/>
        <w:rPr>
          <w:rFonts w:ascii="宋体" w:hAnsi="宋体" w:cs="仿宋"/>
          <w:szCs w:val="21"/>
          <w:highlight w:val="none"/>
          <w:lang w:val="en-US"/>
        </w:rPr>
      </w:pPr>
      <w:r>
        <w:rPr>
          <w:rFonts w:hint="eastAsia" w:ascii="宋体" w:hAnsi="宋体" w:cs="仿宋"/>
          <w:szCs w:val="21"/>
          <w:highlight w:val="none"/>
          <w:lang w:val="en-US"/>
        </w:rPr>
        <w:t>国家、建设部及交通部颁布的有关标准、规范、规程及其它有关规定。</w:t>
      </w:r>
    </w:p>
    <w:p w14:paraId="109E934E">
      <w:pPr>
        <w:pStyle w:val="121"/>
        <w:spacing w:line="360" w:lineRule="auto"/>
        <w:ind w:left="0" w:firstLine="422" w:firstLineChars="200"/>
        <w:jc w:val="left"/>
        <w:rPr>
          <w:rFonts w:hint="eastAsia" w:ascii="宋体" w:hAnsi="宋体" w:eastAsia="宋体" w:cstheme="minorEastAsia"/>
          <w:b/>
          <w:bCs/>
          <w:sz w:val="21"/>
          <w:szCs w:val="21"/>
          <w:highlight w:val="none"/>
        </w:rPr>
      </w:pPr>
      <w:r>
        <w:rPr>
          <w:rFonts w:hint="eastAsia" w:ascii="宋体" w:hAnsi="宋体" w:eastAsia="宋体" w:cstheme="minorEastAsia"/>
          <w:b/>
          <w:bCs/>
          <w:sz w:val="21"/>
          <w:szCs w:val="21"/>
          <w:highlight w:val="none"/>
          <w:lang w:val="en-US" w:eastAsia="zh-CN"/>
        </w:rPr>
        <w:t>2、</w:t>
      </w:r>
      <w:r>
        <w:rPr>
          <w:rFonts w:hint="eastAsia" w:ascii="宋体" w:hAnsi="宋体" w:eastAsia="宋体" w:cstheme="minorEastAsia"/>
          <w:b/>
          <w:bCs/>
          <w:sz w:val="21"/>
          <w:szCs w:val="21"/>
          <w:highlight w:val="none"/>
        </w:rPr>
        <w:t>设计目标及达到效果</w:t>
      </w:r>
    </w:p>
    <w:p w14:paraId="52D87A02">
      <w:pPr>
        <w:spacing w:line="360" w:lineRule="auto"/>
        <w:ind w:firstLine="420" w:firstLineChars="200"/>
        <w:rPr>
          <w:rFonts w:hint="eastAsia" w:ascii="宋体" w:hAnsi="宋体" w:eastAsia="宋体" w:cstheme="minorEastAsia"/>
          <w:szCs w:val="21"/>
          <w:highlight w:val="none"/>
        </w:rPr>
      </w:pPr>
      <w:r>
        <w:rPr>
          <w:rFonts w:hint="eastAsia" w:ascii="宋体" w:hAnsi="宋体" w:eastAsia="宋体" w:cstheme="minorEastAsia"/>
          <w:szCs w:val="21"/>
          <w:highlight w:val="none"/>
        </w:rPr>
        <w:t>（1）设计方案必须满足国家、省和市有关建设方针、政策、规范、规程同时满足技术标准、通行能力的要求，并考虑工程造价、经济效益和社会效益等综合因素。</w:t>
      </w:r>
    </w:p>
    <w:p w14:paraId="4EC1D173">
      <w:pPr>
        <w:spacing w:line="360" w:lineRule="auto"/>
        <w:ind w:firstLine="420" w:firstLineChars="200"/>
        <w:rPr>
          <w:rFonts w:hint="eastAsia" w:ascii="宋体" w:hAnsi="宋体" w:eastAsia="宋体" w:cstheme="minorEastAsia"/>
          <w:szCs w:val="21"/>
          <w:highlight w:val="none"/>
        </w:rPr>
      </w:pPr>
      <w:r>
        <w:rPr>
          <w:rFonts w:hint="eastAsia" w:ascii="宋体" w:hAnsi="宋体" w:eastAsia="宋体" w:cstheme="minorEastAsia"/>
          <w:szCs w:val="21"/>
          <w:highlight w:val="none"/>
        </w:rPr>
        <w:t>（2）设计方案能正确理解并执行建设意图，与周边路网、管网规划协调一致，交通组织完善合理，总体思路清晰，路线平、纵、横等设计科学合理；充分体现丘陵山地的特点，道路、排水之间的关系处理得当。</w:t>
      </w:r>
    </w:p>
    <w:p w14:paraId="0AE5F8CA">
      <w:pPr>
        <w:spacing w:line="360" w:lineRule="auto"/>
        <w:ind w:firstLine="420" w:firstLineChars="200"/>
        <w:rPr>
          <w:rFonts w:hint="eastAsia" w:ascii="宋体" w:hAnsi="宋体" w:eastAsia="宋体" w:cstheme="minorEastAsia"/>
          <w:szCs w:val="21"/>
          <w:highlight w:val="none"/>
        </w:rPr>
      </w:pPr>
      <w:r>
        <w:rPr>
          <w:rFonts w:hint="eastAsia" w:ascii="宋体" w:hAnsi="宋体" w:eastAsia="宋体" w:cstheme="minorEastAsia"/>
          <w:szCs w:val="21"/>
          <w:highlight w:val="none"/>
        </w:rPr>
        <w:t>（3）设计方案可以充分结合地形地貌，尽量减少土方开挖、边坡处理生态自然。</w:t>
      </w:r>
    </w:p>
    <w:p w14:paraId="567D1212">
      <w:pPr>
        <w:spacing w:line="360" w:lineRule="auto"/>
        <w:ind w:firstLine="420" w:firstLineChars="200"/>
        <w:rPr>
          <w:rFonts w:hint="eastAsia" w:ascii="宋体" w:hAnsi="宋体" w:eastAsia="宋体" w:cstheme="minorEastAsia"/>
          <w:szCs w:val="21"/>
          <w:highlight w:val="none"/>
        </w:rPr>
      </w:pPr>
      <w:r>
        <w:rPr>
          <w:rFonts w:hint="eastAsia" w:ascii="宋体" w:hAnsi="宋体" w:eastAsia="宋体" w:cstheme="minorEastAsia"/>
          <w:szCs w:val="21"/>
          <w:highlight w:val="none"/>
        </w:rPr>
        <w:t>（4）与周边地块衔接设计合理，有重点及亮点，交通出行方便，经济合理。</w:t>
      </w:r>
    </w:p>
    <w:p w14:paraId="5EBC8C41">
      <w:pPr>
        <w:spacing w:line="360" w:lineRule="auto"/>
        <w:ind w:firstLine="420" w:firstLineChars="200"/>
        <w:rPr>
          <w:rFonts w:hint="eastAsia" w:ascii="宋体" w:hAnsi="宋体" w:eastAsia="宋体" w:cstheme="minorEastAsia"/>
          <w:szCs w:val="21"/>
          <w:highlight w:val="none"/>
        </w:rPr>
      </w:pPr>
      <w:r>
        <w:rPr>
          <w:rFonts w:hint="eastAsia" w:ascii="宋体" w:hAnsi="宋体" w:eastAsia="宋体" w:cstheme="minorEastAsia"/>
          <w:szCs w:val="21"/>
          <w:highlight w:val="none"/>
        </w:rPr>
        <w:t>（5）道路公用设施（照明、行人设施、道路元素等）设计科学合理、处理得当、特点鲜明。</w:t>
      </w:r>
    </w:p>
    <w:p w14:paraId="39E2FCE6">
      <w:pPr>
        <w:spacing w:line="360" w:lineRule="auto"/>
        <w:ind w:firstLine="420" w:firstLineChars="200"/>
        <w:rPr>
          <w:rFonts w:hint="eastAsia" w:ascii="宋体" w:hAnsi="宋体" w:eastAsia="宋体" w:cstheme="minorEastAsia"/>
          <w:szCs w:val="21"/>
          <w:highlight w:val="none"/>
        </w:rPr>
      </w:pPr>
      <w:r>
        <w:rPr>
          <w:rFonts w:hint="eastAsia" w:ascii="宋体" w:hAnsi="宋体" w:eastAsia="宋体" w:cstheme="minorEastAsia"/>
          <w:szCs w:val="21"/>
          <w:highlight w:val="none"/>
        </w:rPr>
        <w:t>（6）施工期间交通组织、施工实施方案切合实际，考虑全面。</w:t>
      </w:r>
    </w:p>
    <w:p w14:paraId="0491A0D2">
      <w:pPr>
        <w:spacing w:line="360" w:lineRule="auto"/>
        <w:ind w:firstLine="420" w:firstLineChars="200"/>
        <w:rPr>
          <w:rFonts w:hint="eastAsia" w:ascii="宋体" w:hAnsi="宋体" w:eastAsia="宋体" w:cstheme="minorEastAsia"/>
          <w:szCs w:val="21"/>
          <w:highlight w:val="none"/>
        </w:rPr>
      </w:pPr>
      <w:r>
        <w:rPr>
          <w:rFonts w:hint="eastAsia" w:ascii="宋体" w:hAnsi="宋体" w:eastAsia="宋体" w:cstheme="minorEastAsia"/>
          <w:szCs w:val="21"/>
          <w:highlight w:val="none"/>
        </w:rPr>
        <w:t>（7）工期进度计划合理可行。</w:t>
      </w:r>
    </w:p>
    <w:p w14:paraId="75432C8A">
      <w:pPr>
        <w:spacing w:line="360" w:lineRule="auto"/>
        <w:ind w:firstLine="420" w:firstLineChars="200"/>
        <w:rPr>
          <w:rFonts w:hint="eastAsia" w:ascii="宋体" w:hAnsi="宋体" w:eastAsia="宋体" w:cstheme="minorEastAsia"/>
          <w:szCs w:val="21"/>
          <w:highlight w:val="none"/>
        </w:rPr>
      </w:pPr>
      <w:r>
        <w:rPr>
          <w:rFonts w:hint="eastAsia" w:ascii="宋体" w:hAnsi="宋体" w:eastAsia="宋体" w:cstheme="minorEastAsia"/>
          <w:szCs w:val="21"/>
          <w:highlight w:val="none"/>
        </w:rPr>
        <w:t>（8）工程总投资合理，节约工程总投资的措施及理由合理、可信、可行，投资估算编制依据正确，达到相应的深度要求，编制质量高。。</w:t>
      </w:r>
    </w:p>
    <w:p w14:paraId="147CE38A">
      <w:pPr>
        <w:pStyle w:val="121"/>
        <w:spacing w:line="360" w:lineRule="auto"/>
        <w:ind w:left="0" w:firstLine="422" w:firstLineChars="200"/>
        <w:jc w:val="left"/>
        <w:rPr>
          <w:rFonts w:hint="eastAsia" w:ascii="宋体" w:hAnsi="宋体" w:eastAsia="宋体" w:cstheme="minorEastAsia"/>
          <w:b/>
          <w:bCs/>
          <w:sz w:val="21"/>
          <w:szCs w:val="21"/>
          <w:highlight w:val="none"/>
          <w:lang w:val="en-US" w:eastAsia="zh-CN"/>
        </w:rPr>
      </w:pPr>
      <w:bookmarkStart w:id="510" w:name="_Toc443505843"/>
      <w:r>
        <w:rPr>
          <w:rFonts w:hint="eastAsia" w:ascii="宋体" w:hAnsi="宋体" w:eastAsia="宋体" w:cstheme="minorEastAsia"/>
          <w:b/>
          <w:bCs/>
          <w:sz w:val="21"/>
          <w:szCs w:val="21"/>
          <w:highlight w:val="none"/>
          <w:lang w:val="en-US" w:eastAsia="zh-CN"/>
        </w:rPr>
        <w:t>3.工程规划和立项文件</w:t>
      </w:r>
    </w:p>
    <w:p w14:paraId="479C8607">
      <w:pPr>
        <w:spacing w:line="360" w:lineRule="auto"/>
        <w:ind w:firstLine="420" w:firstLineChars="200"/>
        <w:rPr>
          <w:rFonts w:hint="eastAsia" w:ascii="宋体" w:hAnsi="宋体" w:eastAsia="宋体" w:cstheme="minorEastAsia"/>
          <w:szCs w:val="21"/>
          <w:highlight w:val="none"/>
        </w:rPr>
      </w:pPr>
      <w:r>
        <w:rPr>
          <w:rFonts w:hint="eastAsia" w:ascii="宋体" w:hAnsi="宋体" w:eastAsia="宋体" w:cstheme="minorEastAsia"/>
          <w:szCs w:val="21"/>
          <w:highlight w:val="none"/>
        </w:rPr>
        <w:t>由投标人自行收集。</w:t>
      </w:r>
    </w:p>
    <w:p w14:paraId="14D20A38">
      <w:pPr>
        <w:pStyle w:val="121"/>
        <w:spacing w:line="360" w:lineRule="auto"/>
        <w:ind w:left="0" w:firstLine="422" w:firstLineChars="200"/>
        <w:jc w:val="left"/>
        <w:rPr>
          <w:rFonts w:hint="eastAsia" w:ascii="宋体" w:hAnsi="宋体" w:eastAsia="宋体" w:cstheme="minorEastAsia"/>
          <w:b/>
          <w:bCs/>
          <w:sz w:val="21"/>
          <w:szCs w:val="21"/>
          <w:highlight w:val="none"/>
          <w:lang w:val="en-US" w:eastAsia="zh-CN"/>
        </w:rPr>
      </w:pPr>
      <w:r>
        <w:rPr>
          <w:rFonts w:hint="eastAsia" w:ascii="宋体" w:hAnsi="宋体" w:eastAsia="宋体" w:cstheme="minorEastAsia"/>
          <w:b/>
          <w:bCs/>
          <w:sz w:val="21"/>
          <w:szCs w:val="21"/>
          <w:highlight w:val="none"/>
          <w:lang w:val="en-US" w:eastAsia="zh-CN"/>
        </w:rPr>
        <w:t>4.道路交通规划要求</w:t>
      </w:r>
    </w:p>
    <w:p w14:paraId="4AA983AD">
      <w:pPr>
        <w:spacing w:line="360" w:lineRule="auto"/>
        <w:ind w:firstLine="420" w:firstLineChars="200"/>
        <w:rPr>
          <w:rFonts w:hint="eastAsia" w:ascii="宋体" w:hAnsi="宋体" w:eastAsia="宋体" w:cstheme="minorEastAsia"/>
          <w:szCs w:val="21"/>
          <w:highlight w:val="none"/>
        </w:rPr>
      </w:pPr>
      <w:r>
        <w:rPr>
          <w:rFonts w:hint="eastAsia" w:ascii="宋体" w:hAnsi="宋体" w:eastAsia="宋体" w:cstheme="minorEastAsia"/>
          <w:szCs w:val="21"/>
          <w:highlight w:val="none"/>
        </w:rPr>
        <w:t>由投标人自行收集。</w:t>
      </w:r>
    </w:p>
    <w:p w14:paraId="318A656B">
      <w:pPr>
        <w:pStyle w:val="121"/>
        <w:spacing w:line="360" w:lineRule="auto"/>
        <w:ind w:left="0" w:firstLine="422" w:firstLineChars="200"/>
        <w:jc w:val="left"/>
        <w:rPr>
          <w:rFonts w:hint="eastAsia" w:ascii="宋体" w:hAnsi="宋体" w:eastAsia="宋体" w:cstheme="minorEastAsia"/>
          <w:b/>
          <w:bCs/>
          <w:sz w:val="21"/>
          <w:szCs w:val="21"/>
          <w:highlight w:val="none"/>
          <w:lang w:val="en-US" w:eastAsia="zh-CN"/>
        </w:rPr>
      </w:pPr>
      <w:r>
        <w:rPr>
          <w:rFonts w:hint="eastAsia" w:ascii="宋体" w:hAnsi="宋体" w:eastAsia="宋体" w:cstheme="minorEastAsia"/>
          <w:b/>
          <w:bCs/>
          <w:sz w:val="21"/>
          <w:szCs w:val="21"/>
          <w:highlight w:val="none"/>
          <w:lang w:val="en-US" w:eastAsia="zh-CN"/>
        </w:rPr>
        <w:t>5.周边环境现状</w:t>
      </w:r>
    </w:p>
    <w:p w14:paraId="362C8006">
      <w:pPr>
        <w:spacing w:line="360" w:lineRule="auto"/>
        <w:ind w:firstLine="420" w:firstLineChars="200"/>
        <w:rPr>
          <w:rFonts w:hint="eastAsia" w:ascii="宋体" w:hAnsi="宋体" w:eastAsia="宋体" w:cstheme="minorEastAsia"/>
          <w:szCs w:val="21"/>
          <w:highlight w:val="none"/>
        </w:rPr>
      </w:pPr>
      <w:r>
        <w:rPr>
          <w:rFonts w:hint="eastAsia" w:ascii="宋体" w:hAnsi="宋体" w:eastAsia="宋体" w:cstheme="minorEastAsia"/>
          <w:szCs w:val="21"/>
          <w:highlight w:val="none"/>
        </w:rPr>
        <w:t>由投标人自行收集。</w:t>
      </w:r>
    </w:p>
    <w:p w14:paraId="108ABD40">
      <w:pPr>
        <w:pStyle w:val="121"/>
        <w:spacing w:line="360" w:lineRule="auto"/>
        <w:ind w:left="0" w:firstLine="422" w:firstLineChars="200"/>
        <w:jc w:val="left"/>
        <w:rPr>
          <w:rFonts w:hint="eastAsia" w:ascii="宋体" w:hAnsi="宋体" w:eastAsia="宋体" w:cstheme="minorEastAsia"/>
          <w:b/>
          <w:bCs/>
          <w:sz w:val="21"/>
          <w:szCs w:val="21"/>
          <w:highlight w:val="none"/>
          <w:lang w:val="en-US" w:eastAsia="zh-CN"/>
        </w:rPr>
      </w:pPr>
      <w:r>
        <w:rPr>
          <w:rFonts w:hint="eastAsia" w:ascii="宋体" w:hAnsi="宋体" w:eastAsia="宋体" w:cstheme="minorEastAsia"/>
          <w:b/>
          <w:bCs/>
          <w:sz w:val="21"/>
          <w:szCs w:val="21"/>
          <w:highlight w:val="none"/>
          <w:lang w:val="en-US" w:eastAsia="zh-CN"/>
        </w:rPr>
        <w:t>6.气候与地质条件</w:t>
      </w:r>
    </w:p>
    <w:p w14:paraId="2C47BC25">
      <w:pPr>
        <w:spacing w:line="360" w:lineRule="auto"/>
        <w:ind w:firstLine="420" w:firstLineChars="200"/>
        <w:rPr>
          <w:rFonts w:ascii="宋体" w:hAnsi="宋体" w:cs="宋体"/>
          <w:b/>
          <w:sz w:val="39"/>
          <w:szCs w:val="21"/>
          <w:highlight w:val="none"/>
        </w:rPr>
      </w:pPr>
      <w:r>
        <w:rPr>
          <w:rFonts w:hint="eastAsia" w:ascii="宋体" w:hAnsi="宋体" w:eastAsia="宋体" w:cstheme="minorEastAsia"/>
          <w:szCs w:val="21"/>
          <w:highlight w:val="none"/>
          <w:lang w:val="en-US" w:eastAsia="zh-CN"/>
        </w:rPr>
        <w:t>花都区属南亚热带季风气候区。项目所在地区气候温暖潮湿，雨量充沛，年平均气 压为 1012hPa，历年最大降雨量为2865mm(1992 年)，最小降雨量为 1113mm(1916年)，年平均降雨量 1755mm。年降雨量多集中在 4-9月，前期为热雷期，后期为台风,雨，合占全年降雨量的 81%，降雨量最小是 12 月，占全部降雨量的 1.4%左右。年相对 湿度为 77%，全年日照时数为 1862hr，年蒸发量为 1276mm</w:t>
      </w:r>
      <w:r>
        <w:rPr>
          <w:rFonts w:hint="eastAsia" w:ascii="宋体" w:hAnsi="宋体" w:eastAsia="宋体" w:cstheme="minorEastAsia"/>
          <w:szCs w:val="21"/>
          <w:highlight w:val="none"/>
        </w:rPr>
        <w:t>。</w:t>
      </w:r>
      <w:bookmarkEnd w:id="510"/>
    </w:p>
    <w:p w14:paraId="0E6192EC">
      <w:pPr>
        <w:shd w:val="clear"/>
        <w:ind w:firstLine="460" w:firstLineChars="192"/>
        <w:rPr>
          <w:rFonts w:hint="eastAsia" w:ascii="宋体" w:hAnsi="宋体" w:eastAsia="宋体" w:cs="宋体"/>
          <w:color w:val="auto"/>
          <w:sz w:val="24"/>
          <w:szCs w:val="24"/>
          <w:highlight w:val="none"/>
          <w:u w:val="single"/>
        </w:rPr>
      </w:pPr>
    </w:p>
    <w:p w14:paraId="6323725F">
      <w:pPr>
        <w:pStyle w:val="2"/>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第六章 </w:t>
      </w:r>
      <w:bookmarkStart w:id="511" w:name="_Toc9205"/>
      <w:r>
        <w:rPr>
          <w:rFonts w:hint="eastAsia" w:ascii="宋体" w:hAnsi="宋体" w:eastAsia="宋体" w:cs="宋体"/>
          <w:color w:val="auto"/>
          <w:highlight w:val="none"/>
        </w:rPr>
        <w:t xml:space="preserve"> 招标人提供的资料</w:t>
      </w:r>
      <w:bookmarkEnd w:id="511"/>
    </w:p>
    <w:p w14:paraId="6E159A1E">
      <w:pPr>
        <w:shd w:val="clear"/>
        <w:jc w:val="center"/>
        <w:rPr>
          <w:rFonts w:hint="eastAsia" w:ascii="宋体" w:hAnsi="宋体" w:eastAsia="宋体" w:cs="宋体"/>
          <w:color w:val="auto"/>
          <w:sz w:val="24"/>
          <w:highlight w:val="none"/>
          <w:u w:val="single"/>
        </w:rPr>
      </w:pPr>
      <w:bookmarkStart w:id="512" w:name="_Toc10203"/>
      <w:r>
        <w:rPr>
          <w:rFonts w:hint="eastAsia" w:ascii="宋体" w:hAnsi="宋体" w:eastAsia="宋体" w:cs="宋体"/>
          <w:color w:val="auto"/>
          <w:sz w:val="24"/>
          <w:highlight w:val="none"/>
          <w:u w:val="single"/>
        </w:rPr>
        <w:t>（另册）</w:t>
      </w:r>
    </w:p>
    <w:p w14:paraId="54ECD162">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512"/>
    </w:p>
    <w:p w14:paraId="58CD3DE5">
      <w:pPr>
        <w:pStyle w:val="2"/>
        <w:shd w:val="clear"/>
        <w:jc w:val="center"/>
        <w:rPr>
          <w:rFonts w:hint="eastAsia" w:ascii="宋体" w:hAnsi="宋体" w:eastAsia="宋体" w:cs="宋体"/>
          <w:color w:val="auto"/>
          <w:highlight w:val="none"/>
        </w:rPr>
      </w:pPr>
      <w:bookmarkStart w:id="513" w:name="_Toc13417"/>
      <w:bookmarkStart w:id="514" w:name="_Toc8104"/>
      <w:r>
        <w:rPr>
          <w:rFonts w:hint="eastAsia" w:ascii="宋体" w:hAnsi="宋体" w:eastAsia="宋体" w:cs="宋体"/>
          <w:color w:val="auto"/>
          <w:highlight w:val="none"/>
        </w:rPr>
        <w:t>第七章  投标文件格式</w:t>
      </w:r>
      <w:bookmarkEnd w:id="503"/>
      <w:bookmarkEnd w:id="504"/>
      <w:bookmarkEnd w:id="505"/>
      <w:bookmarkEnd w:id="506"/>
      <w:bookmarkEnd w:id="507"/>
      <w:bookmarkEnd w:id="513"/>
      <w:bookmarkEnd w:id="514"/>
    </w:p>
    <w:p w14:paraId="7D00AC33">
      <w:pPr>
        <w:shd w:val="clear"/>
        <w:spacing w:line="400" w:lineRule="exact"/>
        <w:rPr>
          <w:rFonts w:hint="eastAsia" w:ascii="宋体" w:hAnsi="宋体" w:eastAsia="宋体" w:cs="宋体"/>
          <w:color w:val="auto"/>
          <w:highlight w:val="none"/>
        </w:rPr>
      </w:pPr>
    </w:p>
    <w:p w14:paraId="22B66341">
      <w:pPr>
        <w:pStyle w:val="3"/>
        <w:shd w:val="clear"/>
        <w:jc w:val="center"/>
        <w:rPr>
          <w:rFonts w:hint="eastAsia" w:ascii="宋体" w:hAnsi="宋体" w:eastAsia="宋体" w:cs="宋体"/>
          <w:color w:val="auto"/>
          <w:highlight w:val="none"/>
        </w:rPr>
        <w:sectPr>
          <w:footerReference r:id="rId6" w:type="default"/>
          <w:pgSz w:w="11905" w:h="16838"/>
          <w:pgMar w:top="1304" w:right="1304" w:bottom="1304" w:left="1304" w:header="851" w:footer="992" w:gutter="0"/>
          <w:cols w:space="720" w:num="1"/>
          <w:docGrid w:type="lines" w:linePitch="321" w:charSpace="0"/>
        </w:sectPr>
      </w:pPr>
    </w:p>
    <w:p w14:paraId="0126CBC3">
      <w:pPr>
        <w:pStyle w:val="3"/>
        <w:shd w:val="clear"/>
        <w:spacing w:before="0" w:after="0"/>
        <w:rPr>
          <w:rFonts w:hint="eastAsia" w:ascii="宋体" w:hAnsi="宋体" w:eastAsia="宋体" w:cs="宋体"/>
          <w:color w:val="auto"/>
          <w:sz w:val="28"/>
          <w:szCs w:val="28"/>
          <w:highlight w:val="none"/>
        </w:rPr>
      </w:pPr>
      <w:bookmarkStart w:id="515" w:name="_Toc23311"/>
      <w:bookmarkStart w:id="516" w:name="_Toc19059"/>
      <w:r>
        <w:rPr>
          <w:rFonts w:hint="eastAsia" w:ascii="宋体" w:hAnsi="宋体" w:eastAsia="宋体" w:cs="宋体"/>
          <w:color w:val="auto"/>
          <w:sz w:val="28"/>
          <w:szCs w:val="28"/>
          <w:highlight w:val="none"/>
        </w:rPr>
        <w:t>格式1</w:t>
      </w:r>
      <w:bookmarkEnd w:id="515"/>
      <w:bookmarkEnd w:id="516"/>
      <w:r>
        <w:rPr>
          <w:rFonts w:hint="eastAsia" w:ascii="宋体" w:hAnsi="宋体" w:eastAsia="宋体" w:cs="宋体"/>
          <w:color w:val="auto"/>
          <w:sz w:val="28"/>
          <w:szCs w:val="28"/>
          <w:highlight w:val="none"/>
        </w:rPr>
        <w:t>：</w:t>
      </w:r>
    </w:p>
    <w:p w14:paraId="26911B14">
      <w:pPr>
        <w:shd w:val="clear"/>
        <w:autoSpaceDE w:val="0"/>
        <w:autoSpaceDN w:val="0"/>
        <w:spacing w:line="360" w:lineRule="auto"/>
        <w:jc w:val="center"/>
        <w:rPr>
          <w:rFonts w:hint="eastAsia" w:ascii="宋体" w:hAnsi="宋体" w:eastAsia="宋体" w:cs="宋体"/>
          <w:b/>
          <w:bCs/>
          <w:color w:val="auto"/>
          <w:sz w:val="36"/>
          <w:szCs w:val="36"/>
          <w:highlight w:val="none"/>
          <w:lang w:val="zh-CN"/>
        </w:rPr>
      </w:pPr>
      <w:bookmarkStart w:id="517" w:name="OLE_LINK1"/>
      <w:r>
        <w:rPr>
          <w:rFonts w:hint="eastAsia" w:ascii="宋体" w:hAnsi="宋体" w:eastAsia="宋体" w:cs="宋体"/>
          <w:b/>
          <w:bCs/>
          <w:color w:val="auto"/>
          <w:sz w:val="36"/>
          <w:szCs w:val="36"/>
          <w:highlight w:val="none"/>
          <w:lang w:val="zh-CN"/>
        </w:rPr>
        <w:t>法</w:t>
      </w:r>
      <w:r>
        <w:rPr>
          <w:rFonts w:hint="eastAsia" w:ascii="宋体" w:hAnsi="宋体" w:eastAsia="宋体" w:cs="宋体"/>
          <w:b/>
          <w:bCs/>
          <w:color w:val="auto"/>
          <w:sz w:val="36"/>
          <w:szCs w:val="36"/>
          <w:highlight w:val="none"/>
          <w:lang w:val="en-US" w:eastAsia="zh-CN"/>
        </w:rPr>
        <w:t>定</w:t>
      </w:r>
      <w:r>
        <w:rPr>
          <w:rFonts w:hint="eastAsia" w:ascii="宋体" w:hAnsi="宋体" w:eastAsia="宋体" w:cs="宋体"/>
          <w:b/>
          <w:bCs/>
          <w:color w:val="auto"/>
          <w:sz w:val="36"/>
          <w:szCs w:val="36"/>
          <w:highlight w:val="none"/>
          <w:lang w:val="zh-CN"/>
        </w:rPr>
        <w:t>代人表证明书、法人授权委托证明书</w:t>
      </w:r>
      <w:bookmarkEnd w:id="517"/>
    </w:p>
    <w:p w14:paraId="551D9B7E">
      <w:pPr>
        <w:shd w:val="clear"/>
        <w:spacing w:line="360" w:lineRule="auto"/>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（参考格式）</w:t>
      </w:r>
    </w:p>
    <w:p w14:paraId="5F16A8F0">
      <w:pPr>
        <w:shd w:val="clear"/>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法定代表人（负责人）证明书</w:t>
      </w:r>
    </w:p>
    <w:p w14:paraId="384C5868">
      <w:pPr>
        <w:shd w:val="clea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highlight w:val="none"/>
        </w:rPr>
        <w:t>（　 ）第　号</w:t>
      </w:r>
    </w:p>
    <w:tbl>
      <w:tblPr>
        <w:tblStyle w:val="40"/>
        <w:tblW w:w="94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5"/>
      </w:tblGrid>
      <w:tr w14:paraId="769C4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9455" w:type="dxa"/>
          </w:tcPr>
          <w:p w14:paraId="52CA87CC">
            <w:pPr>
              <w:shd w:val="clear"/>
              <w:spacing w:line="360" w:lineRule="auto"/>
              <w:rPr>
                <w:rFonts w:hint="eastAsia" w:ascii="宋体" w:hAnsi="宋体" w:eastAsia="宋体" w:cs="宋体"/>
                <w:color w:val="auto"/>
                <w:sz w:val="24"/>
                <w:highlight w:val="none"/>
                <w:u w:val="single"/>
              </w:rPr>
            </w:pPr>
          </w:p>
          <w:p w14:paraId="4EE47E1D">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现任我单位</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职务，为法定代表人（负责人），特此证明。</w:t>
            </w:r>
          </w:p>
          <w:p w14:paraId="30BC2B4B">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有效期限：</w:t>
            </w:r>
          </w:p>
          <w:p w14:paraId="19691049">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附：法定代表人（负责人）性别：</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身份证号码：</w:t>
            </w:r>
          </w:p>
          <w:p w14:paraId="253375FE">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注册号码：</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企业类型：</w:t>
            </w:r>
          </w:p>
          <w:p w14:paraId="14573B84">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经营范围：</w:t>
            </w:r>
          </w:p>
          <w:p w14:paraId="0F4FF37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单位：　　　　　　（盖章）</w:t>
            </w:r>
          </w:p>
          <w:p w14:paraId="6D58CED3">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　　　　　    年　月　　日</w:t>
            </w:r>
          </w:p>
        </w:tc>
      </w:tr>
    </w:tbl>
    <w:p w14:paraId="4C94A51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注：1、法定代表人证明书也可以采用工商行政管理局统一印制的格式。</w:t>
      </w:r>
    </w:p>
    <w:p w14:paraId="773A4E0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Cs w:val="21"/>
          <w:highlight w:val="none"/>
        </w:rPr>
        <w:t xml:space="preserve">    2、联合体投标的，本证明书由主办方出具，仅填写主办方单位名称并由主办方盖章即可。</w:t>
      </w:r>
    </w:p>
    <w:p w14:paraId="7FEF1520">
      <w:pPr>
        <w:shd w:val="clear"/>
        <w:spacing w:line="360" w:lineRule="auto"/>
        <w:jc w:val="center"/>
        <w:rPr>
          <w:rFonts w:hint="eastAsia" w:ascii="宋体" w:hAnsi="宋体" w:eastAsia="宋体" w:cs="宋体"/>
          <w:b/>
          <w:color w:val="auto"/>
          <w:sz w:val="24"/>
          <w:highlight w:val="none"/>
        </w:rPr>
      </w:pPr>
      <w:bookmarkStart w:id="518" w:name="OLE_LINK8"/>
      <w:r>
        <w:rPr>
          <w:rFonts w:hint="eastAsia" w:ascii="宋体" w:hAnsi="宋体" w:eastAsia="宋体" w:cs="宋体"/>
          <w:b/>
          <w:color w:val="auto"/>
          <w:sz w:val="24"/>
          <w:highlight w:val="none"/>
        </w:rPr>
        <w:t>法人授权委托证明书</w:t>
      </w:r>
      <w:bookmarkEnd w:id="518"/>
    </w:p>
    <w:p w14:paraId="202A3062">
      <w:pPr>
        <w:shd w:val="clea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highlight w:val="none"/>
        </w:rPr>
        <w:t>（　 ）第　号</w:t>
      </w:r>
    </w:p>
    <w:tbl>
      <w:tblPr>
        <w:tblStyle w:val="40"/>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43"/>
      </w:tblGrid>
      <w:tr w14:paraId="05F86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43" w:type="dxa"/>
          </w:tcPr>
          <w:p w14:paraId="7EBA3135">
            <w:pPr>
              <w:shd w:val="clea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兹授权为我方委托代理人，其权限是：</w:t>
            </w:r>
          </w:p>
          <w:p w14:paraId="692E5057">
            <w:pPr>
              <w:shd w:val="clear"/>
              <w:spacing w:line="360" w:lineRule="auto"/>
              <w:rPr>
                <w:rFonts w:hint="eastAsia" w:ascii="宋体" w:hAnsi="宋体" w:eastAsia="宋体" w:cs="宋体"/>
                <w:color w:val="auto"/>
                <w:sz w:val="24"/>
                <w:highlight w:val="none"/>
                <w:u w:val="single"/>
              </w:rPr>
            </w:pPr>
          </w:p>
          <w:p w14:paraId="3153ADEE">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有效期限：</w:t>
            </w:r>
          </w:p>
          <w:p w14:paraId="3D2863B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附：代理人性别：年龄：身份证号码：</w:t>
            </w:r>
          </w:p>
          <w:p w14:paraId="65F5B91A">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注册号码：企业类型：</w:t>
            </w:r>
          </w:p>
          <w:p w14:paraId="44C2683A">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经营范围：</w:t>
            </w:r>
          </w:p>
          <w:p w14:paraId="2916CCF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法定代表人（负责人）：（签名或盖章）</w:t>
            </w:r>
          </w:p>
          <w:p w14:paraId="3AE6B25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授权单位：（盖章）</w:t>
            </w:r>
          </w:p>
          <w:p w14:paraId="04ED2B7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tc>
      </w:tr>
    </w:tbl>
    <w:p w14:paraId="7369D58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注：1、法定代表人授权委托书也可以采用工商行政管理局统一印制的格式。</w:t>
      </w:r>
    </w:p>
    <w:p w14:paraId="317303A2">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Cs w:val="21"/>
          <w:highlight w:val="none"/>
        </w:rPr>
        <w:t>2、联合体投标的，本授权书由主办方出具，仅填写主办方单位名称并由主办方签字或盖章即可。</w:t>
      </w:r>
    </w:p>
    <w:p w14:paraId="4E4BCDA7">
      <w:pPr>
        <w:shd w:val="clear"/>
        <w:autoSpaceDE w:val="0"/>
        <w:autoSpaceDN w:val="0"/>
        <w:spacing w:line="360" w:lineRule="auto"/>
        <w:rPr>
          <w:rFonts w:hint="eastAsia" w:ascii="宋体" w:hAnsi="宋体" w:eastAsia="宋体" w:cs="宋体"/>
          <w:color w:val="auto"/>
          <w:sz w:val="24"/>
          <w:highlight w:val="none"/>
        </w:rPr>
      </w:pPr>
    </w:p>
    <w:p w14:paraId="25CFE941">
      <w:pPr>
        <w:pStyle w:val="3"/>
        <w:shd w:val="clear"/>
        <w:spacing w:before="0" w:after="0"/>
        <w:rPr>
          <w:rFonts w:hint="eastAsia" w:ascii="宋体" w:hAnsi="宋体" w:eastAsia="宋体" w:cs="宋体"/>
          <w:color w:val="auto"/>
          <w:sz w:val="28"/>
          <w:szCs w:val="28"/>
          <w:highlight w:val="none"/>
        </w:rPr>
      </w:pPr>
      <w:bookmarkStart w:id="519" w:name="_Toc32110"/>
      <w:bookmarkStart w:id="520" w:name="_Toc13595"/>
      <w:r>
        <w:rPr>
          <w:rFonts w:hint="eastAsia" w:ascii="宋体" w:hAnsi="宋体" w:eastAsia="宋体" w:cs="宋体"/>
          <w:color w:val="auto"/>
          <w:sz w:val="28"/>
          <w:szCs w:val="28"/>
          <w:highlight w:val="none"/>
        </w:rPr>
        <w:t>格式2</w:t>
      </w:r>
      <w:bookmarkEnd w:id="519"/>
      <w:bookmarkEnd w:id="520"/>
      <w:r>
        <w:rPr>
          <w:rFonts w:hint="eastAsia" w:ascii="宋体" w:hAnsi="宋体" w:eastAsia="宋体" w:cs="宋体"/>
          <w:color w:val="auto"/>
          <w:sz w:val="28"/>
          <w:szCs w:val="28"/>
          <w:highlight w:val="none"/>
        </w:rPr>
        <w:t>：</w:t>
      </w:r>
    </w:p>
    <w:p w14:paraId="46EE4164">
      <w:pPr>
        <w:shd w:val="clear"/>
        <w:autoSpaceDE w:val="0"/>
        <w:autoSpaceDN w:val="0"/>
        <w:spacing w:line="360" w:lineRule="auto"/>
        <w:jc w:val="center"/>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联合体共同投标协议书</w:t>
      </w:r>
    </w:p>
    <w:p w14:paraId="2D16B690">
      <w:pPr>
        <w:shd w:val="clear"/>
        <w:spacing w:line="360" w:lineRule="auto"/>
        <w:jc w:val="center"/>
        <w:rPr>
          <w:rFonts w:hint="eastAsia" w:ascii="宋体" w:hAnsi="宋体" w:eastAsia="宋体" w:cs="宋体"/>
          <w:color w:val="auto"/>
          <w:sz w:val="24"/>
          <w:highlight w:val="none"/>
          <w:u w:val="single"/>
        </w:rPr>
      </w:pPr>
      <w:bookmarkStart w:id="521" w:name="OLE_LINK5"/>
      <w:r>
        <w:rPr>
          <w:rFonts w:hint="eastAsia" w:ascii="宋体" w:hAnsi="宋体" w:eastAsia="宋体" w:cs="宋体"/>
          <w:color w:val="auto"/>
          <w:sz w:val="24"/>
          <w:highlight w:val="none"/>
          <w:u w:val="single"/>
        </w:rPr>
        <w:t>（参考格式）</w:t>
      </w:r>
      <w:bookmarkEnd w:id="521"/>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14:paraId="30BD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6" w:hRule="atLeast"/>
          <w:jc w:val="center"/>
        </w:trPr>
        <w:tc>
          <w:tcPr>
            <w:tcW w:w="9243" w:type="dxa"/>
          </w:tcPr>
          <w:p w14:paraId="41925814">
            <w:pPr>
              <w:shd w:val="clear"/>
              <w:spacing w:line="360" w:lineRule="auto"/>
              <w:ind w:firstLine="598" w:firstLineChars="285"/>
              <w:rPr>
                <w:rFonts w:hint="eastAsia" w:ascii="宋体" w:hAnsi="宋体" w:eastAsia="宋体" w:cs="宋体"/>
                <w:color w:val="auto"/>
                <w:highlight w:val="none"/>
              </w:rPr>
            </w:pPr>
            <w:bookmarkStart w:id="522" w:name="_Toc11969"/>
            <w:bookmarkStart w:id="523" w:name="_Toc10851"/>
            <w:bookmarkStart w:id="524" w:name="_Toc533330246"/>
            <w:bookmarkStart w:id="525" w:name="_Toc479091923"/>
            <w:bookmarkStart w:id="526" w:name="_Toc533330557"/>
            <w:bookmarkStart w:id="527" w:name="_Toc22588"/>
            <w:bookmarkStart w:id="528" w:name="_Toc503539196"/>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(承担</w:t>
            </w:r>
            <w:r>
              <w:rPr>
                <w:rFonts w:hint="eastAsia" w:ascii="宋体" w:hAnsi="宋体" w:eastAsia="宋体" w:cs="宋体"/>
                <w:b/>
                <w:color w:val="auto"/>
                <w:highlight w:val="none"/>
                <w:u w:val="single"/>
              </w:rPr>
              <w:t xml:space="preserve">   </w:t>
            </w:r>
            <w:r>
              <w:rPr>
                <w:rFonts w:hint="eastAsia" w:ascii="宋体" w:hAnsi="宋体" w:eastAsia="宋体" w:cs="宋体"/>
                <w:color w:val="auto"/>
                <w:highlight w:val="none"/>
              </w:rPr>
              <w:t>任务的单位名称)、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(承担</w:t>
            </w:r>
            <w:r>
              <w:rPr>
                <w:rFonts w:hint="eastAsia" w:ascii="宋体" w:hAnsi="宋体" w:eastAsia="宋体" w:cs="宋体"/>
                <w:b/>
                <w:color w:val="auto"/>
                <w:highlight w:val="none"/>
                <w:u w:val="single"/>
              </w:rPr>
              <w:t xml:space="preserve">   </w:t>
            </w:r>
            <w:r>
              <w:rPr>
                <w:rFonts w:hint="eastAsia" w:ascii="宋体" w:hAnsi="宋体" w:eastAsia="宋体" w:cs="宋体"/>
                <w:color w:val="auto"/>
                <w:highlight w:val="none"/>
              </w:rPr>
              <w:t>任务的单位名称)自愿组成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联合体名称），共同参加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投标。现就联合体投标事宜订立如下协议。</w:t>
            </w:r>
          </w:p>
          <w:p w14:paraId="03ACFE97">
            <w:pPr>
              <w:shd w:val="clear"/>
              <w:spacing w:line="360" w:lineRule="auto"/>
              <w:ind w:firstLine="598" w:firstLineChars="285"/>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为联合体主办方。</w:t>
            </w:r>
            <w:r>
              <w:rPr>
                <w:rFonts w:hint="eastAsia" w:ascii="宋体" w:hAnsi="宋体" w:eastAsia="宋体" w:cs="宋体"/>
                <w:color w:val="auto"/>
                <w:highlight w:val="none"/>
                <w:u w:val="single"/>
              </w:rPr>
              <w:t>（联合体主办方只允许填1家单位）</w:t>
            </w:r>
          </w:p>
          <w:p w14:paraId="712A24E3">
            <w:pPr>
              <w:shd w:val="clear"/>
              <w:spacing w:line="360" w:lineRule="auto"/>
              <w:ind w:firstLine="598" w:firstLineChars="285"/>
              <w:rPr>
                <w:rFonts w:hint="eastAsia" w:ascii="宋体" w:hAnsi="宋体" w:eastAsia="宋体" w:cs="宋体"/>
                <w:color w:val="auto"/>
                <w:highlight w:val="none"/>
              </w:rPr>
            </w:pPr>
            <w:r>
              <w:rPr>
                <w:rFonts w:hint="eastAsia" w:ascii="宋体" w:hAnsi="宋体" w:eastAsia="宋体" w:cs="宋体"/>
                <w:color w:val="auto"/>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3DFFE1B7">
            <w:pPr>
              <w:shd w:val="clear"/>
              <w:spacing w:line="360" w:lineRule="auto"/>
              <w:ind w:firstLine="598" w:firstLineChars="285"/>
              <w:rPr>
                <w:rFonts w:hint="eastAsia" w:ascii="宋体" w:hAnsi="宋体" w:eastAsia="宋体" w:cs="宋体"/>
                <w:color w:val="auto"/>
                <w:highlight w:val="none"/>
              </w:rPr>
            </w:pPr>
            <w:r>
              <w:rPr>
                <w:rFonts w:hint="eastAsia" w:ascii="宋体" w:hAnsi="宋体" w:eastAsia="宋体" w:cs="宋体"/>
                <w:color w:val="auto"/>
                <w:highlight w:val="none"/>
              </w:rPr>
              <w:t>3、联合体将严格按照招标文件的各项要求，递交投标文件，履行合同，并对外承担连带责任。</w:t>
            </w:r>
          </w:p>
          <w:p w14:paraId="30AA8ED4">
            <w:pPr>
              <w:shd w:val="clear"/>
              <w:spacing w:line="360" w:lineRule="auto"/>
              <w:ind w:firstLine="598" w:firstLineChars="285"/>
              <w:rPr>
                <w:rFonts w:hint="eastAsia" w:ascii="宋体" w:hAnsi="宋体" w:eastAsia="宋体" w:cs="宋体"/>
                <w:color w:val="auto"/>
                <w:highlight w:val="none"/>
              </w:rPr>
            </w:pPr>
            <w:r>
              <w:rPr>
                <w:rFonts w:hint="eastAsia" w:ascii="宋体" w:hAnsi="宋体" w:eastAsia="宋体" w:cs="宋体"/>
                <w:color w:val="auto"/>
                <w:highlight w:val="none"/>
              </w:rPr>
              <w:t>4、联合体各成员单位内部的职责分工如下：</w:t>
            </w:r>
          </w:p>
          <w:p w14:paraId="4AAA59EE">
            <w:pPr>
              <w:shd w:val="clear"/>
              <w:spacing w:line="360" w:lineRule="auto"/>
              <w:ind w:firstLine="598" w:firstLineChars="285"/>
              <w:rPr>
                <w:rFonts w:hint="eastAsia" w:ascii="宋体" w:hAnsi="宋体" w:eastAsia="宋体" w:cs="宋体"/>
                <w:color w:val="auto"/>
                <w:highlight w:val="none"/>
              </w:rPr>
            </w:pPr>
            <w:r>
              <w:rPr>
                <w:rFonts w:hint="eastAsia" w:ascii="宋体" w:hAnsi="宋体" w:eastAsia="宋体" w:cs="宋体"/>
                <w:color w:val="auto"/>
                <w:highlight w:val="none"/>
              </w:rPr>
              <w:t>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：作为本项目总负责单位，除承担本项目的施工任务外，还对本招标项目的进度、质量、安全、投资控制、管理、协调等负全责，具体按合同要求。</w:t>
            </w:r>
          </w:p>
          <w:p w14:paraId="52D517A4">
            <w:pPr>
              <w:shd w:val="clear"/>
              <w:spacing w:line="360" w:lineRule="auto"/>
              <w:ind w:firstLine="598" w:firstLineChars="285"/>
              <w:rPr>
                <w:rFonts w:hint="eastAsia" w:ascii="宋体" w:hAnsi="宋体" w:eastAsia="宋体" w:cs="宋体"/>
                <w:color w:val="auto"/>
                <w:highlight w:val="none"/>
              </w:rPr>
            </w:pPr>
            <w:r>
              <w:rPr>
                <w:rFonts w:hint="eastAsia" w:ascii="宋体" w:hAnsi="宋体" w:eastAsia="宋体" w:cs="宋体"/>
                <w:color w:val="auto"/>
                <w:highlight w:val="none"/>
              </w:rPr>
              <w:t>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：主要承担本项目的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任务，具体按合同要求。</w:t>
            </w:r>
          </w:p>
          <w:p w14:paraId="53BBA155">
            <w:pPr>
              <w:shd w:val="clear"/>
              <w:spacing w:line="360" w:lineRule="auto"/>
              <w:ind w:firstLine="598" w:firstLineChars="285"/>
              <w:rPr>
                <w:rFonts w:hint="eastAsia" w:ascii="宋体" w:hAnsi="宋体" w:eastAsia="宋体" w:cs="宋体"/>
                <w:color w:val="auto"/>
                <w:highlight w:val="none"/>
              </w:rPr>
            </w:pPr>
            <w:r>
              <w:rPr>
                <w:rFonts w:hint="eastAsia" w:ascii="宋体" w:hAnsi="宋体" w:eastAsia="宋体" w:cs="宋体"/>
                <w:color w:val="auto"/>
                <w:highlight w:val="none"/>
              </w:rPr>
              <w:t>…</w:t>
            </w:r>
          </w:p>
          <w:p w14:paraId="696F068E">
            <w:pPr>
              <w:shd w:val="clear"/>
              <w:spacing w:line="360" w:lineRule="auto"/>
              <w:ind w:firstLine="598" w:firstLineChars="285"/>
              <w:rPr>
                <w:rFonts w:hint="eastAsia" w:ascii="宋体" w:hAnsi="宋体" w:eastAsia="宋体" w:cs="宋体"/>
                <w:color w:val="auto"/>
                <w:highlight w:val="none"/>
              </w:rPr>
            </w:pPr>
            <w:r>
              <w:rPr>
                <w:rFonts w:hint="eastAsia" w:ascii="宋体" w:hAnsi="宋体" w:eastAsia="宋体" w:cs="宋体"/>
                <w:color w:val="auto"/>
                <w:highlight w:val="none"/>
              </w:rPr>
              <w:t>5、本协议书自签署之日起生效，合同履行完毕后自动失效。</w:t>
            </w:r>
          </w:p>
          <w:p w14:paraId="075CFEC0">
            <w:pPr>
              <w:shd w:val="clear"/>
              <w:topLinePunct/>
              <w:spacing w:line="276" w:lineRule="auto"/>
              <w:rPr>
                <w:rFonts w:hint="eastAsia" w:ascii="宋体" w:hAnsi="宋体" w:eastAsia="宋体" w:cs="宋体"/>
                <w:color w:val="auto"/>
                <w:highlight w:val="none"/>
              </w:rPr>
            </w:pPr>
          </w:p>
          <w:p w14:paraId="5C09132D">
            <w:pPr>
              <w:shd w:val="clear"/>
              <w:topLinePunct/>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联合体主办方名称：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（盖单位章）</w:t>
            </w:r>
          </w:p>
          <w:p w14:paraId="233735F3">
            <w:pPr>
              <w:shd w:val="clear"/>
              <w:topLinePunct/>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（签字或盖章）</w:t>
            </w:r>
          </w:p>
          <w:p w14:paraId="55008328">
            <w:pPr>
              <w:shd w:val="clear"/>
              <w:topLinePunct/>
              <w:spacing w:line="276" w:lineRule="auto"/>
              <w:rPr>
                <w:rFonts w:hint="eastAsia" w:ascii="宋体" w:hAnsi="宋体" w:eastAsia="宋体" w:cs="宋体"/>
                <w:color w:val="auto"/>
                <w:highlight w:val="none"/>
              </w:rPr>
            </w:pPr>
          </w:p>
          <w:p w14:paraId="19D555C5">
            <w:pPr>
              <w:shd w:val="clear"/>
              <w:topLinePunct/>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成员名称：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34D66ADE">
            <w:pPr>
              <w:shd w:val="clear"/>
              <w:topLinePunct/>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14:paraId="0804C4D0">
            <w:pPr>
              <w:shd w:val="clear"/>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w:t>
            </w:r>
          </w:p>
          <w:p w14:paraId="3513CC1F">
            <w:pPr>
              <w:shd w:val="clear"/>
              <w:autoSpaceDE w:val="0"/>
              <w:autoSpaceDN w:val="0"/>
              <w:adjustRightInd w:val="0"/>
              <w:spacing w:line="276" w:lineRule="auto"/>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1FBD03FD">
            <w:pPr>
              <w:shd w:val="clear"/>
              <w:autoSpaceDE w:val="0"/>
              <w:autoSpaceDN w:val="0"/>
              <w:adjustRightInd w:val="0"/>
              <w:spacing w:line="276" w:lineRule="auto"/>
              <w:jc w:val="left"/>
              <w:rPr>
                <w:rFonts w:hint="eastAsia" w:ascii="宋体" w:hAnsi="宋体" w:eastAsia="宋体" w:cs="宋体"/>
                <w:color w:val="auto"/>
                <w:highlight w:val="none"/>
              </w:rPr>
            </w:pPr>
            <w:r>
              <w:rPr>
                <w:rFonts w:hint="eastAsia" w:ascii="宋体" w:hAnsi="宋体" w:eastAsia="宋体" w:cs="宋体"/>
                <w:color w:val="auto"/>
                <w:highlight w:val="none"/>
              </w:rPr>
              <w:t>注：1、投标联合体成员数量若有增减，可按实际自行调整。</w:t>
            </w:r>
          </w:p>
          <w:p w14:paraId="042DAFF3">
            <w:pPr>
              <w:shd w:val="clear"/>
              <w:autoSpaceDE w:val="0"/>
              <w:autoSpaceDN w:val="0"/>
              <w:adjustRightInd w:val="0"/>
              <w:spacing w:line="276" w:lineRule="auto"/>
              <w:jc w:val="left"/>
              <w:rPr>
                <w:rFonts w:hint="eastAsia" w:ascii="宋体" w:hAnsi="宋体" w:eastAsia="宋体" w:cs="宋体"/>
                <w:bCs/>
                <w:color w:val="auto"/>
                <w:sz w:val="24"/>
                <w:highlight w:val="none"/>
              </w:rPr>
            </w:pPr>
            <w:r>
              <w:rPr>
                <w:rFonts w:hint="eastAsia" w:ascii="宋体" w:hAnsi="宋体" w:eastAsia="宋体" w:cs="宋体"/>
                <w:color w:val="auto"/>
                <w:highlight w:val="none"/>
              </w:rPr>
              <w:t>2、单独投标的，无需提交本协议书。</w:t>
            </w:r>
          </w:p>
        </w:tc>
      </w:tr>
    </w:tbl>
    <w:p w14:paraId="765DB4CC">
      <w:pPr>
        <w:pStyle w:val="12"/>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522"/>
    <w:bookmarkEnd w:id="523"/>
    <w:p w14:paraId="165CA85B">
      <w:pPr>
        <w:pStyle w:val="3"/>
        <w:shd w:val="clear"/>
        <w:spacing w:before="0" w:after="0"/>
        <w:rPr>
          <w:rFonts w:hint="eastAsia" w:ascii="宋体" w:hAnsi="宋体" w:eastAsia="宋体" w:cs="宋体"/>
          <w:color w:val="auto"/>
          <w:sz w:val="28"/>
          <w:szCs w:val="28"/>
          <w:highlight w:val="none"/>
        </w:rPr>
      </w:pPr>
      <w:bookmarkStart w:id="529" w:name="_Toc21967"/>
      <w:bookmarkStart w:id="530" w:name="_Toc24609"/>
      <w:r>
        <w:rPr>
          <w:rFonts w:hint="eastAsia" w:ascii="宋体" w:hAnsi="宋体" w:eastAsia="宋体" w:cs="宋体"/>
          <w:color w:val="auto"/>
          <w:sz w:val="28"/>
          <w:szCs w:val="28"/>
          <w:highlight w:val="none"/>
        </w:rPr>
        <w:t>格式3：</w:t>
      </w:r>
      <w:bookmarkEnd w:id="529"/>
      <w:bookmarkEnd w:id="530"/>
    </w:p>
    <w:p w14:paraId="6D6AB7E8">
      <w:pPr>
        <w:shd w:val="clear"/>
        <w:jc w:val="center"/>
        <w:rPr>
          <w:rFonts w:hint="eastAsia" w:ascii="宋体" w:hAnsi="宋体" w:eastAsia="宋体" w:cs="宋体"/>
          <w:b/>
          <w:bCs/>
          <w:color w:val="auto"/>
          <w:kern w:val="0"/>
          <w:sz w:val="36"/>
          <w:szCs w:val="36"/>
          <w:highlight w:val="none"/>
          <w:lang w:val="zh-CN"/>
        </w:rPr>
      </w:pPr>
      <w:r>
        <w:rPr>
          <w:rFonts w:hint="eastAsia" w:ascii="宋体" w:hAnsi="宋体" w:eastAsia="宋体" w:cs="宋体"/>
          <w:b/>
          <w:bCs/>
          <w:color w:val="auto"/>
          <w:kern w:val="0"/>
          <w:sz w:val="36"/>
          <w:szCs w:val="36"/>
          <w:highlight w:val="none"/>
          <w:lang w:val="zh-CN"/>
        </w:rPr>
        <w:t>投标书</w:t>
      </w:r>
    </w:p>
    <w:tbl>
      <w:tblPr>
        <w:tblStyle w:val="40"/>
        <w:tblpPr w:leftFromText="180" w:rightFromText="180" w:vertAnchor="text" w:horzAnchor="margin" w:tblpY="2"/>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8"/>
        <w:gridCol w:w="2971"/>
        <w:gridCol w:w="2973"/>
      </w:tblGrid>
      <w:tr w14:paraId="770D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bottom w:val="single" w:color="auto" w:sz="4" w:space="0"/>
              <w:right w:val="single" w:color="auto" w:sz="4" w:space="0"/>
            </w:tcBorders>
            <w:vAlign w:val="center"/>
          </w:tcPr>
          <w:p w14:paraId="43551220">
            <w:pPr>
              <w:shd w:val="clear"/>
              <w:autoSpaceDE w:val="0"/>
              <w:autoSpaceDN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color w:val="auto"/>
                <w:sz w:val="24"/>
                <w:highlight w:val="none"/>
                <w:lang w:val="zh-CN"/>
              </w:rPr>
              <w:t>工 程 名 称</w:t>
            </w:r>
          </w:p>
        </w:tc>
        <w:tc>
          <w:tcPr>
            <w:tcW w:w="5944" w:type="dxa"/>
            <w:gridSpan w:val="2"/>
            <w:tcBorders>
              <w:top w:val="single" w:color="auto" w:sz="4" w:space="0"/>
              <w:left w:val="single" w:color="auto" w:sz="4" w:space="0"/>
              <w:bottom w:val="single" w:color="auto" w:sz="4" w:space="0"/>
              <w:right w:val="single" w:color="auto" w:sz="4" w:space="0"/>
            </w:tcBorders>
            <w:vAlign w:val="center"/>
          </w:tcPr>
          <w:p w14:paraId="6A98D346">
            <w:pPr>
              <w:shd w:val="clear"/>
              <w:autoSpaceDE w:val="0"/>
              <w:autoSpaceDN w:val="0"/>
              <w:spacing w:line="360" w:lineRule="auto"/>
              <w:jc w:val="center"/>
              <w:rPr>
                <w:rFonts w:hint="eastAsia" w:ascii="宋体" w:hAnsi="宋体" w:eastAsia="宋体" w:cs="宋体"/>
                <w:b/>
                <w:bCs/>
                <w:color w:val="auto"/>
                <w:sz w:val="24"/>
                <w:highlight w:val="none"/>
                <w:lang w:val="zh-CN"/>
              </w:rPr>
            </w:pPr>
          </w:p>
        </w:tc>
      </w:tr>
      <w:tr w14:paraId="2272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bottom w:val="single" w:color="auto" w:sz="4" w:space="0"/>
              <w:right w:val="single" w:color="auto" w:sz="4" w:space="0"/>
            </w:tcBorders>
            <w:vAlign w:val="center"/>
          </w:tcPr>
          <w:p w14:paraId="669E40E2">
            <w:pPr>
              <w:shd w:val="clear"/>
              <w:spacing w:line="360" w:lineRule="auto"/>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投 标 总 工 期</w:t>
            </w:r>
          </w:p>
        </w:tc>
        <w:tc>
          <w:tcPr>
            <w:tcW w:w="5944" w:type="dxa"/>
            <w:gridSpan w:val="2"/>
            <w:tcBorders>
              <w:top w:val="single" w:color="auto" w:sz="4" w:space="0"/>
              <w:left w:val="single" w:color="auto" w:sz="4" w:space="0"/>
              <w:bottom w:val="single" w:color="auto" w:sz="4" w:space="0"/>
              <w:right w:val="single" w:color="auto" w:sz="4" w:space="0"/>
            </w:tcBorders>
            <w:vAlign w:val="center"/>
          </w:tcPr>
          <w:p w14:paraId="70E0E712">
            <w:pPr>
              <w:shd w:val="clear"/>
              <w:spacing w:line="360" w:lineRule="auto"/>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按招标文件要求</w:t>
            </w:r>
          </w:p>
        </w:tc>
      </w:tr>
      <w:tr w14:paraId="3C9B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bottom w:val="single" w:color="auto" w:sz="4" w:space="0"/>
              <w:right w:val="single" w:color="auto" w:sz="4" w:space="0"/>
            </w:tcBorders>
            <w:vAlign w:val="center"/>
          </w:tcPr>
          <w:p w14:paraId="41F267CB">
            <w:pPr>
              <w:shd w:val="clear"/>
              <w:spacing w:line="360" w:lineRule="auto"/>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工程质量标准</w:t>
            </w:r>
          </w:p>
        </w:tc>
        <w:tc>
          <w:tcPr>
            <w:tcW w:w="5944" w:type="dxa"/>
            <w:gridSpan w:val="2"/>
            <w:tcBorders>
              <w:top w:val="single" w:color="auto" w:sz="4" w:space="0"/>
              <w:left w:val="single" w:color="auto" w:sz="4" w:space="0"/>
              <w:bottom w:val="single" w:color="auto" w:sz="4" w:space="0"/>
              <w:right w:val="single" w:color="auto" w:sz="4" w:space="0"/>
            </w:tcBorders>
            <w:vAlign w:val="center"/>
          </w:tcPr>
          <w:p w14:paraId="1153D45D">
            <w:pPr>
              <w:shd w:val="clear"/>
              <w:spacing w:line="360" w:lineRule="auto"/>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按招标文件要求</w:t>
            </w:r>
          </w:p>
        </w:tc>
      </w:tr>
      <w:tr w14:paraId="70C9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bottom w:val="single" w:color="auto" w:sz="4" w:space="0"/>
              <w:right w:val="single" w:color="auto" w:sz="4" w:space="0"/>
            </w:tcBorders>
            <w:vAlign w:val="center"/>
          </w:tcPr>
          <w:p w14:paraId="4A05F455">
            <w:pPr>
              <w:shd w:val="clear"/>
              <w:spacing w:line="360" w:lineRule="auto"/>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保 修 期 限</w:t>
            </w:r>
          </w:p>
        </w:tc>
        <w:tc>
          <w:tcPr>
            <w:tcW w:w="5944" w:type="dxa"/>
            <w:gridSpan w:val="2"/>
            <w:tcBorders>
              <w:top w:val="single" w:color="auto" w:sz="4" w:space="0"/>
              <w:left w:val="single" w:color="auto" w:sz="4" w:space="0"/>
              <w:bottom w:val="single" w:color="auto" w:sz="4" w:space="0"/>
              <w:right w:val="single" w:color="auto" w:sz="4" w:space="0"/>
            </w:tcBorders>
            <w:vAlign w:val="center"/>
          </w:tcPr>
          <w:p w14:paraId="2D58BE20">
            <w:pPr>
              <w:shd w:val="clear"/>
              <w:spacing w:line="360" w:lineRule="auto"/>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按招标文件要求</w:t>
            </w:r>
          </w:p>
        </w:tc>
      </w:tr>
      <w:tr w14:paraId="489D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right w:val="single" w:color="auto" w:sz="4" w:space="0"/>
            </w:tcBorders>
            <w:vAlign w:val="center"/>
          </w:tcPr>
          <w:p w14:paraId="38F69072">
            <w:pPr>
              <w:shd w:val="clear"/>
              <w:autoSpaceDE w:val="0"/>
              <w:autoSpaceDN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color w:val="auto"/>
                <w:sz w:val="24"/>
                <w:highlight w:val="none"/>
                <w:lang w:val="zh-CN"/>
              </w:rPr>
              <w:t>委派的项目负责人</w:t>
            </w:r>
          </w:p>
        </w:tc>
        <w:tc>
          <w:tcPr>
            <w:tcW w:w="2971" w:type="dxa"/>
            <w:tcBorders>
              <w:top w:val="single" w:color="auto" w:sz="4" w:space="0"/>
              <w:left w:val="single" w:color="auto" w:sz="4" w:space="0"/>
              <w:bottom w:val="single" w:color="auto" w:sz="4" w:space="0"/>
              <w:right w:val="single" w:color="auto" w:sz="4" w:space="0"/>
            </w:tcBorders>
            <w:vAlign w:val="center"/>
          </w:tcPr>
          <w:p w14:paraId="45C1E30B">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姓    名</w:t>
            </w:r>
          </w:p>
        </w:tc>
        <w:tc>
          <w:tcPr>
            <w:tcW w:w="2973" w:type="dxa"/>
            <w:tcBorders>
              <w:top w:val="single" w:color="auto" w:sz="4" w:space="0"/>
              <w:left w:val="single" w:color="auto" w:sz="4" w:space="0"/>
              <w:bottom w:val="single" w:color="auto" w:sz="4" w:space="0"/>
              <w:right w:val="single" w:color="auto" w:sz="4" w:space="0"/>
            </w:tcBorders>
            <w:vAlign w:val="center"/>
          </w:tcPr>
          <w:p w14:paraId="5C707F12">
            <w:pPr>
              <w:shd w:val="clear"/>
              <w:autoSpaceDE w:val="0"/>
              <w:autoSpaceDN w:val="0"/>
              <w:spacing w:line="360" w:lineRule="auto"/>
              <w:jc w:val="center"/>
              <w:rPr>
                <w:rFonts w:hint="eastAsia" w:ascii="宋体" w:hAnsi="宋体" w:eastAsia="宋体" w:cs="宋体"/>
                <w:b/>
                <w:bCs/>
                <w:color w:val="auto"/>
                <w:sz w:val="24"/>
                <w:highlight w:val="none"/>
                <w:lang w:val="zh-CN"/>
              </w:rPr>
            </w:pPr>
          </w:p>
        </w:tc>
      </w:tr>
      <w:tr w14:paraId="03891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right w:val="single" w:color="auto" w:sz="4" w:space="0"/>
            </w:tcBorders>
            <w:vAlign w:val="center"/>
          </w:tcPr>
          <w:p w14:paraId="08FB7017">
            <w:pPr>
              <w:shd w:val="clear"/>
              <w:autoSpaceDE w:val="0"/>
              <w:autoSpaceDN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color w:val="auto"/>
                <w:sz w:val="24"/>
                <w:highlight w:val="none"/>
                <w:lang w:val="zh-CN"/>
              </w:rPr>
              <w:t>委派的</w:t>
            </w:r>
            <w:r>
              <w:rPr>
                <w:rFonts w:hint="eastAsia" w:ascii="宋体" w:hAnsi="宋体" w:eastAsia="宋体" w:cs="宋体"/>
                <w:b/>
                <w:bCs/>
                <w:color w:val="auto"/>
                <w:sz w:val="24"/>
                <w:highlight w:val="none"/>
                <w:lang w:val="zh-CN"/>
              </w:rPr>
              <w:t>施工负责人</w:t>
            </w:r>
          </w:p>
        </w:tc>
        <w:tc>
          <w:tcPr>
            <w:tcW w:w="2971" w:type="dxa"/>
            <w:tcBorders>
              <w:top w:val="single" w:color="auto" w:sz="4" w:space="0"/>
              <w:left w:val="single" w:color="auto" w:sz="4" w:space="0"/>
              <w:bottom w:val="single" w:color="auto" w:sz="4" w:space="0"/>
              <w:right w:val="single" w:color="auto" w:sz="4" w:space="0"/>
            </w:tcBorders>
            <w:vAlign w:val="center"/>
          </w:tcPr>
          <w:p w14:paraId="09F6D830">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姓    名</w:t>
            </w:r>
          </w:p>
        </w:tc>
        <w:tc>
          <w:tcPr>
            <w:tcW w:w="2973" w:type="dxa"/>
            <w:tcBorders>
              <w:top w:val="single" w:color="auto" w:sz="4" w:space="0"/>
              <w:left w:val="single" w:color="auto" w:sz="4" w:space="0"/>
              <w:bottom w:val="single" w:color="auto" w:sz="4" w:space="0"/>
              <w:right w:val="single" w:color="auto" w:sz="4" w:space="0"/>
            </w:tcBorders>
            <w:vAlign w:val="center"/>
          </w:tcPr>
          <w:p w14:paraId="4B09E5C8">
            <w:pPr>
              <w:shd w:val="clear"/>
              <w:autoSpaceDE w:val="0"/>
              <w:autoSpaceDN w:val="0"/>
              <w:spacing w:line="360" w:lineRule="auto"/>
              <w:jc w:val="center"/>
              <w:rPr>
                <w:rFonts w:hint="eastAsia" w:ascii="宋体" w:hAnsi="宋体" w:eastAsia="宋体" w:cs="宋体"/>
                <w:b/>
                <w:bCs/>
                <w:color w:val="auto"/>
                <w:sz w:val="24"/>
                <w:highlight w:val="none"/>
                <w:lang w:val="zh-CN"/>
              </w:rPr>
            </w:pPr>
          </w:p>
        </w:tc>
      </w:tr>
      <w:tr w14:paraId="28CED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right w:val="single" w:color="auto" w:sz="4" w:space="0"/>
            </w:tcBorders>
            <w:vAlign w:val="center"/>
          </w:tcPr>
          <w:p w14:paraId="7688E41B">
            <w:pPr>
              <w:shd w:val="clear"/>
              <w:autoSpaceDE w:val="0"/>
              <w:autoSpaceDN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color w:val="auto"/>
                <w:sz w:val="24"/>
                <w:highlight w:val="none"/>
                <w:lang w:val="zh-CN"/>
              </w:rPr>
              <w:t>委派的专职</w:t>
            </w:r>
            <w:r>
              <w:rPr>
                <w:rFonts w:hint="eastAsia" w:ascii="宋体" w:hAnsi="宋体" w:eastAsia="宋体" w:cs="宋体"/>
                <w:b/>
                <w:bCs/>
                <w:color w:val="auto"/>
                <w:sz w:val="24"/>
                <w:highlight w:val="none"/>
                <w:lang w:val="zh-CN"/>
              </w:rPr>
              <w:t>安全员</w:t>
            </w:r>
          </w:p>
        </w:tc>
        <w:tc>
          <w:tcPr>
            <w:tcW w:w="2971" w:type="dxa"/>
            <w:tcBorders>
              <w:top w:val="single" w:color="auto" w:sz="4" w:space="0"/>
              <w:left w:val="single" w:color="auto" w:sz="4" w:space="0"/>
              <w:bottom w:val="single" w:color="auto" w:sz="4" w:space="0"/>
              <w:right w:val="single" w:color="auto" w:sz="4" w:space="0"/>
            </w:tcBorders>
            <w:vAlign w:val="center"/>
          </w:tcPr>
          <w:p w14:paraId="71E372A3">
            <w:pPr>
              <w:shd w:val="clear"/>
              <w:autoSpaceDE w:val="0"/>
              <w:autoSpaceDN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color w:val="auto"/>
                <w:sz w:val="24"/>
                <w:highlight w:val="none"/>
              </w:rPr>
              <w:t>姓    名</w:t>
            </w:r>
          </w:p>
        </w:tc>
        <w:tc>
          <w:tcPr>
            <w:tcW w:w="2973" w:type="dxa"/>
            <w:tcBorders>
              <w:top w:val="single" w:color="auto" w:sz="4" w:space="0"/>
              <w:left w:val="single" w:color="auto" w:sz="4" w:space="0"/>
              <w:bottom w:val="single" w:color="auto" w:sz="4" w:space="0"/>
              <w:right w:val="single" w:color="auto" w:sz="4" w:space="0"/>
            </w:tcBorders>
            <w:vAlign w:val="center"/>
          </w:tcPr>
          <w:p w14:paraId="30688B4F">
            <w:pPr>
              <w:shd w:val="clear"/>
              <w:autoSpaceDE w:val="0"/>
              <w:autoSpaceDN w:val="0"/>
              <w:spacing w:line="360" w:lineRule="auto"/>
              <w:jc w:val="center"/>
              <w:rPr>
                <w:rFonts w:hint="eastAsia" w:ascii="宋体" w:hAnsi="宋体" w:eastAsia="宋体" w:cs="宋体"/>
                <w:b/>
                <w:bCs/>
                <w:color w:val="auto"/>
                <w:sz w:val="24"/>
                <w:highlight w:val="none"/>
                <w:lang w:val="zh-CN"/>
              </w:rPr>
            </w:pPr>
          </w:p>
        </w:tc>
      </w:tr>
      <w:tr w14:paraId="6CF3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right w:val="single" w:color="auto" w:sz="4" w:space="0"/>
            </w:tcBorders>
            <w:vAlign w:val="center"/>
          </w:tcPr>
          <w:p w14:paraId="2433018E">
            <w:pPr>
              <w:shd w:val="clear"/>
              <w:autoSpaceDE w:val="0"/>
              <w:autoSpaceDN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color w:val="auto"/>
                <w:sz w:val="24"/>
                <w:highlight w:val="none"/>
                <w:lang w:val="zh-CN"/>
              </w:rPr>
              <w:t>委派的</w:t>
            </w:r>
            <w:r>
              <w:rPr>
                <w:rFonts w:hint="eastAsia" w:ascii="宋体" w:hAnsi="宋体" w:eastAsia="宋体" w:cs="宋体"/>
                <w:b/>
                <w:bCs/>
                <w:color w:val="auto"/>
                <w:sz w:val="24"/>
                <w:highlight w:val="none"/>
                <w:lang w:val="zh-CN"/>
              </w:rPr>
              <w:t>设计负责人</w:t>
            </w:r>
          </w:p>
        </w:tc>
        <w:tc>
          <w:tcPr>
            <w:tcW w:w="2971" w:type="dxa"/>
            <w:tcBorders>
              <w:top w:val="single" w:color="auto" w:sz="4" w:space="0"/>
              <w:left w:val="single" w:color="auto" w:sz="4" w:space="0"/>
              <w:bottom w:val="single" w:color="auto" w:sz="4" w:space="0"/>
              <w:right w:val="single" w:color="auto" w:sz="4" w:space="0"/>
            </w:tcBorders>
            <w:vAlign w:val="center"/>
          </w:tcPr>
          <w:p w14:paraId="141D5E7C">
            <w:pPr>
              <w:shd w:val="clear"/>
              <w:autoSpaceDE w:val="0"/>
              <w:autoSpaceDN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color w:val="auto"/>
                <w:sz w:val="24"/>
                <w:highlight w:val="none"/>
              </w:rPr>
              <w:t>姓    名</w:t>
            </w:r>
          </w:p>
        </w:tc>
        <w:tc>
          <w:tcPr>
            <w:tcW w:w="2973" w:type="dxa"/>
            <w:tcBorders>
              <w:top w:val="single" w:color="auto" w:sz="4" w:space="0"/>
              <w:left w:val="single" w:color="auto" w:sz="4" w:space="0"/>
              <w:bottom w:val="single" w:color="auto" w:sz="4" w:space="0"/>
              <w:right w:val="single" w:color="auto" w:sz="4" w:space="0"/>
            </w:tcBorders>
            <w:vAlign w:val="center"/>
          </w:tcPr>
          <w:p w14:paraId="4695A6BD">
            <w:pPr>
              <w:shd w:val="clear"/>
              <w:autoSpaceDE w:val="0"/>
              <w:autoSpaceDN w:val="0"/>
              <w:spacing w:line="360" w:lineRule="auto"/>
              <w:jc w:val="center"/>
              <w:rPr>
                <w:rFonts w:hint="eastAsia" w:ascii="宋体" w:hAnsi="宋体" w:eastAsia="宋体" w:cs="宋体"/>
                <w:b/>
                <w:bCs/>
                <w:color w:val="auto"/>
                <w:sz w:val="24"/>
                <w:highlight w:val="none"/>
                <w:lang w:val="zh-CN"/>
              </w:rPr>
            </w:pPr>
          </w:p>
        </w:tc>
      </w:tr>
      <w:tr w14:paraId="0466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right w:val="single" w:color="auto" w:sz="4" w:space="0"/>
            </w:tcBorders>
            <w:shd w:val="clear" w:color="auto" w:fill="auto"/>
            <w:vAlign w:val="center"/>
          </w:tcPr>
          <w:p w14:paraId="79F7CBA6">
            <w:pPr>
              <w:shd w:val="clear"/>
              <w:autoSpaceDE w:val="0"/>
              <w:autoSpaceDN w:val="0"/>
              <w:spacing w:line="360" w:lineRule="auto"/>
              <w:jc w:val="center"/>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color w:val="auto"/>
                <w:sz w:val="24"/>
                <w:highlight w:val="none"/>
                <w:lang w:val="zh-CN"/>
              </w:rPr>
              <w:t>委派的</w:t>
            </w:r>
            <w:r>
              <w:rPr>
                <w:rFonts w:hint="eastAsia" w:ascii="宋体" w:hAnsi="宋体" w:eastAsia="宋体" w:cs="宋体"/>
                <w:b/>
                <w:bCs/>
                <w:color w:val="auto"/>
                <w:sz w:val="24"/>
                <w:highlight w:val="none"/>
                <w:lang w:val="en-US" w:eastAsia="zh-CN"/>
              </w:rPr>
              <w:t>施工技术</w:t>
            </w:r>
            <w:r>
              <w:rPr>
                <w:rFonts w:hint="eastAsia" w:ascii="宋体" w:hAnsi="宋体" w:eastAsia="宋体" w:cs="宋体"/>
                <w:b/>
                <w:bCs/>
                <w:color w:val="auto"/>
                <w:sz w:val="24"/>
                <w:highlight w:val="none"/>
                <w:lang w:val="zh-CN"/>
              </w:rPr>
              <w:t>负责人</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14:paraId="3069C9A9">
            <w:pPr>
              <w:shd w:val="clear"/>
              <w:autoSpaceDE w:val="0"/>
              <w:autoSpaceDN w:val="0"/>
              <w:spacing w:line="360" w:lineRule="auto"/>
              <w:jc w:val="center"/>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color w:val="auto"/>
                <w:sz w:val="24"/>
                <w:highlight w:val="none"/>
              </w:rPr>
              <w:t>姓    名</w:t>
            </w:r>
          </w:p>
        </w:tc>
        <w:tc>
          <w:tcPr>
            <w:tcW w:w="2973" w:type="dxa"/>
            <w:tcBorders>
              <w:top w:val="single" w:color="auto" w:sz="4" w:space="0"/>
              <w:left w:val="single" w:color="auto" w:sz="4" w:space="0"/>
              <w:bottom w:val="single" w:color="auto" w:sz="4" w:space="0"/>
              <w:right w:val="single" w:color="auto" w:sz="4" w:space="0"/>
            </w:tcBorders>
            <w:shd w:val="clear" w:color="auto" w:fill="auto"/>
            <w:vAlign w:val="center"/>
          </w:tcPr>
          <w:p w14:paraId="7EC06165">
            <w:pPr>
              <w:shd w:val="clear"/>
              <w:autoSpaceDE w:val="0"/>
              <w:autoSpaceDN w:val="0"/>
              <w:spacing w:line="360" w:lineRule="auto"/>
              <w:jc w:val="center"/>
              <w:rPr>
                <w:rFonts w:hint="eastAsia" w:ascii="宋体" w:hAnsi="宋体" w:eastAsia="宋体" w:cs="宋体"/>
                <w:b/>
                <w:bCs/>
                <w:color w:val="auto"/>
                <w:kern w:val="2"/>
                <w:sz w:val="24"/>
                <w:szCs w:val="24"/>
                <w:highlight w:val="none"/>
                <w:lang w:val="zh-CN" w:eastAsia="zh-CN" w:bidi="ar-SA"/>
              </w:rPr>
            </w:pPr>
          </w:p>
        </w:tc>
      </w:tr>
      <w:tr w14:paraId="2525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vMerge w:val="restart"/>
            <w:tcBorders>
              <w:left w:val="single" w:color="auto" w:sz="4" w:space="0"/>
              <w:right w:val="single" w:color="auto" w:sz="4" w:space="0"/>
            </w:tcBorders>
            <w:vAlign w:val="center"/>
          </w:tcPr>
          <w:p w14:paraId="7AA70834">
            <w:pPr>
              <w:shd w:val="clear"/>
              <w:autoSpaceDE/>
              <w:autoSpaceDN/>
              <w:spacing w:line="400" w:lineRule="exact"/>
              <w:jc w:val="center"/>
              <w:rPr>
                <w:rFonts w:hint="eastAsia" w:ascii="宋体" w:hAnsi="宋体" w:eastAsia="宋体" w:cs="宋体"/>
                <w:b/>
                <w:bCs/>
                <w:color w:val="auto"/>
                <w:sz w:val="24"/>
                <w:highlight w:val="none"/>
                <w:lang w:val="zh-CN"/>
              </w:rPr>
            </w:pPr>
            <w:r>
              <w:rPr>
                <w:rFonts w:hint="eastAsia" w:ascii="宋体" w:hAnsi="宋体" w:eastAsia="宋体" w:cs="宋体"/>
                <w:b/>
                <w:color w:val="auto"/>
                <w:sz w:val="24"/>
                <w:highlight w:val="none"/>
                <w:lang w:val="zh-CN"/>
              </w:rPr>
              <w:t>投标总报价（元）</w:t>
            </w:r>
          </w:p>
        </w:tc>
        <w:tc>
          <w:tcPr>
            <w:tcW w:w="5944" w:type="dxa"/>
            <w:gridSpan w:val="2"/>
            <w:tcBorders>
              <w:top w:val="single" w:color="auto" w:sz="4" w:space="0"/>
              <w:left w:val="single" w:color="auto" w:sz="4" w:space="0"/>
              <w:bottom w:val="single" w:color="auto" w:sz="4" w:space="0"/>
              <w:right w:val="single" w:color="auto" w:sz="4" w:space="0"/>
            </w:tcBorders>
            <w:vAlign w:val="center"/>
          </w:tcPr>
          <w:p w14:paraId="0027023D">
            <w:pPr>
              <w:shd w:val="clear"/>
              <w:autoSpaceDE/>
              <w:autoSpaceDN/>
              <w:spacing w:line="400" w:lineRule="exact"/>
              <w:jc w:val="left"/>
              <w:rPr>
                <w:rFonts w:hint="eastAsia" w:ascii="宋体" w:hAnsi="宋体" w:eastAsia="宋体" w:cs="宋体"/>
                <w:b/>
                <w:bCs/>
                <w:color w:val="auto"/>
                <w:sz w:val="24"/>
                <w:highlight w:val="none"/>
                <w:lang w:val="zh-CN"/>
              </w:rPr>
            </w:pPr>
            <w:r>
              <w:rPr>
                <w:rFonts w:hint="eastAsia" w:ascii="宋体" w:hAnsi="宋体" w:eastAsia="宋体" w:cs="宋体"/>
                <w:b/>
                <w:color w:val="auto"/>
                <w:sz w:val="24"/>
                <w:highlight w:val="none"/>
              </w:rPr>
              <w:t>大写：</w:t>
            </w:r>
          </w:p>
        </w:tc>
      </w:tr>
      <w:tr w14:paraId="6A0D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vMerge w:val="continue"/>
            <w:tcBorders>
              <w:left w:val="single" w:color="auto" w:sz="4" w:space="0"/>
              <w:right w:val="single" w:color="auto" w:sz="4" w:space="0"/>
            </w:tcBorders>
            <w:vAlign w:val="center"/>
          </w:tcPr>
          <w:p w14:paraId="1F73BF44">
            <w:pPr>
              <w:widowControl/>
              <w:shd w:val="clear"/>
              <w:spacing w:line="400" w:lineRule="exact"/>
              <w:jc w:val="left"/>
              <w:rPr>
                <w:rFonts w:hint="eastAsia" w:ascii="宋体" w:hAnsi="宋体" w:eastAsia="宋体" w:cs="宋体"/>
                <w:b/>
                <w:bCs/>
                <w:color w:val="auto"/>
                <w:sz w:val="24"/>
                <w:highlight w:val="none"/>
                <w:lang w:val="zh-CN"/>
              </w:rPr>
            </w:pPr>
          </w:p>
        </w:tc>
        <w:tc>
          <w:tcPr>
            <w:tcW w:w="5944" w:type="dxa"/>
            <w:gridSpan w:val="2"/>
            <w:tcBorders>
              <w:top w:val="single" w:color="auto" w:sz="4" w:space="0"/>
              <w:left w:val="single" w:color="auto" w:sz="4" w:space="0"/>
              <w:bottom w:val="single" w:color="auto" w:sz="4" w:space="0"/>
              <w:right w:val="single" w:color="auto" w:sz="4" w:space="0"/>
            </w:tcBorders>
            <w:vAlign w:val="center"/>
          </w:tcPr>
          <w:p w14:paraId="23A0B21E">
            <w:pPr>
              <w:shd w:val="clear"/>
              <w:autoSpaceDE/>
              <w:autoSpaceDN/>
              <w:spacing w:line="400" w:lineRule="exact"/>
              <w:jc w:val="left"/>
              <w:rPr>
                <w:rFonts w:hint="eastAsia" w:ascii="宋体" w:hAnsi="宋体" w:eastAsia="宋体" w:cs="宋体"/>
                <w:b/>
                <w:bCs/>
                <w:color w:val="auto"/>
                <w:sz w:val="24"/>
                <w:highlight w:val="none"/>
                <w:lang w:val="zh-CN"/>
              </w:rPr>
            </w:pPr>
            <w:r>
              <w:rPr>
                <w:rFonts w:hint="eastAsia" w:ascii="宋体" w:hAnsi="宋体" w:eastAsia="宋体" w:cs="宋体"/>
                <w:b/>
                <w:color w:val="auto"/>
                <w:sz w:val="24"/>
                <w:highlight w:val="none"/>
              </w:rPr>
              <w:t>小写：</w:t>
            </w:r>
          </w:p>
        </w:tc>
      </w:tr>
      <w:tr w14:paraId="1586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vMerge w:val="restart"/>
            <w:tcBorders>
              <w:left w:val="single" w:color="auto" w:sz="4" w:space="0"/>
              <w:right w:val="single" w:color="auto" w:sz="4" w:space="0"/>
            </w:tcBorders>
            <w:vAlign w:val="center"/>
          </w:tcPr>
          <w:p w14:paraId="03FCAB7E">
            <w:pPr>
              <w:shd w:val="clear"/>
              <w:autoSpaceDE/>
              <w:autoSpaceDN/>
              <w:spacing w:line="400" w:lineRule="exact"/>
              <w:jc w:val="center"/>
              <w:rPr>
                <w:rFonts w:hint="eastAsia" w:ascii="宋体" w:hAnsi="宋体" w:eastAsia="宋体" w:cs="宋体"/>
                <w:b/>
                <w:bCs/>
                <w:color w:val="auto"/>
                <w:sz w:val="24"/>
                <w:highlight w:val="none"/>
                <w:lang w:val="zh-CN"/>
              </w:rPr>
            </w:pPr>
            <w:r>
              <w:rPr>
                <w:rFonts w:hint="eastAsia" w:ascii="宋体" w:hAnsi="宋体" w:eastAsia="宋体" w:cs="宋体"/>
                <w:b/>
                <w:color w:val="auto"/>
                <w:sz w:val="24"/>
                <w:highlight w:val="none"/>
                <w:lang w:val="zh-CN"/>
              </w:rPr>
              <w:t>其中：</w:t>
            </w:r>
            <w:r>
              <w:rPr>
                <w:rFonts w:hint="eastAsia" w:ascii="宋体" w:hAnsi="宋体" w:eastAsia="宋体" w:cs="宋体"/>
                <w:b/>
                <w:color w:val="auto"/>
                <w:sz w:val="24"/>
                <w:highlight w:val="none"/>
              </w:rPr>
              <w:t>设计</w:t>
            </w:r>
            <w:r>
              <w:rPr>
                <w:rFonts w:hint="eastAsia" w:ascii="宋体" w:hAnsi="宋体" w:eastAsia="宋体" w:cs="宋体"/>
                <w:b/>
                <w:color w:val="auto"/>
                <w:sz w:val="24"/>
                <w:highlight w:val="none"/>
                <w:lang w:val="zh-CN"/>
              </w:rPr>
              <w:t>费（元）</w:t>
            </w:r>
          </w:p>
        </w:tc>
        <w:tc>
          <w:tcPr>
            <w:tcW w:w="5944" w:type="dxa"/>
            <w:gridSpan w:val="2"/>
            <w:tcBorders>
              <w:top w:val="single" w:color="auto" w:sz="4" w:space="0"/>
              <w:left w:val="single" w:color="auto" w:sz="4" w:space="0"/>
              <w:bottom w:val="single" w:color="auto" w:sz="4" w:space="0"/>
              <w:right w:val="single" w:color="auto" w:sz="4" w:space="0"/>
            </w:tcBorders>
            <w:vAlign w:val="center"/>
          </w:tcPr>
          <w:p w14:paraId="00AB7F43">
            <w:pPr>
              <w:shd w:val="clear"/>
              <w:autoSpaceDE/>
              <w:autoSpaceDN/>
              <w:spacing w:line="400" w:lineRule="exact"/>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大写：</w:t>
            </w:r>
          </w:p>
        </w:tc>
      </w:tr>
      <w:tr w14:paraId="2A5B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vMerge w:val="continue"/>
            <w:tcBorders>
              <w:left w:val="single" w:color="auto" w:sz="4" w:space="0"/>
              <w:right w:val="single" w:color="auto" w:sz="4" w:space="0"/>
            </w:tcBorders>
            <w:vAlign w:val="center"/>
          </w:tcPr>
          <w:p w14:paraId="2AEA0065">
            <w:pPr>
              <w:shd w:val="clear"/>
              <w:autoSpaceDE/>
              <w:autoSpaceDN/>
              <w:spacing w:line="400" w:lineRule="exact"/>
              <w:jc w:val="center"/>
              <w:rPr>
                <w:rFonts w:hint="eastAsia" w:ascii="宋体" w:hAnsi="宋体" w:eastAsia="宋体" w:cs="宋体"/>
                <w:b/>
                <w:bCs/>
                <w:color w:val="auto"/>
                <w:sz w:val="24"/>
                <w:highlight w:val="none"/>
                <w:lang w:val="zh-CN"/>
              </w:rPr>
            </w:pPr>
          </w:p>
        </w:tc>
        <w:tc>
          <w:tcPr>
            <w:tcW w:w="5944" w:type="dxa"/>
            <w:gridSpan w:val="2"/>
            <w:tcBorders>
              <w:top w:val="single" w:color="auto" w:sz="4" w:space="0"/>
              <w:left w:val="single" w:color="auto" w:sz="4" w:space="0"/>
              <w:bottom w:val="single" w:color="auto" w:sz="4" w:space="0"/>
              <w:right w:val="single" w:color="auto" w:sz="4" w:space="0"/>
            </w:tcBorders>
            <w:vAlign w:val="center"/>
          </w:tcPr>
          <w:p w14:paraId="218F2D91">
            <w:pPr>
              <w:shd w:val="clear"/>
              <w:autoSpaceDE/>
              <w:autoSpaceDN/>
              <w:spacing w:line="400" w:lineRule="exact"/>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小写：</w:t>
            </w:r>
          </w:p>
        </w:tc>
      </w:tr>
      <w:tr w14:paraId="3A83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vMerge w:val="continue"/>
            <w:tcBorders>
              <w:left w:val="single" w:color="auto" w:sz="4" w:space="0"/>
              <w:right w:val="single" w:color="auto" w:sz="4" w:space="0"/>
            </w:tcBorders>
            <w:vAlign w:val="center"/>
          </w:tcPr>
          <w:p w14:paraId="478388A6">
            <w:pPr>
              <w:shd w:val="clear"/>
              <w:autoSpaceDE/>
              <w:autoSpaceDN/>
              <w:spacing w:line="400" w:lineRule="exact"/>
              <w:jc w:val="center"/>
              <w:rPr>
                <w:rFonts w:hint="eastAsia" w:ascii="宋体" w:hAnsi="宋体" w:eastAsia="宋体" w:cs="宋体"/>
                <w:b/>
                <w:bCs/>
                <w:color w:val="auto"/>
                <w:sz w:val="24"/>
                <w:highlight w:val="none"/>
                <w:lang w:val="zh-CN"/>
              </w:rPr>
            </w:pPr>
          </w:p>
        </w:tc>
        <w:tc>
          <w:tcPr>
            <w:tcW w:w="5944" w:type="dxa"/>
            <w:gridSpan w:val="2"/>
            <w:tcBorders>
              <w:top w:val="single" w:color="auto" w:sz="4" w:space="0"/>
              <w:left w:val="single" w:color="auto" w:sz="4" w:space="0"/>
              <w:bottom w:val="single" w:color="auto" w:sz="4" w:space="0"/>
              <w:right w:val="single" w:color="auto" w:sz="4" w:space="0"/>
            </w:tcBorders>
            <w:vAlign w:val="center"/>
          </w:tcPr>
          <w:p w14:paraId="03816B50">
            <w:pPr>
              <w:shd w:val="clear"/>
              <w:autoSpaceDE/>
              <w:autoSpaceDN/>
              <w:spacing w:line="400" w:lineRule="exact"/>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下浮率</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lang w:val="zh-CN"/>
              </w:rPr>
              <w:t>%，</w:t>
            </w:r>
          </w:p>
          <w:p w14:paraId="4CD93A81">
            <w:pPr>
              <w:shd w:val="clear"/>
              <w:autoSpaceDE/>
              <w:autoSpaceDN/>
              <w:spacing w:line="400" w:lineRule="exact"/>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注：下浮率=【1-（</w:t>
            </w:r>
            <w:r>
              <w:rPr>
                <w:rFonts w:hint="eastAsia" w:ascii="宋体" w:hAnsi="宋体" w:eastAsia="宋体" w:cs="宋体"/>
                <w:b/>
                <w:color w:val="auto"/>
                <w:sz w:val="24"/>
                <w:highlight w:val="none"/>
              </w:rPr>
              <w:t>设计</w:t>
            </w:r>
            <w:r>
              <w:rPr>
                <w:rFonts w:hint="eastAsia" w:ascii="宋体" w:hAnsi="宋体" w:eastAsia="宋体" w:cs="宋体"/>
                <w:b/>
                <w:color w:val="auto"/>
                <w:sz w:val="24"/>
                <w:highlight w:val="none"/>
                <w:lang w:val="zh-CN"/>
              </w:rPr>
              <w:t>费投标报价</w:t>
            </w:r>
            <w:r>
              <w:rPr>
                <w:rFonts w:hint="eastAsia" w:ascii="宋体" w:hAnsi="宋体" w:eastAsia="宋体" w:cs="宋体"/>
                <w:b/>
                <w:bCs/>
                <w:color w:val="auto"/>
                <w:sz w:val="24"/>
                <w:highlight w:val="none"/>
                <w:lang w:val="zh-CN"/>
              </w:rPr>
              <w:t>/</w:t>
            </w:r>
            <w:r>
              <w:rPr>
                <w:rFonts w:hint="eastAsia" w:ascii="宋体" w:hAnsi="宋体" w:eastAsia="宋体" w:cs="宋体"/>
                <w:b/>
                <w:color w:val="auto"/>
                <w:sz w:val="24"/>
                <w:highlight w:val="none"/>
              </w:rPr>
              <w:t>设计</w:t>
            </w:r>
            <w:r>
              <w:rPr>
                <w:rFonts w:hint="eastAsia" w:ascii="宋体" w:hAnsi="宋体" w:eastAsia="宋体" w:cs="宋体"/>
                <w:b/>
                <w:color w:val="auto"/>
                <w:sz w:val="24"/>
                <w:highlight w:val="none"/>
                <w:lang w:val="zh-CN"/>
              </w:rPr>
              <w:t>费</w:t>
            </w:r>
            <w:r>
              <w:rPr>
                <w:rFonts w:hint="eastAsia" w:ascii="宋体" w:hAnsi="宋体" w:eastAsia="宋体" w:cs="宋体"/>
                <w:b/>
                <w:bCs/>
                <w:color w:val="auto"/>
                <w:sz w:val="24"/>
                <w:highlight w:val="none"/>
              </w:rPr>
              <w:t>最高投标限价</w:t>
            </w:r>
            <w:r>
              <w:rPr>
                <w:rFonts w:hint="eastAsia" w:ascii="宋体" w:hAnsi="宋体" w:eastAsia="宋体" w:cs="宋体"/>
                <w:b/>
                <w:bCs/>
                <w:color w:val="auto"/>
                <w:sz w:val="24"/>
                <w:highlight w:val="none"/>
                <w:lang w:val="zh-CN"/>
              </w:rPr>
              <w:t>）】*100%</w:t>
            </w:r>
          </w:p>
        </w:tc>
      </w:tr>
      <w:tr w14:paraId="4834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vMerge w:val="restart"/>
            <w:tcBorders>
              <w:left w:val="single" w:color="auto" w:sz="4" w:space="0"/>
              <w:right w:val="single" w:color="auto" w:sz="4" w:space="0"/>
            </w:tcBorders>
            <w:vAlign w:val="center"/>
          </w:tcPr>
          <w:p w14:paraId="635BAA51">
            <w:pPr>
              <w:shd w:val="clear"/>
              <w:autoSpaceDE/>
              <w:autoSpaceDN/>
              <w:spacing w:line="400" w:lineRule="exact"/>
              <w:jc w:val="center"/>
              <w:rPr>
                <w:rFonts w:hint="eastAsia" w:ascii="宋体" w:hAnsi="宋体" w:eastAsia="宋体" w:cs="宋体"/>
                <w:b/>
                <w:bCs/>
                <w:color w:val="auto"/>
                <w:sz w:val="24"/>
                <w:highlight w:val="none"/>
                <w:lang w:val="zh-CN"/>
              </w:rPr>
            </w:pPr>
            <w:r>
              <w:rPr>
                <w:rFonts w:hint="eastAsia" w:ascii="宋体" w:hAnsi="宋体" w:eastAsia="宋体" w:cs="宋体"/>
                <w:b/>
                <w:color w:val="auto"/>
                <w:sz w:val="24"/>
                <w:highlight w:val="none"/>
                <w:lang w:val="zh-CN"/>
              </w:rPr>
              <w:t>其中：建安工程费（元）</w:t>
            </w:r>
          </w:p>
        </w:tc>
        <w:tc>
          <w:tcPr>
            <w:tcW w:w="5944" w:type="dxa"/>
            <w:gridSpan w:val="2"/>
            <w:tcBorders>
              <w:top w:val="single" w:color="auto" w:sz="4" w:space="0"/>
              <w:left w:val="single" w:color="auto" w:sz="4" w:space="0"/>
              <w:bottom w:val="single" w:color="auto" w:sz="4" w:space="0"/>
              <w:right w:val="single" w:color="auto" w:sz="4" w:space="0"/>
            </w:tcBorders>
            <w:vAlign w:val="center"/>
          </w:tcPr>
          <w:p w14:paraId="091C9A69">
            <w:pPr>
              <w:shd w:val="clear"/>
              <w:autoSpaceDE/>
              <w:autoSpaceDN/>
              <w:spacing w:line="400" w:lineRule="exact"/>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大写：</w:t>
            </w:r>
          </w:p>
        </w:tc>
      </w:tr>
      <w:tr w14:paraId="2E8E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vMerge w:val="continue"/>
            <w:tcBorders>
              <w:left w:val="single" w:color="auto" w:sz="4" w:space="0"/>
              <w:right w:val="single" w:color="auto" w:sz="4" w:space="0"/>
            </w:tcBorders>
            <w:vAlign w:val="center"/>
          </w:tcPr>
          <w:p w14:paraId="4EE82067">
            <w:pPr>
              <w:widowControl/>
              <w:shd w:val="clear"/>
              <w:spacing w:line="400" w:lineRule="exact"/>
              <w:jc w:val="left"/>
              <w:rPr>
                <w:rFonts w:hint="eastAsia" w:ascii="宋体" w:hAnsi="宋体" w:eastAsia="宋体" w:cs="宋体"/>
                <w:b/>
                <w:bCs/>
                <w:color w:val="auto"/>
                <w:sz w:val="24"/>
                <w:highlight w:val="none"/>
                <w:lang w:val="zh-CN"/>
              </w:rPr>
            </w:pPr>
          </w:p>
        </w:tc>
        <w:tc>
          <w:tcPr>
            <w:tcW w:w="5944" w:type="dxa"/>
            <w:gridSpan w:val="2"/>
            <w:tcBorders>
              <w:top w:val="single" w:color="auto" w:sz="4" w:space="0"/>
              <w:left w:val="single" w:color="auto" w:sz="4" w:space="0"/>
              <w:bottom w:val="single" w:color="auto" w:sz="4" w:space="0"/>
              <w:right w:val="single" w:color="auto" w:sz="4" w:space="0"/>
            </w:tcBorders>
            <w:vAlign w:val="center"/>
          </w:tcPr>
          <w:p w14:paraId="6BD04D1A">
            <w:pPr>
              <w:shd w:val="clear"/>
              <w:autoSpaceDE/>
              <w:autoSpaceDN/>
              <w:spacing w:line="400" w:lineRule="exact"/>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小写：</w:t>
            </w:r>
          </w:p>
        </w:tc>
      </w:tr>
      <w:tr w14:paraId="35CC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vMerge w:val="continue"/>
            <w:tcBorders>
              <w:left w:val="single" w:color="auto" w:sz="4" w:space="0"/>
              <w:right w:val="single" w:color="auto" w:sz="4" w:space="0"/>
            </w:tcBorders>
            <w:vAlign w:val="center"/>
          </w:tcPr>
          <w:p w14:paraId="19487662">
            <w:pPr>
              <w:widowControl/>
              <w:shd w:val="clear"/>
              <w:spacing w:line="400" w:lineRule="exact"/>
              <w:jc w:val="left"/>
              <w:rPr>
                <w:rFonts w:hint="eastAsia" w:ascii="宋体" w:hAnsi="宋体" w:eastAsia="宋体" w:cs="宋体"/>
                <w:b/>
                <w:bCs/>
                <w:color w:val="auto"/>
                <w:sz w:val="24"/>
                <w:highlight w:val="none"/>
                <w:lang w:val="zh-CN"/>
              </w:rPr>
            </w:pPr>
          </w:p>
        </w:tc>
        <w:tc>
          <w:tcPr>
            <w:tcW w:w="5944" w:type="dxa"/>
            <w:gridSpan w:val="2"/>
            <w:tcBorders>
              <w:top w:val="single" w:color="auto" w:sz="4" w:space="0"/>
              <w:left w:val="single" w:color="auto" w:sz="4" w:space="0"/>
              <w:bottom w:val="single" w:color="auto" w:sz="4" w:space="0"/>
              <w:right w:val="single" w:color="auto" w:sz="4" w:space="0"/>
            </w:tcBorders>
            <w:vAlign w:val="center"/>
          </w:tcPr>
          <w:p w14:paraId="47DA12CD">
            <w:pPr>
              <w:shd w:val="clear"/>
              <w:autoSpaceDE/>
              <w:autoSpaceDN/>
              <w:spacing w:line="400" w:lineRule="exact"/>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下浮率</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lang w:val="zh-CN"/>
              </w:rPr>
              <w:t>%，</w:t>
            </w:r>
          </w:p>
          <w:p w14:paraId="000E3F5D">
            <w:pPr>
              <w:shd w:val="clear"/>
              <w:autoSpaceDE/>
              <w:autoSpaceDN/>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zh-CN"/>
              </w:rPr>
              <w:t>注：下浮率=【1-（建安工程费投标报价/建安工程费</w:t>
            </w:r>
            <w:r>
              <w:rPr>
                <w:rFonts w:hint="eastAsia" w:ascii="宋体" w:hAnsi="宋体" w:eastAsia="宋体" w:cs="宋体"/>
                <w:b/>
                <w:bCs/>
                <w:color w:val="auto"/>
                <w:sz w:val="24"/>
                <w:highlight w:val="none"/>
              </w:rPr>
              <w:t>最高投标限价</w:t>
            </w:r>
            <w:r>
              <w:rPr>
                <w:rFonts w:hint="eastAsia" w:ascii="宋体" w:hAnsi="宋体" w:eastAsia="宋体" w:cs="宋体"/>
                <w:b/>
                <w:bCs/>
                <w:color w:val="auto"/>
                <w:sz w:val="24"/>
                <w:highlight w:val="none"/>
                <w:lang w:val="zh-CN"/>
              </w:rPr>
              <w:t>）】*100%</w:t>
            </w:r>
          </w:p>
        </w:tc>
      </w:tr>
      <w:tr w14:paraId="0386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bottom w:val="single" w:color="auto" w:sz="4" w:space="0"/>
              <w:right w:val="single" w:color="auto" w:sz="4" w:space="0"/>
            </w:tcBorders>
            <w:vAlign w:val="center"/>
          </w:tcPr>
          <w:p w14:paraId="699D1925">
            <w:pPr>
              <w:shd w:val="clear"/>
              <w:autoSpaceDE/>
              <w:autoSpaceDN/>
              <w:spacing w:line="400" w:lineRule="exact"/>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法 定 代 表 人</w:t>
            </w:r>
          </w:p>
          <w:p w14:paraId="6F627314">
            <w:pPr>
              <w:shd w:val="clear"/>
              <w:autoSpaceDE/>
              <w:autoSpaceDN/>
              <w:spacing w:line="400" w:lineRule="exact"/>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（签名或盖章）</w:t>
            </w:r>
          </w:p>
        </w:tc>
        <w:tc>
          <w:tcPr>
            <w:tcW w:w="5944" w:type="dxa"/>
            <w:gridSpan w:val="2"/>
            <w:tcBorders>
              <w:top w:val="single" w:color="auto" w:sz="4" w:space="0"/>
              <w:left w:val="single" w:color="auto" w:sz="4" w:space="0"/>
              <w:bottom w:val="single" w:color="auto" w:sz="4" w:space="0"/>
              <w:right w:val="single" w:color="auto" w:sz="4" w:space="0"/>
            </w:tcBorders>
            <w:vAlign w:val="center"/>
          </w:tcPr>
          <w:p w14:paraId="20871A66">
            <w:pPr>
              <w:shd w:val="clear"/>
              <w:autoSpaceDE/>
              <w:autoSpaceDN/>
              <w:spacing w:line="400" w:lineRule="exact"/>
              <w:jc w:val="center"/>
              <w:rPr>
                <w:rFonts w:hint="eastAsia" w:ascii="宋体" w:hAnsi="宋体" w:eastAsia="宋体" w:cs="宋体"/>
                <w:b/>
                <w:bCs/>
                <w:color w:val="auto"/>
                <w:sz w:val="24"/>
                <w:highlight w:val="none"/>
                <w:lang w:val="zh-CN"/>
              </w:rPr>
            </w:pPr>
          </w:p>
        </w:tc>
      </w:tr>
      <w:tr w14:paraId="103F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bottom w:val="single" w:color="auto" w:sz="4" w:space="0"/>
              <w:right w:val="single" w:color="auto" w:sz="4" w:space="0"/>
            </w:tcBorders>
            <w:vAlign w:val="center"/>
          </w:tcPr>
          <w:p w14:paraId="1085EF01">
            <w:pPr>
              <w:shd w:val="clear"/>
              <w:autoSpaceDE/>
              <w:autoSpaceDN/>
              <w:spacing w:line="400" w:lineRule="exact"/>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授 权 委 托 人</w:t>
            </w:r>
          </w:p>
          <w:p w14:paraId="689C626B">
            <w:pPr>
              <w:shd w:val="clear"/>
              <w:autoSpaceDE/>
              <w:autoSpaceDN/>
              <w:spacing w:line="400" w:lineRule="exact"/>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（签名或盖章）</w:t>
            </w:r>
          </w:p>
        </w:tc>
        <w:tc>
          <w:tcPr>
            <w:tcW w:w="5944" w:type="dxa"/>
            <w:gridSpan w:val="2"/>
            <w:tcBorders>
              <w:top w:val="single" w:color="auto" w:sz="4" w:space="0"/>
              <w:left w:val="single" w:color="auto" w:sz="4" w:space="0"/>
              <w:bottom w:val="single" w:color="auto" w:sz="4" w:space="0"/>
              <w:right w:val="single" w:color="auto" w:sz="4" w:space="0"/>
            </w:tcBorders>
            <w:vAlign w:val="center"/>
          </w:tcPr>
          <w:p w14:paraId="24956FFF">
            <w:pPr>
              <w:shd w:val="clear"/>
              <w:autoSpaceDE/>
              <w:autoSpaceDN/>
              <w:spacing w:line="400" w:lineRule="exact"/>
              <w:jc w:val="center"/>
              <w:rPr>
                <w:rFonts w:hint="eastAsia" w:ascii="宋体" w:hAnsi="宋体" w:eastAsia="宋体" w:cs="宋体"/>
                <w:b/>
                <w:bCs/>
                <w:color w:val="auto"/>
                <w:sz w:val="24"/>
                <w:highlight w:val="none"/>
                <w:lang w:val="zh-CN"/>
              </w:rPr>
            </w:pPr>
          </w:p>
        </w:tc>
      </w:tr>
      <w:tr w14:paraId="4470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bottom w:val="single" w:color="auto" w:sz="4" w:space="0"/>
              <w:right w:val="single" w:color="auto" w:sz="4" w:space="0"/>
            </w:tcBorders>
            <w:vAlign w:val="center"/>
          </w:tcPr>
          <w:p w14:paraId="58A62520">
            <w:pPr>
              <w:shd w:val="clear"/>
              <w:autoSpaceDE/>
              <w:autoSpaceDN/>
              <w:spacing w:line="400" w:lineRule="exact"/>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投标人</w:t>
            </w:r>
          </w:p>
          <w:p w14:paraId="0BCEE4F7">
            <w:pPr>
              <w:shd w:val="clear"/>
              <w:autoSpaceDE/>
              <w:autoSpaceDN/>
              <w:spacing w:line="400" w:lineRule="exact"/>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（企业公章）</w:t>
            </w:r>
          </w:p>
        </w:tc>
        <w:tc>
          <w:tcPr>
            <w:tcW w:w="5944" w:type="dxa"/>
            <w:gridSpan w:val="2"/>
            <w:tcBorders>
              <w:top w:val="single" w:color="auto" w:sz="4" w:space="0"/>
              <w:left w:val="single" w:color="auto" w:sz="4" w:space="0"/>
              <w:bottom w:val="single" w:color="auto" w:sz="4" w:space="0"/>
              <w:right w:val="single" w:color="auto" w:sz="4" w:space="0"/>
            </w:tcBorders>
            <w:vAlign w:val="center"/>
          </w:tcPr>
          <w:p w14:paraId="15AC9FD7">
            <w:pPr>
              <w:shd w:val="clear"/>
              <w:autoSpaceDE/>
              <w:autoSpaceDN/>
              <w:spacing w:line="400" w:lineRule="exact"/>
              <w:jc w:val="center"/>
              <w:rPr>
                <w:rFonts w:hint="eastAsia" w:ascii="宋体" w:hAnsi="宋体" w:eastAsia="宋体" w:cs="宋体"/>
                <w:b/>
                <w:bCs/>
                <w:color w:val="auto"/>
                <w:sz w:val="24"/>
                <w:highlight w:val="none"/>
                <w:lang w:val="zh-CN"/>
              </w:rPr>
            </w:pPr>
          </w:p>
        </w:tc>
      </w:tr>
    </w:tbl>
    <w:p w14:paraId="67D473B0">
      <w:pPr>
        <w:pStyle w:val="21"/>
        <w:shd w:val="clea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注：（1）联合体投标的，“投标人”一栏需书写所有联合体成员的单位全称，可由主办方签署、盖章。</w:t>
      </w:r>
    </w:p>
    <w:p w14:paraId="5E4454D7">
      <w:pPr>
        <w:pStyle w:val="21"/>
        <w:shd w:val="clear"/>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（2）投标报价的大写金额和小写金额不一致的，以大写金额为准。</w:t>
      </w:r>
    </w:p>
    <w:p w14:paraId="14179292">
      <w:pPr>
        <w:pStyle w:val="21"/>
        <w:shd w:val="clear"/>
        <w:ind w:firstLine="361" w:firstLineChars="200"/>
        <w:rPr>
          <w:rFonts w:hint="eastAsia" w:ascii="宋体" w:hAnsi="宋体" w:eastAsia="宋体" w:cs="宋体"/>
          <w:b/>
          <w:color w:val="auto"/>
          <w:sz w:val="18"/>
          <w:szCs w:val="18"/>
          <w:highlight w:val="none"/>
        </w:rPr>
        <w:sectPr>
          <w:footerReference r:id="rId7" w:type="default"/>
          <w:pgSz w:w="11906" w:h="16838"/>
          <w:pgMar w:top="1304" w:right="1304" w:bottom="1304" w:left="1304" w:header="851" w:footer="992" w:gutter="0"/>
          <w:cols w:space="720" w:num="1"/>
          <w:docGrid w:type="lines" w:linePitch="312" w:charSpace="0"/>
        </w:sectPr>
      </w:pPr>
      <w:r>
        <w:rPr>
          <w:rFonts w:hint="eastAsia" w:ascii="宋体" w:hAnsi="宋体" w:eastAsia="宋体" w:cs="宋体"/>
          <w:b/>
          <w:color w:val="auto"/>
          <w:sz w:val="18"/>
          <w:szCs w:val="18"/>
          <w:highlight w:val="none"/>
        </w:rPr>
        <w:t>（3）投标报价及下浮率的填报精确到小数点后2位，第3位四舍五入。</w:t>
      </w:r>
    </w:p>
    <w:p w14:paraId="51C044F7">
      <w:pPr>
        <w:pStyle w:val="3"/>
        <w:shd w:val="clear"/>
        <w:spacing w:before="0" w:after="0"/>
        <w:rPr>
          <w:rFonts w:hint="eastAsia" w:ascii="宋体" w:hAnsi="宋体" w:eastAsia="宋体" w:cs="宋体"/>
          <w:color w:val="auto"/>
          <w:sz w:val="28"/>
          <w:szCs w:val="28"/>
          <w:highlight w:val="none"/>
        </w:rPr>
      </w:pPr>
      <w:bookmarkStart w:id="531" w:name="_Toc29718"/>
      <w:bookmarkStart w:id="532" w:name="_Toc18803"/>
      <w:bookmarkStart w:id="533" w:name="_Toc4735"/>
      <w:bookmarkStart w:id="534" w:name="_Toc16769"/>
      <w:r>
        <w:rPr>
          <w:rFonts w:hint="eastAsia" w:ascii="宋体" w:hAnsi="宋体" w:eastAsia="宋体" w:cs="宋体"/>
          <w:color w:val="auto"/>
          <w:sz w:val="28"/>
          <w:szCs w:val="28"/>
          <w:highlight w:val="none"/>
        </w:rPr>
        <w:t>格式4：</w:t>
      </w:r>
      <w:bookmarkEnd w:id="531"/>
      <w:bookmarkEnd w:id="532"/>
      <w:bookmarkEnd w:id="533"/>
      <w:bookmarkEnd w:id="534"/>
    </w:p>
    <w:p w14:paraId="2D678C65">
      <w:pPr>
        <w:shd w:val="clear"/>
        <w:autoSpaceDE w:val="0"/>
        <w:autoSpaceDN w:val="0"/>
        <w:spacing w:line="360" w:lineRule="auto"/>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投标承诺函</w:t>
      </w:r>
    </w:p>
    <w:p w14:paraId="76A03514">
      <w:pPr>
        <w:shd w:val="clear"/>
        <w:spacing w:line="360" w:lineRule="auto"/>
        <w:jc w:val="center"/>
        <w:rPr>
          <w:rFonts w:hint="eastAsia" w:ascii="宋体" w:hAnsi="宋体" w:eastAsia="宋体" w:cs="宋体"/>
          <w:b/>
          <w:color w:val="auto"/>
          <w:sz w:val="24"/>
          <w:highlight w:val="none"/>
        </w:rPr>
      </w:pPr>
    </w:p>
    <w:p w14:paraId="650708E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（招标人名称）       </w:t>
      </w:r>
    </w:p>
    <w:p w14:paraId="40C3BC41">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我司确认收到贵司提供的</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招标文件的全部内容，我司：</w:t>
      </w:r>
      <w:r>
        <w:rPr>
          <w:rFonts w:hint="eastAsia" w:ascii="宋体" w:hAnsi="宋体" w:eastAsia="宋体" w:cs="宋体"/>
          <w:color w:val="auto"/>
          <w:szCs w:val="21"/>
          <w:highlight w:val="none"/>
          <w:u w:val="single"/>
        </w:rPr>
        <w:t xml:space="preserve">       (投标人名称)      </w:t>
      </w:r>
      <w:r>
        <w:rPr>
          <w:rFonts w:hint="eastAsia" w:ascii="宋体" w:hAnsi="宋体" w:eastAsia="宋体" w:cs="宋体"/>
          <w:color w:val="auto"/>
          <w:szCs w:val="21"/>
          <w:highlight w:val="none"/>
        </w:rPr>
        <w:t>已作为投标人正式授权</w:t>
      </w:r>
      <w:r>
        <w:rPr>
          <w:rFonts w:hint="eastAsia" w:ascii="宋体" w:hAnsi="宋体" w:eastAsia="宋体" w:cs="宋体"/>
          <w:color w:val="auto"/>
          <w:szCs w:val="21"/>
          <w:highlight w:val="none"/>
          <w:u w:val="single"/>
        </w:rPr>
        <w:t xml:space="preserve">         (授权代表全名，职务)    </w:t>
      </w:r>
      <w:r>
        <w:rPr>
          <w:rFonts w:hint="eastAsia" w:ascii="宋体" w:hAnsi="宋体" w:eastAsia="宋体" w:cs="宋体"/>
          <w:color w:val="auto"/>
          <w:szCs w:val="21"/>
          <w:highlight w:val="none"/>
        </w:rPr>
        <w:t>代表我司进行有关本投标的一切事宜。</w:t>
      </w:r>
    </w:p>
    <w:p w14:paraId="6B89D65B">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我司已完全明白和接受招标文件的所有条款要求，并重申以下几点：</w:t>
      </w:r>
    </w:p>
    <w:p w14:paraId="66F6A0ED">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司已详细研究并理解招标人提供的所有资料内容，同意招标文件的内容，对招标文件内容和约束无异议，充分了解了现场条件对可能存在的所有风险都已充分考虑，我司放弃在此方面提出含糊意见或误解的一切权力，承认招标文件的所有条款，按招标文件规定条款完成本次招标项目的内容。</w:t>
      </w:r>
    </w:p>
    <w:p w14:paraId="1B3B1EC7">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我司已充分阅读了本项目招标文件并充分了解有关报价方式及变更、结算方式，我司完全响应招标文件的规定。</w:t>
      </w:r>
    </w:p>
    <w:p w14:paraId="6BF184B4">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3．本投标文件的有效期为投标截止日后</w:t>
      </w:r>
      <w:r>
        <w:rPr>
          <w:rFonts w:hint="eastAsia" w:ascii="宋体" w:hAnsi="宋体" w:eastAsia="宋体" w:cs="宋体"/>
          <w:b/>
          <w:color w:val="auto"/>
          <w:szCs w:val="21"/>
          <w:highlight w:val="none"/>
          <w:u w:val="single"/>
        </w:rPr>
        <w:t>90日历天</w:t>
      </w:r>
      <w:r>
        <w:rPr>
          <w:rFonts w:hint="eastAsia" w:ascii="宋体" w:hAnsi="宋体" w:eastAsia="宋体" w:cs="宋体"/>
          <w:color w:val="auto"/>
          <w:szCs w:val="21"/>
          <w:highlight w:val="none"/>
        </w:rPr>
        <w:t>内有效；</w:t>
      </w:r>
    </w:p>
    <w:p w14:paraId="350B02A0">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4．我司承诺投标文件中的一切资料、数据是真实的，并承担由此引起的一切责任。</w:t>
      </w:r>
    </w:p>
    <w:p w14:paraId="65801AFD">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5．我司同意按照贵司可能提出的要求而提供与投标有关的任何其它数据或信息。</w:t>
      </w:r>
    </w:p>
    <w:p w14:paraId="2E4CDB3E">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6.1保证履行招标文件以及招标文件修改书(如有)中的全部责任和义务，在中标通知书规定的时间内签订合同，并严格按国家有关法规履行我司的全部责任，按质、按量、按期完成合同约定的全部任务。</w:t>
      </w:r>
    </w:p>
    <w:p w14:paraId="63B6B7EF">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保证将我司的资质承包范围不能涵盖或不具备相应能力(该能力须保证进度和质量且须获得招标人认可)的部分专业工程（如果有），委托获得招标人批准的具备相应专业资质和能力的单位实施，确保项目质量及进度。</w:t>
      </w:r>
    </w:p>
    <w:p w14:paraId="1B2BE307">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保证所完成的设计将完全符合国家相关规范要求，符合或优于招标文件、技术条件、合同条款的要求。若我司完成的设计文件未能达到招标人（或相关政府部门）的要求，我司将无条件根据要求进行修改设计文件，直至得到招标人（及相关政府部门）的认可为止。</w:t>
      </w:r>
    </w:p>
    <w:p w14:paraId="068E0D6C">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6.4保证尽一切力量确保投标承诺的竣工日期，若我司未能按投标承诺的工期完成本项目，除承担合同约定的违约责任外，招标人有权解除合同，我司承担由于违约解除合同退场造成的对招标人的一切损失。</w:t>
      </w:r>
    </w:p>
    <w:p w14:paraId="7AE024E7">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6.5保证投标所报的项目负责人、施工负责人、设计负责人在本项目合同签订后7日内到职，全过程服务于本项目，在过程中非不可抗力或招标人要求不得更换。我司违反以上承诺的，同意按合同条款的规定承担违约责任。</w:t>
      </w:r>
    </w:p>
    <w:p w14:paraId="1CCB1A75">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6.6保证所投入本项目的主要材料、设备质量符合或优于招标文件要求，所投入本项目的辅助设备、材料与主主要材料、设备质量一致并有良好的配套性。</w:t>
      </w:r>
    </w:p>
    <w:p w14:paraId="7904A57B">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6.7保证按照招标文件的要求确保安全生产及文明施工，如有违反，我司愿意按合同约定承担违约责任，并为此负相关的法律责任。</w:t>
      </w:r>
    </w:p>
    <w:p w14:paraId="2AE5C9A0">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6.8保证按国家的有关规定制订保证民工工资支付的方案及保证措施，否则，我司愿按合同条款规定承担违约责任并赔偿招标人的全部损失。</w:t>
      </w:r>
    </w:p>
    <w:p w14:paraId="24811974">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 若我方中标，我方承诺拟投入本项目的施工负责人满足《注册建造师管理规定》第21条规定，如出现委派的项目负责人在其他在建项目担任工程总承包项目负责人或施工负责人、或者施工负责人在其他在建项目中任项目负责人或施工负责人【包括但不限于广州公共资源交易中心企业库（包含广州市住建行业信用管理平台），广东省建筑市场监管公共服务平台项目负责人锁定情况】，无条件接受招标人取消中标资格，招标人可以确定排名第二的中标候选人为中标人。</w:t>
      </w:r>
    </w:p>
    <w:p w14:paraId="31030255">
      <w:pPr>
        <w:shd w:val="clear"/>
        <w:spacing w:line="360" w:lineRule="auto"/>
        <w:ind w:firstLine="420" w:firstLineChars="200"/>
        <w:rPr>
          <w:rFonts w:hint="eastAsia" w:ascii="宋体" w:hAnsi="宋体" w:eastAsia="宋体" w:cs="宋体"/>
          <w:color w:val="auto"/>
          <w:szCs w:val="21"/>
          <w:highlight w:val="none"/>
        </w:rPr>
      </w:pPr>
    </w:p>
    <w:p w14:paraId="2A917CF7">
      <w:pPr>
        <w:widowControl/>
        <w:shd w:val="clear"/>
        <w:spacing w:line="360" w:lineRule="auto"/>
        <w:jc w:val="left"/>
        <w:rPr>
          <w:rFonts w:hint="eastAsia" w:ascii="宋体" w:hAnsi="宋体" w:eastAsia="宋体" w:cs="宋体"/>
          <w:color w:val="auto"/>
          <w:szCs w:val="21"/>
          <w:highlight w:val="none"/>
        </w:rPr>
      </w:pPr>
    </w:p>
    <w:p w14:paraId="54687E61">
      <w:pPr>
        <w:shd w:val="clear"/>
        <w:spacing w:line="360" w:lineRule="auto"/>
        <w:ind w:firstLine="3360" w:firstLineChars="1600"/>
        <w:rPr>
          <w:rFonts w:hint="eastAsia" w:ascii="宋体" w:hAnsi="宋体" w:eastAsia="宋体" w:cs="宋体"/>
          <w:color w:val="auto"/>
          <w:szCs w:val="21"/>
          <w:highlight w:val="none"/>
        </w:rPr>
      </w:pPr>
    </w:p>
    <w:p w14:paraId="306D0C74">
      <w:pPr>
        <w:shd w:val="clear"/>
        <w:spacing w:line="360" w:lineRule="auto"/>
        <w:ind w:firstLine="3360" w:firstLineChars="1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    （盖章）</w:t>
      </w:r>
    </w:p>
    <w:p w14:paraId="3A9AAC8D">
      <w:pPr>
        <w:shd w:val="clear"/>
        <w:spacing w:line="360" w:lineRule="auto"/>
        <w:ind w:firstLine="3360" w:firstLineChars="1600"/>
        <w:rPr>
          <w:rFonts w:hint="eastAsia" w:ascii="宋体" w:hAnsi="宋体" w:eastAsia="宋体" w:cs="宋体"/>
          <w:color w:val="auto"/>
          <w:sz w:val="24"/>
          <w:highlight w:val="none"/>
        </w:rPr>
      </w:pPr>
      <w:r>
        <w:rPr>
          <w:rFonts w:hint="eastAsia" w:ascii="宋体" w:hAnsi="宋体" w:eastAsia="宋体" w:cs="宋体"/>
          <w:color w:val="auto"/>
          <w:szCs w:val="21"/>
          <w:highlight w:val="none"/>
        </w:rPr>
        <w:t>法定代表人或其授权代理人(签名或盖</w:t>
      </w:r>
      <w:r>
        <w:rPr>
          <w:rFonts w:hint="eastAsia" w:ascii="宋体" w:hAnsi="宋体" w:eastAsia="宋体" w:cs="宋体"/>
          <w:color w:val="auto"/>
          <w:sz w:val="24"/>
          <w:highlight w:val="none"/>
        </w:rPr>
        <w:t>章)：</w:t>
      </w:r>
    </w:p>
    <w:p w14:paraId="3D74BEDA">
      <w:pPr>
        <w:shd w:val="clea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3184C2C7">
      <w:pPr>
        <w:pStyle w:val="21"/>
        <w:shd w:val="clear"/>
        <w:spacing w:line="360" w:lineRule="auto"/>
        <w:ind w:firstLine="241" w:firstLineChars="100"/>
        <w:rPr>
          <w:rFonts w:hint="eastAsia" w:ascii="宋体" w:hAnsi="宋体" w:eastAsia="宋体" w:cs="宋体"/>
          <w:b/>
          <w:color w:val="auto"/>
          <w:sz w:val="24"/>
          <w:szCs w:val="24"/>
          <w:highlight w:val="none"/>
        </w:rPr>
      </w:pPr>
    </w:p>
    <w:p w14:paraId="016F5C0B">
      <w:pPr>
        <w:shd w:val="clear"/>
        <w:topLinePunct/>
        <w:rPr>
          <w:rFonts w:hint="eastAsia" w:ascii="宋体" w:hAnsi="宋体" w:eastAsia="宋体" w:cs="宋体"/>
          <w:b/>
          <w:bCs/>
          <w:color w:val="auto"/>
          <w:highlight w:val="none"/>
        </w:rPr>
      </w:pPr>
      <w:r>
        <w:rPr>
          <w:rFonts w:hint="eastAsia" w:ascii="宋体" w:hAnsi="宋体" w:eastAsia="宋体" w:cs="宋体"/>
          <w:b/>
          <w:color w:val="auto"/>
          <w:szCs w:val="21"/>
          <w:highlight w:val="none"/>
        </w:rPr>
        <w:t>注：联合体投标的，“投标人”一栏需书写所有联合体成员的单位全称，可由主办方签署、盖章。</w:t>
      </w:r>
    </w:p>
    <w:p w14:paraId="4BA57CCD">
      <w:pPr>
        <w:pStyle w:val="3"/>
        <w:shd w:val="clear"/>
        <w:spacing w:before="0" w:after="0"/>
        <w:rPr>
          <w:rFonts w:hint="eastAsia" w:ascii="宋体" w:hAnsi="宋体" w:eastAsia="宋体" w:cs="宋体"/>
          <w:color w:val="auto"/>
          <w:highlight w:val="none"/>
          <w:lang w:val="zh-CN"/>
        </w:rPr>
      </w:pPr>
      <w:r>
        <w:rPr>
          <w:rFonts w:hint="eastAsia" w:ascii="宋体" w:hAnsi="宋体" w:eastAsia="宋体" w:cs="宋体"/>
          <w:color w:val="auto"/>
          <w:highlight w:val="none"/>
        </w:rPr>
        <w:br w:type="page"/>
      </w:r>
      <w:bookmarkStart w:id="535" w:name="_Toc3204"/>
      <w:bookmarkStart w:id="536" w:name="_Toc18337"/>
      <w:bookmarkStart w:id="537" w:name="_Toc26059"/>
      <w:bookmarkStart w:id="538" w:name="_Toc31889"/>
      <w:r>
        <w:rPr>
          <w:rFonts w:hint="eastAsia" w:ascii="宋体" w:hAnsi="宋体" w:eastAsia="宋体" w:cs="宋体"/>
          <w:color w:val="auto"/>
          <w:sz w:val="28"/>
          <w:szCs w:val="28"/>
          <w:highlight w:val="none"/>
        </w:rPr>
        <w:t>格式5：</w:t>
      </w:r>
      <w:bookmarkEnd w:id="535"/>
      <w:bookmarkEnd w:id="536"/>
      <w:bookmarkEnd w:id="537"/>
      <w:bookmarkEnd w:id="538"/>
    </w:p>
    <w:p w14:paraId="126AD3BA">
      <w:pPr>
        <w:shd w:val="clear"/>
        <w:autoSpaceDE w:val="0"/>
        <w:autoSpaceDN w:val="0"/>
        <w:spacing w:line="360" w:lineRule="auto"/>
        <w:jc w:val="center"/>
        <w:rPr>
          <w:rFonts w:hint="eastAsia" w:ascii="宋体" w:hAnsi="宋体" w:eastAsia="宋体" w:cs="宋体"/>
          <w:b/>
          <w:bCs/>
          <w:color w:val="auto"/>
          <w:sz w:val="28"/>
          <w:szCs w:val="28"/>
          <w:highlight w:val="none"/>
          <w:lang w:val="zh-CN"/>
        </w:rPr>
      </w:pPr>
      <w:bookmarkStart w:id="539" w:name="OLE_LINK2"/>
      <w:r>
        <w:rPr>
          <w:rFonts w:hint="eastAsia" w:ascii="宋体" w:hAnsi="宋体" w:eastAsia="宋体" w:cs="宋体"/>
          <w:b/>
          <w:bCs/>
          <w:color w:val="auto"/>
          <w:sz w:val="28"/>
          <w:szCs w:val="28"/>
          <w:highlight w:val="none"/>
          <w:lang w:val="zh-CN"/>
        </w:rPr>
        <w:t>项目管理团队人员信息表</w:t>
      </w:r>
      <w:bookmarkEnd w:id="539"/>
    </w:p>
    <w:tbl>
      <w:tblPr>
        <w:tblStyle w:val="40"/>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293"/>
        <w:gridCol w:w="545"/>
        <w:gridCol w:w="755"/>
        <w:gridCol w:w="722"/>
        <w:gridCol w:w="722"/>
        <w:gridCol w:w="721"/>
        <w:gridCol w:w="1734"/>
        <w:gridCol w:w="1156"/>
        <w:gridCol w:w="1536"/>
      </w:tblGrid>
      <w:tr w14:paraId="17BD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50" w:type="dxa"/>
            <w:tcBorders>
              <w:top w:val="single" w:color="auto" w:sz="4" w:space="0"/>
              <w:left w:val="single" w:color="auto" w:sz="4" w:space="0"/>
              <w:bottom w:val="single" w:color="auto" w:sz="4" w:space="0"/>
              <w:right w:val="single" w:color="auto" w:sz="4" w:space="0"/>
            </w:tcBorders>
            <w:vAlign w:val="center"/>
          </w:tcPr>
          <w:p w14:paraId="6CFD478E">
            <w:pPr>
              <w:pStyle w:val="96"/>
              <w:shd w:val="clear"/>
              <w:jc w:val="both"/>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93" w:type="dxa"/>
            <w:tcBorders>
              <w:top w:val="single" w:color="auto" w:sz="4" w:space="0"/>
              <w:left w:val="single" w:color="auto" w:sz="4" w:space="0"/>
              <w:bottom w:val="single" w:color="auto" w:sz="4" w:space="0"/>
              <w:right w:val="single" w:color="auto" w:sz="4" w:space="0"/>
            </w:tcBorders>
            <w:vAlign w:val="center"/>
          </w:tcPr>
          <w:p w14:paraId="7235CB12">
            <w:pPr>
              <w:pStyle w:val="96"/>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545" w:type="dxa"/>
            <w:tcBorders>
              <w:top w:val="single" w:color="auto" w:sz="4" w:space="0"/>
              <w:left w:val="single" w:color="auto" w:sz="4" w:space="0"/>
              <w:bottom w:val="single" w:color="auto" w:sz="4" w:space="0"/>
              <w:right w:val="single" w:color="auto" w:sz="4" w:space="0"/>
            </w:tcBorders>
            <w:vAlign w:val="center"/>
          </w:tcPr>
          <w:p w14:paraId="40F4FEED">
            <w:pPr>
              <w:pStyle w:val="96"/>
              <w:shd w:val="clear"/>
              <w:jc w:val="both"/>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755" w:type="dxa"/>
            <w:tcBorders>
              <w:top w:val="single" w:color="auto" w:sz="4" w:space="0"/>
              <w:left w:val="single" w:color="auto" w:sz="4" w:space="0"/>
              <w:bottom w:val="single" w:color="auto" w:sz="4" w:space="0"/>
              <w:right w:val="single" w:color="auto" w:sz="4" w:space="0"/>
            </w:tcBorders>
            <w:vAlign w:val="center"/>
          </w:tcPr>
          <w:p w14:paraId="5C935FB9">
            <w:pPr>
              <w:pStyle w:val="96"/>
              <w:shd w:val="clear"/>
              <w:jc w:val="both"/>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722" w:type="dxa"/>
            <w:tcBorders>
              <w:top w:val="single" w:color="auto" w:sz="4" w:space="0"/>
              <w:left w:val="single" w:color="auto" w:sz="4" w:space="0"/>
              <w:bottom w:val="single" w:color="auto" w:sz="4" w:space="0"/>
              <w:right w:val="single" w:color="auto" w:sz="4" w:space="0"/>
            </w:tcBorders>
            <w:vAlign w:val="center"/>
          </w:tcPr>
          <w:p w14:paraId="30905B7E">
            <w:pPr>
              <w:pStyle w:val="96"/>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岗位</w:t>
            </w:r>
          </w:p>
        </w:tc>
        <w:tc>
          <w:tcPr>
            <w:tcW w:w="722" w:type="dxa"/>
            <w:tcBorders>
              <w:top w:val="single" w:color="auto" w:sz="4" w:space="0"/>
              <w:left w:val="single" w:color="auto" w:sz="4" w:space="0"/>
              <w:bottom w:val="single" w:color="auto" w:sz="4" w:space="0"/>
              <w:right w:val="single" w:color="auto" w:sz="4" w:space="0"/>
            </w:tcBorders>
            <w:vAlign w:val="center"/>
          </w:tcPr>
          <w:p w14:paraId="61402A41">
            <w:pPr>
              <w:pStyle w:val="96"/>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721" w:type="dxa"/>
            <w:tcBorders>
              <w:top w:val="single" w:color="auto" w:sz="4" w:space="0"/>
              <w:left w:val="single" w:color="auto" w:sz="4" w:space="0"/>
              <w:bottom w:val="single" w:color="auto" w:sz="4" w:space="0"/>
              <w:right w:val="single" w:color="auto" w:sz="4" w:space="0"/>
            </w:tcBorders>
            <w:vAlign w:val="center"/>
          </w:tcPr>
          <w:p w14:paraId="69AEB270">
            <w:pPr>
              <w:pStyle w:val="96"/>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专业</w:t>
            </w:r>
          </w:p>
        </w:tc>
        <w:tc>
          <w:tcPr>
            <w:tcW w:w="1734" w:type="dxa"/>
            <w:tcBorders>
              <w:top w:val="single" w:color="auto" w:sz="4" w:space="0"/>
              <w:left w:val="single" w:color="auto" w:sz="4" w:space="0"/>
              <w:bottom w:val="single" w:color="auto" w:sz="4" w:space="0"/>
              <w:right w:val="single" w:color="auto" w:sz="4" w:space="0"/>
            </w:tcBorders>
            <w:vAlign w:val="center"/>
          </w:tcPr>
          <w:p w14:paraId="41CC5C54">
            <w:pPr>
              <w:pStyle w:val="96"/>
              <w:shd w:val="clear"/>
              <w:jc w:val="both"/>
              <w:rPr>
                <w:rFonts w:hint="eastAsia" w:ascii="宋体" w:hAnsi="宋体" w:eastAsia="宋体" w:cs="宋体"/>
                <w:color w:val="auto"/>
                <w:highlight w:val="none"/>
              </w:rPr>
            </w:pPr>
            <w:r>
              <w:rPr>
                <w:rFonts w:hint="eastAsia" w:ascii="宋体" w:hAnsi="宋体" w:eastAsia="宋体" w:cs="宋体"/>
                <w:color w:val="auto"/>
                <w:highlight w:val="none"/>
              </w:rPr>
              <w:t>职称证书或资格证书或者注册执业资格证编号</w:t>
            </w:r>
          </w:p>
        </w:tc>
        <w:tc>
          <w:tcPr>
            <w:tcW w:w="1156" w:type="dxa"/>
            <w:tcBorders>
              <w:top w:val="single" w:color="auto" w:sz="4" w:space="0"/>
              <w:left w:val="single" w:color="auto" w:sz="4" w:space="0"/>
              <w:bottom w:val="single" w:color="auto" w:sz="4" w:space="0"/>
              <w:right w:val="single" w:color="auto" w:sz="4" w:space="0"/>
            </w:tcBorders>
            <w:vAlign w:val="center"/>
          </w:tcPr>
          <w:p w14:paraId="320EDE59">
            <w:pPr>
              <w:pStyle w:val="96"/>
              <w:shd w:val="clear"/>
              <w:jc w:val="both"/>
              <w:rPr>
                <w:rFonts w:hint="eastAsia" w:ascii="宋体" w:hAnsi="宋体" w:eastAsia="宋体" w:cs="宋体"/>
                <w:color w:val="auto"/>
                <w:highlight w:val="none"/>
              </w:rPr>
            </w:pPr>
            <w:r>
              <w:rPr>
                <w:rFonts w:hint="eastAsia" w:ascii="宋体" w:hAnsi="宋体" w:eastAsia="宋体" w:cs="宋体"/>
                <w:color w:val="auto"/>
                <w:highlight w:val="none"/>
              </w:rPr>
              <w:t>从事工程工作年限</w:t>
            </w:r>
          </w:p>
        </w:tc>
        <w:tc>
          <w:tcPr>
            <w:tcW w:w="1536" w:type="dxa"/>
            <w:tcBorders>
              <w:top w:val="single" w:color="auto" w:sz="4" w:space="0"/>
              <w:left w:val="single" w:color="auto" w:sz="4" w:space="0"/>
              <w:bottom w:val="single" w:color="auto" w:sz="4" w:space="0"/>
              <w:right w:val="single" w:color="auto" w:sz="4" w:space="0"/>
            </w:tcBorders>
            <w:vAlign w:val="center"/>
          </w:tcPr>
          <w:p w14:paraId="59F46903">
            <w:pPr>
              <w:pStyle w:val="96"/>
              <w:shd w:val="clear"/>
              <w:jc w:val="both"/>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3EB3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61AF50B2">
            <w:pPr>
              <w:pStyle w:val="114"/>
              <w:shd w:val="clear"/>
              <w:adjustRightInd/>
              <w:snapToGrid/>
              <w:ind w:firstLine="496"/>
              <w:rPr>
                <w:rFonts w:hint="eastAsia" w:ascii="宋体" w:hAnsi="宋体" w:eastAsia="宋体" w:cs="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764BFE3F">
            <w:pPr>
              <w:pStyle w:val="114"/>
              <w:shd w:val="clear"/>
              <w:adjustRightInd/>
              <w:snapToGrid/>
              <w:ind w:firstLine="496"/>
              <w:rPr>
                <w:rFonts w:hint="eastAsia" w:ascii="宋体" w:hAnsi="宋体" w:eastAsia="宋体" w:cs="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67DAFC3C">
            <w:pPr>
              <w:pStyle w:val="114"/>
              <w:shd w:val="clear"/>
              <w:adjustRightInd/>
              <w:snapToGrid/>
              <w:ind w:firstLine="496"/>
              <w:rPr>
                <w:rFonts w:hint="eastAsia" w:ascii="宋体" w:hAnsi="宋体" w:eastAsia="宋体" w:cs="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22C53E11">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14:paraId="71CA05B3">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09670603">
            <w:pPr>
              <w:pStyle w:val="114"/>
              <w:shd w:val="clear"/>
              <w:adjustRightInd/>
              <w:snapToGrid/>
              <w:ind w:firstLine="496"/>
              <w:rPr>
                <w:rFonts w:hint="eastAsia" w:ascii="宋体" w:hAnsi="宋体" w:eastAsia="宋体" w:cs="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70B035C7">
            <w:pPr>
              <w:pStyle w:val="114"/>
              <w:shd w:val="clear"/>
              <w:adjustRightInd/>
              <w:snapToGrid/>
              <w:ind w:firstLine="496"/>
              <w:rPr>
                <w:rFonts w:hint="eastAsia" w:ascii="宋体" w:hAnsi="宋体" w:eastAsia="宋体" w:cs="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4957741D">
            <w:pPr>
              <w:pStyle w:val="114"/>
              <w:shd w:val="clear"/>
              <w:adjustRightInd/>
              <w:snapToGrid/>
              <w:ind w:firstLine="496"/>
              <w:rPr>
                <w:rFonts w:hint="eastAsia" w:ascii="宋体" w:hAnsi="宋体" w:eastAsia="宋体" w:cs="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14:paraId="634F5F57">
            <w:pPr>
              <w:pStyle w:val="114"/>
              <w:shd w:val="clear"/>
              <w:adjustRightInd/>
              <w:snapToGrid/>
              <w:ind w:firstLine="496"/>
              <w:rPr>
                <w:rFonts w:hint="eastAsia" w:ascii="宋体" w:hAnsi="宋体" w:eastAsia="宋体" w:cs="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14:paraId="26176F72">
            <w:pPr>
              <w:pStyle w:val="114"/>
              <w:shd w:val="clear"/>
              <w:adjustRightInd/>
              <w:snapToGrid/>
              <w:ind w:firstLine="496"/>
              <w:rPr>
                <w:rFonts w:hint="eastAsia" w:ascii="宋体" w:hAnsi="宋体" w:eastAsia="宋体" w:cs="宋体"/>
                <w:snapToGrid w:val="0"/>
                <w:color w:val="auto"/>
                <w:highlight w:val="none"/>
              </w:rPr>
            </w:pPr>
          </w:p>
        </w:tc>
      </w:tr>
      <w:tr w14:paraId="2DD7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48DCDA3B">
            <w:pPr>
              <w:pStyle w:val="114"/>
              <w:shd w:val="clear"/>
              <w:adjustRightInd/>
              <w:snapToGrid/>
              <w:ind w:firstLine="496"/>
              <w:rPr>
                <w:rFonts w:hint="eastAsia" w:ascii="宋体" w:hAnsi="宋体" w:eastAsia="宋体" w:cs="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059631BD">
            <w:pPr>
              <w:pStyle w:val="114"/>
              <w:shd w:val="clear"/>
              <w:adjustRightInd/>
              <w:snapToGrid/>
              <w:ind w:firstLine="496"/>
              <w:rPr>
                <w:rFonts w:hint="eastAsia" w:ascii="宋体" w:hAnsi="宋体" w:eastAsia="宋体" w:cs="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038294E9">
            <w:pPr>
              <w:pStyle w:val="114"/>
              <w:shd w:val="clear"/>
              <w:adjustRightInd/>
              <w:snapToGrid/>
              <w:ind w:firstLine="496"/>
              <w:rPr>
                <w:rFonts w:hint="eastAsia" w:ascii="宋体" w:hAnsi="宋体" w:eastAsia="宋体" w:cs="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2A1627FD">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14:paraId="7C715DD0">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5000FE70">
            <w:pPr>
              <w:pStyle w:val="114"/>
              <w:shd w:val="clear"/>
              <w:adjustRightInd/>
              <w:snapToGrid/>
              <w:ind w:firstLine="496"/>
              <w:rPr>
                <w:rFonts w:hint="eastAsia" w:ascii="宋体" w:hAnsi="宋体" w:eastAsia="宋体" w:cs="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79BE27E7">
            <w:pPr>
              <w:pStyle w:val="114"/>
              <w:shd w:val="clear"/>
              <w:adjustRightInd/>
              <w:snapToGrid/>
              <w:ind w:firstLine="496"/>
              <w:rPr>
                <w:rFonts w:hint="eastAsia" w:ascii="宋体" w:hAnsi="宋体" w:eastAsia="宋体" w:cs="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25FA42D1">
            <w:pPr>
              <w:pStyle w:val="114"/>
              <w:shd w:val="clear"/>
              <w:adjustRightInd/>
              <w:snapToGrid/>
              <w:ind w:firstLine="496"/>
              <w:rPr>
                <w:rFonts w:hint="eastAsia" w:ascii="宋体" w:hAnsi="宋体" w:eastAsia="宋体" w:cs="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14:paraId="76964DC7">
            <w:pPr>
              <w:pStyle w:val="114"/>
              <w:shd w:val="clear"/>
              <w:adjustRightInd/>
              <w:snapToGrid/>
              <w:ind w:firstLine="496"/>
              <w:rPr>
                <w:rFonts w:hint="eastAsia" w:ascii="宋体" w:hAnsi="宋体" w:eastAsia="宋体" w:cs="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14:paraId="4C188E37">
            <w:pPr>
              <w:pStyle w:val="114"/>
              <w:shd w:val="clear"/>
              <w:adjustRightInd/>
              <w:snapToGrid/>
              <w:ind w:firstLine="496"/>
              <w:rPr>
                <w:rFonts w:hint="eastAsia" w:ascii="宋体" w:hAnsi="宋体" w:eastAsia="宋体" w:cs="宋体"/>
                <w:snapToGrid w:val="0"/>
                <w:color w:val="auto"/>
                <w:highlight w:val="none"/>
              </w:rPr>
            </w:pPr>
          </w:p>
        </w:tc>
      </w:tr>
      <w:tr w14:paraId="7F814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545122B7">
            <w:pPr>
              <w:pStyle w:val="114"/>
              <w:shd w:val="clear"/>
              <w:adjustRightInd/>
              <w:snapToGrid/>
              <w:ind w:firstLine="496"/>
              <w:rPr>
                <w:rFonts w:hint="eastAsia" w:ascii="宋体" w:hAnsi="宋体" w:eastAsia="宋体" w:cs="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551DBA18">
            <w:pPr>
              <w:pStyle w:val="114"/>
              <w:shd w:val="clear"/>
              <w:adjustRightInd/>
              <w:snapToGrid/>
              <w:ind w:firstLine="496"/>
              <w:rPr>
                <w:rFonts w:hint="eastAsia" w:ascii="宋体" w:hAnsi="宋体" w:eastAsia="宋体" w:cs="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2D05F286">
            <w:pPr>
              <w:pStyle w:val="114"/>
              <w:shd w:val="clear"/>
              <w:adjustRightInd/>
              <w:snapToGrid/>
              <w:ind w:firstLine="496"/>
              <w:rPr>
                <w:rFonts w:hint="eastAsia" w:ascii="宋体" w:hAnsi="宋体" w:eastAsia="宋体" w:cs="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64FDBB68">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14:paraId="31D89864">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30690676">
            <w:pPr>
              <w:pStyle w:val="114"/>
              <w:shd w:val="clear"/>
              <w:adjustRightInd/>
              <w:snapToGrid/>
              <w:ind w:firstLine="496"/>
              <w:rPr>
                <w:rFonts w:hint="eastAsia" w:ascii="宋体" w:hAnsi="宋体" w:eastAsia="宋体" w:cs="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01190FC9">
            <w:pPr>
              <w:pStyle w:val="114"/>
              <w:shd w:val="clear"/>
              <w:adjustRightInd/>
              <w:snapToGrid/>
              <w:ind w:firstLine="496"/>
              <w:rPr>
                <w:rFonts w:hint="eastAsia" w:ascii="宋体" w:hAnsi="宋体" w:eastAsia="宋体" w:cs="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320512AD">
            <w:pPr>
              <w:pStyle w:val="114"/>
              <w:shd w:val="clear"/>
              <w:adjustRightInd/>
              <w:snapToGrid/>
              <w:ind w:firstLine="496"/>
              <w:rPr>
                <w:rFonts w:hint="eastAsia" w:ascii="宋体" w:hAnsi="宋体" w:eastAsia="宋体" w:cs="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14:paraId="217BAFBA">
            <w:pPr>
              <w:pStyle w:val="114"/>
              <w:shd w:val="clear"/>
              <w:adjustRightInd/>
              <w:snapToGrid/>
              <w:ind w:firstLine="496"/>
              <w:rPr>
                <w:rFonts w:hint="eastAsia" w:ascii="宋体" w:hAnsi="宋体" w:eastAsia="宋体" w:cs="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14:paraId="46543682">
            <w:pPr>
              <w:pStyle w:val="114"/>
              <w:shd w:val="clear"/>
              <w:adjustRightInd/>
              <w:snapToGrid/>
              <w:ind w:firstLine="496"/>
              <w:rPr>
                <w:rFonts w:hint="eastAsia" w:ascii="宋体" w:hAnsi="宋体" w:eastAsia="宋体" w:cs="宋体"/>
                <w:snapToGrid w:val="0"/>
                <w:color w:val="auto"/>
                <w:highlight w:val="none"/>
              </w:rPr>
            </w:pPr>
          </w:p>
        </w:tc>
      </w:tr>
      <w:tr w14:paraId="5374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0F27C119">
            <w:pPr>
              <w:pStyle w:val="114"/>
              <w:shd w:val="clear"/>
              <w:adjustRightInd/>
              <w:snapToGrid/>
              <w:ind w:firstLine="496"/>
              <w:rPr>
                <w:rFonts w:hint="eastAsia" w:ascii="宋体" w:hAnsi="宋体" w:eastAsia="宋体" w:cs="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51EF0AA9">
            <w:pPr>
              <w:pStyle w:val="114"/>
              <w:shd w:val="clear"/>
              <w:adjustRightInd/>
              <w:snapToGrid/>
              <w:ind w:firstLine="496"/>
              <w:rPr>
                <w:rFonts w:hint="eastAsia" w:ascii="宋体" w:hAnsi="宋体" w:eastAsia="宋体" w:cs="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5914C8B4">
            <w:pPr>
              <w:pStyle w:val="114"/>
              <w:shd w:val="clear"/>
              <w:adjustRightInd/>
              <w:snapToGrid/>
              <w:ind w:firstLine="496"/>
              <w:rPr>
                <w:rFonts w:hint="eastAsia" w:ascii="宋体" w:hAnsi="宋体" w:eastAsia="宋体" w:cs="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2E6128A8">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14:paraId="6B904FF6">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04227A5C">
            <w:pPr>
              <w:pStyle w:val="114"/>
              <w:shd w:val="clear"/>
              <w:adjustRightInd/>
              <w:snapToGrid/>
              <w:ind w:firstLine="496"/>
              <w:rPr>
                <w:rFonts w:hint="eastAsia" w:ascii="宋体" w:hAnsi="宋体" w:eastAsia="宋体" w:cs="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69205EFB">
            <w:pPr>
              <w:pStyle w:val="114"/>
              <w:shd w:val="clear"/>
              <w:adjustRightInd/>
              <w:snapToGrid/>
              <w:ind w:firstLine="496"/>
              <w:rPr>
                <w:rFonts w:hint="eastAsia" w:ascii="宋体" w:hAnsi="宋体" w:eastAsia="宋体" w:cs="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26F49B9C">
            <w:pPr>
              <w:pStyle w:val="114"/>
              <w:shd w:val="clear"/>
              <w:adjustRightInd/>
              <w:snapToGrid/>
              <w:ind w:firstLine="496"/>
              <w:rPr>
                <w:rFonts w:hint="eastAsia" w:ascii="宋体" w:hAnsi="宋体" w:eastAsia="宋体" w:cs="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14:paraId="6F57975F">
            <w:pPr>
              <w:pStyle w:val="114"/>
              <w:shd w:val="clear"/>
              <w:adjustRightInd/>
              <w:snapToGrid/>
              <w:ind w:firstLine="496"/>
              <w:rPr>
                <w:rFonts w:hint="eastAsia" w:ascii="宋体" w:hAnsi="宋体" w:eastAsia="宋体" w:cs="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14:paraId="65124023">
            <w:pPr>
              <w:pStyle w:val="114"/>
              <w:shd w:val="clear"/>
              <w:adjustRightInd/>
              <w:snapToGrid/>
              <w:ind w:firstLine="496"/>
              <w:rPr>
                <w:rFonts w:hint="eastAsia" w:ascii="宋体" w:hAnsi="宋体" w:eastAsia="宋体" w:cs="宋体"/>
                <w:snapToGrid w:val="0"/>
                <w:color w:val="auto"/>
                <w:highlight w:val="none"/>
              </w:rPr>
            </w:pPr>
          </w:p>
        </w:tc>
      </w:tr>
      <w:tr w14:paraId="2075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799C0B10">
            <w:pPr>
              <w:pStyle w:val="114"/>
              <w:shd w:val="clear"/>
              <w:adjustRightInd/>
              <w:snapToGrid/>
              <w:ind w:firstLine="496"/>
              <w:rPr>
                <w:rFonts w:hint="eastAsia" w:ascii="宋体" w:hAnsi="宋体" w:eastAsia="宋体" w:cs="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7FAAC083">
            <w:pPr>
              <w:pStyle w:val="114"/>
              <w:shd w:val="clear"/>
              <w:adjustRightInd/>
              <w:snapToGrid/>
              <w:ind w:firstLine="496"/>
              <w:rPr>
                <w:rFonts w:hint="eastAsia" w:ascii="宋体" w:hAnsi="宋体" w:eastAsia="宋体" w:cs="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7DDA566C">
            <w:pPr>
              <w:pStyle w:val="114"/>
              <w:shd w:val="clear"/>
              <w:adjustRightInd/>
              <w:snapToGrid/>
              <w:ind w:firstLine="496"/>
              <w:rPr>
                <w:rFonts w:hint="eastAsia" w:ascii="宋体" w:hAnsi="宋体" w:eastAsia="宋体" w:cs="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54B3ED9D">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14:paraId="516945B2">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66702303">
            <w:pPr>
              <w:pStyle w:val="114"/>
              <w:shd w:val="clear"/>
              <w:adjustRightInd/>
              <w:snapToGrid/>
              <w:ind w:firstLine="496"/>
              <w:rPr>
                <w:rFonts w:hint="eastAsia" w:ascii="宋体" w:hAnsi="宋体" w:eastAsia="宋体" w:cs="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7891DE09">
            <w:pPr>
              <w:pStyle w:val="114"/>
              <w:shd w:val="clear"/>
              <w:adjustRightInd/>
              <w:snapToGrid/>
              <w:ind w:firstLine="496"/>
              <w:rPr>
                <w:rFonts w:hint="eastAsia" w:ascii="宋体" w:hAnsi="宋体" w:eastAsia="宋体" w:cs="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6B903421">
            <w:pPr>
              <w:pStyle w:val="114"/>
              <w:shd w:val="clear"/>
              <w:adjustRightInd/>
              <w:snapToGrid/>
              <w:ind w:firstLine="496"/>
              <w:rPr>
                <w:rFonts w:hint="eastAsia" w:ascii="宋体" w:hAnsi="宋体" w:eastAsia="宋体" w:cs="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14:paraId="22F422AF">
            <w:pPr>
              <w:pStyle w:val="114"/>
              <w:shd w:val="clear"/>
              <w:adjustRightInd/>
              <w:snapToGrid/>
              <w:ind w:firstLine="496"/>
              <w:rPr>
                <w:rFonts w:hint="eastAsia" w:ascii="宋体" w:hAnsi="宋体" w:eastAsia="宋体" w:cs="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14:paraId="771A9D55">
            <w:pPr>
              <w:pStyle w:val="114"/>
              <w:shd w:val="clear"/>
              <w:adjustRightInd/>
              <w:snapToGrid/>
              <w:ind w:firstLine="496"/>
              <w:rPr>
                <w:rFonts w:hint="eastAsia" w:ascii="宋体" w:hAnsi="宋体" w:eastAsia="宋体" w:cs="宋体"/>
                <w:snapToGrid w:val="0"/>
                <w:color w:val="auto"/>
                <w:highlight w:val="none"/>
              </w:rPr>
            </w:pPr>
          </w:p>
        </w:tc>
      </w:tr>
      <w:tr w14:paraId="3C67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0EB04639">
            <w:pPr>
              <w:pStyle w:val="114"/>
              <w:shd w:val="clear"/>
              <w:adjustRightInd/>
              <w:snapToGrid/>
              <w:ind w:firstLine="496"/>
              <w:rPr>
                <w:rFonts w:hint="eastAsia" w:ascii="宋体" w:hAnsi="宋体" w:eastAsia="宋体" w:cs="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288306CC">
            <w:pPr>
              <w:pStyle w:val="114"/>
              <w:shd w:val="clear"/>
              <w:adjustRightInd/>
              <w:snapToGrid/>
              <w:ind w:firstLine="496"/>
              <w:rPr>
                <w:rFonts w:hint="eastAsia" w:ascii="宋体" w:hAnsi="宋体" w:eastAsia="宋体" w:cs="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373EBFFA">
            <w:pPr>
              <w:pStyle w:val="114"/>
              <w:shd w:val="clear"/>
              <w:adjustRightInd/>
              <w:snapToGrid/>
              <w:ind w:firstLine="496"/>
              <w:rPr>
                <w:rFonts w:hint="eastAsia" w:ascii="宋体" w:hAnsi="宋体" w:eastAsia="宋体" w:cs="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4944255F">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14:paraId="3E52721B">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1772FF79">
            <w:pPr>
              <w:pStyle w:val="114"/>
              <w:shd w:val="clear"/>
              <w:adjustRightInd/>
              <w:snapToGrid/>
              <w:ind w:firstLine="496"/>
              <w:rPr>
                <w:rFonts w:hint="eastAsia" w:ascii="宋体" w:hAnsi="宋体" w:eastAsia="宋体" w:cs="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7BAF5BBF">
            <w:pPr>
              <w:pStyle w:val="114"/>
              <w:shd w:val="clear"/>
              <w:adjustRightInd/>
              <w:snapToGrid/>
              <w:ind w:firstLine="496"/>
              <w:rPr>
                <w:rFonts w:hint="eastAsia" w:ascii="宋体" w:hAnsi="宋体" w:eastAsia="宋体" w:cs="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0E430419">
            <w:pPr>
              <w:pStyle w:val="114"/>
              <w:shd w:val="clear"/>
              <w:adjustRightInd/>
              <w:snapToGrid/>
              <w:ind w:firstLine="496"/>
              <w:rPr>
                <w:rFonts w:hint="eastAsia" w:ascii="宋体" w:hAnsi="宋体" w:eastAsia="宋体" w:cs="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14:paraId="1175EAF2">
            <w:pPr>
              <w:pStyle w:val="114"/>
              <w:shd w:val="clear"/>
              <w:adjustRightInd/>
              <w:snapToGrid/>
              <w:ind w:firstLine="496"/>
              <w:rPr>
                <w:rFonts w:hint="eastAsia" w:ascii="宋体" w:hAnsi="宋体" w:eastAsia="宋体" w:cs="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14:paraId="57069EB7">
            <w:pPr>
              <w:pStyle w:val="114"/>
              <w:shd w:val="clear"/>
              <w:adjustRightInd/>
              <w:snapToGrid/>
              <w:ind w:firstLine="496"/>
              <w:rPr>
                <w:rFonts w:hint="eastAsia" w:ascii="宋体" w:hAnsi="宋体" w:eastAsia="宋体" w:cs="宋体"/>
                <w:snapToGrid w:val="0"/>
                <w:color w:val="auto"/>
                <w:highlight w:val="none"/>
              </w:rPr>
            </w:pPr>
          </w:p>
        </w:tc>
      </w:tr>
      <w:tr w14:paraId="4618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091A7D0A">
            <w:pPr>
              <w:pStyle w:val="114"/>
              <w:shd w:val="clear"/>
              <w:adjustRightInd/>
              <w:snapToGrid/>
              <w:ind w:firstLine="496"/>
              <w:rPr>
                <w:rFonts w:hint="eastAsia" w:ascii="宋体" w:hAnsi="宋体" w:eastAsia="宋体" w:cs="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7FD1C0CB">
            <w:pPr>
              <w:pStyle w:val="114"/>
              <w:shd w:val="clear"/>
              <w:adjustRightInd/>
              <w:snapToGrid/>
              <w:ind w:firstLine="496"/>
              <w:rPr>
                <w:rFonts w:hint="eastAsia" w:ascii="宋体" w:hAnsi="宋体" w:eastAsia="宋体" w:cs="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7AF2502A">
            <w:pPr>
              <w:pStyle w:val="114"/>
              <w:shd w:val="clear"/>
              <w:adjustRightInd/>
              <w:snapToGrid/>
              <w:ind w:firstLine="496"/>
              <w:rPr>
                <w:rFonts w:hint="eastAsia" w:ascii="宋体" w:hAnsi="宋体" w:eastAsia="宋体" w:cs="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3C6428D4">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14:paraId="62A3CBB9">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57DC749D">
            <w:pPr>
              <w:pStyle w:val="114"/>
              <w:shd w:val="clear"/>
              <w:adjustRightInd/>
              <w:snapToGrid/>
              <w:ind w:firstLine="496"/>
              <w:rPr>
                <w:rFonts w:hint="eastAsia" w:ascii="宋体" w:hAnsi="宋体" w:eastAsia="宋体" w:cs="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7A46ACA5">
            <w:pPr>
              <w:pStyle w:val="114"/>
              <w:shd w:val="clear"/>
              <w:adjustRightInd/>
              <w:snapToGrid/>
              <w:ind w:firstLine="496"/>
              <w:rPr>
                <w:rFonts w:hint="eastAsia" w:ascii="宋体" w:hAnsi="宋体" w:eastAsia="宋体" w:cs="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5BA143E9">
            <w:pPr>
              <w:pStyle w:val="114"/>
              <w:shd w:val="clear"/>
              <w:adjustRightInd/>
              <w:snapToGrid/>
              <w:ind w:firstLine="496"/>
              <w:rPr>
                <w:rFonts w:hint="eastAsia" w:ascii="宋体" w:hAnsi="宋体" w:eastAsia="宋体" w:cs="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14:paraId="132153B2">
            <w:pPr>
              <w:pStyle w:val="114"/>
              <w:shd w:val="clear"/>
              <w:adjustRightInd/>
              <w:snapToGrid/>
              <w:ind w:firstLine="496"/>
              <w:rPr>
                <w:rFonts w:hint="eastAsia" w:ascii="宋体" w:hAnsi="宋体" w:eastAsia="宋体" w:cs="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14:paraId="2E0FB2F8">
            <w:pPr>
              <w:pStyle w:val="114"/>
              <w:shd w:val="clear"/>
              <w:adjustRightInd/>
              <w:snapToGrid/>
              <w:ind w:firstLine="496"/>
              <w:rPr>
                <w:rFonts w:hint="eastAsia" w:ascii="宋体" w:hAnsi="宋体" w:eastAsia="宋体" w:cs="宋体"/>
                <w:snapToGrid w:val="0"/>
                <w:color w:val="auto"/>
                <w:highlight w:val="none"/>
              </w:rPr>
            </w:pPr>
          </w:p>
        </w:tc>
      </w:tr>
      <w:tr w14:paraId="5E44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092DD925">
            <w:pPr>
              <w:pStyle w:val="114"/>
              <w:shd w:val="clear"/>
              <w:adjustRightInd/>
              <w:snapToGrid/>
              <w:ind w:firstLine="496"/>
              <w:rPr>
                <w:rFonts w:hint="eastAsia" w:ascii="宋体" w:hAnsi="宋体" w:eastAsia="宋体" w:cs="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5CD2B427">
            <w:pPr>
              <w:pStyle w:val="114"/>
              <w:shd w:val="clear"/>
              <w:adjustRightInd/>
              <w:snapToGrid/>
              <w:ind w:firstLine="496"/>
              <w:rPr>
                <w:rFonts w:hint="eastAsia" w:ascii="宋体" w:hAnsi="宋体" w:eastAsia="宋体" w:cs="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04F66D6E">
            <w:pPr>
              <w:pStyle w:val="114"/>
              <w:shd w:val="clear"/>
              <w:adjustRightInd/>
              <w:snapToGrid/>
              <w:ind w:firstLine="496"/>
              <w:rPr>
                <w:rFonts w:hint="eastAsia" w:ascii="宋体" w:hAnsi="宋体" w:eastAsia="宋体" w:cs="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68334C3D">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14:paraId="76BA69B4">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64737ACA">
            <w:pPr>
              <w:pStyle w:val="114"/>
              <w:shd w:val="clear"/>
              <w:adjustRightInd/>
              <w:snapToGrid/>
              <w:ind w:firstLine="496"/>
              <w:rPr>
                <w:rFonts w:hint="eastAsia" w:ascii="宋体" w:hAnsi="宋体" w:eastAsia="宋体" w:cs="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7BBEC4B4">
            <w:pPr>
              <w:pStyle w:val="114"/>
              <w:shd w:val="clear"/>
              <w:adjustRightInd/>
              <w:snapToGrid/>
              <w:ind w:firstLine="496"/>
              <w:rPr>
                <w:rFonts w:hint="eastAsia" w:ascii="宋体" w:hAnsi="宋体" w:eastAsia="宋体" w:cs="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75000BDF">
            <w:pPr>
              <w:pStyle w:val="114"/>
              <w:shd w:val="clear"/>
              <w:adjustRightInd/>
              <w:snapToGrid/>
              <w:ind w:firstLine="496"/>
              <w:rPr>
                <w:rFonts w:hint="eastAsia" w:ascii="宋体" w:hAnsi="宋体" w:eastAsia="宋体" w:cs="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14:paraId="553A726D">
            <w:pPr>
              <w:pStyle w:val="114"/>
              <w:shd w:val="clear"/>
              <w:adjustRightInd/>
              <w:snapToGrid/>
              <w:ind w:firstLine="496"/>
              <w:rPr>
                <w:rFonts w:hint="eastAsia" w:ascii="宋体" w:hAnsi="宋体" w:eastAsia="宋体" w:cs="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14:paraId="502486D2">
            <w:pPr>
              <w:pStyle w:val="114"/>
              <w:shd w:val="clear"/>
              <w:adjustRightInd/>
              <w:snapToGrid/>
              <w:ind w:firstLine="496"/>
              <w:rPr>
                <w:rFonts w:hint="eastAsia" w:ascii="宋体" w:hAnsi="宋体" w:eastAsia="宋体" w:cs="宋体"/>
                <w:snapToGrid w:val="0"/>
                <w:color w:val="auto"/>
                <w:highlight w:val="none"/>
              </w:rPr>
            </w:pPr>
          </w:p>
        </w:tc>
      </w:tr>
      <w:tr w14:paraId="4752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5343B69E">
            <w:pPr>
              <w:pStyle w:val="114"/>
              <w:shd w:val="clear"/>
              <w:adjustRightInd/>
              <w:snapToGrid/>
              <w:ind w:firstLine="496"/>
              <w:rPr>
                <w:rFonts w:hint="eastAsia" w:ascii="宋体" w:hAnsi="宋体" w:eastAsia="宋体" w:cs="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5020D356">
            <w:pPr>
              <w:pStyle w:val="114"/>
              <w:shd w:val="clear"/>
              <w:adjustRightInd/>
              <w:snapToGrid/>
              <w:ind w:firstLine="496"/>
              <w:rPr>
                <w:rFonts w:hint="eastAsia" w:ascii="宋体" w:hAnsi="宋体" w:eastAsia="宋体" w:cs="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4B722BCA">
            <w:pPr>
              <w:pStyle w:val="114"/>
              <w:shd w:val="clear"/>
              <w:adjustRightInd/>
              <w:snapToGrid/>
              <w:ind w:firstLine="496"/>
              <w:rPr>
                <w:rFonts w:hint="eastAsia" w:ascii="宋体" w:hAnsi="宋体" w:eastAsia="宋体" w:cs="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65AD2FC3">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14:paraId="118E4846">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78E21067">
            <w:pPr>
              <w:pStyle w:val="114"/>
              <w:shd w:val="clear"/>
              <w:adjustRightInd/>
              <w:snapToGrid/>
              <w:ind w:firstLine="496"/>
              <w:rPr>
                <w:rFonts w:hint="eastAsia" w:ascii="宋体" w:hAnsi="宋体" w:eastAsia="宋体" w:cs="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4A27628B">
            <w:pPr>
              <w:pStyle w:val="114"/>
              <w:shd w:val="clear"/>
              <w:adjustRightInd/>
              <w:snapToGrid/>
              <w:ind w:firstLine="496"/>
              <w:rPr>
                <w:rFonts w:hint="eastAsia" w:ascii="宋体" w:hAnsi="宋体" w:eastAsia="宋体" w:cs="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73CF8AD1">
            <w:pPr>
              <w:pStyle w:val="114"/>
              <w:shd w:val="clear"/>
              <w:adjustRightInd/>
              <w:snapToGrid/>
              <w:ind w:firstLine="496"/>
              <w:rPr>
                <w:rFonts w:hint="eastAsia" w:ascii="宋体" w:hAnsi="宋体" w:eastAsia="宋体" w:cs="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14:paraId="568ABFC3">
            <w:pPr>
              <w:pStyle w:val="114"/>
              <w:shd w:val="clear"/>
              <w:adjustRightInd/>
              <w:snapToGrid/>
              <w:ind w:firstLine="496"/>
              <w:rPr>
                <w:rFonts w:hint="eastAsia" w:ascii="宋体" w:hAnsi="宋体" w:eastAsia="宋体" w:cs="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14:paraId="79C17E07">
            <w:pPr>
              <w:pStyle w:val="114"/>
              <w:shd w:val="clear"/>
              <w:adjustRightInd/>
              <w:snapToGrid/>
              <w:ind w:firstLine="496"/>
              <w:rPr>
                <w:rFonts w:hint="eastAsia" w:ascii="宋体" w:hAnsi="宋体" w:eastAsia="宋体" w:cs="宋体"/>
                <w:snapToGrid w:val="0"/>
                <w:color w:val="auto"/>
                <w:highlight w:val="none"/>
              </w:rPr>
            </w:pPr>
          </w:p>
        </w:tc>
      </w:tr>
      <w:tr w14:paraId="0162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3511E689">
            <w:pPr>
              <w:pStyle w:val="114"/>
              <w:shd w:val="clear"/>
              <w:adjustRightInd/>
              <w:snapToGrid/>
              <w:ind w:firstLine="496"/>
              <w:rPr>
                <w:rFonts w:hint="eastAsia" w:ascii="宋体" w:hAnsi="宋体" w:eastAsia="宋体" w:cs="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77B1AABF">
            <w:pPr>
              <w:pStyle w:val="114"/>
              <w:shd w:val="clear"/>
              <w:adjustRightInd/>
              <w:snapToGrid/>
              <w:ind w:firstLine="496"/>
              <w:rPr>
                <w:rFonts w:hint="eastAsia" w:ascii="宋体" w:hAnsi="宋体" w:eastAsia="宋体" w:cs="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0ED11831">
            <w:pPr>
              <w:pStyle w:val="114"/>
              <w:shd w:val="clear"/>
              <w:adjustRightInd/>
              <w:snapToGrid/>
              <w:ind w:firstLine="496"/>
              <w:rPr>
                <w:rFonts w:hint="eastAsia" w:ascii="宋体" w:hAnsi="宋体" w:eastAsia="宋体" w:cs="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77FE80D5">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14:paraId="15A97197">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11F763AE">
            <w:pPr>
              <w:pStyle w:val="114"/>
              <w:shd w:val="clear"/>
              <w:adjustRightInd/>
              <w:snapToGrid/>
              <w:ind w:firstLine="496"/>
              <w:rPr>
                <w:rFonts w:hint="eastAsia" w:ascii="宋体" w:hAnsi="宋体" w:eastAsia="宋体" w:cs="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0E1A9807">
            <w:pPr>
              <w:pStyle w:val="114"/>
              <w:shd w:val="clear"/>
              <w:adjustRightInd/>
              <w:snapToGrid/>
              <w:ind w:firstLine="496"/>
              <w:rPr>
                <w:rFonts w:hint="eastAsia" w:ascii="宋体" w:hAnsi="宋体" w:eastAsia="宋体" w:cs="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75A07BE6">
            <w:pPr>
              <w:pStyle w:val="114"/>
              <w:shd w:val="clear"/>
              <w:adjustRightInd/>
              <w:snapToGrid/>
              <w:ind w:firstLine="496"/>
              <w:rPr>
                <w:rFonts w:hint="eastAsia" w:ascii="宋体" w:hAnsi="宋体" w:eastAsia="宋体" w:cs="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14:paraId="1D06795C">
            <w:pPr>
              <w:pStyle w:val="114"/>
              <w:shd w:val="clear"/>
              <w:adjustRightInd/>
              <w:snapToGrid/>
              <w:ind w:firstLine="496"/>
              <w:rPr>
                <w:rFonts w:hint="eastAsia" w:ascii="宋体" w:hAnsi="宋体" w:eastAsia="宋体" w:cs="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14:paraId="393DE4BB">
            <w:pPr>
              <w:pStyle w:val="114"/>
              <w:shd w:val="clear"/>
              <w:adjustRightInd/>
              <w:snapToGrid/>
              <w:ind w:firstLine="496"/>
              <w:rPr>
                <w:rFonts w:hint="eastAsia" w:ascii="宋体" w:hAnsi="宋体" w:eastAsia="宋体" w:cs="宋体"/>
                <w:snapToGrid w:val="0"/>
                <w:color w:val="auto"/>
                <w:highlight w:val="none"/>
              </w:rPr>
            </w:pPr>
          </w:p>
        </w:tc>
      </w:tr>
      <w:tr w14:paraId="3E9C4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50" w:type="dxa"/>
            <w:tcBorders>
              <w:top w:val="single" w:color="auto" w:sz="4" w:space="0"/>
              <w:left w:val="single" w:color="auto" w:sz="4" w:space="0"/>
              <w:bottom w:val="single" w:color="auto" w:sz="4" w:space="0"/>
              <w:right w:val="single" w:color="auto" w:sz="4" w:space="0"/>
            </w:tcBorders>
            <w:vAlign w:val="center"/>
          </w:tcPr>
          <w:p w14:paraId="335C6371">
            <w:pPr>
              <w:pStyle w:val="114"/>
              <w:shd w:val="clear"/>
              <w:adjustRightInd/>
              <w:snapToGrid/>
              <w:ind w:firstLine="496"/>
              <w:rPr>
                <w:rFonts w:hint="eastAsia" w:ascii="宋体" w:hAnsi="宋体" w:eastAsia="宋体" w:cs="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1138AAE9">
            <w:pPr>
              <w:pStyle w:val="114"/>
              <w:shd w:val="clear"/>
              <w:adjustRightInd/>
              <w:snapToGrid/>
              <w:ind w:firstLine="496"/>
              <w:rPr>
                <w:rFonts w:hint="eastAsia" w:ascii="宋体" w:hAnsi="宋体" w:eastAsia="宋体" w:cs="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42030275">
            <w:pPr>
              <w:pStyle w:val="114"/>
              <w:shd w:val="clear"/>
              <w:adjustRightInd/>
              <w:snapToGrid/>
              <w:ind w:firstLine="496"/>
              <w:rPr>
                <w:rFonts w:hint="eastAsia" w:ascii="宋体" w:hAnsi="宋体" w:eastAsia="宋体" w:cs="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32183C29">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14:paraId="65CAF04E">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26B6E551">
            <w:pPr>
              <w:pStyle w:val="114"/>
              <w:shd w:val="clear"/>
              <w:adjustRightInd/>
              <w:snapToGrid/>
              <w:ind w:firstLine="496"/>
              <w:rPr>
                <w:rFonts w:hint="eastAsia" w:ascii="宋体" w:hAnsi="宋体" w:eastAsia="宋体" w:cs="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614AD507">
            <w:pPr>
              <w:pStyle w:val="114"/>
              <w:shd w:val="clear"/>
              <w:adjustRightInd/>
              <w:snapToGrid/>
              <w:ind w:firstLine="496"/>
              <w:rPr>
                <w:rFonts w:hint="eastAsia" w:ascii="宋体" w:hAnsi="宋体" w:eastAsia="宋体" w:cs="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62CF5782">
            <w:pPr>
              <w:pStyle w:val="114"/>
              <w:shd w:val="clear"/>
              <w:adjustRightInd/>
              <w:snapToGrid/>
              <w:ind w:firstLine="496"/>
              <w:rPr>
                <w:rFonts w:hint="eastAsia" w:ascii="宋体" w:hAnsi="宋体" w:eastAsia="宋体" w:cs="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14:paraId="050D212E">
            <w:pPr>
              <w:pStyle w:val="114"/>
              <w:shd w:val="clear"/>
              <w:adjustRightInd/>
              <w:snapToGrid/>
              <w:ind w:firstLine="496"/>
              <w:rPr>
                <w:rFonts w:hint="eastAsia" w:ascii="宋体" w:hAnsi="宋体" w:eastAsia="宋体" w:cs="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14:paraId="1093060C">
            <w:pPr>
              <w:pStyle w:val="114"/>
              <w:shd w:val="clear"/>
              <w:adjustRightInd/>
              <w:snapToGrid/>
              <w:ind w:firstLine="496"/>
              <w:rPr>
                <w:rFonts w:hint="eastAsia" w:ascii="宋体" w:hAnsi="宋体" w:eastAsia="宋体" w:cs="宋体"/>
                <w:snapToGrid w:val="0"/>
                <w:color w:val="auto"/>
                <w:highlight w:val="none"/>
              </w:rPr>
            </w:pPr>
          </w:p>
        </w:tc>
      </w:tr>
    </w:tbl>
    <w:p w14:paraId="29DD92F5">
      <w:pPr>
        <w:shd w:val="clear"/>
        <w:autoSpaceDE w:val="0"/>
        <w:autoSpaceDN w:val="0"/>
        <w:ind w:firstLine="420" w:firstLineChars="200"/>
        <w:rPr>
          <w:rFonts w:hint="eastAsia" w:ascii="宋体" w:hAnsi="宋体" w:eastAsia="宋体" w:cs="宋体"/>
          <w:color w:val="auto"/>
          <w:szCs w:val="21"/>
          <w:highlight w:val="none"/>
        </w:rPr>
      </w:pPr>
    </w:p>
    <w:p w14:paraId="6AA42F8F">
      <w:pPr>
        <w:shd w:val="clear"/>
        <w:autoSpaceDE w:val="0"/>
        <w:autoSpaceDN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注：按评分表附相关的证明材料扫描件。</w:t>
      </w:r>
    </w:p>
    <w:p w14:paraId="7D0CFFE1">
      <w:pPr>
        <w:pStyle w:val="3"/>
        <w:shd w:val="clear"/>
        <w:spacing w:before="0" w:after="0"/>
        <w:rPr>
          <w:rFonts w:hint="eastAsia" w:ascii="宋体" w:hAnsi="宋体" w:eastAsia="宋体" w:cs="宋体"/>
          <w:color w:val="auto"/>
          <w:highlight w:val="none"/>
          <w:lang w:val="zh-CN"/>
        </w:rPr>
      </w:pPr>
      <w:r>
        <w:rPr>
          <w:rFonts w:hint="eastAsia" w:ascii="宋体" w:hAnsi="宋体" w:eastAsia="宋体" w:cs="宋体"/>
          <w:color w:val="auto"/>
          <w:highlight w:val="none"/>
        </w:rPr>
        <w:br w:type="page"/>
      </w:r>
      <w:bookmarkStart w:id="540" w:name="_Toc13315"/>
      <w:r>
        <w:rPr>
          <w:rFonts w:hint="eastAsia" w:ascii="宋体" w:hAnsi="宋体" w:eastAsia="宋体" w:cs="宋体"/>
          <w:color w:val="auto"/>
          <w:sz w:val="28"/>
          <w:szCs w:val="28"/>
          <w:highlight w:val="none"/>
        </w:rPr>
        <w:t>格式6：</w:t>
      </w:r>
      <w:bookmarkEnd w:id="540"/>
    </w:p>
    <w:p w14:paraId="4A38C30C">
      <w:pPr>
        <w:shd w:val="clear"/>
        <w:autoSpaceDE w:val="0"/>
        <w:autoSpaceDN w:val="0"/>
        <w:spacing w:line="360" w:lineRule="auto"/>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参与编制投标文件人员名单</w:t>
      </w:r>
    </w:p>
    <w:tbl>
      <w:tblPr>
        <w:tblStyle w:val="40"/>
        <w:tblW w:w="88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1"/>
        <w:gridCol w:w="1311"/>
        <w:gridCol w:w="2320"/>
        <w:gridCol w:w="2449"/>
        <w:gridCol w:w="1468"/>
      </w:tblGrid>
      <w:tr w14:paraId="7445E9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281" w:type="dxa"/>
            <w:vAlign w:val="center"/>
          </w:tcPr>
          <w:p w14:paraId="60D07FDE">
            <w:pPr>
              <w:shd w:val="clear"/>
              <w:tabs>
                <w:tab w:val="left" w:pos="0"/>
                <w:tab w:val="left" w:pos="7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311" w:type="dxa"/>
            <w:vAlign w:val="center"/>
          </w:tcPr>
          <w:p w14:paraId="24C53330">
            <w:pPr>
              <w:shd w:val="clear"/>
              <w:tabs>
                <w:tab w:val="left" w:pos="0"/>
                <w:tab w:val="left" w:pos="7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2320" w:type="dxa"/>
            <w:vAlign w:val="center"/>
          </w:tcPr>
          <w:p w14:paraId="2364475E">
            <w:pPr>
              <w:shd w:val="clear"/>
              <w:tabs>
                <w:tab w:val="left" w:pos="0"/>
                <w:tab w:val="left" w:pos="7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所承担工作</w:t>
            </w:r>
          </w:p>
        </w:tc>
        <w:tc>
          <w:tcPr>
            <w:tcW w:w="2449" w:type="dxa"/>
            <w:vAlign w:val="center"/>
          </w:tcPr>
          <w:p w14:paraId="124C4443">
            <w:pPr>
              <w:shd w:val="clear"/>
              <w:tabs>
                <w:tab w:val="left" w:pos="0"/>
                <w:tab w:val="left" w:pos="7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tc>
        <w:tc>
          <w:tcPr>
            <w:tcW w:w="1468" w:type="dxa"/>
            <w:vAlign w:val="center"/>
          </w:tcPr>
          <w:p w14:paraId="49EBFB91">
            <w:pPr>
              <w:shd w:val="clear"/>
              <w:tabs>
                <w:tab w:val="left" w:pos="0"/>
                <w:tab w:val="left" w:pos="72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本人签名栏</w:t>
            </w:r>
          </w:p>
        </w:tc>
      </w:tr>
      <w:tr w14:paraId="21D89E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281" w:type="dxa"/>
            <w:vAlign w:val="center"/>
          </w:tcPr>
          <w:p w14:paraId="1CB6E5A0">
            <w:pPr>
              <w:shd w:val="clear"/>
              <w:tabs>
                <w:tab w:val="left" w:pos="0"/>
                <w:tab w:val="left" w:pos="720"/>
              </w:tabs>
              <w:jc w:val="center"/>
              <w:rPr>
                <w:rFonts w:hint="eastAsia" w:ascii="宋体" w:hAnsi="宋体" w:eastAsia="宋体" w:cs="宋体"/>
                <w:color w:val="auto"/>
                <w:sz w:val="24"/>
                <w:highlight w:val="none"/>
              </w:rPr>
            </w:pPr>
          </w:p>
        </w:tc>
        <w:tc>
          <w:tcPr>
            <w:tcW w:w="1311" w:type="dxa"/>
            <w:vAlign w:val="center"/>
          </w:tcPr>
          <w:p w14:paraId="2CB6817D">
            <w:pPr>
              <w:shd w:val="clear"/>
              <w:tabs>
                <w:tab w:val="left" w:pos="0"/>
                <w:tab w:val="left" w:pos="720"/>
              </w:tabs>
              <w:jc w:val="center"/>
              <w:rPr>
                <w:rFonts w:hint="eastAsia" w:ascii="宋体" w:hAnsi="宋体" w:eastAsia="宋体" w:cs="宋体"/>
                <w:color w:val="auto"/>
                <w:sz w:val="24"/>
                <w:highlight w:val="none"/>
              </w:rPr>
            </w:pPr>
          </w:p>
        </w:tc>
        <w:tc>
          <w:tcPr>
            <w:tcW w:w="2320" w:type="dxa"/>
            <w:vAlign w:val="center"/>
          </w:tcPr>
          <w:p w14:paraId="63734AF6">
            <w:pPr>
              <w:shd w:val="clear"/>
              <w:tabs>
                <w:tab w:val="left" w:pos="0"/>
                <w:tab w:val="left" w:pos="720"/>
              </w:tabs>
              <w:jc w:val="center"/>
              <w:rPr>
                <w:rFonts w:hint="eastAsia" w:ascii="宋体" w:hAnsi="宋体" w:eastAsia="宋体" w:cs="宋体"/>
                <w:color w:val="auto"/>
                <w:sz w:val="24"/>
                <w:highlight w:val="none"/>
              </w:rPr>
            </w:pPr>
          </w:p>
        </w:tc>
        <w:tc>
          <w:tcPr>
            <w:tcW w:w="2449" w:type="dxa"/>
            <w:vAlign w:val="center"/>
          </w:tcPr>
          <w:p w14:paraId="550DBA72">
            <w:pPr>
              <w:shd w:val="clear"/>
              <w:tabs>
                <w:tab w:val="left" w:pos="0"/>
                <w:tab w:val="left" w:pos="720"/>
              </w:tabs>
              <w:jc w:val="center"/>
              <w:rPr>
                <w:rFonts w:hint="eastAsia" w:ascii="宋体" w:hAnsi="宋体" w:eastAsia="宋体" w:cs="宋体"/>
                <w:color w:val="auto"/>
                <w:sz w:val="24"/>
                <w:highlight w:val="none"/>
              </w:rPr>
            </w:pPr>
          </w:p>
        </w:tc>
        <w:tc>
          <w:tcPr>
            <w:tcW w:w="1468" w:type="dxa"/>
            <w:vAlign w:val="center"/>
          </w:tcPr>
          <w:p w14:paraId="4243D9D8">
            <w:pPr>
              <w:shd w:val="clear"/>
              <w:tabs>
                <w:tab w:val="left" w:pos="0"/>
                <w:tab w:val="left" w:pos="720"/>
              </w:tabs>
              <w:jc w:val="center"/>
              <w:rPr>
                <w:rFonts w:hint="eastAsia" w:ascii="宋体" w:hAnsi="宋体" w:eastAsia="宋体" w:cs="宋体"/>
                <w:color w:val="auto"/>
                <w:sz w:val="24"/>
                <w:highlight w:val="none"/>
              </w:rPr>
            </w:pPr>
          </w:p>
        </w:tc>
      </w:tr>
      <w:tr w14:paraId="511AEB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09CE591C">
            <w:pPr>
              <w:shd w:val="clear"/>
              <w:tabs>
                <w:tab w:val="left" w:pos="0"/>
                <w:tab w:val="left" w:pos="720"/>
              </w:tabs>
              <w:jc w:val="center"/>
              <w:rPr>
                <w:rFonts w:hint="eastAsia" w:ascii="宋体" w:hAnsi="宋体" w:eastAsia="宋体" w:cs="宋体"/>
                <w:color w:val="auto"/>
                <w:sz w:val="24"/>
                <w:highlight w:val="none"/>
              </w:rPr>
            </w:pPr>
          </w:p>
        </w:tc>
        <w:tc>
          <w:tcPr>
            <w:tcW w:w="1311" w:type="dxa"/>
            <w:vAlign w:val="center"/>
          </w:tcPr>
          <w:p w14:paraId="38319FDE">
            <w:pPr>
              <w:shd w:val="clear"/>
              <w:tabs>
                <w:tab w:val="left" w:pos="0"/>
                <w:tab w:val="left" w:pos="720"/>
              </w:tabs>
              <w:jc w:val="center"/>
              <w:rPr>
                <w:rFonts w:hint="eastAsia" w:ascii="宋体" w:hAnsi="宋体" w:eastAsia="宋体" w:cs="宋体"/>
                <w:color w:val="auto"/>
                <w:sz w:val="24"/>
                <w:highlight w:val="none"/>
              </w:rPr>
            </w:pPr>
          </w:p>
        </w:tc>
        <w:tc>
          <w:tcPr>
            <w:tcW w:w="2320" w:type="dxa"/>
            <w:vAlign w:val="center"/>
          </w:tcPr>
          <w:p w14:paraId="2FCC669F">
            <w:pPr>
              <w:shd w:val="clear"/>
              <w:tabs>
                <w:tab w:val="left" w:pos="0"/>
                <w:tab w:val="left" w:pos="720"/>
              </w:tabs>
              <w:jc w:val="center"/>
              <w:rPr>
                <w:rFonts w:hint="eastAsia" w:ascii="宋体" w:hAnsi="宋体" w:eastAsia="宋体" w:cs="宋体"/>
                <w:color w:val="auto"/>
                <w:sz w:val="24"/>
                <w:highlight w:val="none"/>
              </w:rPr>
            </w:pPr>
          </w:p>
        </w:tc>
        <w:tc>
          <w:tcPr>
            <w:tcW w:w="2449" w:type="dxa"/>
            <w:vAlign w:val="center"/>
          </w:tcPr>
          <w:p w14:paraId="6A6198CB">
            <w:pPr>
              <w:shd w:val="clear"/>
              <w:tabs>
                <w:tab w:val="left" w:pos="0"/>
                <w:tab w:val="left" w:pos="720"/>
              </w:tabs>
              <w:jc w:val="center"/>
              <w:rPr>
                <w:rFonts w:hint="eastAsia" w:ascii="宋体" w:hAnsi="宋体" w:eastAsia="宋体" w:cs="宋体"/>
                <w:color w:val="auto"/>
                <w:sz w:val="24"/>
                <w:highlight w:val="none"/>
              </w:rPr>
            </w:pPr>
          </w:p>
        </w:tc>
        <w:tc>
          <w:tcPr>
            <w:tcW w:w="1468" w:type="dxa"/>
            <w:vAlign w:val="center"/>
          </w:tcPr>
          <w:p w14:paraId="0E4AAA28">
            <w:pPr>
              <w:shd w:val="clear"/>
              <w:tabs>
                <w:tab w:val="left" w:pos="0"/>
                <w:tab w:val="left" w:pos="720"/>
              </w:tabs>
              <w:jc w:val="center"/>
              <w:rPr>
                <w:rFonts w:hint="eastAsia" w:ascii="宋体" w:hAnsi="宋体" w:eastAsia="宋体" w:cs="宋体"/>
                <w:color w:val="auto"/>
                <w:sz w:val="24"/>
                <w:highlight w:val="none"/>
              </w:rPr>
            </w:pPr>
          </w:p>
        </w:tc>
      </w:tr>
      <w:tr w14:paraId="38AAC3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33F42B70">
            <w:pPr>
              <w:shd w:val="clear"/>
              <w:tabs>
                <w:tab w:val="left" w:pos="0"/>
                <w:tab w:val="left" w:pos="720"/>
              </w:tabs>
              <w:jc w:val="center"/>
              <w:rPr>
                <w:rFonts w:hint="eastAsia" w:ascii="宋体" w:hAnsi="宋体" w:eastAsia="宋体" w:cs="宋体"/>
                <w:color w:val="auto"/>
                <w:sz w:val="24"/>
                <w:highlight w:val="none"/>
              </w:rPr>
            </w:pPr>
          </w:p>
        </w:tc>
        <w:tc>
          <w:tcPr>
            <w:tcW w:w="1311" w:type="dxa"/>
            <w:vAlign w:val="center"/>
          </w:tcPr>
          <w:p w14:paraId="42A348A5">
            <w:pPr>
              <w:shd w:val="clear"/>
              <w:tabs>
                <w:tab w:val="left" w:pos="0"/>
                <w:tab w:val="left" w:pos="720"/>
              </w:tabs>
              <w:jc w:val="center"/>
              <w:rPr>
                <w:rFonts w:hint="eastAsia" w:ascii="宋体" w:hAnsi="宋体" w:eastAsia="宋体" w:cs="宋体"/>
                <w:color w:val="auto"/>
                <w:sz w:val="24"/>
                <w:highlight w:val="none"/>
              </w:rPr>
            </w:pPr>
          </w:p>
        </w:tc>
        <w:tc>
          <w:tcPr>
            <w:tcW w:w="2320" w:type="dxa"/>
            <w:vAlign w:val="center"/>
          </w:tcPr>
          <w:p w14:paraId="1D40B621">
            <w:pPr>
              <w:shd w:val="clear"/>
              <w:tabs>
                <w:tab w:val="left" w:pos="0"/>
                <w:tab w:val="left" w:pos="720"/>
              </w:tabs>
              <w:jc w:val="center"/>
              <w:rPr>
                <w:rFonts w:hint="eastAsia" w:ascii="宋体" w:hAnsi="宋体" w:eastAsia="宋体" w:cs="宋体"/>
                <w:color w:val="auto"/>
                <w:sz w:val="24"/>
                <w:highlight w:val="none"/>
              </w:rPr>
            </w:pPr>
          </w:p>
        </w:tc>
        <w:tc>
          <w:tcPr>
            <w:tcW w:w="2449" w:type="dxa"/>
            <w:vAlign w:val="center"/>
          </w:tcPr>
          <w:p w14:paraId="2DC88E72">
            <w:pPr>
              <w:shd w:val="clear"/>
              <w:tabs>
                <w:tab w:val="left" w:pos="0"/>
                <w:tab w:val="left" w:pos="720"/>
              </w:tabs>
              <w:jc w:val="center"/>
              <w:rPr>
                <w:rFonts w:hint="eastAsia" w:ascii="宋体" w:hAnsi="宋体" w:eastAsia="宋体" w:cs="宋体"/>
                <w:color w:val="auto"/>
                <w:sz w:val="24"/>
                <w:highlight w:val="none"/>
              </w:rPr>
            </w:pPr>
          </w:p>
        </w:tc>
        <w:tc>
          <w:tcPr>
            <w:tcW w:w="1468" w:type="dxa"/>
            <w:vAlign w:val="center"/>
          </w:tcPr>
          <w:p w14:paraId="1EAA3FBE">
            <w:pPr>
              <w:shd w:val="clear"/>
              <w:tabs>
                <w:tab w:val="left" w:pos="0"/>
                <w:tab w:val="left" w:pos="720"/>
              </w:tabs>
              <w:jc w:val="center"/>
              <w:rPr>
                <w:rFonts w:hint="eastAsia" w:ascii="宋体" w:hAnsi="宋体" w:eastAsia="宋体" w:cs="宋体"/>
                <w:color w:val="auto"/>
                <w:sz w:val="24"/>
                <w:highlight w:val="none"/>
              </w:rPr>
            </w:pPr>
          </w:p>
        </w:tc>
      </w:tr>
      <w:tr w14:paraId="4A6C93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439460B4">
            <w:pPr>
              <w:shd w:val="clear"/>
              <w:tabs>
                <w:tab w:val="left" w:pos="0"/>
                <w:tab w:val="left" w:pos="720"/>
              </w:tabs>
              <w:jc w:val="center"/>
              <w:rPr>
                <w:rFonts w:hint="eastAsia" w:ascii="宋体" w:hAnsi="宋体" w:eastAsia="宋体" w:cs="宋体"/>
                <w:color w:val="auto"/>
                <w:sz w:val="24"/>
                <w:highlight w:val="none"/>
              </w:rPr>
            </w:pPr>
          </w:p>
        </w:tc>
        <w:tc>
          <w:tcPr>
            <w:tcW w:w="1311" w:type="dxa"/>
            <w:vAlign w:val="center"/>
          </w:tcPr>
          <w:p w14:paraId="4C1F1871">
            <w:pPr>
              <w:shd w:val="clear"/>
              <w:tabs>
                <w:tab w:val="left" w:pos="0"/>
                <w:tab w:val="left" w:pos="720"/>
              </w:tabs>
              <w:jc w:val="center"/>
              <w:rPr>
                <w:rFonts w:hint="eastAsia" w:ascii="宋体" w:hAnsi="宋体" w:eastAsia="宋体" w:cs="宋体"/>
                <w:color w:val="auto"/>
                <w:sz w:val="24"/>
                <w:highlight w:val="none"/>
              </w:rPr>
            </w:pPr>
          </w:p>
        </w:tc>
        <w:tc>
          <w:tcPr>
            <w:tcW w:w="2320" w:type="dxa"/>
            <w:vAlign w:val="center"/>
          </w:tcPr>
          <w:p w14:paraId="62C63485">
            <w:pPr>
              <w:shd w:val="clear"/>
              <w:tabs>
                <w:tab w:val="left" w:pos="0"/>
                <w:tab w:val="left" w:pos="720"/>
              </w:tabs>
              <w:jc w:val="center"/>
              <w:rPr>
                <w:rFonts w:hint="eastAsia" w:ascii="宋体" w:hAnsi="宋体" w:eastAsia="宋体" w:cs="宋体"/>
                <w:color w:val="auto"/>
                <w:sz w:val="24"/>
                <w:highlight w:val="none"/>
              </w:rPr>
            </w:pPr>
          </w:p>
        </w:tc>
        <w:tc>
          <w:tcPr>
            <w:tcW w:w="2449" w:type="dxa"/>
            <w:vAlign w:val="center"/>
          </w:tcPr>
          <w:p w14:paraId="7E2D1B72">
            <w:pPr>
              <w:shd w:val="clear"/>
              <w:tabs>
                <w:tab w:val="left" w:pos="0"/>
                <w:tab w:val="left" w:pos="720"/>
              </w:tabs>
              <w:jc w:val="center"/>
              <w:rPr>
                <w:rFonts w:hint="eastAsia" w:ascii="宋体" w:hAnsi="宋体" w:eastAsia="宋体" w:cs="宋体"/>
                <w:color w:val="auto"/>
                <w:sz w:val="24"/>
                <w:highlight w:val="none"/>
              </w:rPr>
            </w:pPr>
          </w:p>
        </w:tc>
        <w:tc>
          <w:tcPr>
            <w:tcW w:w="1468" w:type="dxa"/>
            <w:vAlign w:val="center"/>
          </w:tcPr>
          <w:p w14:paraId="181314DD">
            <w:pPr>
              <w:shd w:val="clear"/>
              <w:tabs>
                <w:tab w:val="left" w:pos="0"/>
                <w:tab w:val="left" w:pos="720"/>
              </w:tabs>
              <w:jc w:val="center"/>
              <w:rPr>
                <w:rFonts w:hint="eastAsia" w:ascii="宋体" w:hAnsi="宋体" w:eastAsia="宋体" w:cs="宋体"/>
                <w:color w:val="auto"/>
                <w:sz w:val="24"/>
                <w:highlight w:val="none"/>
              </w:rPr>
            </w:pPr>
          </w:p>
        </w:tc>
      </w:tr>
      <w:tr w14:paraId="11BE44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4F340F0A">
            <w:pPr>
              <w:shd w:val="clear"/>
              <w:tabs>
                <w:tab w:val="left" w:pos="0"/>
                <w:tab w:val="left" w:pos="720"/>
              </w:tabs>
              <w:jc w:val="center"/>
              <w:rPr>
                <w:rFonts w:hint="eastAsia" w:ascii="宋体" w:hAnsi="宋体" w:eastAsia="宋体" w:cs="宋体"/>
                <w:color w:val="auto"/>
                <w:sz w:val="24"/>
                <w:highlight w:val="none"/>
              </w:rPr>
            </w:pPr>
          </w:p>
        </w:tc>
        <w:tc>
          <w:tcPr>
            <w:tcW w:w="1311" w:type="dxa"/>
            <w:vAlign w:val="center"/>
          </w:tcPr>
          <w:p w14:paraId="71739CC9">
            <w:pPr>
              <w:shd w:val="clear"/>
              <w:tabs>
                <w:tab w:val="left" w:pos="0"/>
                <w:tab w:val="left" w:pos="720"/>
              </w:tabs>
              <w:jc w:val="center"/>
              <w:rPr>
                <w:rFonts w:hint="eastAsia" w:ascii="宋体" w:hAnsi="宋体" w:eastAsia="宋体" w:cs="宋体"/>
                <w:color w:val="auto"/>
                <w:sz w:val="24"/>
                <w:highlight w:val="none"/>
              </w:rPr>
            </w:pPr>
          </w:p>
        </w:tc>
        <w:tc>
          <w:tcPr>
            <w:tcW w:w="2320" w:type="dxa"/>
            <w:vAlign w:val="center"/>
          </w:tcPr>
          <w:p w14:paraId="0F2649AE">
            <w:pPr>
              <w:shd w:val="clear"/>
              <w:tabs>
                <w:tab w:val="left" w:pos="0"/>
                <w:tab w:val="left" w:pos="720"/>
              </w:tabs>
              <w:jc w:val="center"/>
              <w:rPr>
                <w:rFonts w:hint="eastAsia" w:ascii="宋体" w:hAnsi="宋体" w:eastAsia="宋体" w:cs="宋体"/>
                <w:color w:val="auto"/>
                <w:sz w:val="24"/>
                <w:highlight w:val="none"/>
              </w:rPr>
            </w:pPr>
          </w:p>
        </w:tc>
        <w:tc>
          <w:tcPr>
            <w:tcW w:w="2449" w:type="dxa"/>
            <w:vAlign w:val="center"/>
          </w:tcPr>
          <w:p w14:paraId="5EFBF18D">
            <w:pPr>
              <w:shd w:val="clear"/>
              <w:tabs>
                <w:tab w:val="left" w:pos="0"/>
                <w:tab w:val="left" w:pos="720"/>
              </w:tabs>
              <w:jc w:val="center"/>
              <w:rPr>
                <w:rFonts w:hint="eastAsia" w:ascii="宋体" w:hAnsi="宋体" w:eastAsia="宋体" w:cs="宋体"/>
                <w:color w:val="auto"/>
                <w:sz w:val="24"/>
                <w:highlight w:val="none"/>
              </w:rPr>
            </w:pPr>
          </w:p>
        </w:tc>
        <w:tc>
          <w:tcPr>
            <w:tcW w:w="1468" w:type="dxa"/>
            <w:vAlign w:val="center"/>
          </w:tcPr>
          <w:p w14:paraId="21BD38FF">
            <w:pPr>
              <w:shd w:val="clear"/>
              <w:tabs>
                <w:tab w:val="left" w:pos="0"/>
                <w:tab w:val="left" w:pos="720"/>
              </w:tabs>
              <w:jc w:val="center"/>
              <w:rPr>
                <w:rFonts w:hint="eastAsia" w:ascii="宋体" w:hAnsi="宋体" w:eastAsia="宋体" w:cs="宋体"/>
                <w:color w:val="auto"/>
                <w:sz w:val="24"/>
                <w:highlight w:val="none"/>
              </w:rPr>
            </w:pPr>
          </w:p>
        </w:tc>
      </w:tr>
      <w:tr w14:paraId="2A7A92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4FB3AC01">
            <w:pPr>
              <w:shd w:val="clear"/>
              <w:tabs>
                <w:tab w:val="left" w:pos="0"/>
                <w:tab w:val="left" w:pos="720"/>
              </w:tabs>
              <w:jc w:val="center"/>
              <w:rPr>
                <w:rFonts w:hint="eastAsia" w:ascii="宋体" w:hAnsi="宋体" w:eastAsia="宋体" w:cs="宋体"/>
                <w:color w:val="auto"/>
                <w:sz w:val="24"/>
                <w:highlight w:val="none"/>
              </w:rPr>
            </w:pPr>
          </w:p>
        </w:tc>
        <w:tc>
          <w:tcPr>
            <w:tcW w:w="1311" w:type="dxa"/>
            <w:vAlign w:val="center"/>
          </w:tcPr>
          <w:p w14:paraId="43D8296A">
            <w:pPr>
              <w:shd w:val="clear"/>
              <w:tabs>
                <w:tab w:val="left" w:pos="0"/>
                <w:tab w:val="left" w:pos="720"/>
              </w:tabs>
              <w:jc w:val="center"/>
              <w:rPr>
                <w:rFonts w:hint="eastAsia" w:ascii="宋体" w:hAnsi="宋体" w:eastAsia="宋体" w:cs="宋体"/>
                <w:color w:val="auto"/>
                <w:sz w:val="24"/>
                <w:highlight w:val="none"/>
              </w:rPr>
            </w:pPr>
          </w:p>
        </w:tc>
        <w:tc>
          <w:tcPr>
            <w:tcW w:w="2320" w:type="dxa"/>
            <w:vAlign w:val="center"/>
          </w:tcPr>
          <w:p w14:paraId="084253D9">
            <w:pPr>
              <w:shd w:val="clear"/>
              <w:tabs>
                <w:tab w:val="left" w:pos="0"/>
                <w:tab w:val="left" w:pos="720"/>
              </w:tabs>
              <w:jc w:val="center"/>
              <w:rPr>
                <w:rFonts w:hint="eastAsia" w:ascii="宋体" w:hAnsi="宋体" w:eastAsia="宋体" w:cs="宋体"/>
                <w:color w:val="auto"/>
                <w:sz w:val="24"/>
                <w:highlight w:val="none"/>
              </w:rPr>
            </w:pPr>
          </w:p>
        </w:tc>
        <w:tc>
          <w:tcPr>
            <w:tcW w:w="2449" w:type="dxa"/>
            <w:vAlign w:val="center"/>
          </w:tcPr>
          <w:p w14:paraId="5EBD7C30">
            <w:pPr>
              <w:shd w:val="clear"/>
              <w:tabs>
                <w:tab w:val="left" w:pos="0"/>
                <w:tab w:val="left" w:pos="720"/>
              </w:tabs>
              <w:jc w:val="center"/>
              <w:rPr>
                <w:rFonts w:hint="eastAsia" w:ascii="宋体" w:hAnsi="宋体" w:eastAsia="宋体" w:cs="宋体"/>
                <w:color w:val="auto"/>
                <w:sz w:val="24"/>
                <w:highlight w:val="none"/>
              </w:rPr>
            </w:pPr>
          </w:p>
        </w:tc>
        <w:tc>
          <w:tcPr>
            <w:tcW w:w="1468" w:type="dxa"/>
            <w:vAlign w:val="center"/>
          </w:tcPr>
          <w:p w14:paraId="592C20B7">
            <w:pPr>
              <w:shd w:val="clear"/>
              <w:tabs>
                <w:tab w:val="left" w:pos="0"/>
                <w:tab w:val="left" w:pos="720"/>
              </w:tabs>
              <w:jc w:val="center"/>
              <w:rPr>
                <w:rFonts w:hint="eastAsia" w:ascii="宋体" w:hAnsi="宋体" w:eastAsia="宋体" w:cs="宋体"/>
                <w:color w:val="auto"/>
                <w:sz w:val="24"/>
                <w:highlight w:val="none"/>
              </w:rPr>
            </w:pPr>
          </w:p>
        </w:tc>
      </w:tr>
      <w:tr w14:paraId="047D6F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464A6891">
            <w:pPr>
              <w:shd w:val="clear"/>
              <w:tabs>
                <w:tab w:val="left" w:pos="0"/>
                <w:tab w:val="left" w:pos="720"/>
              </w:tabs>
              <w:jc w:val="center"/>
              <w:rPr>
                <w:rFonts w:hint="eastAsia" w:ascii="宋体" w:hAnsi="宋体" w:eastAsia="宋体" w:cs="宋体"/>
                <w:color w:val="auto"/>
                <w:sz w:val="24"/>
                <w:highlight w:val="none"/>
              </w:rPr>
            </w:pPr>
          </w:p>
        </w:tc>
        <w:tc>
          <w:tcPr>
            <w:tcW w:w="1311" w:type="dxa"/>
            <w:vAlign w:val="center"/>
          </w:tcPr>
          <w:p w14:paraId="43F64ED2">
            <w:pPr>
              <w:shd w:val="clear"/>
              <w:tabs>
                <w:tab w:val="left" w:pos="0"/>
                <w:tab w:val="left" w:pos="720"/>
              </w:tabs>
              <w:jc w:val="center"/>
              <w:rPr>
                <w:rFonts w:hint="eastAsia" w:ascii="宋体" w:hAnsi="宋体" w:eastAsia="宋体" w:cs="宋体"/>
                <w:color w:val="auto"/>
                <w:sz w:val="24"/>
                <w:highlight w:val="none"/>
              </w:rPr>
            </w:pPr>
          </w:p>
        </w:tc>
        <w:tc>
          <w:tcPr>
            <w:tcW w:w="2320" w:type="dxa"/>
            <w:vAlign w:val="center"/>
          </w:tcPr>
          <w:p w14:paraId="6A4B600D">
            <w:pPr>
              <w:shd w:val="clear"/>
              <w:tabs>
                <w:tab w:val="left" w:pos="0"/>
                <w:tab w:val="left" w:pos="720"/>
              </w:tabs>
              <w:jc w:val="center"/>
              <w:rPr>
                <w:rFonts w:hint="eastAsia" w:ascii="宋体" w:hAnsi="宋体" w:eastAsia="宋体" w:cs="宋体"/>
                <w:color w:val="auto"/>
                <w:sz w:val="24"/>
                <w:highlight w:val="none"/>
              </w:rPr>
            </w:pPr>
          </w:p>
        </w:tc>
        <w:tc>
          <w:tcPr>
            <w:tcW w:w="2449" w:type="dxa"/>
            <w:vAlign w:val="center"/>
          </w:tcPr>
          <w:p w14:paraId="72610706">
            <w:pPr>
              <w:shd w:val="clear"/>
              <w:tabs>
                <w:tab w:val="left" w:pos="0"/>
                <w:tab w:val="left" w:pos="720"/>
              </w:tabs>
              <w:jc w:val="center"/>
              <w:rPr>
                <w:rFonts w:hint="eastAsia" w:ascii="宋体" w:hAnsi="宋体" w:eastAsia="宋体" w:cs="宋体"/>
                <w:color w:val="auto"/>
                <w:sz w:val="24"/>
                <w:highlight w:val="none"/>
              </w:rPr>
            </w:pPr>
          </w:p>
        </w:tc>
        <w:tc>
          <w:tcPr>
            <w:tcW w:w="1468" w:type="dxa"/>
            <w:vAlign w:val="center"/>
          </w:tcPr>
          <w:p w14:paraId="388211B4">
            <w:pPr>
              <w:shd w:val="clear"/>
              <w:tabs>
                <w:tab w:val="left" w:pos="0"/>
                <w:tab w:val="left" w:pos="720"/>
              </w:tabs>
              <w:jc w:val="center"/>
              <w:rPr>
                <w:rFonts w:hint="eastAsia" w:ascii="宋体" w:hAnsi="宋体" w:eastAsia="宋体" w:cs="宋体"/>
                <w:color w:val="auto"/>
                <w:sz w:val="24"/>
                <w:highlight w:val="none"/>
              </w:rPr>
            </w:pPr>
          </w:p>
        </w:tc>
      </w:tr>
      <w:tr w14:paraId="093C2C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4199E51F">
            <w:pPr>
              <w:shd w:val="clear"/>
              <w:tabs>
                <w:tab w:val="left" w:pos="0"/>
                <w:tab w:val="left" w:pos="720"/>
              </w:tabs>
              <w:jc w:val="center"/>
              <w:rPr>
                <w:rFonts w:hint="eastAsia" w:ascii="宋体" w:hAnsi="宋体" w:eastAsia="宋体" w:cs="宋体"/>
                <w:color w:val="auto"/>
                <w:sz w:val="24"/>
                <w:highlight w:val="none"/>
              </w:rPr>
            </w:pPr>
          </w:p>
        </w:tc>
        <w:tc>
          <w:tcPr>
            <w:tcW w:w="1311" w:type="dxa"/>
            <w:vAlign w:val="center"/>
          </w:tcPr>
          <w:p w14:paraId="6371D8F6">
            <w:pPr>
              <w:shd w:val="clear"/>
              <w:tabs>
                <w:tab w:val="left" w:pos="0"/>
                <w:tab w:val="left" w:pos="720"/>
              </w:tabs>
              <w:jc w:val="center"/>
              <w:rPr>
                <w:rFonts w:hint="eastAsia" w:ascii="宋体" w:hAnsi="宋体" w:eastAsia="宋体" w:cs="宋体"/>
                <w:color w:val="auto"/>
                <w:sz w:val="24"/>
                <w:highlight w:val="none"/>
              </w:rPr>
            </w:pPr>
          </w:p>
        </w:tc>
        <w:tc>
          <w:tcPr>
            <w:tcW w:w="2320" w:type="dxa"/>
            <w:vAlign w:val="center"/>
          </w:tcPr>
          <w:p w14:paraId="50B8A4B1">
            <w:pPr>
              <w:shd w:val="clear"/>
              <w:tabs>
                <w:tab w:val="left" w:pos="0"/>
                <w:tab w:val="left" w:pos="720"/>
              </w:tabs>
              <w:jc w:val="center"/>
              <w:rPr>
                <w:rFonts w:hint="eastAsia" w:ascii="宋体" w:hAnsi="宋体" w:eastAsia="宋体" w:cs="宋体"/>
                <w:color w:val="auto"/>
                <w:sz w:val="24"/>
                <w:highlight w:val="none"/>
              </w:rPr>
            </w:pPr>
          </w:p>
        </w:tc>
        <w:tc>
          <w:tcPr>
            <w:tcW w:w="2449" w:type="dxa"/>
            <w:vAlign w:val="center"/>
          </w:tcPr>
          <w:p w14:paraId="33906936">
            <w:pPr>
              <w:shd w:val="clear"/>
              <w:tabs>
                <w:tab w:val="left" w:pos="0"/>
                <w:tab w:val="left" w:pos="720"/>
              </w:tabs>
              <w:jc w:val="center"/>
              <w:rPr>
                <w:rFonts w:hint="eastAsia" w:ascii="宋体" w:hAnsi="宋体" w:eastAsia="宋体" w:cs="宋体"/>
                <w:color w:val="auto"/>
                <w:sz w:val="24"/>
                <w:highlight w:val="none"/>
              </w:rPr>
            </w:pPr>
          </w:p>
        </w:tc>
        <w:tc>
          <w:tcPr>
            <w:tcW w:w="1468" w:type="dxa"/>
            <w:vAlign w:val="center"/>
          </w:tcPr>
          <w:p w14:paraId="26055595">
            <w:pPr>
              <w:shd w:val="clear"/>
              <w:tabs>
                <w:tab w:val="left" w:pos="0"/>
                <w:tab w:val="left" w:pos="720"/>
              </w:tabs>
              <w:jc w:val="center"/>
              <w:rPr>
                <w:rFonts w:hint="eastAsia" w:ascii="宋体" w:hAnsi="宋体" w:eastAsia="宋体" w:cs="宋体"/>
                <w:color w:val="auto"/>
                <w:sz w:val="24"/>
                <w:highlight w:val="none"/>
              </w:rPr>
            </w:pPr>
          </w:p>
        </w:tc>
      </w:tr>
    </w:tbl>
    <w:p w14:paraId="0FA2681A">
      <w:pPr>
        <w:pStyle w:val="38"/>
        <w:shd w:val="clear"/>
        <w:spacing w:after="0" w:line="360" w:lineRule="auto"/>
        <w:ind w:left="-2" w:leftChars="-1" w:firstLine="0"/>
        <w:rPr>
          <w:rFonts w:hint="eastAsia" w:ascii="宋体" w:hAnsi="宋体" w:eastAsia="宋体" w:cs="宋体"/>
          <w:color w:val="auto"/>
          <w:sz w:val="18"/>
          <w:szCs w:val="18"/>
          <w:highlight w:val="none"/>
        </w:rPr>
      </w:pPr>
    </w:p>
    <w:p w14:paraId="3D3B5E87">
      <w:pPr>
        <w:pStyle w:val="38"/>
        <w:shd w:val="clear"/>
        <w:spacing w:after="0" w:line="360" w:lineRule="auto"/>
        <w:ind w:left="-2" w:leftChars="-1" w:firstLine="0"/>
        <w:rPr>
          <w:rFonts w:hint="eastAsia" w:ascii="宋体" w:hAnsi="宋体" w:eastAsia="宋体" w:cs="宋体"/>
          <w:bCs/>
          <w:iCs/>
          <w:color w:val="auto"/>
          <w:sz w:val="18"/>
          <w:szCs w:val="18"/>
          <w:highlight w:val="none"/>
        </w:rPr>
      </w:pPr>
      <w:r>
        <w:rPr>
          <w:rFonts w:hint="eastAsia" w:ascii="宋体" w:hAnsi="宋体" w:eastAsia="宋体" w:cs="宋体"/>
          <w:color w:val="auto"/>
          <w:sz w:val="18"/>
          <w:szCs w:val="18"/>
          <w:highlight w:val="none"/>
        </w:rPr>
        <w:t>注：</w:t>
      </w:r>
      <w:r>
        <w:rPr>
          <w:rFonts w:hint="eastAsia" w:ascii="宋体" w:hAnsi="宋体" w:eastAsia="宋体" w:cs="宋体"/>
          <w:bCs/>
          <w:iCs/>
          <w:color w:val="auto"/>
          <w:sz w:val="18"/>
          <w:szCs w:val="18"/>
          <w:highlight w:val="none"/>
        </w:rPr>
        <w:t>参与编制标书所有人员名单应包括如编制工程总承包实施方案、投标报价、负责清样校对、负责加密打包、负责上传、负责密封、负责打印及复印等所有人员在内的人员名单。</w:t>
      </w:r>
    </w:p>
    <w:p w14:paraId="1CCBA006">
      <w:pPr>
        <w:pStyle w:val="38"/>
        <w:shd w:val="clear"/>
        <w:spacing w:after="0" w:line="360" w:lineRule="auto"/>
        <w:ind w:left="-2" w:leftChars="-1" w:firstLine="0"/>
        <w:rPr>
          <w:rFonts w:hint="eastAsia" w:ascii="宋体" w:hAnsi="宋体" w:eastAsia="宋体" w:cs="宋体"/>
          <w:bCs/>
          <w:iCs/>
          <w:color w:val="auto"/>
          <w:sz w:val="18"/>
          <w:szCs w:val="18"/>
          <w:highlight w:val="none"/>
        </w:rPr>
      </w:pPr>
    </w:p>
    <w:p w14:paraId="060EE4C8">
      <w:pPr>
        <w:pStyle w:val="3"/>
        <w:shd w:val="clear"/>
        <w:spacing w:before="0" w:after="0"/>
        <w:rPr>
          <w:rFonts w:hint="eastAsia" w:ascii="宋体" w:hAnsi="宋体" w:eastAsia="宋体" w:cs="宋体"/>
          <w:bCs w:val="0"/>
          <w:iCs/>
          <w:color w:val="auto"/>
          <w:sz w:val="18"/>
          <w:szCs w:val="18"/>
          <w:highlight w:val="none"/>
        </w:rPr>
      </w:pPr>
      <w:r>
        <w:rPr>
          <w:rFonts w:hint="eastAsia" w:ascii="宋体" w:hAnsi="宋体" w:eastAsia="宋体" w:cs="宋体"/>
          <w:iCs/>
          <w:color w:val="auto"/>
          <w:sz w:val="18"/>
          <w:szCs w:val="18"/>
          <w:highlight w:val="none"/>
        </w:rPr>
        <w:br w:type="page"/>
      </w:r>
      <w:r>
        <w:rPr>
          <w:rFonts w:hint="eastAsia" w:ascii="宋体" w:hAnsi="宋体" w:eastAsia="宋体" w:cs="宋体"/>
          <w:color w:val="auto"/>
          <w:sz w:val="28"/>
          <w:szCs w:val="28"/>
          <w:highlight w:val="none"/>
        </w:rPr>
        <w:t>格式7：</w:t>
      </w:r>
    </w:p>
    <w:p w14:paraId="1E4E58E5">
      <w:pPr>
        <w:pStyle w:val="38"/>
        <w:shd w:val="clear"/>
        <w:spacing w:after="0" w:line="360" w:lineRule="auto"/>
        <w:ind w:left="-2" w:leftChars="-1" w:firstLine="0"/>
        <w:jc w:val="center"/>
        <w:rPr>
          <w:rFonts w:hint="eastAsia" w:ascii="宋体" w:hAnsi="宋体" w:eastAsia="宋体" w:cs="宋体"/>
          <w:bCs/>
          <w:iCs/>
          <w:color w:val="auto"/>
          <w:sz w:val="24"/>
          <w:highlight w:val="none"/>
          <w:u w:val="single"/>
        </w:rPr>
      </w:pPr>
      <w:r>
        <w:rPr>
          <w:rFonts w:hint="eastAsia" w:ascii="宋体" w:hAnsi="宋体" w:eastAsia="宋体" w:cs="宋体"/>
          <w:bCs/>
          <w:iCs/>
          <w:color w:val="auto"/>
          <w:sz w:val="24"/>
          <w:highlight w:val="none"/>
          <w:u w:val="single"/>
        </w:rPr>
        <w:t>投标人认为需要提交的其他资料</w:t>
      </w:r>
    </w:p>
    <w:bookmarkEnd w:id="524"/>
    <w:bookmarkEnd w:id="525"/>
    <w:bookmarkEnd w:id="526"/>
    <w:bookmarkEnd w:id="527"/>
    <w:bookmarkEnd w:id="528"/>
    <w:p w14:paraId="1D4B34EB">
      <w:pPr>
        <w:shd w:val="clear"/>
        <w:rPr>
          <w:rFonts w:hint="eastAsia" w:ascii="宋体" w:hAnsi="宋体" w:eastAsia="宋体" w:cs="宋体"/>
          <w:color w:val="auto"/>
          <w:highlight w:val="none"/>
        </w:rPr>
      </w:pPr>
    </w:p>
    <w:sectPr>
      <w:footerReference r:id="rId8" w:type="default"/>
      <w:pgSz w:w="11905" w:h="16838"/>
      <w:pgMar w:top="1304" w:right="1304" w:bottom="1304" w:left="1304" w:header="851"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56259">
    <w:pPr>
      <w:pStyle w:val="25"/>
      <w:jc w:val="center"/>
    </w:pPr>
    <w:r>
      <w:fldChar w:fldCharType="begin"/>
    </w:r>
    <w:r>
      <w:instrText xml:space="preserve">PAGE   \* MERGEFORMAT</w:instrText>
    </w:r>
    <w:r>
      <w:fldChar w:fldCharType="separate"/>
    </w:r>
    <w:r>
      <w:rPr>
        <w:lang w:val="zh-CN"/>
      </w:rPr>
      <w:t>20</w:t>
    </w:r>
    <w:r>
      <w:rPr>
        <w:lang w:val="zh-CN"/>
      </w:rPr>
      <w:fldChar w:fldCharType="end"/>
    </w:r>
  </w:p>
  <w:p w14:paraId="0BB76AC9">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83532">
    <w:pPr>
      <w:pStyle w:val="2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7780" b="1270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65EF653">
                          <w:pPr>
                            <w:pStyle w:val="25"/>
                          </w:pPr>
                          <w:r>
                            <w:fldChar w:fldCharType="begin"/>
                          </w:r>
                          <w:r>
                            <w:instrText xml:space="preserve"> PAGE  \* MERGEFORMAT </w:instrText>
                          </w:r>
                          <w:r>
                            <w:fldChar w:fldCharType="separate"/>
                          </w:r>
                          <w:r>
                            <w:t>38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&#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LpYU0AAAAAMBAAAPAAAAAAAAAAEAIAAAACIAAABk&#10;cnMvZG93bnJldi54bWxQSwECFAAUAAAACACHTuJA1i3luA4CAAAQBAAADgAAAAAAAAABACAAAAAf&#10;AQAAZHJzL2Uyb0RvYy54bWxQSwUGAAAAAAYABgBZAQAAnwUAAAAA&#10;">
              <v:fill on="f" focussize="0,0"/>
              <v:stroke on="f"/>
              <v:imagedata o:title=""/>
              <o:lock v:ext="edit" aspectratio="f"/>
              <v:textbox inset="0mm,0mm,0mm,0mm" style="mso-fit-shape-to-text:t;">
                <w:txbxContent>
                  <w:p w14:paraId="065EF653">
                    <w:pPr>
                      <w:pStyle w:val="2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50504">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17780" b="1270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073E6C9">
                          <w:pPr>
                            <w:pStyle w:val="25"/>
                          </w:pPr>
                          <w:r>
                            <w:fldChar w:fldCharType="begin"/>
                          </w:r>
                          <w:r>
                            <w:instrText xml:space="preserve"> PAGE  \* MERGEFORMAT </w:instrText>
                          </w:r>
                          <w:r>
                            <w:fldChar w:fldCharType="separate"/>
                          </w:r>
                          <w:r>
                            <w:t>46</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&#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LpYU0AAAAAMBAAAPAAAAAAAAAAEAIAAAACIAAABk&#10;cnMvZG93bnJldi54bWxQSwECFAAUAAAACACHTuJAY50WgA4CAAAQBAAADgAAAAAAAAABACAAAAAf&#10;AQAAZHJzL2Uyb0RvYy54bWxQSwUGAAAAAAYABgBZAQAAnwUAAAAA&#10;">
              <v:fill on="f" focussize="0,0"/>
              <v:stroke on="f"/>
              <v:imagedata o:title=""/>
              <o:lock v:ext="edit" aspectratio="f"/>
              <v:textbox inset="0mm,0mm,0mm,0mm" style="mso-fit-shape-to-text:t;">
                <w:txbxContent>
                  <w:p w14:paraId="4073E6C9">
                    <w:pPr>
                      <w:pStyle w:val="2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25994">
    <w:pPr>
      <w:pStyle w:val="2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18415" b="4445"/>
              <wp:wrapNone/>
              <wp:docPr id="6" name="文本框 5"/>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4BAC1CEC">
                          <w:pPr>
                            <w:pStyle w:val="25"/>
                            <w:jc w:val="center"/>
                          </w:pPr>
                          <w:r>
                            <w:rPr>
                              <w:rFonts w:hint="eastAsia" w:ascii="宋体" w:hAnsi="宋体" w:cs="宋体"/>
                            </w:rPr>
                            <w:fldChar w:fldCharType="begin"/>
                          </w:r>
                          <w:r>
                            <w:rPr>
                              <w:rStyle w:val="42"/>
                              <w:rFonts w:hint="eastAsia" w:ascii="宋体" w:hAnsi="宋体" w:cs="宋体"/>
                            </w:rPr>
                            <w:instrText xml:space="preserve"> PAGE </w:instrText>
                          </w:r>
                          <w:r>
                            <w:rPr>
                              <w:rFonts w:hint="eastAsia" w:ascii="宋体" w:hAnsi="宋体" w:cs="宋体"/>
                            </w:rPr>
                            <w:fldChar w:fldCharType="separate"/>
                          </w:r>
                          <w:r>
                            <w:rPr>
                              <w:rStyle w:val="42"/>
                              <w:rFonts w:ascii="宋体" w:hAnsi="宋体" w:cs="宋体"/>
                            </w:rPr>
                            <w:t>50</w:t>
                          </w:r>
                          <w:r>
                            <w:rPr>
                              <w:rFonts w:hint="eastAsia" w:ascii="宋体" w:hAnsi="宋体" w:cs="宋体"/>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6W/D9EAAAADAQAADwAAAAAAAAABACAAAAAiAAAAZHJzL2Rv&#10;d25yZXYueG1sUEsBAhQAFAAAAAgAh07iQEWQMEHPAQAAlwMAAA4AAAAAAAAAAQAgAAAAIAEAAGRy&#10;cy9lMm9Eb2MueG1sUEsFBgAAAAAGAAYAWQEAAGEFAAAAAA==&#10;">
              <v:fill on="f" focussize="0,0"/>
              <v:stroke on="f"/>
              <v:imagedata o:title=""/>
              <o:lock v:ext="edit" aspectratio="f"/>
              <v:textbox inset="0mm,0mm,0mm,0mm" style="mso-fit-shape-to-text:t;">
                <w:txbxContent>
                  <w:p w14:paraId="4BAC1CEC">
                    <w:pPr>
                      <w:pStyle w:val="25"/>
                      <w:jc w:val="center"/>
                    </w:pPr>
                    <w:r>
                      <w:rPr>
                        <w:rFonts w:hint="eastAsia" w:ascii="宋体" w:hAnsi="宋体" w:cs="宋体"/>
                      </w:rPr>
                      <w:fldChar w:fldCharType="begin"/>
                    </w:r>
                    <w:r>
                      <w:rPr>
                        <w:rStyle w:val="42"/>
                        <w:rFonts w:hint="eastAsia" w:ascii="宋体" w:hAnsi="宋体" w:cs="宋体"/>
                      </w:rPr>
                      <w:instrText xml:space="preserve"> PAGE </w:instrText>
                    </w:r>
                    <w:r>
                      <w:rPr>
                        <w:rFonts w:hint="eastAsia" w:ascii="宋体" w:hAnsi="宋体" w:cs="宋体"/>
                      </w:rPr>
                      <w:fldChar w:fldCharType="separate"/>
                    </w:r>
                    <w:r>
                      <w:rPr>
                        <w:rStyle w:val="42"/>
                        <w:rFonts w:ascii="宋体" w:hAnsi="宋体" w:cs="宋体"/>
                      </w:rPr>
                      <w:t>50</w:t>
                    </w:r>
                    <w:r>
                      <w:rPr>
                        <w:rFonts w:hint="eastAsia" w:ascii="宋体" w:hAnsi="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E2786">
    <w:pPr>
      <w:pStyle w:val="25"/>
      <w:jc w:val="center"/>
    </w:pPr>
    <w:r>
      <w:fldChar w:fldCharType="begin"/>
    </w:r>
    <w:r>
      <w:rPr>
        <w:rStyle w:val="42"/>
      </w:rPr>
      <w:instrText xml:space="preserve"> PAGE </w:instrText>
    </w:r>
    <w:r>
      <w:fldChar w:fldCharType="separate"/>
    </w:r>
    <w:r>
      <w:rPr>
        <w:rStyle w:val="42"/>
      </w:rPr>
      <w:t>55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338EF">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3B953"/>
    <w:multiLevelType w:val="singleLevel"/>
    <w:tmpl w:val="A4B3B953"/>
    <w:lvl w:ilvl="0" w:tentative="0">
      <w:start w:val="1"/>
      <w:numFmt w:val="decimal"/>
      <w:suff w:val="nothing"/>
      <w:lvlText w:val="%1、"/>
      <w:lvlJc w:val="left"/>
    </w:lvl>
  </w:abstractNum>
  <w:abstractNum w:abstractNumId="1">
    <w:nsid w:val="03BDA407"/>
    <w:multiLevelType w:val="singleLevel"/>
    <w:tmpl w:val="03BDA407"/>
    <w:lvl w:ilvl="0" w:tentative="0">
      <w:start w:val="1"/>
      <w:numFmt w:val="decimal"/>
      <w:suff w:val="space"/>
      <w:lvlText w:val="(%1)"/>
      <w:lvlJc w:val="left"/>
      <w:pPr>
        <w:ind w:left="454" w:hanging="454"/>
      </w:pPr>
      <w:rPr>
        <w:rFonts w:hint="default" w:ascii="宋体" w:hAnsi="宋体" w:eastAsia="宋体" w:cs="宋体"/>
        <w:color w:val="auto"/>
        <w:sz w:val="21"/>
        <w:szCs w:val="21"/>
      </w:rPr>
    </w:lvl>
  </w:abstractNum>
  <w:abstractNum w:abstractNumId="2">
    <w:nsid w:val="44EE1251"/>
    <w:multiLevelType w:val="multilevel"/>
    <w:tmpl w:val="44EE1251"/>
    <w:lvl w:ilvl="0" w:tentative="0">
      <w:start w:val="1"/>
      <w:numFmt w:val="decimal"/>
      <w:lvlText w:val="%1)"/>
      <w:lvlJc w:val="left"/>
      <w:pPr>
        <w:ind w:left="90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692604F"/>
    <w:multiLevelType w:val="singleLevel"/>
    <w:tmpl w:val="4692604F"/>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E3E"/>
    <w:rsid w:val="00013006"/>
    <w:rsid w:val="0004713D"/>
    <w:rsid w:val="00050A07"/>
    <w:rsid w:val="0005185E"/>
    <w:rsid w:val="000851B4"/>
    <w:rsid w:val="00092FAC"/>
    <w:rsid w:val="000939AB"/>
    <w:rsid w:val="000B26CB"/>
    <w:rsid w:val="000C38DF"/>
    <w:rsid w:val="000C42A6"/>
    <w:rsid w:val="000D3B75"/>
    <w:rsid w:val="000E09E0"/>
    <w:rsid w:val="000F59F7"/>
    <w:rsid w:val="00157970"/>
    <w:rsid w:val="001676BB"/>
    <w:rsid w:val="00177810"/>
    <w:rsid w:val="0019533A"/>
    <w:rsid w:val="00196494"/>
    <w:rsid w:val="001A3723"/>
    <w:rsid w:val="001B045A"/>
    <w:rsid w:val="001D0E25"/>
    <w:rsid w:val="001E4555"/>
    <w:rsid w:val="001F19D5"/>
    <w:rsid w:val="001F1CCA"/>
    <w:rsid w:val="001F2EFB"/>
    <w:rsid w:val="00204764"/>
    <w:rsid w:val="002225EC"/>
    <w:rsid w:val="0022568B"/>
    <w:rsid w:val="002331B6"/>
    <w:rsid w:val="00255B68"/>
    <w:rsid w:val="00257022"/>
    <w:rsid w:val="00265B0B"/>
    <w:rsid w:val="00265ED5"/>
    <w:rsid w:val="00275350"/>
    <w:rsid w:val="002A14FC"/>
    <w:rsid w:val="002A1E3F"/>
    <w:rsid w:val="002D2AF5"/>
    <w:rsid w:val="002E6282"/>
    <w:rsid w:val="00302A11"/>
    <w:rsid w:val="00312187"/>
    <w:rsid w:val="003562D3"/>
    <w:rsid w:val="0036310E"/>
    <w:rsid w:val="0036332E"/>
    <w:rsid w:val="00366621"/>
    <w:rsid w:val="00367102"/>
    <w:rsid w:val="00381D17"/>
    <w:rsid w:val="003A04BF"/>
    <w:rsid w:val="003A690D"/>
    <w:rsid w:val="003B40E8"/>
    <w:rsid w:val="003B53A1"/>
    <w:rsid w:val="003F2EDC"/>
    <w:rsid w:val="003F5EBD"/>
    <w:rsid w:val="00400754"/>
    <w:rsid w:val="00417342"/>
    <w:rsid w:val="00436E6C"/>
    <w:rsid w:val="00464D99"/>
    <w:rsid w:val="00475CDE"/>
    <w:rsid w:val="004A5B1F"/>
    <w:rsid w:val="004B7630"/>
    <w:rsid w:val="004B7944"/>
    <w:rsid w:val="004D2CA9"/>
    <w:rsid w:val="004E3217"/>
    <w:rsid w:val="004E647E"/>
    <w:rsid w:val="004E7103"/>
    <w:rsid w:val="00505524"/>
    <w:rsid w:val="00533ACC"/>
    <w:rsid w:val="00544856"/>
    <w:rsid w:val="00552606"/>
    <w:rsid w:val="00590831"/>
    <w:rsid w:val="00597901"/>
    <w:rsid w:val="005B10FA"/>
    <w:rsid w:val="005C68AA"/>
    <w:rsid w:val="005D1D29"/>
    <w:rsid w:val="005E0E60"/>
    <w:rsid w:val="005E2C53"/>
    <w:rsid w:val="005E3933"/>
    <w:rsid w:val="005F2285"/>
    <w:rsid w:val="005F57C1"/>
    <w:rsid w:val="00615C47"/>
    <w:rsid w:val="006369CF"/>
    <w:rsid w:val="00642DC6"/>
    <w:rsid w:val="00666F72"/>
    <w:rsid w:val="00691F05"/>
    <w:rsid w:val="006A595E"/>
    <w:rsid w:val="006D1742"/>
    <w:rsid w:val="006D739E"/>
    <w:rsid w:val="006F3FDF"/>
    <w:rsid w:val="006F433F"/>
    <w:rsid w:val="006F43D8"/>
    <w:rsid w:val="00713D4C"/>
    <w:rsid w:val="00726BEA"/>
    <w:rsid w:val="0075790C"/>
    <w:rsid w:val="00761FB9"/>
    <w:rsid w:val="00771041"/>
    <w:rsid w:val="00775214"/>
    <w:rsid w:val="00787B98"/>
    <w:rsid w:val="007C500D"/>
    <w:rsid w:val="00801A0F"/>
    <w:rsid w:val="00805735"/>
    <w:rsid w:val="00817F23"/>
    <w:rsid w:val="00827CAC"/>
    <w:rsid w:val="00832E68"/>
    <w:rsid w:val="00837B6D"/>
    <w:rsid w:val="00851813"/>
    <w:rsid w:val="00857C0F"/>
    <w:rsid w:val="0086139C"/>
    <w:rsid w:val="008755A8"/>
    <w:rsid w:val="00876D44"/>
    <w:rsid w:val="00893A67"/>
    <w:rsid w:val="008A79C3"/>
    <w:rsid w:val="008B5AE0"/>
    <w:rsid w:val="008C4ACC"/>
    <w:rsid w:val="008C68B9"/>
    <w:rsid w:val="008C6E75"/>
    <w:rsid w:val="008E39FF"/>
    <w:rsid w:val="008E6826"/>
    <w:rsid w:val="008F08AB"/>
    <w:rsid w:val="008F47EB"/>
    <w:rsid w:val="00906552"/>
    <w:rsid w:val="009301CB"/>
    <w:rsid w:val="009376B8"/>
    <w:rsid w:val="009466DC"/>
    <w:rsid w:val="009557AA"/>
    <w:rsid w:val="009566CB"/>
    <w:rsid w:val="0096128F"/>
    <w:rsid w:val="0099352A"/>
    <w:rsid w:val="009A2691"/>
    <w:rsid w:val="009A6ACD"/>
    <w:rsid w:val="009D212E"/>
    <w:rsid w:val="009E3C96"/>
    <w:rsid w:val="009F01E3"/>
    <w:rsid w:val="00A314EE"/>
    <w:rsid w:val="00A4700D"/>
    <w:rsid w:val="00A84713"/>
    <w:rsid w:val="00AA1396"/>
    <w:rsid w:val="00AA1AEF"/>
    <w:rsid w:val="00AA3FE6"/>
    <w:rsid w:val="00AA4300"/>
    <w:rsid w:val="00AC1555"/>
    <w:rsid w:val="00AC2448"/>
    <w:rsid w:val="00AC274C"/>
    <w:rsid w:val="00B047D9"/>
    <w:rsid w:val="00B22BA5"/>
    <w:rsid w:val="00B26E82"/>
    <w:rsid w:val="00B31908"/>
    <w:rsid w:val="00B50B96"/>
    <w:rsid w:val="00B52FC8"/>
    <w:rsid w:val="00B566A1"/>
    <w:rsid w:val="00B61984"/>
    <w:rsid w:val="00B67362"/>
    <w:rsid w:val="00B764E2"/>
    <w:rsid w:val="00B9440C"/>
    <w:rsid w:val="00BB3291"/>
    <w:rsid w:val="00BD7DC9"/>
    <w:rsid w:val="00BE5AA3"/>
    <w:rsid w:val="00BF1EC4"/>
    <w:rsid w:val="00BF22FB"/>
    <w:rsid w:val="00BF566C"/>
    <w:rsid w:val="00C053BA"/>
    <w:rsid w:val="00C138DF"/>
    <w:rsid w:val="00C22657"/>
    <w:rsid w:val="00C41462"/>
    <w:rsid w:val="00C46451"/>
    <w:rsid w:val="00C6117B"/>
    <w:rsid w:val="00C71A7E"/>
    <w:rsid w:val="00C73420"/>
    <w:rsid w:val="00C801CA"/>
    <w:rsid w:val="00C833D3"/>
    <w:rsid w:val="00C96B0B"/>
    <w:rsid w:val="00CC013C"/>
    <w:rsid w:val="00CD5038"/>
    <w:rsid w:val="00CE1890"/>
    <w:rsid w:val="00CE2161"/>
    <w:rsid w:val="00D21AD9"/>
    <w:rsid w:val="00D43CCF"/>
    <w:rsid w:val="00D47ED8"/>
    <w:rsid w:val="00D56291"/>
    <w:rsid w:val="00DB3FA3"/>
    <w:rsid w:val="00DC6801"/>
    <w:rsid w:val="00DD0F7C"/>
    <w:rsid w:val="00E05838"/>
    <w:rsid w:val="00E063C4"/>
    <w:rsid w:val="00E1246D"/>
    <w:rsid w:val="00E13272"/>
    <w:rsid w:val="00E16CB9"/>
    <w:rsid w:val="00E30E3E"/>
    <w:rsid w:val="00E36ABD"/>
    <w:rsid w:val="00E46D8B"/>
    <w:rsid w:val="00E509F5"/>
    <w:rsid w:val="00E50BD9"/>
    <w:rsid w:val="00E563AB"/>
    <w:rsid w:val="00E64A87"/>
    <w:rsid w:val="00E707B6"/>
    <w:rsid w:val="00E72118"/>
    <w:rsid w:val="00E7541C"/>
    <w:rsid w:val="00EA1D0F"/>
    <w:rsid w:val="00EA4F3E"/>
    <w:rsid w:val="00EA59CA"/>
    <w:rsid w:val="00EB2D74"/>
    <w:rsid w:val="00ED113D"/>
    <w:rsid w:val="00ED7B3B"/>
    <w:rsid w:val="00F021DC"/>
    <w:rsid w:val="00F15791"/>
    <w:rsid w:val="00F60181"/>
    <w:rsid w:val="00F76D86"/>
    <w:rsid w:val="00FA041C"/>
    <w:rsid w:val="00FA26E0"/>
    <w:rsid w:val="00FA48FE"/>
    <w:rsid w:val="00FA7AD6"/>
    <w:rsid w:val="00FC01C9"/>
    <w:rsid w:val="00FD2CE4"/>
    <w:rsid w:val="0136360C"/>
    <w:rsid w:val="01C82B61"/>
    <w:rsid w:val="01CA61C5"/>
    <w:rsid w:val="023E1BBB"/>
    <w:rsid w:val="059155AD"/>
    <w:rsid w:val="072B6851"/>
    <w:rsid w:val="08493425"/>
    <w:rsid w:val="08687341"/>
    <w:rsid w:val="09E62D8D"/>
    <w:rsid w:val="0C483CB5"/>
    <w:rsid w:val="0CFD24DF"/>
    <w:rsid w:val="0E921DE2"/>
    <w:rsid w:val="0F262DE9"/>
    <w:rsid w:val="0F932F73"/>
    <w:rsid w:val="0FEE2C04"/>
    <w:rsid w:val="1030329B"/>
    <w:rsid w:val="110A650B"/>
    <w:rsid w:val="118712CE"/>
    <w:rsid w:val="11DF3F27"/>
    <w:rsid w:val="144854D4"/>
    <w:rsid w:val="15DC256D"/>
    <w:rsid w:val="16B17F0B"/>
    <w:rsid w:val="17B12DB3"/>
    <w:rsid w:val="17CF299D"/>
    <w:rsid w:val="197233CD"/>
    <w:rsid w:val="19B21B44"/>
    <w:rsid w:val="19CF7EE4"/>
    <w:rsid w:val="1ACE2356"/>
    <w:rsid w:val="1C2D082C"/>
    <w:rsid w:val="20C25882"/>
    <w:rsid w:val="21E5669F"/>
    <w:rsid w:val="226E6A1B"/>
    <w:rsid w:val="247E574E"/>
    <w:rsid w:val="249B429A"/>
    <w:rsid w:val="26D3436D"/>
    <w:rsid w:val="2749095D"/>
    <w:rsid w:val="27D753B1"/>
    <w:rsid w:val="2842596B"/>
    <w:rsid w:val="2A3C08D0"/>
    <w:rsid w:val="2A816179"/>
    <w:rsid w:val="2ABB692C"/>
    <w:rsid w:val="2B6057BA"/>
    <w:rsid w:val="2BFF2FB9"/>
    <w:rsid w:val="2F4C3B53"/>
    <w:rsid w:val="306649EC"/>
    <w:rsid w:val="30A60A95"/>
    <w:rsid w:val="315C5288"/>
    <w:rsid w:val="32AC27AE"/>
    <w:rsid w:val="33FD0F21"/>
    <w:rsid w:val="364C6BB3"/>
    <w:rsid w:val="374D3D49"/>
    <w:rsid w:val="37671AB5"/>
    <w:rsid w:val="3A0001BB"/>
    <w:rsid w:val="3A5B1D1C"/>
    <w:rsid w:val="3A9D6BA4"/>
    <w:rsid w:val="3B1A7821"/>
    <w:rsid w:val="3D5948EF"/>
    <w:rsid w:val="3DBC52D8"/>
    <w:rsid w:val="3DE57551"/>
    <w:rsid w:val="3E0456CC"/>
    <w:rsid w:val="3E1B6DCB"/>
    <w:rsid w:val="3E6367F8"/>
    <w:rsid w:val="3F1B7C41"/>
    <w:rsid w:val="413F737F"/>
    <w:rsid w:val="41516138"/>
    <w:rsid w:val="426469F5"/>
    <w:rsid w:val="432A48C5"/>
    <w:rsid w:val="43621AB2"/>
    <w:rsid w:val="448F3C80"/>
    <w:rsid w:val="44CE606F"/>
    <w:rsid w:val="454A4690"/>
    <w:rsid w:val="46B47D0E"/>
    <w:rsid w:val="471E30B2"/>
    <w:rsid w:val="47AF6127"/>
    <w:rsid w:val="48231004"/>
    <w:rsid w:val="487C1FF8"/>
    <w:rsid w:val="48AA7CA9"/>
    <w:rsid w:val="4A1A65A1"/>
    <w:rsid w:val="4A9D0D79"/>
    <w:rsid w:val="4E0E70B6"/>
    <w:rsid w:val="4E1103A0"/>
    <w:rsid w:val="4E7B5851"/>
    <w:rsid w:val="4EA344B5"/>
    <w:rsid w:val="50585545"/>
    <w:rsid w:val="50594260"/>
    <w:rsid w:val="51081B92"/>
    <w:rsid w:val="514A5CC3"/>
    <w:rsid w:val="51EC46F0"/>
    <w:rsid w:val="52AA78C0"/>
    <w:rsid w:val="535534C5"/>
    <w:rsid w:val="53AE0779"/>
    <w:rsid w:val="57353218"/>
    <w:rsid w:val="573A1134"/>
    <w:rsid w:val="574E7997"/>
    <w:rsid w:val="57711707"/>
    <w:rsid w:val="58BC7AA4"/>
    <w:rsid w:val="58C14CF0"/>
    <w:rsid w:val="59C752F9"/>
    <w:rsid w:val="5A8F5421"/>
    <w:rsid w:val="5C444C61"/>
    <w:rsid w:val="5C4635F1"/>
    <w:rsid w:val="5D1E0F52"/>
    <w:rsid w:val="5DA62130"/>
    <w:rsid w:val="607D519D"/>
    <w:rsid w:val="608C1EF4"/>
    <w:rsid w:val="61DE2FF2"/>
    <w:rsid w:val="620138F8"/>
    <w:rsid w:val="628143CE"/>
    <w:rsid w:val="65541E4C"/>
    <w:rsid w:val="6614785F"/>
    <w:rsid w:val="67C30A56"/>
    <w:rsid w:val="67C93A1F"/>
    <w:rsid w:val="67C95E8A"/>
    <w:rsid w:val="67E113CC"/>
    <w:rsid w:val="68E7291F"/>
    <w:rsid w:val="6B065627"/>
    <w:rsid w:val="6B4A6F94"/>
    <w:rsid w:val="6C060114"/>
    <w:rsid w:val="6C1A3DE9"/>
    <w:rsid w:val="6F2B2472"/>
    <w:rsid w:val="70562E59"/>
    <w:rsid w:val="71853622"/>
    <w:rsid w:val="71891F52"/>
    <w:rsid w:val="71CE173F"/>
    <w:rsid w:val="7242650E"/>
    <w:rsid w:val="72742DBA"/>
    <w:rsid w:val="72835874"/>
    <w:rsid w:val="73070FC3"/>
    <w:rsid w:val="749D0CB6"/>
    <w:rsid w:val="769E33EC"/>
    <w:rsid w:val="7821137F"/>
    <w:rsid w:val="79714D9C"/>
    <w:rsid w:val="7D821FA4"/>
    <w:rsid w:val="7D941212"/>
    <w:rsid w:val="7ED94B0E"/>
    <w:rsid w:val="7F0D6391"/>
    <w:rsid w:val="7FF94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6" w:lineRule="auto"/>
      <w:outlineLvl w:val="0"/>
    </w:pPr>
    <w:rPr>
      <w:bCs/>
      <w:kern w:val="44"/>
      <w:sz w:val="44"/>
      <w:szCs w:val="44"/>
    </w:rPr>
  </w:style>
  <w:style w:type="paragraph" w:styleId="3">
    <w:name w:val="heading 2"/>
    <w:basedOn w:val="1"/>
    <w:next w:val="1"/>
    <w:link w:val="48"/>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49"/>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5">
    <w:name w:val="heading 4"/>
    <w:basedOn w:val="1"/>
    <w:next w:val="1"/>
    <w:link w:val="50"/>
    <w:qFormat/>
    <w:uiPriority w:val="0"/>
    <w:pPr>
      <w:keepNext/>
      <w:keepLines/>
      <w:spacing w:before="280" w:after="290" w:line="374" w:lineRule="auto"/>
      <w:outlineLvl w:val="3"/>
    </w:pPr>
    <w:rPr>
      <w:rFonts w:ascii="Arial" w:hAnsi="Arial" w:eastAsia="黑体"/>
      <w:b/>
      <w:bCs/>
      <w:sz w:val="28"/>
      <w:szCs w:val="28"/>
    </w:rPr>
  </w:style>
  <w:style w:type="paragraph" w:styleId="6">
    <w:name w:val="heading 6"/>
    <w:basedOn w:val="1"/>
    <w:next w:val="1"/>
    <w:link w:val="5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link w:val="52"/>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link w:val="53"/>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link w:val="54"/>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1">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39"/>
    <w:pPr>
      <w:ind w:left="1260"/>
      <w:jc w:val="left"/>
    </w:pPr>
    <w:rPr>
      <w:sz w:val="18"/>
      <w:szCs w:val="18"/>
    </w:rPr>
  </w:style>
  <w:style w:type="paragraph" w:styleId="11">
    <w:name w:val="index 8"/>
    <w:basedOn w:val="1"/>
    <w:next w:val="1"/>
    <w:unhideWhenUsed/>
    <w:qFormat/>
    <w:uiPriority w:val="99"/>
    <w:pPr>
      <w:ind w:left="1400" w:leftChars="1400"/>
    </w:pPr>
  </w:style>
  <w:style w:type="paragraph" w:styleId="12">
    <w:name w:val="Normal Indent"/>
    <w:basedOn w:val="1"/>
    <w:next w:val="1"/>
    <w:qFormat/>
    <w:uiPriority w:val="0"/>
    <w:pPr>
      <w:ind w:firstLine="420" w:firstLineChars="200"/>
    </w:pPr>
  </w:style>
  <w:style w:type="paragraph" w:styleId="13">
    <w:name w:val="Document Map"/>
    <w:basedOn w:val="1"/>
    <w:link w:val="55"/>
    <w:qFormat/>
    <w:uiPriority w:val="0"/>
    <w:pPr>
      <w:shd w:val="clear" w:color="auto" w:fill="000080"/>
    </w:pPr>
    <w:rPr>
      <w:rFonts w:ascii="Calibri" w:hAnsi="Calibri"/>
    </w:rPr>
  </w:style>
  <w:style w:type="paragraph" w:styleId="14">
    <w:name w:val="annotation text"/>
    <w:basedOn w:val="1"/>
    <w:link w:val="56"/>
    <w:unhideWhenUsed/>
    <w:qFormat/>
    <w:uiPriority w:val="0"/>
    <w:pPr>
      <w:jc w:val="left"/>
    </w:pPr>
  </w:style>
  <w:style w:type="paragraph" w:styleId="15">
    <w:name w:val="Body Text 3"/>
    <w:basedOn w:val="1"/>
    <w:link w:val="57"/>
    <w:qFormat/>
    <w:uiPriority w:val="0"/>
    <w:rPr>
      <w:rFonts w:ascii="宋体"/>
      <w:sz w:val="24"/>
      <w:szCs w:val="20"/>
    </w:rPr>
  </w:style>
  <w:style w:type="paragraph" w:styleId="16">
    <w:name w:val="Body Text"/>
    <w:basedOn w:val="1"/>
    <w:next w:val="1"/>
    <w:link w:val="58"/>
    <w:qFormat/>
    <w:uiPriority w:val="0"/>
    <w:pPr>
      <w:spacing w:after="120"/>
    </w:pPr>
    <w:rPr>
      <w:rFonts w:ascii="Calibri" w:hAnsi="Calibri"/>
    </w:rPr>
  </w:style>
  <w:style w:type="paragraph" w:styleId="17">
    <w:name w:val="Body Text Indent"/>
    <w:basedOn w:val="1"/>
    <w:link w:val="59"/>
    <w:qFormat/>
    <w:uiPriority w:val="0"/>
    <w:pPr>
      <w:spacing w:after="120"/>
      <w:ind w:left="420" w:leftChars="200"/>
    </w:pPr>
  </w:style>
  <w:style w:type="paragraph" w:styleId="18">
    <w:name w:val="index 4"/>
    <w:basedOn w:val="1"/>
    <w:next w:val="1"/>
    <w:unhideWhenUsed/>
    <w:qFormat/>
    <w:uiPriority w:val="99"/>
    <w:pPr>
      <w:ind w:left="600" w:leftChars="600"/>
    </w:pPr>
  </w:style>
  <w:style w:type="paragraph" w:styleId="19">
    <w:name w:val="toc 5"/>
    <w:basedOn w:val="1"/>
    <w:next w:val="1"/>
    <w:qFormat/>
    <w:uiPriority w:val="39"/>
    <w:pPr>
      <w:ind w:left="840"/>
      <w:jc w:val="left"/>
    </w:pPr>
    <w:rPr>
      <w:sz w:val="18"/>
      <w:szCs w:val="18"/>
    </w:rPr>
  </w:style>
  <w:style w:type="paragraph" w:styleId="20">
    <w:name w:val="toc 3"/>
    <w:basedOn w:val="1"/>
    <w:next w:val="1"/>
    <w:qFormat/>
    <w:uiPriority w:val="39"/>
    <w:pPr>
      <w:ind w:left="420"/>
      <w:jc w:val="left"/>
    </w:pPr>
    <w:rPr>
      <w:iCs/>
      <w:sz w:val="20"/>
      <w:szCs w:val="20"/>
    </w:rPr>
  </w:style>
  <w:style w:type="paragraph" w:styleId="21">
    <w:name w:val="Plain Text"/>
    <w:basedOn w:val="1"/>
    <w:next w:val="1"/>
    <w:link w:val="60"/>
    <w:qFormat/>
    <w:uiPriority w:val="0"/>
    <w:rPr>
      <w:rFonts w:ascii="宋体" w:hAnsi="Courier New"/>
      <w:szCs w:val="22"/>
    </w:rPr>
  </w:style>
  <w:style w:type="paragraph" w:styleId="22">
    <w:name w:val="toc 8"/>
    <w:basedOn w:val="1"/>
    <w:next w:val="1"/>
    <w:qFormat/>
    <w:uiPriority w:val="39"/>
    <w:pPr>
      <w:ind w:left="1470"/>
      <w:jc w:val="left"/>
    </w:pPr>
    <w:rPr>
      <w:sz w:val="18"/>
      <w:szCs w:val="18"/>
    </w:rPr>
  </w:style>
  <w:style w:type="paragraph" w:styleId="23">
    <w:name w:val="Date"/>
    <w:basedOn w:val="1"/>
    <w:next w:val="1"/>
    <w:link w:val="61"/>
    <w:qFormat/>
    <w:uiPriority w:val="0"/>
    <w:rPr>
      <w:sz w:val="24"/>
      <w:szCs w:val="20"/>
    </w:rPr>
  </w:style>
  <w:style w:type="paragraph" w:styleId="24">
    <w:name w:val="Balloon Text"/>
    <w:basedOn w:val="1"/>
    <w:link w:val="62"/>
    <w:qFormat/>
    <w:uiPriority w:val="0"/>
    <w:rPr>
      <w:sz w:val="18"/>
      <w:szCs w:val="18"/>
    </w:rPr>
  </w:style>
  <w:style w:type="paragraph" w:styleId="25">
    <w:name w:val="footer"/>
    <w:basedOn w:val="1"/>
    <w:link w:val="63"/>
    <w:qFormat/>
    <w:uiPriority w:val="99"/>
    <w:pPr>
      <w:tabs>
        <w:tab w:val="center" w:pos="4153"/>
        <w:tab w:val="right" w:pos="8306"/>
      </w:tabs>
      <w:snapToGrid w:val="0"/>
      <w:jc w:val="left"/>
    </w:pPr>
    <w:rPr>
      <w:rFonts w:ascii="Calibri" w:hAnsi="Calibri"/>
      <w:sz w:val="18"/>
      <w:szCs w:val="18"/>
    </w:rPr>
  </w:style>
  <w:style w:type="paragraph" w:styleId="26">
    <w:name w:val="envelope return"/>
    <w:basedOn w:val="1"/>
    <w:qFormat/>
    <w:uiPriority w:val="99"/>
    <w:pPr>
      <w:snapToGrid w:val="0"/>
    </w:pPr>
    <w:rPr>
      <w:rFonts w:ascii="Arial" w:hAnsi="Arial" w:cs="Arial"/>
    </w:rPr>
  </w:style>
  <w:style w:type="paragraph" w:styleId="27">
    <w:name w:val="header"/>
    <w:basedOn w:val="1"/>
    <w:link w:val="6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8">
    <w:name w:val="toc 1"/>
    <w:basedOn w:val="1"/>
    <w:next w:val="1"/>
    <w:qFormat/>
    <w:uiPriority w:val="39"/>
    <w:pPr>
      <w:spacing w:before="120" w:after="120"/>
      <w:jc w:val="left"/>
    </w:pPr>
    <w:rPr>
      <w:b/>
      <w:bCs/>
      <w:caps/>
      <w:sz w:val="20"/>
      <w:szCs w:val="20"/>
    </w:rPr>
  </w:style>
  <w:style w:type="paragraph" w:styleId="29">
    <w:name w:val="toc 4"/>
    <w:basedOn w:val="1"/>
    <w:next w:val="1"/>
    <w:qFormat/>
    <w:uiPriority w:val="39"/>
    <w:pPr>
      <w:ind w:left="630"/>
      <w:jc w:val="left"/>
    </w:pPr>
    <w:rPr>
      <w:sz w:val="18"/>
      <w:szCs w:val="18"/>
    </w:rPr>
  </w:style>
  <w:style w:type="paragraph" w:styleId="30">
    <w:name w:val="toc 6"/>
    <w:basedOn w:val="1"/>
    <w:next w:val="1"/>
    <w:qFormat/>
    <w:uiPriority w:val="39"/>
    <w:pPr>
      <w:ind w:left="1050"/>
      <w:jc w:val="left"/>
    </w:pPr>
    <w:rPr>
      <w:sz w:val="18"/>
      <w:szCs w:val="18"/>
    </w:rPr>
  </w:style>
  <w:style w:type="paragraph" w:styleId="31">
    <w:name w:val="Body Text Indent 3"/>
    <w:basedOn w:val="1"/>
    <w:link w:val="65"/>
    <w:qFormat/>
    <w:uiPriority w:val="0"/>
    <w:pPr>
      <w:spacing w:after="120"/>
      <w:ind w:left="420" w:leftChars="200"/>
    </w:pPr>
    <w:rPr>
      <w:sz w:val="16"/>
      <w:szCs w:val="16"/>
    </w:rPr>
  </w:style>
  <w:style w:type="paragraph" w:styleId="32">
    <w:name w:val="toc 2"/>
    <w:basedOn w:val="1"/>
    <w:next w:val="1"/>
    <w:qFormat/>
    <w:uiPriority w:val="39"/>
    <w:pPr>
      <w:ind w:left="210"/>
      <w:jc w:val="left"/>
    </w:pPr>
    <w:rPr>
      <w:smallCaps/>
      <w:sz w:val="20"/>
      <w:szCs w:val="20"/>
    </w:rPr>
  </w:style>
  <w:style w:type="paragraph" w:styleId="33">
    <w:name w:val="toc 9"/>
    <w:basedOn w:val="1"/>
    <w:next w:val="1"/>
    <w:qFormat/>
    <w:uiPriority w:val="39"/>
    <w:pPr>
      <w:ind w:left="1680"/>
      <w:jc w:val="left"/>
    </w:pPr>
    <w:rPr>
      <w:sz w:val="18"/>
      <w:szCs w:val="18"/>
    </w:rPr>
  </w:style>
  <w:style w:type="paragraph" w:styleId="34">
    <w:name w:val="Normal (Web)"/>
    <w:basedOn w:val="1"/>
    <w:qFormat/>
    <w:uiPriority w:val="0"/>
    <w:pPr>
      <w:spacing w:before="100" w:beforeAutospacing="1" w:after="100" w:afterAutospacing="1"/>
      <w:jc w:val="left"/>
    </w:pPr>
    <w:rPr>
      <w:kern w:val="0"/>
      <w:sz w:val="24"/>
    </w:rPr>
  </w:style>
  <w:style w:type="paragraph" w:styleId="35">
    <w:name w:val="index 1"/>
    <w:basedOn w:val="1"/>
    <w:next w:val="1"/>
    <w:qFormat/>
    <w:uiPriority w:val="0"/>
    <w:pPr>
      <w:spacing w:line="220" w:lineRule="exact"/>
      <w:jc w:val="center"/>
    </w:pPr>
    <w:rPr>
      <w:rFonts w:ascii="仿宋_GB2312" w:eastAsia="仿宋_GB2312"/>
      <w:szCs w:val="21"/>
    </w:rPr>
  </w:style>
  <w:style w:type="paragraph" w:styleId="36">
    <w:name w:val="Title"/>
    <w:basedOn w:val="1"/>
    <w:next w:val="1"/>
    <w:link w:val="6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4"/>
    <w:next w:val="14"/>
    <w:link w:val="67"/>
    <w:qFormat/>
    <w:uiPriority w:val="0"/>
    <w:pPr>
      <w:jc w:val="both"/>
    </w:pPr>
    <w:rPr>
      <w:rFonts w:ascii="Calibri" w:hAnsi="Calibri"/>
      <w:b/>
      <w:bCs/>
    </w:rPr>
  </w:style>
  <w:style w:type="paragraph" w:styleId="38">
    <w:name w:val="Body Text First Indent"/>
    <w:basedOn w:val="16"/>
    <w:link w:val="68"/>
    <w:qFormat/>
    <w:uiPriority w:val="0"/>
    <w:pPr>
      <w:spacing w:line="312" w:lineRule="auto"/>
      <w:ind w:firstLine="420"/>
    </w:pPr>
  </w:style>
  <w:style w:type="paragraph" w:styleId="39">
    <w:name w:val="Body Text First Indent 2"/>
    <w:basedOn w:val="17"/>
    <w:link w:val="69"/>
    <w:qFormat/>
    <w:uiPriority w:val="99"/>
    <w:pPr>
      <w:ind w:firstLine="420" w:firstLineChars="200"/>
    </w:pPr>
  </w:style>
  <w:style w:type="character" w:styleId="42">
    <w:name w:val="page number"/>
    <w:qFormat/>
    <w:uiPriority w:val="0"/>
  </w:style>
  <w:style w:type="character" w:styleId="43">
    <w:name w:val="FollowedHyperlink"/>
    <w:unhideWhenUsed/>
    <w:qFormat/>
    <w:uiPriority w:val="99"/>
    <w:rPr>
      <w:color w:val="800080"/>
      <w:u w:val="single"/>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styleId="46">
    <w:name w:val="footnote reference"/>
    <w:qFormat/>
    <w:uiPriority w:val="0"/>
    <w:rPr>
      <w:vertAlign w:val="superscript"/>
    </w:rPr>
  </w:style>
  <w:style w:type="character" w:customStyle="1" w:styleId="47">
    <w:name w:val="标题 1 字符"/>
    <w:basedOn w:val="41"/>
    <w:link w:val="2"/>
    <w:qFormat/>
    <w:uiPriority w:val="0"/>
    <w:rPr>
      <w:rFonts w:ascii="Times New Roman" w:hAnsi="Times New Roman" w:eastAsia="宋体" w:cs="Times New Roman"/>
      <w:bCs/>
      <w:kern w:val="44"/>
      <w:sz w:val="44"/>
      <w:szCs w:val="44"/>
    </w:rPr>
  </w:style>
  <w:style w:type="character" w:customStyle="1" w:styleId="48">
    <w:name w:val="标题 2 字符"/>
    <w:basedOn w:val="41"/>
    <w:link w:val="3"/>
    <w:qFormat/>
    <w:uiPriority w:val="0"/>
    <w:rPr>
      <w:rFonts w:ascii="Arial" w:hAnsi="Arial" w:eastAsia="黑体" w:cs="Times New Roman"/>
      <w:b/>
      <w:bCs/>
      <w:sz w:val="32"/>
      <w:szCs w:val="32"/>
    </w:rPr>
  </w:style>
  <w:style w:type="character" w:customStyle="1" w:styleId="49">
    <w:name w:val="标题 3 字符"/>
    <w:basedOn w:val="41"/>
    <w:link w:val="4"/>
    <w:qFormat/>
    <w:uiPriority w:val="0"/>
    <w:rPr>
      <w:rFonts w:ascii="黑体" w:hAnsi="宋体" w:eastAsia="黑体" w:cs="Times New Roman"/>
      <w:bCs/>
      <w:sz w:val="28"/>
      <w:szCs w:val="28"/>
    </w:rPr>
  </w:style>
  <w:style w:type="character" w:customStyle="1" w:styleId="50">
    <w:name w:val="标题 4 字符"/>
    <w:basedOn w:val="41"/>
    <w:link w:val="5"/>
    <w:qFormat/>
    <w:uiPriority w:val="0"/>
    <w:rPr>
      <w:rFonts w:ascii="Arial" w:hAnsi="Arial" w:eastAsia="黑体" w:cs="Times New Roman"/>
      <w:b/>
      <w:bCs/>
      <w:sz w:val="28"/>
      <w:szCs w:val="28"/>
    </w:rPr>
  </w:style>
  <w:style w:type="character" w:customStyle="1" w:styleId="51">
    <w:name w:val="标题 6 字符"/>
    <w:basedOn w:val="41"/>
    <w:link w:val="6"/>
    <w:qFormat/>
    <w:uiPriority w:val="0"/>
    <w:rPr>
      <w:rFonts w:ascii="Arial" w:hAnsi="Arial" w:eastAsia="黑体" w:cs="Times New Roman"/>
      <w:b/>
      <w:bCs/>
      <w:kern w:val="0"/>
      <w:sz w:val="24"/>
      <w:szCs w:val="24"/>
    </w:rPr>
  </w:style>
  <w:style w:type="character" w:customStyle="1" w:styleId="52">
    <w:name w:val="标题 7 字符"/>
    <w:basedOn w:val="41"/>
    <w:link w:val="7"/>
    <w:qFormat/>
    <w:uiPriority w:val="0"/>
    <w:rPr>
      <w:rFonts w:ascii="Times New Roman" w:hAnsi="Times New Roman" w:eastAsia="宋体" w:cs="Times New Roman"/>
      <w:b/>
      <w:bCs/>
      <w:kern w:val="0"/>
      <w:sz w:val="24"/>
      <w:szCs w:val="24"/>
    </w:rPr>
  </w:style>
  <w:style w:type="character" w:customStyle="1" w:styleId="53">
    <w:name w:val="标题 8 字符"/>
    <w:basedOn w:val="41"/>
    <w:link w:val="8"/>
    <w:qFormat/>
    <w:uiPriority w:val="0"/>
    <w:rPr>
      <w:rFonts w:ascii="Arial" w:hAnsi="Arial" w:eastAsia="黑体" w:cs="Times New Roman"/>
      <w:kern w:val="0"/>
      <w:sz w:val="24"/>
      <w:szCs w:val="24"/>
    </w:rPr>
  </w:style>
  <w:style w:type="character" w:customStyle="1" w:styleId="54">
    <w:name w:val="标题 9 字符"/>
    <w:basedOn w:val="41"/>
    <w:link w:val="9"/>
    <w:qFormat/>
    <w:uiPriority w:val="0"/>
    <w:rPr>
      <w:rFonts w:ascii="Arial" w:hAnsi="Arial" w:eastAsia="黑体" w:cs="Times New Roman"/>
      <w:kern w:val="0"/>
      <w:szCs w:val="21"/>
    </w:rPr>
  </w:style>
  <w:style w:type="character" w:customStyle="1" w:styleId="55">
    <w:name w:val="文档结构图 字符"/>
    <w:basedOn w:val="41"/>
    <w:link w:val="13"/>
    <w:qFormat/>
    <w:uiPriority w:val="0"/>
    <w:rPr>
      <w:rFonts w:ascii="Calibri" w:hAnsi="Calibri" w:eastAsia="宋体" w:cs="Times New Roman"/>
      <w:szCs w:val="24"/>
      <w:shd w:val="clear" w:color="auto" w:fill="000080"/>
    </w:rPr>
  </w:style>
  <w:style w:type="character" w:customStyle="1" w:styleId="56">
    <w:name w:val="批注文字 字符"/>
    <w:basedOn w:val="41"/>
    <w:link w:val="14"/>
    <w:qFormat/>
    <w:uiPriority w:val="0"/>
    <w:rPr>
      <w:rFonts w:ascii="Times New Roman" w:hAnsi="Times New Roman" w:eastAsia="宋体" w:cs="Times New Roman"/>
      <w:szCs w:val="24"/>
    </w:rPr>
  </w:style>
  <w:style w:type="character" w:customStyle="1" w:styleId="57">
    <w:name w:val="正文文本 3 字符"/>
    <w:basedOn w:val="41"/>
    <w:link w:val="15"/>
    <w:qFormat/>
    <w:uiPriority w:val="0"/>
    <w:rPr>
      <w:rFonts w:ascii="宋体" w:hAnsi="Times New Roman" w:eastAsia="宋体" w:cs="Times New Roman"/>
      <w:sz w:val="24"/>
      <w:szCs w:val="20"/>
    </w:rPr>
  </w:style>
  <w:style w:type="character" w:customStyle="1" w:styleId="58">
    <w:name w:val="正文文本 字符"/>
    <w:basedOn w:val="41"/>
    <w:link w:val="16"/>
    <w:qFormat/>
    <w:uiPriority w:val="0"/>
    <w:rPr>
      <w:rFonts w:ascii="Calibri" w:hAnsi="Calibri" w:eastAsia="宋体" w:cs="Times New Roman"/>
      <w:szCs w:val="24"/>
    </w:rPr>
  </w:style>
  <w:style w:type="character" w:customStyle="1" w:styleId="59">
    <w:name w:val="正文文本缩进 字符"/>
    <w:basedOn w:val="41"/>
    <w:link w:val="17"/>
    <w:qFormat/>
    <w:uiPriority w:val="0"/>
    <w:rPr>
      <w:rFonts w:ascii="Times New Roman" w:hAnsi="Times New Roman" w:eastAsia="宋体" w:cs="Times New Roman"/>
      <w:szCs w:val="24"/>
    </w:rPr>
  </w:style>
  <w:style w:type="character" w:customStyle="1" w:styleId="60">
    <w:name w:val="纯文本 字符"/>
    <w:basedOn w:val="41"/>
    <w:link w:val="21"/>
    <w:qFormat/>
    <w:uiPriority w:val="0"/>
    <w:rPr>
      <w:rFonts w:ascii="宋体" w:hAnsi="Courier New" w:eastAsia="宋体" w:cs="Times New Roman"/>
    </w:rPr>
  </w:style>
  <w:style w:type="character" w:customStyle="1" w:styleId="61">
    <w:name w:val="日期 字符"/>
    <w:basedOn w:val="41"/>
    <w:link w:val="23"/>
    <w:qFormat/>
    <w:uiPriority w:val="0"/>
    <w:rPr>
      <w:rFonts w:ascii="Times New Roman" w:hAnsi="Times New Roman" w:eastAsia="宋体" w:cs="Times New Roman"/>
      <w:sz w:val="24"/>
      <w:szCs w:val="20"/>
    </w:rPr>
  </w:style>
  <w:style w:type="character" w:customStyle="1" w:styleId="62">
    <w:name w:val="批注框文本 字符"/>
    <w:basedOn w:val="41"/>
    <w:link w:val="24"/>
    <w:qFormat/>
    <w:uiPriority w:val="0"/>
    <w:rPr>
      <w:rFonts w:ascii="Times New Roman" w:hAnsi="Times New Roman" w:eastAsia="宋体" w:cs="Times New Roman"/>
      <w:sz w:val="18"/>
      <w:szCs w:val="18"/>
    </w:rPr>
  </w:style>
  <w:style w:type="character" w:customStyle="1" w:styleId="63">
    <w:name w:val="页脚 字符"/>
    <w:basedOn w:val="41"/>
    <w:link w:val="25"/>
    <w:qFormat/>
    <w:uiPriority w:val="99"/>
    <w:rPr>
      <w:rFonts w:ascii="Calibri" w:hAnsi="Calibri" w:eastAsia="宋体" w:cs="Times New Roman"/>
      <w:sz w:val="18"/>
      <w:szCs w:val="18"/>
    </w:rPr>
  </w:style>
  <w:style w:type="character" w:customStyle="1" w:styleId="64">
    <w:name w:val="页眉 字符"/>
    <w:basedOn w:val="41"/>
    <w:link w:val="27"/>
    <w:qFormat/>
    <w:uiPriority w:val="0"/>
    <w:rPr>
      <w:rFonts w:ascii="Calibri" w:hAnsi="Calibri" w:eastAsia="宋体" w:cs="Times New Roman"/>
      <w:sz w:val="18"/>
      <w:szCs w:val="18"/>
    </w:rPr>
  </w:style>
  <w:style w:type="character" w:customStyle="1" w:styleId="65">
    <w:name w:val="正文文本缩进 3 字符"/>
    <w:basedOn w:val="41"/>
    <w:link w:val="31"/>
    <w:qFormat/>
    <w:uiPriority w:val="0"/>
    <w:rPr>
      <w:rFonts w:ascii="Times New Roman" w:hAnsi="Times New Roman" w:eastAsia="宋体" w:cs="Times New Roman"/>
      <w:sz w:val="16"/>
      <w:szCs w:val="16"/>
    </w:rPr>
  </w:style>
  <w:style w:type="character" w:customStyle="1" w:styleId="66">
    <w:name w:val="标题 字符"/>
    <w:basedOn w:val="41"/>
    <w:link w:val="36"/>
    <w:qFormat/>
    <w:uiPriority w:val="0"/>
    <w:rPr>
      <w:rFonts w:ascii="Arial" w:hAnsi="Arial" w:eastAsia="宋体" w:cs="Times New Roman"/>
      <w:b/>
      <w:kern w:val="0"/>
      <w:sz w:val="32"/>
      <w:szCs w:val="20"/>
    </w:rPr>
  </w:style>
  <w:style w:type="character" w:customStyle="1" w:styleId="67">
    <w:name w:val="批注主题 字符"/>
    <w:basedOn w:val="56"/>
    <w:link w:val="37"/>
    <w:qFormat/>
    <w:uiPriority w:val="0"/>
    <w:rPr>
      <w:rFonts w:ascii="Calibri" w:hAnsi="Calibri" w:eastAsia="宋体" w:cs="Times New Roman"/>
      <w:b/>
      <w:bCs/>
      <w:szCs w:val="24"/>
    </w:rPr>
  </w:style>
  <w:style w:type="character" w:customStyle="1" w:styleId="68">
    <w:name w:val="正文文本首行缩进 字符"/>
    <w:basedOn w:val="58"/>
    <w:link w:val="38"/>
    <w:qFormat/>
    <w:uiPriority w:val="0"/>
    <w:rPr>
      <w:rFonts w:ascii="Calibri" w:hAnsi="Calibri" w:eastAsia="宋体" w:cs="Times New Roman"/>
      <w:szCs w:val="24"/>
    </w:rPr>
  </w:style>
  <w:style w:type="character" w:customStyle="1" w:styleId="69">
    <w:name w:val="正文文本首行缩进 2 字符"/>
    <w:basedOn w:val="59"/>
    <w:link w:val="39"/>
    <w:qFormat/>
    <w:uiPriority w:val="99"/>
    <w:rPr>
      <w:rFonts w:ascii="Times New Roman" w:hAnsi="Times New Roman" w:eastAsia="宋体" w:cs="Times New Roman"/>
      <w:szCs w:val="24"/>
    </w:rPr>
  </w:style>
  <w:style w:type="paragraph" w:customStyle="1" w:styleId="70">
    <w:name w:val="_Style 2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font01"/>
    <w:qFormat/>
    <w:uiPriority w:val="0"/>
    <w:rPr>
      <w:rFonts w:hint="eastAsia" w:ascii="宋体" w:hAnsi="宋体" w:eastAsia="宋体" w:cs="宋体"/>
      <w:color w:val="000000"/>
      <w:sz w:val="20"/>
      <w:szCs w:val="20"/>
      <w:u w:val="none"/>
    </w:rPr>
  </w:style>
  <w:style w:type="character" w:customStyle="1" w:styleId="72">
    <w:name w:val="font71"/>
    <w:qFormat/>
    <w:uiPriority w:val="0"/>
    <w:rPr>
      <w:rFonts w:hint="eastAsia" w:ascii="宋体" w:hAnsi="宋体" w:eastAsia="宋体" w:cs="宋体"/>
      <w:color w:val="000000"/>
      <w:sz w:val="20"/>
      <w:szCs w:val="20"/>
      <w:u w:val="none"/>
    </w:rPr>
  </w:style>
  <w:style w:type="character" w:customStyle="1" w:styleId="73">
    <w:name w:val="font41"/>
    <w:qFormat/>
    <w:uiPriority w:val="0"/>
    <w:rPr>
      <w:rFonts w:hint="eastAsia" w:ascii="宋体" w:hAnsi="宋体" w:eastAsia="宋体" w:cs="宋体"/>
      <w:color w:val="000000"/>
      <w:sz w:val="20"/>
      <w:szCs w:val="20"/>
      <w:u w:val="none"/>
    </w:rPr>
  </w:style>
  <w:style w:type="character" w:customStyle="1" w:styleId="74">
    <w:name w:val="font31"/>
    <w:qFormat/>
    <w:uiPriority w:val="0"/>
    <w:rPr>
      <w:rFonts w:hint="eastAsia" w:ascii="宋体" w:hAnsi="宋体" w:eastAsia="宋体" w:cs="宋体"/>
      <w:color w:val="FF0000"/>
      <w:sz w:val="20"/>
      <w:szCs w:val="20"/>
      <w:u w:val="none"/>
    </w:rPr>
  </w:style>
  <w:style w:type="character" w:customStyle="1" w:styleId="75">
    <w:name w:val="font51"/>
    <w:qFormat/>
    <w:uiPriority w:val="0"/>
    <w:rPr>
      <w:rFonts w:hint="eastAsia" w:ascii="宋体" w:hAnsi="宋体" w:eastAsia="宋体" w:cs="宋体"/>
      <w:color w:val="000000"/>
      <w:sz w:val="20"/>
      <w:szCs w:val="20"/>
      <w:u w:val="none"/>
    </w:rPr>
  </w:style>
  <w:style w:type="character" w:customStyle="1" w:styleId="76">
    <w:name w:val="页眉或页脚 + Arial Unicode MS"/>
    <w:qFormat/>
    <w:uiPriority w:val="0"/>
    <w:rPr>
      <w:rFonts w:ascii="Arial Unicode MS" w:hAnsi="Arial Unicode MS" w:eastAsia="Arial Unicode MS" w:cs="Arial Unicode MS"/>
      <w:color w:val="000000"/>
      <w:spacing w:val="10"/>
      <w:w w:val="100"/>
      <w:position w:val="0"/>
      <w:sz w:val="10"/>
      <w:szCs w:val="10"/>
      <w:u w:val="none"/>
    </w:rPr>
  </w:style>
  <w:style w:type="character" w:customStyle="1" w:styleId="77">
    <w:name w:val="font61"/>
    <w:qFormat/>
    <w:uiPriority w:val="0"/>
    <w:rPr>
      <w:rFonts w:hint="eastAsia" w:ascii="宋体" w:hAnsi="宋体" w:eastAsia="宋体" w:cs="宋体"/>
      <w:color w:val="000000"/>
      <w:sz w:val="20"/>
      <w:szCs w:val="20"/>
      <w:u w:val="none"/>
    </w:rPr>
  </w:style>
  <w:style w:type="character" w:customStyle="1" w:styleId="78">
    <w:name w:val="font11"/>
    <w:qFormat/>
    <w:uiPriority w:val="0"/>
    <w:rPr>
      <w:rFonts w:hint="eastAsia" w:ascii="宋体" w:hAnsi="宋体" w:eastAsia="宋体" w:cs="宋体"/>
      <w:color w:val="FF0000"/>
      <w:sz w:val="20"/>
      <w:szCs w:val="20"/>
      <w:u w:val="none"/>
    </w:rPr>
  </w:style>
  <w:style w:type="character" w:customStyle="1" w:styleId="79">
    <w:name w:val="批注文字 Char"/>
    <w:qFormat/>
    <w:uiPriority w:val="0"/>
    <w:rPr>
      <w:rFonts w:eastAsia="宋体"/>
      <w:kern w:val="2"/>
      <w:sz w:val="21"/>
      <w:szCs w:val="24"/>
      <w:lang w:val="en-US" w:eastAsia="zh-CN" w:bidi="ar-SA"/>
    </w:rPr>
  </w:style>
  <w:style w:type="character" w:customStyle="1" w:styleId="80">
    <w:name w:val="font21"/>
    <w:qFormat/>
    <w:uiPriority w:val="0"/>
    <w:rPr>
      <w:rFonts w:hint="eastAsia" w:ascii="宋体" w:hAnsi="宋体" w:eastAsia="宋体" w:cs="宋体"/>
      <w:color w:val="000000"/>
      <w:sz w:val="20"/>
      <w:szCs w:val="20"/>
      <w:u w:val="none"/>
    </w:rPr>
  </w:style>
  <w:style w:type="character" w:customStyle="1" w:styleId="81">
    <w:name w:val="font91"/>
    <w:qFormat/>
    <w:uiPriority w:val="0"/>
    <w:rPr>
      <w:rFonts w:hint="eastAsia" w:ascii="宋体" w:hAnsi="宋体" w:eastAsia="宋体" w:cs="宋体"/>
      <w:color w:val="000000"/>
      <w:sz w:val="20"/>
      <w:szCs w:val="20"/>
      <w:u w:val="none"/>
    </w:rPr>
  </w:style>
  <w:style w:type="character" w:customStyle="1" w:styleId="82">
    <w:name w:val="font161"/>
    <w:qFormat/>
    <w:uiPriority w:val="0"/>
    <w:rPr>
      <w:b/>
      <w:bCs/>
      <w:sz w:val="32"/>
      <w:szCs w:val="32"/>
    </w:rPr>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文档结构图 Char1"/>
    <w:semiHidden/>
    <w:qFormat/>
    <w:uiPriority w:val="99"/>
    <w:rPr>
      <w:rFonts w:ascii="宋体" w:hAnsi="Times New Roman" w:eastAsia="宋体" w:cs="Times New Roman"/>
      <w:sz w:val="18"/>
      <w:szCs w:val="18"/>
    </w:rPr>
  </w:style>
  <w:style w:type="character" w:customStyle="1" w:styleId="85">
    <w:name w:val="正文文本 Char1"/>
    <w:semiHidden/>
    <w:qFormat/>
    <w:uiPriority w:val="99"/>
    <w:rPr>
      <w:rFonts w:ascii="Times New Roman" w:hAnsi="Times New Roman" w:eastAsia="宋体" w:cs="Times New Roman"/>
      <w:szCs w:val="24"/>
    </w:rPr>
  </w:style>
  <w:style w:type="character" w:customStyle="1" w:styleId="86">
    <w:name w:val="纯文本 Char1"/>
    <w:semiHidden/>
    <w:qFormat/>
    <w:uiPriority w:val="99"/>
    <w:rPr>
      <w:rFonts w:ascii="宋体" w:hAnsi="Courier New" w:eastAsia="宋体" w:cs="Courier New"/>
      <w:szCs w:val="21"/>
    </w:rPr>
  </w:style>
  <w:style w:type="character" w:customStyle="1" w:styleId="87">
    <w:name w:val="正文首行缩进 Char1"/>
    <w:semiHidden/>
    <w:qFormat/>
    <w:uiPriority w:val="99"/>
    <w:rPr>
      <w:rFonts w:ascii="Times New Roman" w:hAnsi="Times New Roman" w:eastAsia="宋体" w:cs="Times New Roman"/>
      <w:szCs w:val="24"/>
    </w:rPr>
  </w:style>
  <w:style w:type="character" w:customStyle="1" w:styleId="88">
    <w:name w:val="批注主题 Char1"/>
    <w:semiHidden/>
    <w:qFormat/>
    <w:uiPriority w:val="99"/>
    <w:rPr>
      <w:rFonts w:ascii="Times New Roman" w:hAnsi="Times New Roman" w:eastAsia="宋体" w:cs="Times New Roman"/>
      <w:b/>
      <w:bCs/>
      <w:szCs w:val="24"/>
    </w:rPr>
  </w:style>
  <w:style w:type="character" w:customStyle="1" w:styleId="89">
    <w:name w:val="页眉 Char1"/>
    <w:semiHidden/>
    <w:qFormat/>
    <w:uiPriority w:val="99"/>
    <w:rPr>
      <w:rFonts w:ascii="Times New Roman" w:hAnsi="Times New Roman" w:eastAsia="宋体" w:cs="Times New Roman"/>
      <w:sz w:val="18"/>
      <w:szCs w:val="18"/>
    </w:rPr>
  </w:style>
  <w:style w:type="paragraph" w:customStyle="1" w:styleId="90">
    <w:name w:val="样式 标题 3 + (中文) 黑体 小四 非加粗 段前: 7.8 磅 段后: 0 磅 行距: 固定值 20 磅"/>
    <w:basedOn w:val="4"/>
    <w:qFormat/>
    <w:uiPriority w:val="0"/>
    <w:pPr>
      <w:spacing w:before="0" w:after="0" w:line="400" w:lineRule="exact"/>
    </w:pPr>
    <w:rPr>
      <w:rFonts w:cs="宋体"/>
      <w:bCs w:val="0"/>
      <w:sz w:val="24"/>
      <w:szCs w:val="20"/>
    </w:rPr>
  </w:style>
  <w:style w:type="paragraph" w:styleId="91">
    <w:name w:val="List Paragraph"/>
    <w:basedOn w:val="1"/>
    <w:qFormat/>
    <w:uiPriority w:val="99"/>
    <w:pPr>
      <w:ind w:firstLine="420" w:firstLineChars="200"/>
    </w:pPr>
  </w:style>
  <w:style w:type="paragraph" w:customStyle="1" w:styleId="92">
    <w:name w:val="表格文字"/>
    <w:basedOn w:val="1"/>
    <w:qFormat/>
    <w:uiPriority w:val="0"/>
    <w:pPr>
      <w:adjustRightInd w:val="0"/>
      <w:spacing w:line="420" w:lineRule="atLeast"/>
      <w:jc w:val="left"/>
      <w:textAlignment w:val="baseline"/>
    </w:pPr>
    <w:rPr>
      <w:kern w:val="0"/>
      <w:szCs w:val="20"/>
    </w:rPr>
  </w:style>
  <w:style w:type="paragraph" w:customStyle="1" w:styleId="93">
    <w:name w:val="Char"/>
    <w:basedOn w:val="1"/>
    <w:qFormat/>
    <w:uiPriority w:val="0"/>
    <w:pPr>
      <w:tabs>
        <w:tab w:val="left" w:pos="360"/>
      </w:tabs>
    </w:pPr>
    <w:rPr>
      <w:sz w:val="24"/>
    </w:rPr>
  </w:style>
  <w:style w:type="paragraph" w:customStyle="1" w:styleId="9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5">
    <w:name w:val="表格"/>
    <w:basedOn w:val="1"/>
    <w:qFormat/>
    <w:uiPriority w:val="0"/>
    <w:pPr>
      <w:jc w:val="center"/>
      <w:textAlignment w:val="center"/>
    </w:pPr>
    <w:rPr>
      <w:rFonts w:ascii="华文细黑" w:hAnsi="华文细黑"/>
      <w:kern w:val="0"/>
      <w:szCs w:val="20"/>
    </w:rPr>
  </w:style>
  <w:style w:type="paragraph" w:customStyle="1" w:styleId="96">
    <w:name w:val="文二"/>
    <w:basedOn w:val="1"/>
    <w:qFormat/>
    <w:uiPriority w:val="0"/>
    <w:pPr>
      <w:jc w:val="left"/>
    </w:pPr>
    <w:rPr>
      <w:rFonts w:ascii="宋体" w:hAnsi="宋体"/>
      <w:szCs w:val="21"/>
    </w:rPr>
  </w:style>
  <w:style w:type="paragraph" w:customStyle="1" w:styleId="97">
    <w:name w:val="样式 标题 1 + 黑体 三号 非加粗 居中 段前: 6 磅 段后: 6 磅 行距: 固定值 20 磅"/>
    <w:basedOn w:val="2"/>
    <w:qFormat/>
    <w:uiPriority w:val="0"/>
    <w:pPr>
      <w:spacing w:before="120" w:after="120" w:line="400" w:lineRule="exact"/>
    </w:pPr>
    <w:rPr>
      <w:rFonts w:ascii="黑体" w:hAnsi="黑体" w:eastAsia="黑体" w:cs="宋体"/>
      <w:bCs w:val="0"/>
      <w:sz w:val="32"/>
      <w:szCs w:val="20"/>
    </w:rPr>
  </w:style>
  <w:style w:type="paragraph" w:customStyle="1" w:styleId="98">
    <w:name w:val="公文正文"/>
    <w:qFormat/>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paragraph" w:customStyle="1" w:styleId="9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00">
    <w:name w:val="样式2"/>
    <w:basedOn w:val="4"/>
    <w:qFormat/>
    <w:uiPriority w:val="0"/>
    <w:rPr>
      <w:i/>
    </w:rPr>
  </w:style>
  <w:style w:type="paragraph" w:customStyle="1" w:styleId="101">
    <w:name w:val="修订1"/>
    <w:qFormat/>
    <w:uiPriority w:val="0"/>
    <w:rPr>
      <w:rFonts w:ascii="Times New Roman" w:hAnsi="Times New Roman" w:eastAsia="宋体" w:cs="Times New Roman"/>
      <w:kern w:val="2"/>
      <w:sz w:val="21"/>
      <w:szCs w:val="24"/>
      <w:lang w:val="en-US" w:eastAsia="zh-CN" w:bidi="ar-SA"/>
    </w:rPr>
  </w:style>
  <w:style w:type="paragraph" w:customStyle="1" w:styleId="102">
    <w:name w:val="1"/>
    <w:basedOn w:val="1"/>
    <w:qFormat/>
    <w:uiPriority w:val="0"/>
  </w:style>
  <w:style w:type="paragraph" w:customStyle="1" w:styleId="103">
    <w:name w:val="样式1"/>
    <w:basedOn w:val="1"/>
    <w:next w:val="5"/>
    <w:qFormat/>
    <w:uiPriority w:val="0"/>
    <w:pPr>
      <w:spacing w:line="360" w:lineRule="auto"/>
      <w:ind w:firstLine="420" w:firstLineChars="200"/>
    </w:pPr>
    <w:rPr>
      <w:rFonts w:ascii="宋体" w:hAnsi="宋体"/>
      <w:szCs w:val="21"/>
    </w:rPr>
  </w:style>
  <w:style w:type="paragraph" w:customStyle="1" w:styleId="104">
    <w:name w:val="发文落款"/>
    <w:basedOn w:val="98"/>
    <w:qFormat/>
    <w:uiPriority w:val="0"/>
    <w:pPr>
      <w:ind w:left="4094" w:right="607" w:firstLine="0"/>
      <w:jc w:val="center"/>
    </w:pPr>
  </w:style>
  <w:style w:type="paragraph" w:customStyle="1" w:styleId="105">
    <w:name w:val="Char1"/>
    <w:basedOn w:val="1"/>
    <w:qFormat/>
    <w:uiPriority w:val="0"/>
    <w:pPr>
      <w:tabs>
        <w:tab w:val="left" w:pos="360"/>
      </w:tabs>
    </w:pPr>
    <w:rPr>
      <w:sz w:val="24"/>
    </w:rPr>
  </w:style>
  <w:style w:type="paragraph" w:customStyle="1" w:styleId="106">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107">
    <w:name w:val="正文 New New"/>
    <w:qFormat/>
    <w:uiPriority w:val="0"/>
    <w:pPr>
      <w:widowControl w:val="0"/>
      <w:jc w:val="both"/>
    </w:pPr>
    <w:rPr>
      <w:rFonts w:ascii="Calibri" w:hAnsi="Calibri" w:eastAsia="Calibri" w:cs="Times New Roman"/>
      <w:kern w:val="2"/>
      <w:sz w:val="30"/>
      <w:szCs w:val="24"/>
      <w:lang w:val="en-US" w:eastAsia="zh-CN" w:bidi="ar-SA"/>
    </w:rPr>
  </w:style>
  <w:style w:type="paragraph" w:customStyle="1" w:styleId="108">
    <w:name w:val="正文4"/>
    <w:qFormat/>
    <w:uiPriority w:val="0"/>
    <w:pPr>
      <w:widowControl w:val="0"/>
      <w:jc w:val="both"/>
    </w:pPr>
    <w:rPr>
      <w:rFonts w:ascii="Calibri" w:hAnsi="Calibri" w:eastAsia="Calibri" w:cs="Times New Roman"/>
      <w:kern w:val="2"/>
      <w:sz w:val="21"/>
      <w:szCs w:val="21"/>
      <w:lang w:val="en-US" w:eastAsia="zh-CN" w:bidi="ar-SA"/>
    </w:rPr>
  </w:style>
  <w:style w:type="paragraph" w:customStyle="1" w:styleId="109">
    <w:name w:val="Other|1"/>
    <w:basedOn w:val="1"/>
    <w:qFormat/>
    <w:uiPriority w:val="0"/>
    <w:pPr>
      <w:spacing w:line="228" w:lineRule="exact"/>
    </w:pPr>
    <w:rPr>
      <w:rFonts w:ascii="宋体" w:hAnsi="宋体" w:cs="宋体"/>
      <w:sz w:val="17"/>
      <w:szCs w:val="17"/>
      <w:lang w:val="zh-TW" w:eastAsia="zh-TW" w:bidi="zh-TW"/>
    </w:rPr>
  </w:style>
  <w:style w:type="character" w:customStyle="1" w:styleId="110">
    <w:name w:val="NormalCharacter"/>
    <w:qFormat/>
    <w:uiPriority w:val="0"/>
  </w:style>
  <w:style w:type="paragraph" w:customStyle="1" w:styleId="111">
    <w:name w:val="表头"/>
    <w:basedOn w:val="1"/>
    <w:qFormat/>
    <w:uiPriority w:val="0"/>
    <w:pPr>
      <w:spacing w:line="360" w:lineRule="auto"/>
      <w:jc w:val="center"/>
    </w:pPr>
    <w:rPr>
      <w:rFonts w:ascii="黑体" w:eastAsia="黑体"/>
      <w:kern w:val="0"/>
      <w:sz w:val="24"/>
      <w:szCs w:val="20"/>
    </w:rPr>
  </w:style>
  <w:style w:type="paragraph" w:customStyle="1" w:styleId="112">
    <w:name w:val="样式 标题 1 + 左侧:  4.44 厘米 首行缩进:  0 厘米"/>
    <w:basedOn w:val="2"/>
    <w:qFormat/>
    <w:uiPriority w:val="0"/>
    <w:pPr>
      <w:ind w:left="2520"/>
    </w:pPr>
    <w:rPr>
      <w:rFonts w:cs="宋体"/>
      <w:szCs w:val="20"/>
    </w:rPr>
  </w:style>
  <w:style w:type="paragraph" w:customStyle="1" w:styleId="113">
    <w:name w:val="章节三"/>
    <w:basedOn w:val="1"/>
    <w:next w:val="1"/>
    <w:qFormat/>
    <w:uiPriority w:val="0"/>
    <w:pPr>
      <w:topLinePunct/>
      <w:adjustRightInd w:val="0"/>
      <w:snapToGrid w:val="0"/>
      <w:spacing w:beforeLines="50" w:afterLines="50"/>
      <w:jc w:val="left"/>
      <w:outlineLvl w:val="2"/>
    </w:pPr>
    <w:rPr>
      <w:rFonts w:ascii="黑体" w:hAnsi="宋体" w:eastAsia="黑体"/>
      <w:b/>
      <w:snapToGrid w:val="0"/>
      <w:spacing w:val="4"/>
      <w:sz w:val="24"/>
    </w:rPr>
  </w:style>
  <w:style w:type="paragraph" w:customStyle="1" w:styleId="114">
    <w:name w:val="文一"/>
    <w:basedOn w:val="1"/>
    <w:qFormat/>
    <w:uiPriority w:val="0"/>
    <w:pPr>
      <w:topLinePunct/>
      <w:adjustRightInd w:val="0"/>
      <w:snapToGrid w:val="0"/>
      <w:spacing w:line="360" w:lineRule="auto"/>
      <w:ind w:firstLine="200" w:firstLineChars="200"/>
    </w:pPr>
    <w:rPr>
      <w:rFonts w:ascii="等线" w:hAnsi="等线" w:eastAsia="等线"/>
      <w:spacing w:val="4"/>
      <w:sz w:val="24"/>
    </w:rPr>
  </w:style>
  <w:style w:type="paragraph" w:customStyle="1" w:styleId="115">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116">
    <w:name w:val="_Style 8"/>
    <w:basedOn w:val="1"/>
    <w:next w:val="91"/>
    <w:qFormat/>
    <w:uiPriority w:val="1"/>
  </w:style>
  <w:style w:type="paragraph" w:customStyle="1" w:styleId="117">
    <w:name w:val="_Style 130"/>
    <w:basedOn w:val="17"/>
    <w:next w:val="39"/>
    <w:qFormat/>
    <w:uiPriority w:val="0"/>
    <w:pPr>
      <w:ind w:firstLine="420" w:firstLineChars="200"/>
    </w:pPr>
    <w:rPr>
      <w:kern w:val="0"/>
      <w:sz w:val="20"/>
    </w:rPr>
  </w:style>
  <w:style w:type="paragraph" w:customStyle="1" w:styleId="118">
    <w:name w:val="样式 宋体 行距: 1.5 倍行距"/>
    <w:basedOn w:val="1"/>
    <w:qFormat/>
    <w:uiPriority w:val="0"/>
    <w:pPr>
      <w:jc w:val="center"/>
    </w:pPr>
    <w:rPr>
      <w:b/>
      <w:szCs w:val="20"/>
    </w:rPr>
  </w:style>
  <w:style w:type="paragraph" w:customStyle="1" w:styleId="119">
    <w:name w:val="Plain Text1"/>
    <w:basedOn w:val="1"/>
    <w:qFormat/>
    <w:uiPriority w:val="0"/>
    <w:rPr>
      <w:rFonts w:ascii="Courier New" w:hAnsi="Courier New"/>
      <w:szCs w:val="20"/>
    </w:rPr>
  </w:style>
  <w:style w:type="paragraph" w:customStyle="1" w:styleId="120">
    <w:name w:val="列表段落1"/>
    <w:basedOn w:val="1"/>
    <w:qFormat/>
    <w:uiPriority w:val="0"/>
    <w:pPr>
      <w:ind w:firstLine="420" w:firstLineChars="200"/>
    </w:pPr>
  </w:style>
  <w:style w:type="paragraph" w:customStyle="1" w:styleId="121">
    <w:name w:val="报告正文 Char"/>
    <w:basedOn w:val="1"/>
    <w:autoRedefine/>
    <w:qFormat/>
    <w:uiPriority w:val="0"/>
    <w:pPr>
      <w:adjustRightInd w:val="0"/>
      <w:snapToGrid w:val="0"/>
      <w:spacing w:line="312" w:lineRule="auto"/>
      <w:ind w:left="2600"/>
    </w:pPr>
    <w:rPr>
      <w:rFonts w:ascii="华文细黑" w:eastAsia="华文细黑" w:cs="宋体"/>
      <w:kern w:val="0"/>
      <w:sz w:val="20"/>
      <w:szCs w:val="20"/>
    </w:rPr>
  </w:style>
  <w:style w:type="paragraph" w:customStyle="1" w:styleId="122">
    <w:name w:val="正文alt+z"/>
    <w:basedOn w:val="1"/>
    <w:autoRedefine/>
    <w:qFormat/>
    <w:uiPriority w:val="0"/>
    <w:pPr>
      <w:autoSpaceDE w:val="0"/>
      <w:autoSpaceDN w:val="0"/>
      <w:snapToGrid w:val="0"/>
    </w:pPr>
    <w:rPr>
      <w:kern w:val="0"/>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24672</Words>
  <Characters>26390</Characters>
  <Lines>230</Lines>
  <Paragraphs>64</Paragraphs>
  <TotalTime>4</TotalTime>
  <ScaleCrop>false</ScaleCrop>
  <LinksUpToDate>false</LinksUpToDate>
  <CharactersWithSpaces>27075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2024-10-06T16:56:00Z</dcterms:created>
  <dc:creator>HP</dc:creator>
  <cp:lastModifiedBy>Administrator</cp:lastModifiedBy>
  <dcterms:modified xsi:type="dcterms:W3CDTF">2025-09-01T08:41:41Z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F41719D73EE448138FF30F127625E408_13</vt:lpwstr>
  </property>
  <property fmtid="{D5CDD505-2E9C-101B-9397-08002B2CF9AE}" pid="4" name="KSOTemplateDocerSaveRecord">
    <vt:lpwstr>eyJoZGlkIjoiYmM5ZTIzYzU0ZWNiZGZmNDliZmZkZTBmNjM1ZGUzNjMiLCJ1c2VySWQiOiIxMTYwMzQzMyJ9</vt:lpwstr>
  </property>
</Properties>
</file>