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adjustRightInd w:val="0"/>
        <w:snapToGrid w:val="0"/>
        <w:spacing w:line="240" w:lineRule="auto"/>
        <w:rPr>
          <w:rFonts w:hint="eastAsia" w:ascii="宋体" w:hAnsi="宋体"/>
          <w:b/>
          <w:bCs/>
          <w:color w:val="000000"/>
          <w:sz w:val="28"/>
          <w:szCs w:val="28"/>
          <w:highlight w:val="none"/>
        </w:rPr>
      </w:pPr>
      <w:r>
        <w:rPr>
          <w:rFonts w:hint="eastAsia" w:ascii="宋体" w:hAnsi="宋体"/>
          <w:b/>
          <w:bCs/>
          <w:color w:val="000000"/>
          <w:sz w:val="28"/>
          <w:szCs w:val="28"/>
          <w:highlight w:val="none"/>
        </w:rPr>
        <w:t>附件</w:t>
      </w:r>
      <w:r>
        <w:rPr>
          <w:rFonts w:hint="eastAsia" w:ascii="宋体" w:hAnsi="宋体"/>
          <w:b/>
          <w:bCs/>
          <w:color w:val="000000"/>
          <w:sz w:val="28"/>
          <w:szCs w:val="28"/>
          <w:highlight w:val="none"/>
          <w:lang w:val="en-US" w:eastAsia="zh-CN"/>
        </w:rPr>
        <w:t>一</w:t>
      </w:r>
      <w:r>
        <w:rPr>
          <w:rFonts w:hint="eastAsia" w:ascii="宋体" w:hAnsi="宋体"/>
          <w:b/>
          <w:bCs/>
          <w:color w:val="000000"/>
          <w:sz w:val="28"/>
          <w:szCs w:val="28"/>
          <w:highlight w:val="none"/>
        </w:rPr>
        <w:t>：项目</w:t>
      </w:r>
      <w:r>
        <w:rPr>
          <w:rFonts w:hint="eastAsia" w:ascii="宋体" w:hAnsi="宋体"/>
          <w:b/>
          <w:bCs/>
          <w:color w:val="000000"/>
          <w:sz w:val="28"/>
          <w:szCs w:val="28"/>
          <w:highlight w:val="none"/>
          <w:lang w:val="en-US" w:eastAsia="zh-CN"/>
        </w:rPr>
        <w:t>概况及相关要求</w:t>
      </w:r>
    </w:p>
    <w:p>
      <w:pPr>
        <w:pStyle w:val="2"/>
        <w:rPr>
          <w:rFonts w:hint="eastAsia"/>
        </w:rPr>
      </w:pPr>
    </w:p>
    <w:p>
      <w:pPr>
        <w:adjustRightInd w:val="0"/>
        <w:snapToGrid w:val="0"/>
        <w:spacing w:line="360" w:lineRule="auto"/>
        <w:jc w:val="center"/>
        <w:rPr>
          <w:rFonts w:hint="eastAsia" w:ascii="宋体" w:hAnsi="宋体"/>
          <w:b/>
          <w:color w:val="000000"/>
          <w:sz w:val="30"/>
          <w:szCs w:val="30"/>
        </w:rPr>
      </w:pPr>
      <w:r>
        <w:rPr>
          <w:rFonts w:hint="eastAsia" w:ascii="宋体" w:hAnsi="宋体"/>
          <w:b/>
          <w:color w:val="000000"/>
          <w:sz w:val="30"/>
          <w:szCs w:val="30"/>
          <w:highlight w:val="none"/>
          <w:lang w:val="en-US" w:eastAsia="zh-CN"/>
        </w:rPr>
        <w:t>广深高速公路2023-2027年</w:t>
      </w:r>
      <w:r>
        <w:rPr>
          <w:rFonts w:hint="eastAsia" w:ascii="宋体" w:hAnsi="宋体"/>
          <w:b/>
          <w:color w:val="000000"/>
          <w:sz w:val="30"/>
          <w:szCs w:val="30"/>
          <w:lang w:val="en-US" w:eastAsia="zh-CN"/>
        </w:rPr>
        <w:t>东莞段通航桥梁航标维护</w:t>
      </w:r>
    </w:p>
    <w:p>
      <w:pPr>
        <w:adjustRightInd w:val="0"/>
        <w:snapToGrid w:val="0"/>
        <w:spacing w:line="360" w:lineRule="auto"/>
        <w:jc w:val="center"/>
        <w:rPr>
          <w:rFonts w:hint="eastAsia" w:ascii="宋体" w:hAnsi="宋体"/>
          <w:b/>
          <w:bCs/>
          <w:color w:val="000000"/>
          <w:kern w:val="2"/>
          <w:sz w:val="36"/>
          <w:szCs w:val="36"/>
          <w:lang w:val="en-US" w:eastAsia="zh-CN" w:bidi="ar-SA"/>
        </w:rPr>
      </w:pPr>
      <w:r>
        <w:rPr>
          <w:rFonts w:hint="eastAsia" w:ascii="宋体" w:hAnsi="宋体"/>
          <w:b/>
          <w:color w:val="000000"/>
          <w:sz w:val="30"/>
          <w:szCs w:val="30"/>
          <w:lang w:val="en-US" w:eastAsia="zh-CN"/>
        </w:rPr>
        <w:t>项目需求书</w:t>
      </w:r>
    </w:p>
    <w:p>
      <w:pPr>
        <w:pStyle w:val="3"/>
        <w:spacing w:before="0" w:after="0" w:line="360" w:lineRule="auto"/>
        <w:rPr>
          <w:rFonts w:ascii="新宋体" w:hAnsi="新宋体" w:eastAsia="新宋体"/>
          <w:sz w:val="21"/>
          <w:szCs w:val="21"/>
        </w:rPr>
      </w:pPr>
      <w:r>
        <w:rPr>
          <w:rFonts w:hint="eastAsia" w:ascii="新宋体" w:hAnsi="新宋体" w:eastAsia="新宋体" w:cs="新宋体"/>
          <w:sz w:val="21"/>
          <w:szCs w:val="21"/>
        </w:rPr>
        <w:t>一、工程概况</w:t>
      </w:r>
    </w:p>
    <w:p>
      <w:pPr>
        <w:spacing w:line="360" w:lineRule="auto"/>
        <w:ind w:firstLine="420"/>
        <w:rPr>
          <w:rFonts w:ascii="宋体"/>
          <w:sz w:val="21"/>
          <w:szCs w:val="21"/>
        </w:rPr>
      </w:pPr>
      <w:r>
        <w:rPr>
          <w:rFonts w:hint="eastAsia" w:ascii="宋体" w:hAnsi="宋体" w:cs="宋体"/>
          <w:sz w:val="21"/>
          <w:szCs w:val="21"/>
        </w:rPr>
        <w:t>广深高速公路东莞段涉及到通航桥梁航标维护通航桥梁共有</w:t>
      </w:r>
      <w:r>
        <w:rPr>
          <w:rFonts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座、水上限高架</w:t>
      </w:r>
      <w:r>
        <w:rPr>
          <w:rFonts w:ascii="宋体" w:hAnsi="宋体" w:cs="宋体"/>
          <w:sz w:val="21"/>
          <w:szCs w:val="21"/>
        </w:rPr>
        <w:t>3</w:t>
      </w:r>
      <w:r>
        <w:rPr>
          <w:rFonts w:hint="eastAsia" w:ascii="宋体" w:hAnsi="宋体" w:cs="宋体"/>
          <w:sz w:val="21"/>
          <w:szCs w:val="21"/>
        </w:rPr>
        <w:t>座，为确保通航桥梁安全，我司拟对东莞段所有通航桥梁及水上限高架所配布的桥梁航标进行专业维护管理。</w:t>
      </w:r>
    </w:p>
    <w:p>
      <w:pPr>
        <w:spacing w:line="360" w:lineRule="auto"/>
        <w:ind w:firstLine="420" w:firstLineChars="200"/>
        <w:rPr>
          <w:rFonts w:ascii="宋体"/>
          <w:sz w:val="21"/>
          <w:szCs w:val="21"/>
        </w:rPr>
      </w:pPr>
      <w:r>
        <w:rPr>
          <w:rFonts w:hint="eastAsia" w:ascii="宋体" w:hAnsi="宋体" w:cs="宋体"/>
          <w:sz w:val="21"/>
          <w:szCs w:val="21"/>
        </w:rPr>
        <w:t>按照广东省交通运输厅的相关规定与要求，针对广深高速公路东莞段跨河桥梁航标维护项目，制定以下维护方案，以确保桥区航道安全畅通。</w:t>
      </w:r>
    </w:p>
    <w:p>
      <w:pPr>
        <w:pStyle w:val="3"/>
        <w:spacing w:before="0" w:after="0" w:line="360" w:lineRule="auto"/>
        <w:rPr>
          <w:rFonts w:ascii="新宋体" w:hAnsi="新宋体" w:eastAsia="新宋体"/>
          <w:sz w:val="21"/>
          <w:szCs w:val="21"/>
        </w:rPr>
      </w:pPr>
      <w:r>
        <w:rPr>
          <w:rFonts w:hint="eastAsia" w:ascii="新宋体" w:hAnsi="新宋体" w:eastAsia="新宋体" w:cs="新宋体"/>
          <w:sz w:val="21"/>
          <w:szCs w:val="21"/>
        </w:rPr>
        <w:t>二、日常巡查维护的工作内容及巡查维修保养频率</w:t>
      </w:r>
    </w:p>
    <w:p>
      <w:pPr>
        <w:spacing w:line="360" w:lineRule="auto"/>
        <w:rPr>
          <w:rFonts w:ascii="宋体" w:hAnsi="宋体" w:cs="宋体"/>
          <w:sz w:val="21"/>
          <w:szCs w:val="21"/>
        </w:rPr>
      </w:pPr>
      <w:r>
        <w:rPr>
          <w:rFonts w:ascii="宋体" w:hAnsi="宋体" w:cs="宋体"/>
          <w:sz w:val="21"/>
          <w:szCs w:val="21"/>
        </w:rPr>
        <w:t xml:space="preserve">   </w:t>
      </w:r>
      <w:r>
        <w:rPr>
          <w:rFonts w:hint="eastAsia" w:ascii="宋体" w:hAnsi="宋体" w:cs="宋体"/>
          <w:sz w:val="21"/>
          <w:szCs w:val="21"/>
        </w:rPr>
        <w:t>对广深高速公路东莞段通航桥梁及水上限高架所配布的桥梁航标的日常巡查及维护管理，工作内容只限于附着在桥梁（或水上限高架）上航标及封航灯艇。</w:t>
      </w:r>
    </w:p>
    <w:p>
      <w:pPr>
        <w:spacing w:line="360" w:lineRule="auto"/>
        <w:rPr>
          <w:rFonts w:ascii="宋体" w:hAnsi="宋体" w:cs="宋体"/>
          <w:sz w:val="21"/>
          <w:szCs w:val="21"/>
        </w:rPr>
      </w:pPr>
    </w:p>
    <w:p>
      <w:pPr>
        <w:spacing w:line="360" w:lineRule="auto"/>
        <w:rPr>
          <w:rFonts w:ascii="宋体"/>
          <w:sz w:val="21"/>
          <w:szCs w:val="21"/>
        </w:rPr>
      </w:pPr>
      <w:r>
        <w:rPr>
          <w:rFonts w:hint="eastAsia" w:ascii="宋体"/>
          <w:sz w:val="21"/>
          <w:szCs w:val="21"/>
        </w:rPr>
        <w:t xml:space="preserve">  表1现有通航桥航标及封航灯艇巡查维修保养频率表  </w:t>
      </w:r>
    </w:p>
    <w:tbl>
      <w:tblPr>
        <w:tblStyle w:val="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394"/>
        <w:gridCol w:w="212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b/>
                <w:sz w:val="21"/>
                <w:szCs w:val="21"/>
              </w:rPr>
            </w:pPr>
            <w:r>
              <w:rPr>
                <w:rFonts w:hint="eastAsia" w:ascii="宋体"/>
                <w:b/>
                <w:sz w:val="21"/>
                <w:szCs w:val="21"/>
              </w:rPr>
              <w:t>序号</w:t>
            </w:r>
          </w:p>
        </w:tc>
        <w:tc>
          <w:tcPr>
            <w:tcW w:w="4394" w:type="dxa"/>
            <w:vAlign w:val="top"/>
          </w:tcPr>
          <w:p>
            <w:pPr>
              <w:spacing w:line="360" w:lineRule="auto"/>
              <w:jc w:val="center"/>
              <w:rPr>
                <w:rFonts w:ascii="宋体"/>
                <w:b/>
                <w:sz w:val="21"/>
                <w:szCs w:val="21"/>
              </w:rPr>
            </w:pPr>
            <w:r>
              <w:rPr>
                <w:rFonts w:hint="eastAsia" w:ascii="宋体"/>
                <w:b/>
                <w:sz w:val="21"/>
                <w:szCs w:val="21"/>
              </w:rPr>
              <w:t>分项名称</w:t>
            </w:r>
          </w:p>
        </w:tc>
        <w:tc>
          <w:tcPr>
            <w:tcW w:w="2127" w:type="dxa"/>
            <w:vAlign w:val="top"/>
          </w:tcPr>
          <w:p>
            <w:pPr>
              <w:spacing w:line="360" w:lineRule="auto"/>
              <w:jc w:val="center"/>
              <w:rPr>
                <w:rFonts w:ascii="宋体"/>
                <w:b/>
                <w:sz w:val="21"/>
                <w:szCs w:val="21"/>
              </w:rPr>
            </w:pPr>
            <w:r>
              <w:rPr>
                <w:rFonts w:hint="eastAsia" w:ascii="宋体"/>
                <w:b/>
                <w:sz w:val="21"/>
                <w:szCs w:val="21"/>
              </w:rPr>
              <w:t>频率</w:t>
            </w:r>
          </w:p>
        </w:tc>
        <w:tc>
          <w:tcPr>
            <w:tcW w:w="1559" w:type="dxa"/>
            <w:vAlign w:val="top"/>
          </w:tcPr>
          <w:p>
            <w:pPr>
              <w:spacing w:line="360" w:lineRule="auto"/>
              <w:jc w:val="center"/>
              <w:rPr>
                <w:rFonts w:ascii="宋体"/>
                <w:b/>
                <w:sz w:val="21"/>
                <w:szCs w:val="21"/>
              </w:rPr>
            </w:pPr>
            <w:r>
              <w:rPr>
                <w:rFonts w:hint="eastAsia" w:ascii="宋体"/>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1</w:t>
            </w:r>
          </w:p>
        </w:tc>
        <w:tc>
          <w:tcPr>
            <w:tcW w:w="4394" w:type="dxa"/>
            <w:vAlign w:val="top"/>
          </w:tcPr>
          <w:p>
            <w:pPr>
              <w:spacing w:line="360" w:lineRule="auto"/>
              <w:rPr>
                <w:rFonts w:ascii="宋体"/>
                <w:sz w:val="21"/>
                <w:szCs w:val="21"/>
              </w:rPr>
            </w:pPr>
            <w:r>
              <w:rPr>
                <w:rFonts w:hint="eastAsia" w:ascii="宋体"/>
                <w:sz w:val="21"/>
                <w:szCs w:val="21"/>
              </w:rPr>
              <w:t>桥涵标、通航净高标尺、甲类标志、乙类标志、禁止通行标志检查</w:t>
            </w:r>
          </w:p>
        </w:tc>
        <w:tc>
          <w:tcPr>
            <w:tcW w:w="2127" w:type="dxa"/>
            <w:vAlign w:val="top"/>
          </w:tcPr>
          <w:p>
            <w:pPr>
              <w:spacing w:line="360" w:lineRule="auto"/>
              <w:jc w:val="center"/>
              <w:rPr>
                <w:rFonts w:ascii="宋体"/>
                <w:sz w:val="21"/>
                <w:szCs w:val="21"/>
              </w:rPr>
            </w:pPr>
            <w:r>
              <w:rPr>
                <w:rFonts w:hint="eastAsia" w:ascii="宋体"/>
                <w:sz w:val="21"/>
                <w:szCs w:val="21"/>
              </w:rPr>
              <w:t>5天/次</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2</w:t>
            </w:r>
          </w:p>
        </w:tc>
        <w:tc>
          <w:tcPr>
            <w:tcW w:w="4394" w:type="dxa"/>
            <w:vAlign w:val="top"/>
          </w:tcPr>
          <w:p>
            <w:pPr>
              <w:spacing w:line="360" w:lineRule="auto"/>
              <w:rPr>
                <w:rFonts w:ascii="宋体"/>
                <w:sz w:val="21"/>
                <w:szCs w:val="21"/>
              </w:rPr>
            </w:pPr>
            <w:r>
              <w:rPr>
                <w:rFonts w:hint="eastAsia" w:ascii="宋体"/>
                <w:sz w:val="21"/>
                <w:szCs w:val="21"/>
              </w:rPr>
              <w:t>封航标志检查</w:t>
            </w:r>
          </w:p>
        </w:tc>
        <w:tc>
          <w:tcPr>
            <w:tcW w:w="2127" w:type="dxa"/>
            <w:vAlign w:val="top"/>
          </w:tcPr>
          <w:p>
            <w:pPr>
              <w:spacing w:line="360" w:lineRule="auto"/>
              <w:jc w:val="center"/>
              <w:rPr>
                <w:rFonts w:ascii="宋体"/>
                <w:sz w:val="21"/>
                <w:szCs w:val="21"/>
              </w:rPr>
            </w:pPr>
            <w:r>
              <w:rPr>
                <w:rFonts w:hint="eastAsia" w:ascii="宋体"/>
                <w:sz w:val="21"/>
                <w:szCs w:val="21"/>
              </w:rPr>
              <w:t>5天/次</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3</w:t>
            </w:r>
          </w:p>
        </w:tc>
        <w:tc>
          <w:tcPr>
            <w:tcW w:w="4394" w:type="dxa"/>
            <w:vAlign w:val="top"/>
          </w:tcPr>
          <w:p>
            <w:pPr>
              <w:spacing w:line="360" w:lineRule="auto"/>
              <w:rPr>
                <w:rFonts w:ascii="宋体"/>
                <w:sz w:val="21"/>
                <w:szCs w:val="21"/>
              </w:rPr>
            </w:pPr>
            <w:r>
              <w:rPr>
                <w:rFonts w:hint="eastAsia" w:ascii="宋体"/>
                <w:sz w:val="21"/>
                <w:szCs w:val="21"/>
              </w:rPr>
              <w:t>桥柱灯、封航标志灯灯器维护保养</w:t>
            </w:r>
          </w:p>
        </w:tc>
        <w:tc>
          <w:tcPr>
            <w:tcW w:w="2127" w:type="dxa"/>
            <w:vAlign w:val="top"/>
          </w:tcPr>
          <w:p>
            <w:pPr>
              <w:spacing w:line="360" w:lineRule="auto"/>
              <w:jc w:val="center"/>
              <w:rPr>
                <w:rFonts w:ascii="宋体"/>
                <w:sz w:val="21"/>
                <w:szCs w:val="21"/>
              </w:rPr>
            </w:pPr>
            <w:r>
              <w:rPr>
                <w:rFonts w:hint="eastAsia" w:ascii="宋体"/>
                <w:sz w:val="21"/>
                <w:szCs w:val="21"/>
              </w:rPr>
              <w:t>1次/月</w:t>
            </w:r>
          </w:p>
        </w:tc>
        <w:tc>
          <w:tcPr>
            <w:tcW w:w="1559" w:type="dxa"/>
            <w:vAlign w:val="top"/>
          </w:tcPr>
          <w:p>
            <w:pPr>
              <w:spacing w:line="360" w:lineRule="auto"/>
              <w:rPr>
                <w:rFonts w:ascii="宋体"/>
                <w:sz w:val="21"/>
                <w:szCs w:val="21"/>
              </w:rPr>
            </w:pPr>
            <w:r>
              <w:rPr>
                <w:rFonts w:hint="eastAsia" w:ascii="宋体"/>
                <w:sz w:val="21"/>
                <w:szCs w:val="21"/>
              </w:rPr>
              <w:t>HD15定光灯、HD90定光灯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4</w:t>
            </w:r>
          </w:p>
        </w:tc>
        <w:tc>
          <w:tcPr>
            <w:tcW w:w="4394" w:type="dxa"/>
            <w:vAlign w:val="top"/>
          </w:tcPr>
          <w:p>
            <w:pPr>
              <w:spacing w:line="360" w:lineRule="auto"/>
              <w:rPr>
                <w:rFonts w:ascii="宋体"/>
                <w:sz w:val="21"/>
                <w:szCs w:val="21"/>
              </w:rPr>
            </w:pPr>
            <w:r>
              <w:rPr>
                <w:rFonts w:hint="eastAsia" w:ascii="宋体"/>
                <w:sz w:val="21"/>
                <w:szCs w:val="21"/>
              </w:rPr>
              <w:t>桥涵标、乙类标志、禁止通行标志牌保养（清洗）</w:t>
            </w:r>
          </w:p>
        </w:tc>
        <w:tc>
          <w:tcPr>
            <w:tcW w:w="2127" w:type="dxa"/>
            <w:vAlign w:val="top"/>
          </w:tcPr>
          <w:p>
            <w:pPr>
              <w:spacing w:line="360" w:lineRule="auto"/>
              <w:jc w:val="center"/>
              <w:rPr>
                <w:rFonts w:ascii="宋体"/>
                <w:sz w:val="21"/>
                <w:szCs w:val="21"/>
              </w:rPr>
            </w:pPr>
            <w:r>
              <w:rPr>
                <w:rFonts w:hint="eastAsia" w:ascii="宋体"/>
                <w:sz w:val="21"/>
                <w:szCs w:val="21"/>
              </w:rPr>
              <w:t>1次/季度</w:t>
            </w:r>
          </w:p>
        </w:tc>
        <w:tc>
          <w:tcPr>
            <w:tcW w:w="1559" w:type="dxa"/>
            <w:vAlign w:val="top"/>
          </w:tcPr>
          <w:p>
            <w:pPr>
              <w:spacing w:line="360" w:lineRule="auto"/>
              <w:rPr>
                <w:rFonts w:ascii="宋体"/>
                <w:sz w:val="21"/>
                <w:szCs w:val="21"/>
              </w:rPr>
            </w:pPr>
            <w:r>
              <w:rPr>
                <w:rFonts w:hint="eastAsia" w:ascii="宋体"/>
                <w:sz w:val="21"/>
                <w:szCs w:val="21"/>
              </w:rPr>
              <w:t>1.0×1.0、 1.5×1.5标牌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5</w:t>
            </w:r>
          </w:p>
        </w:tc>
        <w:tc>
          <w:tcPr>
            <w:tcW w:w="4394" w:type="dxa"/>
            <w:vAlign w:val="top"/>
          </w:tcPr>
          <w:p>
            <w:pPr>
              <w:spacing w:line="360" w:lineRule="auto"/>
              <w:rPr>
                <w:rFonts w:ascii="宋体"/>
                <w:sz w:val="21"/>
                <w:szCs w:val="21"/>
              </w:rPr>
            </w:pPr>
            <w:r>
              <w:rPr>
                <w:rFonts w:hint="eastAsia" w:ascii="宋体"/>
                <w:sz w:val="21"/>
                <w:szCs w:val="21"/>
              </w:rPr>
              <w:t>桥涵标、乙类标志、禁止通行标志牌保养（油漆或反光膜保养）</w:t>
            </w:r>
          </w:p>
        </w:tc>
        <w:tc>
          <w:tcPr>
            <w:tcW w:w="2127" w:type="dxa"/>
            <w:vAlign w:val="top"/>
          </w:tcPr>
          <w:p>
            <w:pPr>
              <w:spacing w:line="360" w:lineRule="auto"/>
              <w:jc w:val="center"/>
              <w:rPr>
                <w:rFonts w:ascii="宋体"/>
                <w:sz w:val="21"/>
                <w:szCs w:val="21"/>
              </w:rPr>
            </w:pPr>
            <w:r>
              <w:rPr>
                <w:rFonts w:hint="eastAsia" w:ascii="宋体"/>
                <w:sz w:val="21"/>
                <w:szCs w:val="21"/>
              </w:rPr>
              <w:t>1次/年</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6</w:t>
            </w:r>
          </w:p>
        </w:tc>
        <w:tc>
          <w:tcPr>
            <w:tcW w:w="4394" w:type="dxa"/>
            <w:vAlign w:val="top"/>
          </w:tcPr>
          <w:p>
            <w:pPr>
              <w:spacing w:line="360" w:lineRule="auto"/>
              <w:rPr>
                <w:rFonts w:ascii="宋体"/>
                <w:sz w:val="21"/>
                <w:szCs w:val="21"/>
              </w:rPr>
            </w:pPr>
            <w:r>
              <w:rPr>
                <w:rFonts w:hint="eastAsia" w:ascii="宋体"/>
                <w:sz w:val="21"/>
                <w:szCs w:val="21"/>
              </w:rPr>
              <w:t>标牌大保养</w:t>
            </w:r>
          </w:p>
        </w:tc>
        <w:tc>
          <w:tcPr>
            <w:tcW w:w="2127" w:type="dxa"/>
            <w:vAlign w:val="top"/>
          </w:tcPr>
          <w:p>
            <w:pPr>
              <w:spacing w:line="360" w:lineRule="auto"/>
              <w:jc w:val="center"/>
              <w:rPr>
                <w:rFonts w:ascii="宋体"/>
                <w:sz w:val="21"/>
                <w:szCs w:val="21"/>
              </w:rPr>
            </w:pPr>
            <w:r>
              <w:rPr>
                <w:rFonts w:hint="eastAsia" w:ascii="宋体"/>
                <w:sz w:val="21"/>
                <w:szCs w:val="21"/>
              </w:rPr>
              <w:t>1次/3年</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7</w:t>
            </w:r>
          </w:p>
        </w:tc>
        <w:tc>
          <w:tcPr>
            <w:tcW w:w="4394" w:type="dxa"/>
            <w:vAlign w:val="top"/>
          </w:tcPr>
          <w:p>
            <w:pPr>
              <w:spacing w:line="360" w:lineRule="auto"/>
              <w:rPr>
                <w:rFonts w:ascii="宋体"/>
                <w:sz w:val="21"/>
                <w:szCs w:val="21"/>
              </w:rPr>
            </w:pPr>
            <w:r>
              <w:rPr>
                <w:rFonts w:hint="eastAsia" w:ascii="宋体"/>
                <w:sz w:val="21"/>
                <w:szCs w:val="21"/>
              </w:rPr>
              <w:t>通航净高标尺及甲类标志清洗</w:t>
            </w:r>
          </w:p>
        </w:tc>
        <w:tc>
          <w:tcPr>
            <w:tcW w:w="2127" w:type="dxa"/>
            <w:vAlign w:val="top"/>
          </w:tcPr>
          <w:p>
            <w:pPr>
              <w:spacing w:line="360" w:lineRule="auto"/>
              <w:jc w:val="center"/>
              <w:rPr>
                <w:rFonts w:ascii="宋体"/>
                <w:sz w:val="21"/>
                <w:szCs w:val="21"/>
              </w:rPr>
            </w:pPr>
            <w:r>
              <w:rPr>
                <w:rFonts w:hint="eastAsia" w:ascii="宋体"/>
                <w:sz w:val="21"/>
                <w:szCs w:val="21"/>
              </w:rPr>
              <w:t>1次/月</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8</w:t>
            </w:r>
          </w:p>
        </w:tc>
        <w:tc>
          <w:tcPr>
            <w:tcW w:w="4394" w:type="dxa"/>
            <w:vAlign w:val="top"/>
          </w:tcPr>
          <w:p>
            <w:pPr>
              <w:spacing w:line="360" w:lineRule="auto"/>
              <w:rPr>
                <w:rFonts w:ascii="宋体"/>
                <w:sz w:val="21"/>
                <w:szCs w:val="21"/>
              </w:rPr>
            </w:pPr>
            <w:r>
              <w:rPr>
                <w:rFonts w:hint="eastAsia" w:ascii="宋体"/>
                <w:sz w:val="21"/>
                <w:szCs w:val="21"/>
              </w:rPr>
              <w:t>封航标志清洗</w:t>
            </w:r>
          </w:p>
        </w:tc>
        <w:tc>
          <w:tcPr>
            <w:tcW w:w="2127" w:type="dxa"/>
            <w:vAlign w:val="top"/>
          </w:tcPr>
          <w:p>
            <w:pPr>
              <w:spacing w:line="360" w:lineRule="auto"/>
              <w:jc w:val="center"/>
              <w:rPr>
                <w:rFonts w:ascii="宋体"/>
                <w:sz w:val="21"/>
                <w:szCs w:val="21"/>
              </w:rPr>
            </w:pPr>
            <w:r>
              <w:rPr>
                <w:rFonts w:hint="eastAsia" w:ascii="宋体"/>
                <w:sz w:val="21"/>
                <w:szCs w:val="21"/>
              </w:rPr>
              <w:t>2次/月</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9</w:t>
            </w:r>
          </w:p>
        </w:tc>
        <w:tc>
          <w:tcPr>
            <w:tcW w:w="4394" w:type="dxa"/>
            <w:vAlign w:val="top"/>
          </w:tcPr>
          <w:p>
            <w:pPr>
              <w:spacing w:line="360" w:lineRule="auto"/>
              <w:rPr>
                <w:rFonts w:ascii="宋体"/>
                <w:sz w:val="21"/>
                <w:szCs w:val="21"/>
              </w:rPr>
            </w:pPr>
            <w:r>
              <w:rPr>
                <w:rFonts w:hint="eastAsia" w:ascii="宋体"/>
                <w:sz w:val="21"/>
                <w:szCs w:val="21"/>
              </w:rPr>
              <w:t>封航标志油漆</w:t>
            </w:r>
          </w:p>
        </w:tc>
        <w:tc>
          <w:tcPr>
            <w:tcW w:w="2127" w:type="dxa"/>
            <w:vAlign w:val="top"/>
          </w:tcPr>
          <w:p>
            <w:pPr>
              <w:spacing w:line="360" w:lineRule="auto"/>
              <w:jc w:val="center"/>
              <w:rPr>
                <w:rFonts w:ascii="宋体"/>
                <w:sz w:val="21"/>
                <w:szCs w:val="21"/>
              </w:rPr>
            </w:pPr>
            <w:r>
              <w:rPr>
                <w:rFonts w:hint="eastAsia" w:ascii="宋体"/>
                <w:sz w:val="21"/>
                <w:szCs w:val="21"/>
              </w:rPr>
              <w:t>2次/年</w:t>
            </w:r>
          </w:p>
        </w:tc>
        <w:tc>
          <w:tcPr>
            <w:tcW w:w="1559" w:type="dxa"/>
            <w:vAlign w:val="top"/>
          </w:tcPr>
          <w:p>
            <w:pPr>
              <w:spacing w:line="360" w:lineRule="auto"/>
              <w:rPr>
                <w:rFonts w:asci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line="360" w:lineRule="auto"/>
              <w:jc w:val="center"/>
              <w:rPr>
                <w:rFonts w:ascii="宋体"/>
                <w:sz w:val="21"/>
                <w:szCs w:val="21"/>
              </w:rPr>
            </w:pPr>
            <w:r>
              <w:rPr>
                <w:rFonts w:hint="eastAsia" w:ascii="宋体"/>
                <w:sz w:val="21"/>
                <w:szCs w:val="21"/>
              </w:rPr>
              <w:t>10</w:t>
            </w:r>
          </w:p>
        </w:tc>
        <w:tc>
          <w:tcPr>
            <w:tcW w:w="4394" w:type="dxa"/>
            <w:vAlign w:val="top"/>
          </w:tcPr>
          <w:p>
            <w:pPr>
              <w:spacing w:line="360" w:lineRule="auto"/>
              <w:rPr>
                <w:rFonts w:ascii="宋体"/>
                <w:sz w:val="21"/>
                <w:szCs w:val="21"/>
              </w:rPr>
            </w:pPr>
            <w:r>
              <w:rPr>
                <w:rFonts w:hint="eastAsia" w:ascii="宋体"/>
                <w:sz w:val="21"/>
                <w:szCs w:val="21"/>
              </w:rPr>
              <w:t>封航标志大保养</w:t>
            </w:r>
          </w:p>
        </w:tc>
        <w:tc>
          <w:tcPr>
            <w:tcW w:w="2127" w:type="dxa"/>
            <w:vAlign w:val="top"/>
          </w:tcPr>
          <w:p>
            <w:pPr>
              <w:spacing w:line="360" w:lineRule="auto"/>
              <w:jc w:val="center"/>
              <w:rPr>
                <w:rFonts w:ascii="宋体"/>
                <w:sz w:val="21"/>
                <w:szCs w:val="21"/>
              </w:rPr>
            </w:pPr>
            <w:r>
              <w:rPr>
                <w:rFonts w:hint="eastAsia" w:ascii="宋体"/>
                <w:sz w:val="21"/>
                <w:szCs w:val="21"/>
              </w:rPr>
              <w:t>1次/年</w:t>
            </w:r>
          </w:p>
        </w:tc>
        <w:tc>
          <w:tcPr>
            <w:tcW w:w="1559" w:type="dxa"/>
            <w:vAlign w:val="top"/>
          </w:tcPr>
          <w:p>
            <w:pPr>
              <w:spacing w:line="360" w:lineRule="auto"/>
              <w:rPr>
                <w:rFonts w:ascii="宋体"/>
                <w:sz w:val="21"/>
                <w:szCs w:val="21"/>
              </w:rPr>
            </w:pPr>
          </w:p>
        </w:tc>
      </w:tr>
    </w:tbl>
    <w:p>
      <w:pPr>
        <w:spacing w:line="360" w:lineRule="auto"/>
        <w:rPr>
          <w:rFonts w:ascii="宋体"/>
          <w:sz w:val="21"/>
          <w:szCs w:val="21"/>
        </w:rPr>
      </w:pPr>
    </w:p>
    <w:p>
      <w:pPr>
        <w:numPr>
          <w:ilvl w:val="0"/>
          <w:numId w:val="1"/>
        </w:numPr>
        <w:adjustRightInd w:val="0"/>
        <w:snapToGrid w:val="0"/>
        <w:spacing w:line="440" w:lineRule="exact"/>
        <w:ind w:firstLine="433" w:firstLineChars="196"/>
        <w:rPr>
          <w:rFonts w:hint="eastAsia" w:ascii="宋体"/>
          <w:b/>
          <w:color w:val="000000"/>
          <w:sz w:val="22"/>
        </w:rPr>
      </w:pPr>
      <w:r>
        <w:rPr>
          <w:rFonts w:hint="eastAsia" w:ascii="宋体"/>
          <w:b/>
          <w:color w:val="000000"/>
          <w:sz w:val="22"/>
        </w:rPr>
        <w:t>项目维护标准及要求</w:t>
      </w:r>
    </w:p>
    <w:p>
      <w:pPr>
        <w:spacing w:line="440" w:lineRule="exact"/>
        <w:ind w:firstLine="440" w:firstLineChars="200"/>
        <w:rPr>
          <w:rFonts w:ascii="宋体" w:hAnsi="宋体" w:cs="宋体"/>
          <w:color w:val="000000"/>
          <w:sz w:val="22"/>
        </w:rPr>
      </w:pPr>
      <w:r>
        <w:rPr>
          <w:rFonts w:hint="eastAsia" w:ascii="宋体" w:hAnsi="宋体" w:cs="宋体"/>
          <w:color w:val="000000"/>
          <w:sz w:val="22"/>
        </w:rPr>
        <w:t>（一）对航标进行维护，航标维护工程的质量必须符合下列技术标准的要求：</w:t>
      </w:r>
    </w:p>
    <w:p>
      <w:pPr>
        <w:pStyle w:val="2"/>
        <w:numPr>
          <w:ilvl w:val="0"/>
          <w:numId w:val="0"/>
        </w:numPr>
      </w:pPr>
    </w:p>
    <w:p>
      <w:pPr>
        <w:numPr>
          <w:ilvl w:val="0"/>
          <w:numId w:val="2"/>
        </w:numPr>
        <w:spacing w:line="360" w:lineRule="auto"/>
        <w:ind w:firstLine="440" w:firstLineChars="200"/>
        <w:rPr>
          <w:rFonts w:hint="eastAsia" w:ascii="宋体" w:hAnsi="宋体" w:cs="宋体"/>
          <w:sz w:val="21"/>
          <w:szCs w:val="21"/>
          <w:lang w:val="en-US" w:eastAsia="zh-CN"/>
        </w:rPr>
      </w:pPr>
      <w:r>
        <w:rPr>
          <w:rFonts w:hint="eastAsia" w:ascii="宋体" w:hAnsi="宋体" w:cs="宋体"/>
          <w:color w:val="000000"/>
          <w:sz w:val="22"/>
        </w:rPr>
        <w:t>国家标准</w:t>
      </w:r>
      <w:r>
        <w:rPr>
          <w:rFonts w:hint="eastAsia" w:ascii="宋体" w:hAnsi="宋体" w:cs="宋体"/>
          <w:sz w:val="21"/>
          <w:szCs w:val="21"/>
        </w:rPr>
        <w:t>《内河助航标志》（</w:t>
      </w:r>
      <w:r>
        <w:rPr>
          <w:rFonts w:ascii="宋体" w:hAnsi="宋体" w:cs="宋体"/>
          <w:sz w:val="21"/>
          <w:szCs w:val="21"/>
        </w:rPr>
        <w:t>GB5863-93</w:t>
      </w:r>
      <w:r>
        <w:rPr>
          <w:rFonts w:hint="eastAsia" w:ascii="宋体" w:hAnsi="宋体" w:cs="宋体"/>
          <w:sz w:val="21"/>
          <w:szCs w:val="21"/>
        </w:rPr>
        <w:t>）、《内河助航标志主要外形尺寸》（</w:t>
      </w:r>
      <w:r>
        <w:rPr>
          <w:rFonts w:ascii="宋体" w:hAnsi="宋体" w:cs="宋体"/>
          <w:sz w:val="21"/>
          <w:szCs w:val="21"/>
        </w:rPr>
        <w:t>GB5864-93</w:t>
      </w:r>
      <w:r>
        <w:rPr>
          <w:rFonts w:hint="eastAsia" w:ascii="宋体" w:hAnsi="宋体" w:cs="宋体"/>
          <w:sz w:val="21"/>
          <w:szCs w:val="21"/>
        </w:rPr>
        <w:t>）</w:t>
      </w:r>
      <w:r>
        <w:rPr>
          <w:rFonts w:hint="eastAsia" w:ascii="宋体" w:hAnsi="宋体" w:cs="宋体"/>
          <w:sz w:val="21"/>
          <w:szCs w:val="21"/>
          <w:lang w:val="en-US" w:eastAsia="zh-CN"/>
        </w:rPr>
        <w:t>；</w:t>
      </w:r>
    </w:p>
    <w:p>
      <w:pPr>
        <w:numPr>
          <w:ilvl w:val="0"/>
          <w:numId w:val="2"/>
        </w:numPr>
        <w:spacing w:line="360" w:lineRule="auto"/>
        <w:ind w:firstLine="440" w:firstLineChars="200"/>
        <w:rPr>
          <w:rFonts w:ascii="宋体"/>
          <w:sz w:val="21"/>
          <w:szCs w:val="21"/>
        </w:rPr>
      </w:pPr>
      <w:r>
        <w:rPr>
          <w:rFonts w:hint="eastAsia" w:ascii="宋体" w:hAnsi="宋体" w:cs="宋体"/>
          <w:color w:val="000000"/>
          <w:sz w:val="22"/>
        </w:rPr>
        <w:t>交通部标准</w:t>
      </w:r>
      <w:r>
        <w:rPr>
          <w:rFonts w:hint="eastAsia" w:ascii="宋体" w:hAnsi="宋体" w:cs="宋体"/>
          <w:sz w:val="21"/>
          <w:szCs w:val="21"/>
        </w:rPr>
        <w:t>《内河航道维护技术规范》（</w:t>
      </w:r>
      <w:r>
        <w:rPr>
          <w:rFonts w:ascii="宋体" w:hAnsi="宋体" w:cs="宋体"/>
          <w:sz w:val="21"/>
          <w:szCs w:val="21"/>
        </w:rPr>
        <w:t>JTJ287-2005</w:t>
      </w:r>
      <w:r>
        <w:rPr>
          <w:rFonts w:hint="eastAsia" w:ascii="宋体" w:hAnsi="宋体" w:cs="宋体"/>
          <w:sz w:val="21"/>
          <w:szCs w:val="21"/>
        </w:rPr>
        <w:t>）</w:t>
      </w:r>
      <w:r>
        <w:rPr>
          <w:rFonts w:hint="eastAsia" w:ascii="宋体" w:hAnsi="宋体" w:cs="宋体"/>
          <w:sz w:val="21"/>
          <w:szCs w:val="21"/>
          <w:lang w:val="en-US" w:eastAsia="zh-CN"/>
        </w:rPr>
        <w:t>；</w:t>
      </w:r>
    </w:p>
    <w:p>
      <w:pPr>
        <w:numPr>
          <w:ilvl w:val="0"/>
          <w:numId w:val="2"/>
        </w:numPr>
        <w:spacing w:line="360" w:lineRule="auto"/>
        <w:ind w:firstLine="440" w:firstLineChars="200"/>
        <w:rPr>
          <w:rFonts w:ascii="宋体"/>
          <w:sz w:val="21"/>
          <w:szCs w:val="21"/>
        </w:rPr>
      </w:pPr>
      <w:r>
        <w:rPr>
          <w:rFonts w:hint="eastAsia" w:ascii="宋体" w:hAnsi="宋体" w:cs="宋体"/>
          <w:color w:val="000000"/>
          <w:sz w:val="22"/>
        </w:rPr>
        <w:t>广东省航道局标准</w:t>
      </w:r>
      <w:r>
        <w:rPr>
          <w:rFonts w:hint="eastAsia" w:ascii="宋体" w:hAnsi="宋体" w:cs="宋体"/>
          <w:sz w:val="21"/>
          <w:szCs w:val="21"/>
        </w:rPr>
        <w:t>《广东省航道局航标维护管理办法》（粤航道〔</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153</w:t>
      </w:r>
      <w:r>
        <w:rPr>
          <w:rFonts w:hint="eastAsia" w:ascii="宋体" w:hAnsi="宋体" w:cs="宋体"/>
          <w:sz w:val="21"/>
          <w:szCs w:val="21"/>
        </w:rPr>
        <w:t>号）、《广东省航道局航标质量标准》（粤航道〔</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163</w:t>
      </w:r>
      <w:r>
        <w:rPr>
          <w:rFonts w:hint="eastAsia" w:ascii="宋体" w:hAnsi="宋体" w:cs="宋体"/>
          <w:sz w:val="21"/>
          <w:szCs w:val="21"/>
        </w:rPr>
        <w:t>号）</w:t>
      </w:r>
      <w:r>
        <w:rPr>
          <w:rFonts w:hint="eastAsia" w:ascii="宋体" w:hAnsi="宋体" w:cs="宋体"/>
          <w:sz w:val="21"/>
          <w:szCs w:val="21"/>
          <w:lang w:eastAsia="zh-CN"/>
        </w:rPr>
        <w:t>。</w:t>
      </w:r>
    </w:p>
    <w:p>
      <w:pPr>
        <w:spacing w:line="440" w:lineRule="exact"/>
        <w:jc w:val="left"/>
        <w:rPr>
          <w:rFonts w:ascii="宋体"/>
          <w:bCs/>
          <w:color w:val="000000"/>
          <w:sz w:val="22"/>
        </w:rPr>
      </w:pPr>
      <w:r>
        <w:rPr>
          <w:rFonts w:hint="eastAsia" w:ascii="宋体"/>
          <w:bCs/>
          <w:color w:val="000000"/>
          <w:sz w:val="22"/>
        </w:rPr>
        <w:t>（二）乙方必须按照航道部门规定的以下具体要求进行维护管理，以确保桥区航道安全畅通。正常情况下，航道工作船定期对该项目桥梁通航水域的航标进行巡查，检查的主要内容为：</w:t>
      </w:r>
    </w:p>
    <w:p>
      <w:pPr>
        <w:numPr>
          <w:ilvl w:val="0"/>
          <w:numId w:val="0"/>
        </w:numPr>
        <w:spacing w:line="360" w:lineRule="auto"/>
        <w:rPr>
          <w:rFonts w:ascii="宋体"/>
          <w:sz w:val="21"/>
          <w:szCs w:val="21"/>
        </w:rPr>
      </w:pPr>
    </w:p>
    <w:p>
      <w:pPr>
        <w:spacing w:line="360" w:lineRule="auto"/>
        <w:ind w:firstLine="422" w:firstLineChars="200"/>
        <w:rPr>
          <w:rFonts w:ascii="宋体"/>
          <w:sz w:val="21"/>
          <w:szCs w:val="21"/>
        </w:rPr>
      </w:pPr>
      <w:r>
        <w:rPr>
          <w:rFonts w:hint="eastAsia" w:ascii="宋体" w:hAnsi="宋体" w:cs="宋体"/>
          <w:b/>
          <w:bCs/>
          <w:sz w:val="21"/>
          <w:szCs w:val="21"/>
          <w:lang w:val="en-US" w:eastAsia="zh-CN"/>
        </w:rPr>
        <w:t>1.</w:t>
      </w:r>
      <w:r>
        <w:rPr>
          <w:rFonts w:hint="eastAsia" w:ascii="宋体" w:hAnsi="宋体" w:cs="宋体"/>
          <w:b/>
          <w:bCs/>
          <w:sz w:val="21"/>
          <w:szCs w:val="21"/>
        </w:rPr>
        <w:t>日常检查：</w:t>
      </w:r>
      <w:r>
        <w:rPr>
          <w:rFonts w:hint="eastAsia" w:ascii="宋体" w:hAnsi="宋体" w:cs="宋体"/>
          <w:sz w:val="21"/>
          <w:szCs w:val="21"/>
        </w:rPr>
        <w:t>正常情况下，航道工作船按航道部门规定巡查周期对大桥通航水域的航标进行巡查一次。检查的主要内容为：</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、航标标位是否准确；</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、航标是否完好、牢固和整洁、颜色鲜明；</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、灯器、电源技术状态是否正常；</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、有无影响大桥通航水域安全的水上、水下施工作业；</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cs="宋体"/>
          <w:sz w:val="21"/>
          <w:szCs w:val="21"/>
        </w:rPr>
        <w:t>、夜航检查航标灯质量是否正常，灯光视距是否足够和灯光照射角度是否准确；</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6</w:t>
      </w:r>
      <w:r>
        <w:rPr>
          <w:rFonts w:hint="eastAsia" w:ascii="宋体" w:hAnsi="宋体" w:cs="宋体"/>
          <w:sz w:val="21"/>
          <w:szCs w:val="21"/>
          <w:lang w:eastAsia="zh-CN"/>
        </w:rPr>
        <w:t>）</w:t>
      </w:r>
      <w:r>
        <w:rPr>
          <w:rFonts w:hint="eastAsia" w:ascii="宋体" w:hAnsi="宋体" w:cs="宋体"/>
          <w:sz w:val="21"/>
          <w:szCs w:val="21"/>
        </w:rPr>
        <w:t>、发现航道变化及时进行全面探测，按通航需要及时调整相应航标的位置。</w:t>
      </w:r>
    </w:p>
    <w:p>
      <w:pPr>
        <w:spacing w:line="360" w:lineRule="auto"/>
        <w:ind w:firstLine="422" w:firstLineChars="200"/>
        <w:rPr>
          <w:rFonts w:ascii="宋体"/>
          <w:sz w:val="21"/>
          <w:szCs w:val="21"/>
        </w:rPr>
      </w:pPr>
      <w:r>
        <w:rPr>
          <w:rFonts w:hint="eastAsia" w:ascii="宋体" w:hAnsi="宋体" w:cs="宋体"/>
          <w:b/>
          <w:bCs/>
          <w:sz w:val="21"/>
          <w:szCs w:val="21"/>
          <w:lang w:val="en-US" w:eastAsia="zh-CN"/>
        </w:rPr>
        <w:t>2.</w:t>
      </w:r>
      <w:r>
        <w:rPr>
          <w:rFonts w:hint="eastAsia" w:ascii="宋体" w:hAnsi="宋体" w:cs="宋体"/>
          <w:b/>
          <w:bCs/>
          <w:sz w:val="21"/>
          <w:szCs w:val="21"/>
        </w:rPr>
        <w:t>定期检查：</w:t>
      </w:r>
      <w:r>
        <w:rPr>
          <w:rFonts w:hint="eastAsia" w:ascii="宋体" w:hAnsi="宋体" w:cs="宋体"/>
          <w:sz w:val="21"/>
          <w:szCs w:val="21"/>
        </w:rPr>
        <w:t>定期检查应包括日常检查内容外，还包括下列主要内容：</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、全面探测航道浅变部位和可能发展的航槽；</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、夜航检查航标灯质和灯光亮度。</w:t>
      </w:r>
    </w:p>
    <w:p>
      <w:pPr>
        <w:spacing w:line="360" w:lineRule="auto"/>
        <w:ind w:firstLine="422" w:firstLineChars="200"/>
        <w:rPr>
          <w:rFonts w:ascii="宋体"/>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临时检查：</w:t>
      </w:r>
      <w:r>
        <w:rPr>
          <w:rFonts w:hint="eastAsia" w:ascii="宋体" w:hAnsi="宋体" w:cs="宋体"/>
          <w:sz w:val="21"/>
          <w:szCs w:val="21"/>
        </w:rPr>
        <w:t>节假日、台风、洪水来到前后；突发事件。</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、节假日检查：元旦、春节、五一、国庆等节假日，特别是春运期间，需根据实际情况缩短航标巡查周期。</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、台风、洪水</w:t>
      </w:r>
      <w:r>
        <w:rPr>
          <w:rFonts w:hint="eastAsia" w:ascii="宋体" w:hAnsi="宋体" w:cs="宋体"/>
          <w:sz w:val="21"/>
          <w:szCs w:val="21"/>
          <w:lang w:val="en-US" w:eastAsia="zh-CN"/>
        </w:rPr>
        <w:t>前</w:t>
      </w:r>
      <w:r>
        <w:rPr>
          <w:rFonts w:hint="eastAsia" w:ascii="宋体" w:hAnsi="宋体" w:cs="宋体"/>
          <w:sz w:val="21"/>
          <w:szCs w:val="21"/>
        </w:rPr>
        <w:t>后的检查：每次台风、洪峰</w:t>
      </w:r>
      <w:r>
        <w:rPr>
          <w:rFonts w:hint="eastAsia" w:ascii="宋体" w:hAnsi="宋体" w:cs="宋体"/>
          <w:sz w:val="21"/>
          <w:szCs w:val="21"/>
          <w:lang w:val="en-US" w:eastAsia="zh-CN"/>
        </w:rPr>
        <w:t>前</w:t>
      </w:r>
      <w:r>
        <w:rPr>
          <w:rFonts w:hint="eastAsia" w:ascii="宋体" w:hAnsi="宋体" w:cs="宋体"/>
          <w:sz w:val="21"/>
          <w:szCs w:val="21"/>
        </w:rPr>
        <w:t>后，必须对大桥通航水域的航道航标进行一次全面的检查，及时修复损坏的航标器材及清除新发现的碍航物。</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桥区发生突发事件：一旦桥区发生突发事件（如枯水期、洪水期、沉船、桥梁被碰等影响），立即启动应急预案，立即派出船舶赶赴现场应急外置，及时检测该处航标情况，并名义向辖区航道部门、业主发出航标检测正常确认书（附报巡查周期情况、巡查记录等资料），为事故认定提供必要证据。同时视情况采取应急措施，必要时及时调整桥涵标的位置，开通符合通航技术标准的通航孔。</w:t>
      </w:r>
    </w:p>
    <w:p>
      <w:pPr>
        <w:spacing w:line="360" w:lineRule="auto"/>
        <w:ind w:firstLine="422" w:firstLineChars="200"/>
        <w:rPr>
          <w:rFonts w:ascii="宋体"/>
          <w:b/>
          <w:bCs/>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航标检查周期：</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、航标及封航灯艇检查周期按东莞航道局规定执行，按现行规定</w:t>
      </w:r>
      <w:r>
        <w:rPr>
          <w:rFonts w:ascii="宋体" w:hAnsi="宋体" w:cs="宋体"/>
          <w:sz w:val="21"/>
          <w:szCs w:val="21"/>
        </w:rPr>
        <w:t>5</w:t>
      </w:r>
      <w:r>
        <w:rPr>
          <w:rFonts w:hint="eastAsia" w:ascii="宋体" w:hAnsi="宋体" w:cs="宋体"/>
          <w:sz w:val="21"/>
          <w:szCs w:val="21"/>
        </w:rPr>
        <w:t>天为一个检查周期计量；</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w:t>
      </w:r>
      <w:r>
        <w:rPr>
          <w:rFonts w:hint="eastAsia" w:ascii="宋体" w:hAnsi="宋体" w:cs="宋体"/>
          <w:sz w:val="21"/>
          <w:szCs w:val="21"/>
          <w:lang w:val="en-US" w:eastAsia="zh-CN"/>
        </w:rPr>
        <w:t>每周不少于一次</w:t>
      </w:r>
      <w:r>
        <w:rPr>
          <w:rFonts w:hint="eastAsia" w:ascii="宋体" w:hAnsi="宋体" w:cs="宋体"/>
          <w:sz w:val="21"/>
          <w:szCs w:val="21"/>
        </w:rPr>
        <w:t>夜航查灯；</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、每月不小于一次上标全面检查，并对标志进行清洁、检测等；</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、航道剧变（如枯水期、洪水期和沉船等影响）或节日客运繁忙和春运期间，通过缩短航标巡查周期、加强航道业务智能管理信息系统平台监察等方式加强航标检查；</w:t>
      </w:r>
    </w:p>
    <w:p>
      <w:pPr>
        <w:spacing w:line="360" w:lineRule="auto"/>
        <w:ind w:firstLine="420" w:firstLineChars="200"/>
        <w:rPr>
          <w:rFonts w:ascii="宋体"/>
          <w:b/>
          <w:bCs/>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cs="宋体"/>
          <w:sz w:val="21"/>
          <w:szCs w:val="21"/>
        </w:rPr>
        <w:t>、每次台风、洪峰解除封航后，立即对航标进行一次全面检查，及时修复损坏的标志，清除新发现的障碍物，尽快恢复通航。</w:t>
      </w:r>
    </w:p>
    <w:p>
      <w:pPr>
        <w:pStyle w:val="3"/>
        <w:spacing w:before="0" w:after="0" w:line="360" w:lineRule="auto"/>
        <w:rPr>
          <w:rFonts w:ascii="新宋体" w:hAnsi="新宋体" w:eastAsia="新宋体"/>
          <w:sz w:val="21"/>
          <w:szCs w:val="21"/>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三</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、工作日常章程和制度</w:t>
      </w:r>
    </w:p>
    <w:p>
      <w:pPr>
        <w:spacing w:line="360" w:lineRule="auto"/>
        <w:ind w:firstLine="422" w:firstLineChars="200"/>
        <w:rPr>
          <w:rFonts w:ascii="宋体"/>
          <w:b/>
          <w:bCs/>
          <w:sz w:val="21"/>
          <w:szCs w:val="21"/>
        </w:rPr>
      </w:pPr>
      <w:r>
        <w:rPr>
          <w:rFonts w:hint="eastAsia" w:ascii="宋体" w:hAnsi="宋体" w:cs="宋体"/>
          <w:b/>
          <w:bCs/>
          <w:sz w:val="21"/>
          <w:szCs w:val="21"/>
          <w:lang w:val="en-US" w:eastAsia="zh-CN"/>
        </w:rPr>
        <w:t>1.</w:t>
      </w:r>
      <w:r>
        <w:rPr>
          <w:rFonts w:hint="eastAsia" w:ascii="宋体" w:hAnsi="宋体" w:cs="宋体"/>
          <w:b/>
          <w:bCs/>
          <w:sz w:val="21"/>
          <w:szCs w:val="21"/>
        </w:rPr>
        <w:t>航标养护与维修</w:t>
      </w:r>
    </w:p>
    <w:p>
      <w:pPr>
        <w:spacing w:line="360" w:lineRule="auto"/>
        <w:ind w:firstLine="210" w:firstLineChars="100"/>
        <w:rPr>
          <w:rFonts w:ascii="宋体"/>
          <w:sz w:val="21"/>
          <w:szCs w:val="21"/>
        </w:rPr>
      </w:pPr>
      <w:r>
        <w:rPr>
          <w:rFonts w:hint="eastAsia" w:ascii="宋体" w:hAnsi="宋体" w:cs="宋体"/>
          <w:sz w:val="21"/>
          <w:szCs w:val="21"/>
        </w:rPr>
        <w:t>加强对桥梁航标的养护，保持航标正常技术状态，保证标位正确，发光正常，颜色鲜明，并符合《航标质量标准》要求。</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、每月不少于</w:t>
      </w:r>
      <w:r>
        <w:rPr>
          <w:rFonts w:ascii="宋体" w:hAnsi="宋体" w:cs="宋体"/>
          <w:sz w:val="21"/>
          <w:szCs w:val="21"/>
        </w:rPr>
        <w:t>1</w:t>
      </w:r>
      <w:r>
        <w:rPr>
          <w:rFonts w:hint="eastAsia" w:ascii="宋体" w:hAnsi="宋体" w:cs="宋体"/>
          <w:sz w:val="21"/>
          <w:szCs w:val="21"/>
        </w:rPr>
        <w:t>次上标全面检查，清洁并加固航标器材；每月清洗、复核</w:t>
      </w:r>
      <w:r>
        <w:rPr>
          <w:rFonts w:ascii="宋体" w:hAnsi="宋体" w:cs="宋体"/>
          <w:sz w:val="21"/>
          <w:szCs w:val="21"/>
        </w:rPr>
        <w:t>1</w:t>
      </w:r>
      <w:r>
        <w:rPr>
          <w:rFonts w:hint="eastAsia" w:ascii="宋体" w:hAnsi="宋体" w:cs="宋体"/>
          <w:sz w:val="21"/>
          <w:szCs w:val="21"/>
        </w:rPr>
        <w:t>次通航净高水尺。航标灯、蓄电池、太阳能电池等航标设备每月进行一次全面清洁保养；航标灯、蓄电池每季度进行一次质量检测，太阳能电池每半年进行一次质量检测，并做好记录。每年</w:t>
      </w:r>
      <w:r>
        <w:rPr>
          <w:rFonts w:ascii="宋体" w:hAnsi="宋体" w:cs="宋体"/>
          <w:sz w:val="21"/>
          <w:szCs w:val="21"/>
        </w:rPr>
        <w:t>1</w:t>
      </w:r>
      <w:r>
        <w:rPr>
          <w:rFonts w:hint="eastAsia" w:ascii="宋体" w:hAnsi="宋体" w:cs="宋体"/>
          <w:sz w:val="21"/>
          <w:szCs w:val="21"/>
        </w:rPr>
        <w:t>次全面维修保养航标标体（铲锈、油漆、补贴反光纸膜等）及太阳能电源和航标灯。封航浮标每月清洗2次，封航浮标每年油漆2次，封航浮标每年大保养1次。除定期检修保养外，日常若发现航标器材质量达不到规定的技术要求，则应及时维修或更换。</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、各种标志及其附属设备遇油漆脱落或颜色不鲜明时，应及时补漆刷新，遇损坏应及时修复或更换。</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、新购的航标灯（包括灯泡、电源等）必须经过检测确认符合使用要求后，方可安装使用。</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、航标电源的使用必须按各种电池的使用规则严格执行，保证电源有效供电。</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cs="宋体"/>
          <w:sz w:val="21"/>
          <w:szCs w:val="21"/>
        </w:rPr>
        <w:t>、配布足够的备用航标器材。专人负责备用航标器材的保管工作，备用航标器材需按实际技术要求进行保养，确保其技术状态良好。</w:t>
      </w:r>
    </w:p>
    <w:p>
      <w:pPr>
        <w:spacing w:line="360" w:lineRule="auto"/>
        <w:ind w:firstLine="422" w:firstLineChars="200"/>
        <w:rPr>
          <w:rFonts w:ascii="宋体"/>
          <w:b/>
          <w:bCs/>
          <w:sz w:val="21"/>
          <w:szCs w:val="21"/>
        </w:rPr>
      </w:pPr>
      <w:r>
        <w:rPr>
          <w:rFonts w:hint="eastAsia" w:ascii="宋体" w:hAnsi="宋体" w:cs="宋体"/>
          <w:b/>
          <w:bCs/>
          <w:sz w:val="21"/>
          <w:szCs w:val="21"/>
          <w:lang w:val="en-US" w:eastAsia="zh-CN"/>
        </w:rPr>
        <w:t>2.</w:t>
      </w:r>
      <w:r>
        <w:rPr>
          <w:rFonts w:hint="eastAsia" w:ascii="宋体" w:hAnsi="宋体" w:cs="宋体"/>
          <w:b/>
          <w:bCs/>
          <w:sz w:val="21"/>
          <w:szCs w:val="21"/>
        </w:rPr>
        <w:t>航标异动</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、航标的设置、撤销、关闭、移位、漂失及改变航标特征（形状、颜色、灯质）等均属航标异动。</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、发现或得知航标失常的，应及时出航恢复，如因客观条件限制不能立即恢复的，必须采用有效方法通知过往船舶，以策安全。对航标失常的原因应认真分析，确定失常性质。</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、及时出航的一般时间规定：航标失常在发现或接报告的当天出航进行恢复；因封航、航行条件、气象等客观原因不适航时，待天气等情况恢复正常后及时修复。</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、发现航道障碍物时，应及时进行设标或采用其它有效方法告知过往船舶，以策安全。</w:t>
      </w:r>
    </w:p>
    <w:p>
      <w:pPr>
        <w:spacing w:line="360" w:lineRule="auto"/>
        <w:ind w:firstLine="422" w:firstLineChars="200"/>
        <w:rPr>
          <w:rFonts w:ascii="宋体"/>
          <w:b/>
          <w:bCs/>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航标维护统计及信息互通</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、航标维护管理的考核指标（扣除不可抗拒因素造成的航标失常）：航标维护正常率≥</w:t>
      </w:r>
      <w:r>
        <w:rPr>
          <w:rFonts w:ascii="宋体" w:hAnsi="宋体" w:cs="宋体"/>
          <w:sz w:val="21"/>
          <w:szCs w:val="21"/>
        </w:rPr>
        <w:t>99.8%</w:t>
      </w:r>
      <w:r>
        <w:rPr>
          <w:rFonts w:hint="eastAsia" w:ascii="宋体" w:hAnsi="宋体" w:cs="宋体"/>
          <w:sz w:val="21"/>
          <w:szCs w:val="21"/>
        </w:rPr>
        <w:t>。</w:t>
      </w:r>
    </w:p>
    <w:p>
      <w:pPr>
        <w:spacing w:line="360" w:lineRule="auto"/>
        <w:ind w:firstLine="420" w:firstLineChars="200"/>
        <w:rPr>
          <w:rFonts w:ascii="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、对桥梁航标的维护要按广东省航道事务中心规定的《航标维护情况统计表》做好相关统计工作，上报东莞航道事务中心审查，再上报广东省航道事务中心。</w:t>
      </w:r>
    </w:p>
    <w:p>
      <w:pPr>
        <w:spacing w:line="360" w:lineRule="auto"/>
        <w:ind w:firstLine="420" w:firstLineChars="200"/>
        <w:rPr>
          <w:rFonts w:hint="eastAsia" w:ascii="宋体" w:hAnsi="宋体" w:cs="宋体"/>
          <w:sz w:val="21"/>
          <w:szCs w:val="21"/>
        </w:rPr>
        <w:sectPr>
          <w:footerReference r:id="rId3" w:type="default"/>
          <w:footnotePr>
            <w:numFmt w:val="decimalEnclosedCircleChinese"/>
            <w:numRestart w:val="eachPage"/>
          </w:footnotePr>
          <w:pgSz w:w="11906" w:h="16838"/>
          <w:pgMar w:top="1134" w:right="1457" w:bottom="1440" w:left="1457" w:header="851" w:footer="851" w:gutter="0"/>
          <w:pgNumType w:fmt="numberInDash"/>
          <w:cols w:space="720" w:num="1"/>
          <w:docGrid w:linePitch="312" w:charSpace="0"/>
        </w:sect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、专人负责与施工单位联系航道安全管理实施的具体问题，并要求其负责做好自身安全工作。</w:t>
      </w:r>
    </w:p>
    <w:tbl>
      <w:tblPr>
        <w:tblStyle w:val="9"/>
        <w:tblW w:w="21845" w:type="dxa"/>
        <w:tblInd w:w="93" w:type="dxa"/>
        <w:tblLayout w:type="fixed"/>
        <w:tblCellMar>
          <w:top w:w="0" w:type="dxa"/>
          <w:left w:w="108" w:type="dxa"/>
          <w:bottom w:w="0" w:type="dxa"/>
          <w:right w:w="108" w:type="dxa"/>
        </w:tblCellMar>
      </w:tblPr>
      <w:tblGrid>
        <w:gridCol w:w="520"/>
        <w:gridCol w:w="19340"/>
        <w:gridCol w:w="1985"/>
      </w:tblGrid>
      <w:tr>
        <w:tblPrEx>
          <w:tblLayout w:type="fixed"/>
          <w:tblCellMar>
            <w:top w:w="0" w:type="dxa"/>
            <w:left w:w="108" w:type="dxa"/>
            <w:bottom w:w="0" w:type="dxa"/>
            <w:right w:w="108" w:type="dxa"/>
          </w:tblCellMar>
        </w:tblPrEx>
        <w:trPr>
          <w:trHeight w:val="609" w:hRule="atLeast"/>
        </w:trPr>
        <w:tc>
          <w:tcPr>
            <w:tcW w:w="520" w:type="dxa"/>
            <w:tcBorders>
              <w:top w:val="nil"/>
              <w:left w:val="nil"/>
              <w:bottom w:val="nil"/>
              <w:right w:val="nil"/>
            </w:tcBorders>
            <w:vAlign w:val="center"/>
          </w:tcPr>
          <w:p>
            <w:pPr>
              <w:numPr>
                <w:ilvl w:val="0"/>
                <w:numId w:val="0"/>
              </w:numPr>
              <w:adjustRightInd w:val="0"/>
              <w:snapToGrid w:val="0"/>
              <w:spacing w:line="440" w:lineRule="exact"/>
              <w:rPr>
                <w:rFonts w:hint="eastAsia" w:ascii="新宋体" w:hAnsi="新宋体" w:eastAsia="新宋体" w:cs="新宋体"/>
                <w:b/>
                <w:bCs/>
                <w:kern w:val="44"/>
                <w:sz w:val="21"/>
                <w:szCs w:val="21"/>
                <w:lang w:val="en-US" w:eastAsia="zh-CN" w:bidi="ar-SA"/>
              </w:rPr>
            </w:pPr>
          </w:p>
        </w:tc>
        <w:tc>
          <w:tcPr>
            <w:tcW w:w="19340" w:type="dxa"/>
            <w:tcBorders>
              <w:top w:val="nil"/>
              <w:left w:val="nil"/>
              <w:bottom w:val="nil"/>
              <w:right w:val="nil"/>
            </w:tcBorders>
            <w:vAlign w:val="center"/>
          </w:tcPr>
          <w:p>
            <w:pPr>
              <w:numPr>
                <w:ilvl w:val="0"/>
                <w:numId w:val="0"/>
              </w:numPr>
              <w:adjustRightInd w:val="0"/>
              <w:snapToGrid w:val="0"/>
              <w:spacing w:line="440" w:lineRule="exact"/>
              <w:rPr>
                <w:rFonts w:hint="eastAsia" w:ascii="新宋体" w:hAnsi="新宋体" w:eastAsia="新宋体" w:cs="新宋体"/>
                <w:b/>
                <w:bCs/>
                <w:kern w:val="44"/>
                <w:sz w:val="21"/>
                <w:szCs w:val="21"/>
                <w:lang w:val="en-US" w:eastAsia="zh-CN" w:bidi="ar-SA"/>
              </w:rPr>
            </w:pPr>
            <w:r>
              <w:rPr>
                <w:rFonts w:hint="eastAsia" w:ascii="新宋体" w:hAnsi="新宋体" w:eastAsia="新宋体" w:cs="新宋体"/>
                <w:b/>
                <w:bCs/>
                <w:kern w:val="44"/>
                <w:sz w:val="21"/>
                <w:szCs w:val="21"/>
                <w:lang w:val="en-US" w:eastAsia="zh-CN" w:bidi="ar-SA"/>
              </w:rPr>
              <w:t>四、广深高速公路东莞段通航桥梁航标维护详细分布表</w:t>
            </w:r>
            <w:r>
              <w:rPr>
                <w:rFonts w:hint="eastAsia" w:ascii="新宋体" w:hAnsi="新宋体" w:eastAsia="新宋体" w:cs="新宋体"/>
                <w:b/>
                <w:bCs/>
                <w:kern w:val="44"/>
                <w:sz w:val="21"/>
                <w:szCs w:val="21"/>
                <w:lang w:val="en-US" w:eastAsia="zh-CN" w:bidi="ar-SA"/>
              </w:rPr>
              <w:tab/>
            </w:r>
          </w:p>
        </w:tc>
        <w:tc>
          <w:tcPr>
            <w:tcW w:w="1985" w:type="dxa"/>
            <w:tcBorders>
              <w:top w:val="nil"/>
              <w:left w:val="nil"/>
              <w:bottom w:val="nil"/>
              <w:right w:val="nil"/>
            </w:tcBorders>
            <w:vAlign w:val="center"/>
          </w:tcPr>
          <w:p>
            <w:pPr>
              <w:widowControl/>
              <w:jc w:val="left"/>
              <w:rPr>
                <w:rFonts w:ascii="宋体" w:hAnsi="宋体" w:cs="宋体"/>
                <w:kern w:val="0"/>
                <w:sz w:val="24"/>
                <w:szCs w:val="24"/>
              </w:rPr>
            </w:pPr>
          </w:p>
        </w:tc>
      </w:tr>
    </w:tbl>
    <w:p/>
    <w:tbl>
      <w:tblPr>
        <w:tblStyle w:val="9"/>
        <w:tblW w:w="21474" w:type="dxa"/>
        <w:tblInd w:w="0" w:type="dxa"/>
        <w:tblLayout w:type="fixed"/>
        <w:tblCellMar>
          <w:top w:w="0" w:type="dxa"/>
          <w:left w:w="0" w:type="dxa"/>
          <w:bottom w:w="0" w:type="dxa"/>
          <w:right w:w="0" w:type="dxa"/>
        </w:tblCellMar>
      </w:tblPr>
      <w:tblGrid>
        <w:gridCol w:w="525"/>
        <w:gridCol w:w="975"/>
        <w:gridCol w:w="472"/>
        <w:gridCol w:w="480"/>
        <w:gridCol w:w="540"/>
        <w:gridCol w:w="540"/>
        <w:gridCol w:w="495"/>
        <w:gridCol w:w="465"/>
        <w:gridCol w:w="420"/>
        <w:gridCol w:w="465"/>
        <w:gridCol w:w="525"/>
        <w:gridCol w:w="465"/>
        <w:gridCol w:w="630"/>
        <w:gridCol w:w="540"/>
        <w:gridCol w:w="630"/>
        <w:gridCol w:w="555"/>
        <w:gridCol w:w="660"/>
        <w:gridCol w:w="645"/>
        <w:gridCol w:w="765"/>
        <w:gridCol w:w="600"/>
        <w:gridCol w:w="689"/>
        <w:gridCol w:w="720"/>
        <w:gridCol w:w="660"/>
        <w:gridCol w:w="525"/>
        <w:gridCol w:w="751"/>
        <w:gridCol w:w="570"/>
        <w:gridCol w:w="720"/>
        <w:gridCol w:w="615"/>
        <w:gridCol w:w="510"/>
        <w:gridCol w:w="570"/>
        <w:gridCol w:w="555"/>
        <w:gridCol w:w="960"/>
        <w:gridCol w:w="1200"/>
        <w:gridCol w:w="1037"/>
      </w:tblGrid>
      <w:tr>
        <w:tblPrEx>
          <w:tblLayout w:type="fixed"/>
          <w:tblCellMar>
            <w:top w:w="0" w:type="dxa"/>
            <w:left w:w="0" w:type="dxa"/>
            <w:bottom w:w="0" w:type="dxa"/>
            <w:right w:w="0" w:type="dxa"/>
          </w:tblCellMar>
        </w:tblPrEx>
        <w:trPr>
          <w:trHeight w:val="540" w:hRule="atLeast"/>
        </w:trPr>
        <w:tc>
          <w:tcPr>
            <w:tcW w:w="525" w:type="dxa"/>
            <w:tcBorders>
              <w:top w:val="nil"/>
              <w:left w:val="nil"/>
              <w:bottom w:val="nil"/>
              <w:right w:val="nil"/>
            </w:tcBorders>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949" w:type="dxa"/>
            <w:gridSpan w:val="33"/>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cs="宋体"/>
                <w:kern w:val="0"/>
                <w:sz w:val="32"/>
                <w:szCs w:val="32"/>
              </w:rPr>
              <w:t>表2东莞段桥梁航标维护</w:t>
            </w:r>
            <w:r>
              <w:rPr>
                <w:rFonts w:hint="eastAsia" w:ascii="新宋体" w:hAnsi="新宋体" w:eastAsia="新宋体" w:cs="新宋体"/>
                <w:sz w:val="30"/>
                <w:szCs w:val="30"/>
                <w:lang w:val="en-US" w:eastAsia="zh-CN"/>
              </w:rPr>
              <w:t>详细分布表</w:t>
            </w:r>
            <w:r>
              <w:rPr>
                <w:rFonts w:hint="eastAsia" w:ascii="宋体" w:hAnsi="宋体" w:cs="宋体"/>
                <w:kern w:val="0"/>
                <w:sz w:val="32"/>
                <w:szCs w:val="32"/>
              </w:rPr>
              <w:t>（每年）</w:t>
            </w:r>
          </w:p>
        </w:tc>
      </w:tr>
      <w:tr>
        <w:tblPrEx>
          <w:tblLayout w:type="fixed"/>
          <w:tblCellMar>
            <w:top w:w="0" w:type="dxa"/>
            <w:left w:w="0" w:type="dxa"/>
            <w:bottom w:w="0" w:type="dxa"/>
            <w:right w:w="0" w:type="dxa"/>
          </w:tblCellMar>
        </w:tblPrEx>
        <w:trPr>
          <w:gridAfter w:val="1"/>
          <w:wAfter w:w="1037" w:type="dxa"/>
          <w:trHeight w:val="285" w:hRule="atLeast"/>
        </w:trPr>
        <w:tc>
          <w:tcPr>
            <w:tcW w:w="5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序号</w:t>
            </w:r>
          </w:p>
        </w:tc>
        <w:tc>
          <w:tcPr>
            <w:tcW w:w="9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分项</w:t>
            </w:r>
          </w:p>
        </w:tc>
        <w:tc>
          <w:tcPr>
            <w:tcW w:w="5497" w:type="dxa"/>
            <w:gridSpan w:val="11"/>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航标设置数量</w:t>
            </w:r>
          </w:p>
        </w:tc>
        <w:tc>
          <w:tcPr>
            <w:tcW w:w="11280" w:type="dxa"/>
            <w:gridSpan w:val="18"/>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维护工程量</w:t>
            </w:r>
          </w:p>
        </w:tc>
        <w:tc>
          <w:tcPr>
            <w:tcW w:w="9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9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9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桥涵标</w:t>
            </w:r>
          </w:p>
        </w:tc>
        <w:tc>
          <w:tcPr>
            <w:tcW w:w="10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桥柱灯</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通航净高标尺</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甲类标志</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乙类标志</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禁止驶入标志</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禁止通行标志</w:t>
            </w:r>
          </w:p>
        </w:tc>
        <w:tc>
          <w:tcPr>
            <w:tcW w:w="10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w:t>
            </w:r>
          </w:p>
        </w:tc>
        <w:tc>
          <w:tcPr>
            <w:tcW w:w="4395" w:type="dxa"/>
            <w:gridSpan w:val="7"/>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航标检查</w:t>
            </w:r>
          </w:p>
        </w:tc>
        <w:tc>
          <w:tcPr>
            <w:tcW w:w="206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灯器保养</w:t>
            </w:r>
          </w:p>
        </w:tc>
        <w:tc>
          <w:tcPr>
            <w:tcW w:w="5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标牌保养(清洗)</w:t>
            </w:r>
          </w:p>
        </w:tc>
        <w:tc>
          <w:tcPr>
            <w:tcW w:w="7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标牌保养(油漆或反光膜保养)</w:t>
            </w:r>
          </w:p>
        </w:tc>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标牌大保养</w:t>
            </w:r>
          </w:p>
        </w:tc>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通航净高标尺及甲类标志清洗</w:t>
            </w:r>
          </w:p>
        </w:tc>
        <w:tc>
          <w:tcPr>
            <w:tcW w:w="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封航标志清洗</w:t>
            </w: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封航标志油漆</w:t>
            </w:r>
          </w:p>
        </w:tc>
        <w:tc>
          <w:tcPr>
            <w:tcW w:w="5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封航标志大保养</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船舶台班</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航道等级</w:t>
            </w:r>
          </w:p>
        </w:tc>
        <w:tc>
          <w:tcPr>
            <w:tcW w:w="12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color w:val="000000"/>
                <w:kern w:val="0"/>
                <w:sz w:val="15"/>
                <w:szCs w:val="15"/>
                <w:u w:val="none"/>
                <w:lang w:val="en-US" w:eastAsia="zh-CN" w:bidi="ar"/>
              </w:rPr>
              <w:t>备注</w:t>
            </w:r>
          </w:p>
        </w:tc>
      </w:tr>
      <w:tr>
        <w:tblPrEx>
          <w:tblLayout w:type="fixed"/>
          <w:tblCellMar>
            <w:top w:w="0" w:type="dxa"/>
            <w:left w:w="0" w:type="dxa"/>
            <w:bottom w:w="0" w:type="dxa"/>
            <w:right w:w="0" w:type="dxa"/>
          </w:tblCellMar>
        </w:tblPrEx>
        <w:trPr>
          <w:gridAfter w:val="1"/>
          <w:wAfter w:w="1037" w:type="dxa"/>
          <w:trHeight w:val="781" w:hRule="atLeast"/>
        </w:trPr>
        <w:tc>
          <w:tcPr>
            <w:tcW w:w="5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9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c>
          <w:tcPr>
            <w:tcW w:w="47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标牌</w:t>
            </w:r>
          </w:p>
        </w:tc>
        <w:tc>
          <w:tcPr>
            <w:tcW w:w="4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标灯</w:t>
            </w:r>
          </w:p>
        </w:tc>
        <w:tc>
          <w:tcPr>
            <w:tcW w:w="54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桥柱</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桥柱灯</w:t>
            </w:r>
          </w:p>
        </w:tc>
        <w:tc>
          <w:tcPr>
            <w:tcW w:w="2370" w:type="dxa"/>
            <w:gridSpan w:val="5"/>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不发光标志</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标志</w:t>
            </w:r>
          </w:p>
        </w:tc>
        <w:tc>
          <w:tcPr>
            <w:tcW w:w="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标灯</w:t>
            </w:r>
          </w:p>
        </w:tc>
        <w:tc>
          <w:tcPr>
            <w:tcW w:w="5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桥涵标检查</w:t>
            </w:r>
          </w:p>
        </w:tc>
        <w:tc>
          <w:tcPr>
            <w:tcW w:w="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通航净高标尺检查</w:t>
            </w:r>
          </w:p>
        </w:tc>
        <w:tc>
          <w:tcPr>
            <w:tcW w:w="55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甲类标志检查</w:t>
            </w:r>
          </w:p>
        </w:tc>
        <w:tc>
          <w:tcPr>
            <w:tcW w:w="6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乙类标志检查</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禁止驶入标志检查</w:t>
            </w:r>
          </w:p>
        </w:tc>
        <w:tc>
          <w:tcPr>
            <w:tcW w:w="76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禁止通航标志检查</w:t>
            </w:r>
          </w:p>
        </w:tc>
        <w:tc>
          <w:tcPr>
            <w:tcW w:w="6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封航标志检查</w:t>
            </w:r>
          </w:p>
        </w:tc>
        <w:tc>
          <w:tcPr>
            <w:tcW w:w="68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桥涵标灯器保养</w:t>
            </w:r>
          </w:p>
        </w:tc>
        <w:tc>
          <w:tcPr>
            <w:tcW w:w="72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桥柱标灯器保养</w:t>
            </w:r>
          </w:p>
        </w:tc>
        <w:tc>
          <w:tcPr>
            <w:tcW w:w="66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封航标志灯器保养</w:t>
            </w:r>
          </w:p>
        </w:tc>
        <w:tc>
          <w:tcPr>
            <w:tcW w:w="5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7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15"/>
                <w:szCs w:val="15"/>
                <w:u w:val="none"/>
              </w:rPr>
            </w:pPr>
          </w:p>
        </w:tc>
        <w:tc>
          <w:tcPr>
            <w:tcW w:w="12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35"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东洲河大桥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内河Ⅲ航道</w:t>
            </w:r>
          </w:p>
        </w:tc>
        <w:tc>
          <w:tcPr>
            <w:tcW w:w="12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400" w:lineRule="exact"/>
              <w:ind w:firstLine="300" w:firstLineChars="200"/>
              <w:rPr>
                <w:rFonts w:hint="eastAsia" w:ascii="宋体" w:hAnsi="宋体"/>
                <w:color w:val="auto"/>
                <w:kern w:val="2"/>
                <w:sz w:val="15"/>
                <w:szCs w:val="15"/>
                <w:highlight w:val="none"/>
                <w:u w:val="none"/>
                <w:lang w:val="en-US" w:eastAsia="zh-CN" w:bidi="ar-SA"/>
              </w:rPr>
            </w:pPr>
            <w:r>
              <w:rPr>
                <w:rFonts w:hint="eastAsia" w:ascii="宋体" w:hAnsi="宋体" w:eastAsia="宋体" w:cs="Times New Roman"/>
                <w:i w:val="0"/>
                <w:color w:val="000000"/>
                <w:kern w:val="2"/>
                <w:sz w:val="15"/>
                <w:szCs w:val="15"/>
                <w:highlight w:val="none"/>
                <w:u w:val="none"/>
                <w:lang w:val="en-US" w:eastAsia="zh-CN" w:bidi="ar-SA"/>
              </w:rPr>
              <w:t>计划工期为2023年1月1日</w:t>
            </w:r>
            <w:r>
              <w:rPr>
                <w:rFonts w:hint="eastAsia" w:ascii="宋体" w:hAnsi="宋体" w:cs="Times New Roman"/>
                <w:i w:val="0"/>
                <w:color w:val="000000"/>
                <w:kern w:val="2"/>
                <w:sz w:val="15"/>
                <w:szCs w:val="15"/>
                <w:highlight w:val="none"/>
                <w:u w:val="none"/>
                <w:lang w:val="en-US" w:eastAsia="zh-CN" w:bidi="ar-SA"/>
              </w:rPr>
              <w:t>至</w:t>
            </w:r>
            <w:r>
              <w:rPr>
                <w:rFonts w:hint="eastAsia" w:ascii="宋体" w:hAnsi="宋体" w:cs="Times New Roman"/>
                <w:i w:val="0"/>
                <w:color w:val="auto"/>
                <w:kern w:val="2"/>
                <w:sz w:val="15"/>
                <w:szCs w:val="15"/>
                <w:highlight w:val="none"/>
                <w:u w:val="none"/>
                <w:lang w:val="en-US" w:eastAsia="zh-CN" w:bidi="ar-SA"/>
              </w:rPr>
              <w:t>2027年</w:t>
            </w:r>
            <w:r>
              <w:rPr>
                <w:rFonts w:hint="eastAsia" w:ascii="宋体" w:hAnsi="宋体"/>
                <w:color w:val="auto"/>
                <w:kern w:val="2"/>
                <w:sz w:val="15"/>
                <w:szCs w:val="15"/>
                <w:highlight w:val="none"/>
                <w:u w:val="none"/>
                <w:lang w:val="en-US" w:eastAsia="zh-CN" w:bidi="ar-SA"/>
              </w:rPr>
              <w:t>广深高速公路收费营运期届满日。如由于广深高速改扩建原因，导致维护内容发生变化，招标人可无条件终止合同或就改变的维护内容与中标人进行协商确定，中标人不能向招标人索赔。</w:t>
            </w:r>
          </w:p>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59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大涌河桥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内河Ⅷ航道 </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5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川槎大桥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内河Ⅳ航道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5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川槎大桥防撞工程</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2.67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内河Ⅳ航道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05"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中堂水道桥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内河</w:t>
            </w:r>
            <w:r>
              <w:rPr>
                <w:rFonts w:hint="eastAsia" w:ascii="宋体" w:hAnsi="宋体" w:cs="宋体"/>
                <w:i w:val="0"/>
                <w:color w:val="000000"/>
                <w:kern w:val="0"/>
                <w:sz w:val="15"/>
                <w:szCs w:val="15"/>
                <w:u w:val="none"/>
                <w:lang w:val="en-US" w:eastAsia="zh-CN" w:bidi="ar"/>
              </w:rPr>
              <w:t>VI</w:t>
            </w:r>
            <w:r>
              <w:rPr>
                <w:rFonts w:hint="eastAsia" w:ascii="宋体" w:hAnsi="宋体" w:eastAsia="宋体" w:cs="宋体"/>
                <w:i w:val="0"/>
                <w:color w:val="000000"/>
                <w:kern w:val="0"/>
                <w:sz w:val="15"/>
                <w:szCs w:val="15"/>
                <w:u w:val="none"/>
                <w:lang w:val="en-US" w:eastAsia="zh-CN" w:bidi="ar"/>
              </w:rPr>
              <w:t>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中堂水道桥防撞工程</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2.00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内河</w:t>
            </w:r>
            <w:r>
              <w:rPr>
                <w:rFonts w:hint="eastAsia" w:ascii="宋体" w:hAnsi="宋体" w:cs="宋体"/>
                <w:i w:val="0"/>
                <w:color w:val="000000"/>
                <w:kern w:val="0"/>
                <w:sz w:val="15"/>
                <w:szCs w:val="15"/>
                <w:u w:val="none"/>
                <w:lang w:val="en-US" w:eastAsia="zh-CN" w:bidi="ar"/>
              </w:rPr>
              <w:t>VI</w:t>
            </w:r>
            <w:r>
              <w:rPr>
                <w:rFonts w:hint="eastAsia" w:ascii="宋体" w:hAnsi="宋体" w:eastAsia="宋体" w:cs="宋体"/>
                <w:i w:val="0"/>
                <w:color w:val="000000"/>
                <w:kern w:val="0"/>
                <w:sz w:val="15"/>
                <w:szCs w:val="15"/>
                <w:u w:val="none"/>
                <w:lang w:val="en-US" w:eastAsia="zh-CN" w:bidi="ar"/>
              </w:rPr>
              <w:t>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芙蓉河桥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内河VII级航道 </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望牛墩河桥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内河Ⅷ航道 </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赤滘河桥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内河Ⅶ航道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59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大汾南水道桥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内河Ⅶ航道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65"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道滘河大桥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438</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0.67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内河IV级航道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65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新洲河桥</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584</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1.33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内河VIII航道</w:t>
            </w:r>
          </w:p>
        </w:tc>
        <w:tc>
          <w:tcPr>
            <w:tcW w:w="120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r>
        <w:tblPrEx>
          <w:tblLayout w:type="fixed"/>
          <w:tblCellMar>
            <w:top w:w="0" w:type="dxa"/>
            <w:left w:w="0" w:type="dxa"/>
            <w:bottom w:w="0" w:type="dxa"/>
            <w:right w:w="0" w:type="dxa"/>
          </w:tblCellMar>
        </w:tblPrEx>
        <w:trPr>
          <w:gridAfter w:val="1"/>
          <w:wAfter w:w="1037" w:type="dxa"/>
          <w:trHeight w:val="72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新洲河桥防撞工程</w:t>
            </w:r>
          </w:p>
        </w:tc>
        <w:tc>
          <w:tcPr>
            <w:tcW w:w="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219</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146</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292</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1.67 </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内河Ⅶ航道</w:t>
            </w:r>
          </w:p>
        </w:tc>
        <w:tc>
          <w:tcPr>
            <w:tcW w:w="12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p>
        </w:tc>
      </w:tr>
    </w:tbl>
    <w:p>
      <w:pPr>
        <w:sectPr>
          <w:pgSz w:w="23757" w:h="16783" w:orient="landscape"/>
          <w:pgMar w:top="1800" w:right="1440" w:bottom="1800" w:left="1440" w:header="851" w:footer="992" w:gutter="0"/>
          <w:pgBorders>
            <w:top w:val="none" w:color="auto" w:sz="0" w:space="0"/>
            <w:left w:val="none" w:color="auto" w:sz="0" w:space="0"/>
            <w:bottom w:val="none" w:color="auto" w:sz="0" w:space="0"/>
            <w:right w:val="none" w:color="auto" w:sz="0" w:space="0"/>
          </w:pgBorders>
          <w:pgNumType w:fmt="numberInDash"/>
          <w:cols w:space="720" w:num="1"/>
          <w:docGrid w:type="lines" w:linePitch="312" w:charSpace="0"/>
        </w:sectPr>
      </w:pPr>
    </w:p>
    <w:p>
      <w:pPr>
        <w:numPr>
          <w:ilvl w:val="0"/>
          <w:numId w:val="0"/>
        </w:numPr>
        <w:adjustRightInd w:val="0"/>
        <w:snapToGrid w:val="0"/>
        <w:spacing w:line="440" w:lineRule="exact"/>
        <w:rPr>
          <w:rFonts w:hint="eastAsia" w:ascii="新宋体" w:hAnsi="新宋体" w:eastAsia="新宋体" w:cs="新宋体"/>
          <w:b/>
          <w:bCs/>
          <w:kern w:val="44"/>
          <w:sz w:val="21"/>
          <w:szCs w:val="21"/>
          <w:lang w:val="en-US" w:eastAsia="zh-CN" w:bidi="ar-SA"/>
        </w:rPr>
      </w:pPr>
      <w:r>
        <w:rPr>
          <w:rFonts w:hint="eastAsia" w:ascii="新宋体" w:hAnsi="新宋体" w:eastAsia="新宋体" w:cs="新宋体"/>
          <w:b/>
          <w:bCs/>
          <w:kern w:val="44"/>
          <w:sz w:val="21"/>
          <w:szCs w:val="21"/>
          <w:lang w:val="en-US" w:eastAsia="zh-CN" w:bidi="ar-SA"/>
        </w:rPr>
        <w:t>五、其他要求</w:t>
      </w:r>
    </w:p>
    <w:p>
      <w:pPr>
        <w:spacing w:line="440" w:lineRule="exact"/>
        <w:ind w:firstLine="440" w:firstLineChars="200"/>
        <w:jc w:val="left"/>
        <w:rPr>
          <w:rFonts w:ascii="宋体"/>
          <w:bCs/>
          <w:color w:val="000000"/>
          <w:sz w:val="22"/>
        </w:rPr>
      </w:pPr>
      <w:r>
        <w:rPr>
          <w:rFonts w:hint="eastAsia" w:ascii="宋体"/>
          <w:bCs/>
          <w:color w:val="000000"/>
          <w:sz w:val="22"/>
        </w:rPr>
        <w:t>（</w:t>
      </w:r>
      <w:r>
        <w:rPr>
          <w:rFonts w:hint="eastAsia" w:ascii="宋体"/>
          <w:bCs/>
          <w:color w:val="000000"/>
          <w:sz w:val="22"/>
          <w:lang w:val="en-US" w:eastAsia="zh-CN"/>
        </w:rPr>
        <w:t>一</w:t>
      </w:r>
      <w:r>
        <w:rPr>
          <w:rFonts w:hint="eastAsia" w:ascii="宋体"/>
          <w:bCs/>
          <w:color w:val="000000"/>
          <w:sz w:val="22"/>
        </w:rPr>
        <w:t>）如因中标单位管理原因致使桥梁航标维护工作受到影响或者造成责任事故的，概由中标单位承担。</w:t>
      </w:r>
    </w:p>
    <w:p>
      <w:pPr>
        <w:spacing w:line="440" w:lineRule="exact"/>
        <w:ind w:firstLine="440" w:firstLineChars="200"/>
        <w:rPr>
          <w:rFonts w:ascii="宋体"/>
          <w:bCs/>
          <w:color w:val="000000"/>
          <w:sz w:val="22"/>
        </w:rPr>
      </w:pPr>
      <w:r>
        <w:rPr>
          <w:rFonts w:hint="eastAsia" w:ascii="宋体"/>
          <w:bCs/>
          <w:color w:val="000000"/>
          <w:sz w:val="22"/>
        </w:rPr>
        <w:t>（</w:t>
      </w:r>
      <w:r>
        <w:rPr>
          <w:rFonts w:hint="eastAsia" w:ascii="宋体"/>
          <w:bCs/>
          <w:color w:val="000000"/>
          <w:sz w:val="22"/>
          <w:lang w:val="en-US" w:eastAsia="zh-CN"/>
        </w:rPr>
        <w:t>二</w:t>
      </w:r>
      <w:r>
        <w:rPr>
          <w:rFonts w:hint="eastAsia" w:ascii="宋体"/>
          <w:bCs/>
          <w:color w:val="000000"/>
          <w:sz w:val="22"/>
        </w:rPr>
        <w:t>）中标单位必须建立巡查维护记录制度和巡查情况报告制度。做好每次巡查及维护的记录和存档工作，当月的巡查维护记录汇总后于次月五日前上报采购人。</w:t>
      </w:r>
    </w:p>
    <w:p>
      <w:pPr>
        <w:adjustRightInd w:val="0"/>
        <w:snapToGrid w:val="0"/>
        <w:spacing w:line="440" w:lineRule="exact"/>
        <w:ind w:firstLine="440" w:firstLineChars="200"/>
        <w:rPr>
          <w:rFonts w:ascii="宋体" w:cs="宋体"/>
          <w:color w:val="000000"/>
          <w:sz w:val="22"/>
        </w:rPr>
      </w:pPr>
      <w:r>
        <w:rPr>
          <w:rFonts w:hint="eastAsia" w:ascii="宋体" w:hAnsi="宋体" w:cs="宋体"/>
          <w:color w:val="000000"/>
          <w:sz w:val="22"/>
        </w:rPr>
        <w:t>（</w:t>
      </w:r>
      <w:r>
        <w:rPr>
          <w:rFonts w:hint="eastAsia" w:ascii="宋体" w:hAnsi="宋体" w:cs="宋体"/>
          <w:color w:val="000000"/>
          <w:sz w:val="22"/>
          <w:lang w:val="en-US" w:eastAsia="zh-CN"/>
        </w:rPr>
        <w:t>三</w:t>
      </w:r>
      <w:r>
        <w:rPr>
          <w:rFonts w:hint="eastAsia" w:ascii="宋体" w:hAnsi="宋体" w:cs="宋体"/>
          <w:color w:val="000000"/>
          <w:sz w:val="22"/>
        </w:rPr>
        <w:t>）投标人自行对本项目的现场及周边环境进行踏勘，以便于投标人获取有关编辑谈判文件和签署实施合同所涉及到现场的各项资料。投标人应承担踏勘现场所发生的费用以及责任、风险。投标人充分掌握现场实际情况后，依据本招标文件及项目需求书中的具体要求，在其投标文件中叙述详细的、切实可行的服务实施方案、中标后服务计划。方案要求包括实施计划、设备、人员、安全文明施工措施等。当本招标文件及用户需求书中的所有内容和要求与实际不符时，以实际为准，不再增加任何费用，投标人应充分考虑由此而增加的费用，并包含在投标报价内。</w:t>
      </w:r>
    </w:p>
    <w:p>
      <w:pPr>
        <w:spacing w:line="440" w:lineRule="exact"/>
        <w:ind w:firstLine="440" w:firstLineChars="200"/>
        <w:rPr>
          <w:rFonts w:ascii="宋体" w:cs="宋体"/>
          <w:color w:val="000000"/>
          <w:sz w:val="22"/>
        </w:rPr>
      </w:pPr>
      <w:r>
        <w:rPr>
          <w:rFonts w:hint="eastAsia" w:ascii="宋体" w:hAnsi="宋体" w:cs="宋体"/>
          <w:color w:val="000000"/>
          <w:sz w:val="22"/>
        </w:rPr>
        <w:t>（</w:t>
      </w:r>
      <w:r>
        <w:rPr>
          <w:rFonts w:hint="eastAsia" w:ascii="宋体" w:hAnsi="宋体" w:cs="宋体"/>
          <w:color w:val="000000"/>
          <w:sz w:val="22"/>
          <w:lang w:val="en-US" w:eastAsia="zh-CN"/>
        </w:rPr>
        <w:t>四</w:t>
      </w:r>
      <w:r>
        <w:rPr>
          <w:rFonts w:hint="eastAsia" w:ascii="宋体" w:hAnsi="宋体" w:cs="宋体"/>
          <w:color w:val="000000"/>
          <w:sz w:val="22"/>
        </w:rPr>
        <w:t>）中标单位必须接受招标人对其维护设备、经营场所等现场考察，若发现与投标文件不符，有权取消其中标候选人资格。</w:t>
      </w:r>
    </w:p>
    <w:p>
      <w:pPr>
        <w:spacing w:line="440" w:lineRule="exact"/>
        <w:ind w:firstLine="420"/>
        <w:rPr>
          <w:rFonts w:ascii="宋体" w:cs="宋体"/>
          <w:b/>
          <w:color w:val="000000"/>
          <w:sz w:val="22"/>
        </w:rPr>
      </w:pPr>
      <w:r>
        <w:rPr>
          <w:rFonts w:hint="eastAsia" w:ascii="宋体" w:hAnsi="宋体" w:cs="宋体"/>
          <w:color w:val="000000"/>
          <w:sz w:val="22"/>
        </w:rPr>
        <w:t>（</w:t>
      </w:r>
      <w:r>
        <w:rPr>
          <w:rFonts w:hint="eastAsia" w:ascii="宋体" w:hAnsi="宋体" w:cs="宋体"/>
          <w:color w:val="000000"/>
          <w:sz w:val="22"/>
          <w:lang w:val="en-US" w:eastAsia="zh-CN"/>
        </w:rPr>
        <w:t>五</w:t>
      </w:r>
      <w:r>
        <w:rPr>
          <w:rFonts w:hint="eastAsia" w:ascii="宋体" w:hAnsi="宋体" w:cs="宋体"/>
          <w:color w:val="000000"/>
          <w:sz w:val="22"/>
        </w:rPr>
        <w:t>）★</w:t>
      </w:r>
      <w:r>
        <w:rPr>
          <w:rFonts w:hint="eastAsia" w:ascii="宋体" w:hAnsi="宋体" w:cs="宋体"/>
          <w:b/>
          <w:color w:val="000000"/>
          <w:sz w:val="22"/>
        </w:rPr>
        <w:t>中标人须在辖区航道部门完成专用航标委托维护情况备案手续。中标人须在签订工作合同之日起</w:t>
      </w:r>
      <w:r>
        <w:rPr>
          <w:rFonts w:ascii="宋体" w:hAnsi="宋体" w:cs="宋体"/>
          <w:b/>
          <w:color w:val="000000"/>
          <w:sz w:val="22"/>
        </w:rPr>
        <w:t>30</w:t>
      </w:r>
      <w:r>
        <w:rPr>
          <w:rFonts w:hint="eastAsia" w:ascii="宋体" w:hAnsi="宋体" w:cs="宋体"/>
          <w:b/>
          <w:color w:val="000000"/>
          <w:sz w:val="22"/>
        </w:rPr>
        <w:t>天内在辖区航道主管部门完成专用航标委托维护情况手续，没有通过备案的，招标人有权单方面终止合同，并追究中标单位违约责任。（提供备案证明资料或承诺函）</w:t>
      </w:r>
    </w:p>
    <w:p>
      <w:pPr>
        <w:spacing w:line="440" w:lineRule="exact"/>
        <w:ind w:firstLine="420"/>
        <w:rPr>
          <w:rFonts w:ascii="宋体" w:cs="宋体"/>
          <w:b/>
          <w:color w:val="000000"/>
          <w:sz w:val="22"/>
        </w:rPr>
      </w:pPr>
      <w:r>
        <w:rPr>
          <w:rFonts w:hint="eastAsia" w:ascii="宋体" w:hAnsi="宋体" w:cs="宋体"/>
          <w:color w:val="000000"/>
          <w:sz w:val="22"/>
        </w:rPr>
        <w:t>（</w:t>
      </w:r>
      <w:r>
        <w:rPr>
          <w:rFonts w:hint="eastAsia" w:ascii="宋体" w:hAnsi="宋体" w:cs="宋体"/>
          <w:color w:val="000000"/>
          <w:sz w:val="22"/>
          <w:lang w:val="en-US" w:eastAsia="zh-CN"/>
        </w:rPr>
        <w:t>六</w:t>
      </w:r>
      <w:r>
        <w:rPr>
          <w:rFonts w:hint="eastAsia" w:ascii="宋体" w:hAnsi="宋体" w:cs="宋体"/>
          <w:color w:val="000000"/>
          <w:sz w:val="22"/>
        </w:rPr>
        <w:t>）★</w:t>
      </w:r>
      <w:r>
        <w:rPr>
          <w:rFonts w:hint="eastAsia" w:ascii="宋体" w:hAnsi="宋体" w:cs="宋体"/>
          <w:b/>
          <w:color w:val="000000"/>
          <w:sz w:val="22"/>
        </w:rPr>
        <w:t>双方履行合约过程中，若招标人半年内累计收到</w:t>
      </w:r>
      <w:r>
        <w:rPr>
          <w:rFonts w:ascii="宋体" w:hAnsi="宋体" w:cs="宋体"/>
          <w:b/>
          <w:color w:val="000000"/>
          <w:sz w:val="22"/>
        </w:rPr>
        <w:t>3</w:t>
      </w:r>
      <w:r>
        <w:rPr>
          <w:rFonts w:hint="eastAsia" w:ascii="宋体" w:hAnsi="宋体" w:cs="宋体"/>
          <w:b/>
          <w:color w:val="000000"/>
          <w:sz w:val="22"/>
        </w:rPr>
        <w:t>次因中标人未能履行合约责任造成航标失常的书面整改通知书的，招标人有权单方面终止合同，中标人无条件接受。（提供承诺函）</w:t>
      </w:r>
    </w:p>
    <w:p>
      <w:pPr>
        <w:spacing w:line="440" w:lineRule="exact"/>
        <w:ind w:firstLine="420"/>
        <w:rPr>
          <w:rFonts w:ascii="宋体" w:cs="宋体"/>
          <w:bCs/>
          <w:color w:val="000000"/>
          <w:sz w:val="22"/>
        </w:rPr>
      </w:pPr>
      <w:r>
        <w:rPr>
          <w:rFonts w:hint="eastAsia" w:ascii="宋体" w:hAnsi="宋体" w:cs="宋体"/>
          <w:bCs/>
          <w:color w:val="000000"/>
          <w:sz w:val="22"/>
        </w:rPr>
        <w:t>（</w:t>
      </w:r>
      <w:r>
        <w:rPr>
          <w:rFonts w:hint="eastAsia" w:ascii="宋体" w:hAnsi="宋体" w:cs="宋体"/>
          <w:bCs/>
          <w:color w:val="000000"/>
          <w:sz w:val="22"/>
          <w:lang w:val="en-US" w:eastAsia="zh-CN"/>
        </w:rPr>
        <w:t>七</w:t>
      </w:r>
      <w:r>
        <w:rPr>
          <w:rFonts w:hint="eastAsia" w:ascii="宋体" w:hAnsi="宋体" w:cs="宋体"/>
          <w:bCs/>
          <w:color w:val="000000"/>
          <w:sz w:val="22"/>
        </w:rPr>
        <w:t>）航标维护工作须解决重点问题：航标异常需要及时发现及恢复；航标备用器材必须充足，航标灯器、太阳能电池、蓄电池备用率需达到</w:t>
      </w:r>
      <w:r>
        <w:rPr>
          <w:rFonts w:ascii="宋体" w:hAnsi="宋体" w:cs="宋体"/>
          <w:bCs/>
          <w:color w:val="000000"/>
          <w:sz w:val="22"/>
        </w:rPr>
        <w:t>50%-100%</w:t>
      </w:r>
      <w:r>
        <w:rPr>
          <w:rFonts w:hint="eastAsia" w:ascii="宋体" w:hAnsi="宋体" w:cs="宋体"/>
          <w:bCs/>
          <w:color w:val="000000"/>
          <w:sz w:val="22"/>
        </w:rPr>
        <w:t>。</w:t>
      </w:r>
    </w:p>
    <w:p>
      <w:pPr>
        <w:spacing w:line="440" w:lineRule="exact"/>
        <w:ind w:firstLine="420"/>
      </w:pPr>
      <w:r>
        <w:rPr>
          <w:rFonts w:hint="eastAsia" w:ascii="宋体" w:hAnsi="宋体" w:cs="宋体"/>
          <w:bCs/>
          <w:color w:val="000000"/>
          <w:sz w:val="22"/>
        </w:rPr>
        <w:t>（</w:t>
      </w:r>
      <w:r>
        <w:rPr>
          <w:rFonts w:hint="eastAsia" w:ascii="宋体" w:hAnsi="宋体" w:cs="宋体"/>
          <w:bCs/>
          <w:color w:val="000000"/>
          <w:sz w:val="22"/>
          <w:lang w:val="en-US" w:eastAsia="zh-CN"/>
        </w:rPr>
        <w:t>八</w:t>
      </w:r>
      <w:r>
        <w:rPr>
          <w:rFonts w:hint="eastAsia" w:ascii="宋体" w:hAnsi="宋体" w:cs="宋体"/>
          <w:bCs/>
          <w:color w:val="000000"/>
          <w:sz w:val="22"/>
        </w:rPr>
        <w:t>）航标维护工作须解决难点问题：发生桥梁被碰或桥区航道发生海损事故等应急事件时，需立即出航处置并根据实际情况立即调整桥梁通航孔、附近水域航标。</w:t>
      </w:r>
    </w:p>
    <w:p>
      <w:pPr>
        <w:spacing w:line="360" w:lineRule="auto"/>
        <w:ind w:firstLine="440" w:firstLineChars="200"/>
        <w:rPr>
          <w:rFonts w:ascii="宋体" w:hAnsi="宋体" w:cs="宋体"/>
          <w:sz w:val="21"/>
          <w:szCs w:val="21"/>
        </w:rPr>
      </w:pPr>
      <w:r>
        <w:rPr>
          <w:rFonts w:hint="eastAsia" w:ascii="宋体"/>
          <w:bCs/>
          <w:color w:val="000000"/>
          <w:sz w:val="22"/>
        </w:rPr>
        <w:t>（</w:t>
      </w:r>
      <w:r>
        <w:rPr>
          <w:rFonts w:hint="eastAsia" w:ascii="宋体"/>
          <w:bCs/>
          <w:color w:val="000000"/>
          <w:sz w:val="22"/>
          <w:lang w:val="en-US" w:eastAsia="zh-CN"/>
        </w:rPr>
        <w:t>九</w:t>
      </w:r>
      <w:r>
        <w:rPr>
          <w:rFonts w:hint="eastAsia" w:ascii="宋体"/>
          <w:bCs/>
          <w:color w:val="000000"/>
          <w:sz w:val="22"/>
        </w:rPr>
        <w:t>）</w:t>
      </w:r>
      <w:r>
        <w:rPr>
          <w:rFonts w:hint="eastAsia" w:ascii="宋体" w:hAnsi="宋体" w:cs="宋体"/>
          <w:sz w:val="21"/>
          <w:szCs w:val="21"/>
        </w:rPr>
        <w:t>按《广东省航道局航标维护管理办法》（粤航道〔2008〕237号）要求及东莞辖区航道实际情况，航标灯器等设备每月进行一次全面清洁保养，要求通航净高水尺每月清洗1次。</w:t>
      </w:r>
    </w:p>
    <w:p>
      <w:pPr>
        <w:spacing w:line="360" w:lineRule="auto"/>
        <w:ind w:firstLine="440" w:firstLineChars="200"/>
        <w:rPr>
          <w:rFonts w:hint="eastAsia" w:ascii="宋体" w:hAnsi="宋体" w:cs="宋体"/>
          <w:sz w:val="21"/>
          <w:szCs w:val="21"/>
        </w:rPr>
      </w:pPr>
      <w:r>
        <w:rPr>
          <w:rFonts w:hint="eastAsia" w:ascii="宋体"/>
          <w:bCs/>
          <w:color w:val="000000"/>
          <w:sz w:val="22"/>
        </w:rPr>
        <w:t>（</w:t>
      </w:r>
      <w:r>
        <w:rPr>
          <w:rFonts w:hint="eastAsia" w:ascii="宋体"/>
          <w:bCs/>
          <w:color w:val="000000"/>
          <w:sz w:val="22"/>
          <w:lang w:val="en-US" w:eastAsia="zh-CN"/>
        </w:rPr>
        <w:t>十</w:t>
      </w:r>
      <w:r>
        <w:rPr>
          <w:rFonts w:hint="eastAsia" w:ascii="宋体"/>
          <w:bCs/>
          <w:color w:val="000000"/>
          <w:sz w:val="22"/>
        </w:rPr>
        <w:t>）</w:t>
      </w:r>
      <w:r>
        <w:rPr>
          <w:rFonts w:hint="eastAsia" w:ascii="宋体" w:hAnsi="宋体" w:cs="宋体"/>
          <w:sz w:val="21"/>
          <w:szCs w:val="21"/>
        </w:rPr>
        <w:t>因本项目涉及桥梁位置分散，水路实际运距已超200km，现按200km（即每次检查2台班）计算，每年需执行航标检查73次。航标检查主要船舶为内河柴油快艇（120kw以内），部分标志须航标起吊工作船，采用全年船舶总包干方式。</w:t>
      </w: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ascii="宋体" w:hAnsi="宋体" w:cs="宋体"/>
          <w:sz w:val="21"/>
          <w:szCs w:val="21"/>
        </w:rPr>
      </w:pPr>
    </w:p>
    <w:p>
      <w:pPr>
        <w:pStyle w:val="2"/>
        <w:rPr>
          <w:rFonts w:hint="eastAsia"/>
        </w:rPr>
      </w:pPr>
    </w:p>
    <w:p>
      <w:pPr>
        <w:spacing w:line="360" w:lineRule="auto"/>
        <w:ind w:firstLine="440" w:firstLineChars="200"/>
        <w:rPr>
          <w:rFonts w:hint="eastAsia" w:ascii="宋体" w:hAnsi="宋体" w:eastAsia="宋体"/>
          <w:b/>
          <w:bCs/>
          <w:color w:val="000000"/>
          <w:sz w:val="28"/>
          <w:szCs w:val="28"/>
          <w:highlight w:val="none"/>
          <w:lang w:eastAsia="zh-CN"/>
        </w:rPr>
      </w:pPr>
      <w:r>
        <w:rPr>
          <w:rFonts w:hint="eastAsia" w:ascii="宋体" w:hAnsi="宋体"/>
          <w:b/>
          <w:bCs/>
          <w:color w:val="000000"/>
          <w:sz w:val="28"/>
          <w:szCs w:val="28"/>
          <w:highlight w:val="none"/>
        </w:rPr>
        <w:t>附件</w:t>
      </w:r>
      <w:r>
        <w:rPr>
          <w:rFonts w:hint="eastAsia" w:ascii="宋体" w:hAnsi="宋体"/>
          <w:b/>
          <w:bCs/>
          <w:color w:val="000000"/>
          <w:sz w:val="28"/>
          <w:szCs w:val="28"/>
          <w:highlight w:val="none"/>
          <w:lang w:val="en-US" w:eastAsia="zh-CN"/>
        </w:rPr>
        <w:t>二</w:t>
      </w:r>
      <w:r>
        <w:rPr>
          <w:rFonts w:hint="eastAsia" w:ascii="宋体" w:hAnsi="宋体"/>
          <w:b/>
          <w:bCs/>
          <w:color w:val="000000"/>
          <w:sz w:val="28"/>
          <w:szCs w:val="28"/>
          <w:highlight w:val="none"/>
        </w:rPr>
        <w:t>：资格审查条件</w:t>
      </w:r>
    </w:p>
    <w:p>
      <w:pPr>
        <w:adjustRightInd w:val="0"/>
        <w:snapToGrid w:val="0"/>
        <w:spacing w:line="300" w:lineRule="exact"/>
        <w:jc w:val="center"/>
        <w:rPr>
          <w:rFonts w:hint="eastAsia" w:ascii="宋体" w:hAnsi="宋体"/>
          <w:color w:val="000000"/>
          <w:sz w:val="24"/>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附录1  资格审查条件(资质最低条件)</w:t>
      </w:r>
    </w:p>
    <w:tbl>
      <w:tblPr>
        <w:tblStyle w:val="9"/>
        <w:tblW w:w="89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8977" w:type="dxa"/>
            <w:vAlign w:val="center"/>
          </w:tcPr>
          <w:p>
            <w:pPr>
              <w:adjustRightInd w:val="0"/>
              <w:snapToGrid w:val="0"/>
              <w:spacing w:line="400" w:lineRule="atLeast"/>
              <w:jc w:val="center"/>
              <w:rPr>
                <w:rFonts w:ascii="宋体" w:hAnsi="宋体"/>
                <w:color w:val="000000"/>
                <w:sz w:val="21"/>
                <w:szCs w:val="21"/>
                <w:highlight w:val="none"/>
              </w:rPr>
            </w:pPr>
            <w:r>
              <w:rPr>
                <w:rFonts w:ascii="宋体" w:hAnsi="宋体"/>
                <w:color w:val="000000"/>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7" w:hRule="atLeast"/>
          <w:jc w:val="center"/>
        </w:trPr>
        <w:tc>
          <w:tcPr>
            <w:tcW w:w="8977" w:type="dxa"/>
            <w:vAlign w:val="center"/>
          </w:tcPr>
          <w:p>
            <w:pPr>
              <w:adjustRightInd w:val="0"/>
              <w:snapToGrid w:val="0"/>
              <w:spacing w:line="400" w:lineRule="atLeast"/>
              <w:ind w:firstLine="440" w:firstLineChars="200"/>
              <w:rPr>
                <w:rFonts w:hint="eastAsia" w:ascii="宋体" w:hAnsi="宋体"/>
                <w:color w:val="000000"/>
                <w:sz w:val="24"/>
                <w:szCs w:val="24"/>
                <w:highlight w:val="none"/>
                <w:lang w:val="en-US" w:eastAsia="zh-CN"/>
              </w:rPr>
            </w:pPr>
            <w:r>
              <w:rPr>
                <w:rFonts w:hint="eastAsia" w:ascii="宋体"/>
                <w:color w:val="000000"/>
                <w:sz w:val="22"/>
                <w:highlight w:val="none"/>
              </w:rPr>
              <w:t>本项目要求投标人必须具有有效的营业执照或事业单位法人证书</w:t>
            </w:r>
            <w:r>
              <w:rPr>
                <w:rFonts w:hint="eastAsia"/>
                <w:lang w:eastAsia="zh-CN"/>
              </w:rPr>
              <w:t>。</w:t>
            </w:r>
          </w:p>
        </w:tc>
      </w:tr>
    </w:tbl>
    <w:p>
      <w:pPr>
        <w:pStyle w:val="2"/>
        <w:ind w:left="0" w:leftChars="0"/>
        <w:rPr>
          <w:highlight w:val="none"/>
        </w:rPr>
      </w:pPr>
    </w:p>
    <w:p>
      <w:pPr>
        <w:adjustRightInd w:val="0"/>
        <w:snapToGrid w:val="0"/>
        <w:spacing w:line="360" w:lineRule="auto"/>
        <w:jc w:val="center"/>
        <w:rPr>
          <w:rFonts w:hint="eastAsia" w:ascii="宋体" w:hAnsi="宋体"/>
          <w:color w:val="000000"/>
          <w:sz w:val="24"/>
          <w:highlight w:val="none"/>
        </w:rPr>
      </w:pPr>
      <w:r>
        <w:rPr>
          <w:rFonts w:ascii="宋体" w:hAnsi="宋体"/>
          <w:b/>
          <w:bCs/>
          <w:color w:val="000000"/>
          <w:sz w:val="28"/>
          <w:szCs w:val="28"/>
          <w:highlight w:val="none"/>
        </w:rPr>
        <w:t xml:space="preserve">附录2  资格审查条件(财务最低要求) </w:t>
      </w:r>
    </w:p>
    <w:tbl>
      <w:tblPr>
        <w:tblStyle w:val="9"/>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8877" w:type="dxa"/>
            <w:vAlign w:val="center"/>
          </w:tcPr>
          <w:p>
            <w:pPr>
              <w:adjustRightInd w:val="0"/>
              <w:snapToGrid w:val="0"/>
              <w:spacing w:line="400" w:lineRule="atLeast"/>
              <w:jc w:val="center"/>
              <w:rPr>
                <w:rFonts w:ascii="宋体" w:hAnsi="宋体"/>
                <w:color w:val="000000"/>
                <w:sz w:val="24"/>
                <w:szCs w:val="24"/>
                <w:highlight w:val="none"/>
              </w:rPr>
            </w:pPr>
            <w:r>
              <w:rPr>
                <w:rFonts w:ascii="宋体" w:hAnsi="宋体"/>
                <w:color w:val="000000"/>
                <w:sz w:val="24"/>
                <w:szCs w:val="24"/>
                <w:highlight w:val="none"/>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0" w:hRule="atLeast"/>
          <w:jc w:val="center"/>
        </w:trPr>
        <w:tc>
          <w:tcPr>
            <w:tcW w:w="8877" w:type="dxa"/>
            <w:vAlign w:val="center"/>
          </w:tcPr>
          <w:p>
            <w:pPr>
              <w:adjustRightInd w:val="0"/>
              <w:snapToGrid w:val="0"/>
              <w:spacing w:line="400" w:lineRule="atLeast"/>
              <w:ind w:firstLine="315" w:firstLineChars="150"/>
              <w:rPr>
                <w:rFonts w:hint="eastAsia"/>
                <w:highlight w:val="none"/>
              </w:rPr>
            </w:pPr>
            <w:r>
              <w:rPr>
                <w:rFonts w:hint="eastAsia"/>
                <w:highlight w:val="none"/>
              </w:rPr>
              <w:t>投标人须</w:t>
            </w:r>
            <w:r>
              <w:rPr>
                <w:rFonts w:hint="eastAsia"/>
                <w:highlight w:val="none"/>
                <w:lang w:val="en-US" w:eastAsia="zh-CN"/>
              </w:rPr>
              <w:t>同时满足</w:t>
            </w:r>
            <w:r>
              <w:rPr>
                <w:rFonts w:hint="eastAsia"/>
                <w:highlight w:val="none"/>
              </w:rPr>
              <w:t>以下</w:t>
            </w:r>
            <w:r>
              <w:rPr>
                <w:rFonts w:hint="eastAsia"/>
                <w:highlight w:val="none"/>
                <w:lang w:val="en-US" w:eastAsia="zh-CN"/>
              </w:rPr>
              <w:t>财务要求</w:t>
            </w:r>
            <w:r>
              <w:rPr>
                <w:rFonts w:hint="eastAsia"/>
                <w:highlight w:val="none"/>
              </w:rPr>
              <w:t>：</w:t>
            </w:r>
          </w:p>
          <w:p>
            <w:pPr>
              <w:adjustRightInd w:val="0"/>
              <w:snapToGrid w:val="0"/>
              <w:spacing w:line="400" w:lineRule="atLeast"/>
              <w:ind w:firstLine="315" w:firstLineChars="150"/>
              <w:rPr>
                <w:rFonts w:hint="eastAsia"/>
                <w:highlight w:val="none"/>
              </w:rPr>
            </w:pPr>
            <w:r>
              <w:rPr>
                <w:rFonts w:hint="eastAsia"/>
                <w:highlight w:val="none"/>
              </w:rPr>
              <w:t>1</w:t>
            </w:r>
            <w:r>
              <w:rPr>
                <w:rFonts w:hint="eastAsia"/>
                <w:highlight w:val="none"/>
                <w:lang w:eastAsia="zh-CN"/>
              </w:rPr>
              <w:t>、</w:t>
            </w:r>
            <w:r>
              <w:rPr>
                <w:rFonts w:hint="eastAsia"/>
                <w:highlight w:val="none"/>
                <w:lang w:val="en-US" w:eastAsia="zh-CN"/>
              </w:rPr>
              <w:t>注</w:t>
            </w:r>
            <w:r>
              <w:rPr>
                <w:rFonts w:hint="eastAsia" w:ascii="宋体" w:hAnsi="宋体" w:cs="Tahoma"/>
                <w:bCs/>
                <w:color w:val="000000"/>
                <w:szCs w:val="21"/>
              </w:rPr>
              <w:t>册资本金（开办资金）不少于200万元人民币</w:t>
            </w:r>
            <w:r>
              <w:rPr>
                <w:rFonts w:hint="eastAsia" w:ascii="宋体" w:hAnsi="宋体" w:cs="Tahoma"/>
                <w:color w:val="000000"/>
                <w:szCs w:val="21"/>
              </w:rPr>
              <w:t>（以营业执照或事业单位法人证书上的金额为准）</w:t>
            </w:r>
            <w:r>
              <w:rPr>
                <w:rFonts w:hint="eastAsia" w:ascii="宋体" w:hAnsi="宋体" w:cs="Tahoma"/>
                <w:color w:val="000000"/>
                <w:szCs w:val="21"/>
                <w:lang w:eastAsia="zh-CN"/>
              </w:rPr>
              <w:t>。</w:t>
            </w:r>
          </w:p>
          <w:p>
            <w:pPr>
              <w:pStyle w:val="2"/>
              <w:rPr>
                <w:rFonts w:hint="eastAsia"/>
                <w:highlight w:val="none"/>
              </w:rPr>
            </w:pPr>
          </w:p>
          <w:p>
            <w:pPr>
              <w:adjustRightInd w:val="0"/>
              <w:snapToGrid w:val="0"/>
              <w:spacing w:line="400" w:lineRule="atLeast"/>
              <w:ind w:firstLine="270" w:firstLineChars="150"/>
              <w:rPr>
                <w:rFonts w:hint="eastAsia" w:ascii="宋体" w:hAnsi="宋体" w:eastAsia="宋体" w:cs="宋体"/>
                <w:sz w:val="18"/>
                <w:szCs w:val="18"/>
                <w:highlight w:val="none"/>
              </w:rPr>
            </w:pPr>
            <w:r>
              <w:rPr>
                <w:rFonts w:hint="eastAsia" w:ascii="宋体" w:hAnsi="宋体" w:eastAsia="宋体" w:cs="宋体"/>
                <w:sz w:val="18"/>
                <w:szCs w:val="18"/>
                <w:highlight w:val="none"/>
              </w:rPr>
              <w:t>注：</w:t>
            </w: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、投标人的相关财务状况应能明确表述本项目资格审查所需内容</w:t>
            </w:r>
            <w:r>
              <w:rPr>
                <w:rFonts w:hint="eastAsia" w:ascii="宋体" w:hAnsi="宋体" w:cs="宋体"/>
                <w:sz w:val="18"/>
                <w:szCs w:val="18"/>
                <w:highlight w:val="none"/>
                <w:lang w:eastAsia="zh-CN"/>
              </w:rPr>
              <w:t>；</w:t>
            </w:r>
          </w:p>
          <w:p>
            <w:pPr>
              <w:adjustRightInd w:val="0"/>
              <w:snapToGrid w:val="0"/>
              <w:spacing w:line="400" w:lineRule="atLeast"/>
              <w:ind w:firstLine="630" w:firstLineChars="350"/>
              <w:rPr>
                <w:rFonts w:hint="eastAsia" w:ascii="宋体" w:hAnsi="宋体" w:eastAsia="宋体" w:cs="宋体"/>
                <w:sz w:val="18"/>
                <w:szCs w:val="18"/>
                <w:highlight w:val="none"/>
              </w:rPr>
            </w:pPr>
            <w:r>
              <w:rPr>
                <w:rFonts w:hint="eastAsia" w:ascii="宋体" w:hAnsi="宋体" w:eastAsia="宋体" w:cs="宋体"/>
                <w:sz w:val="18"/>
                <w:szCs w:val="18"/>
                <w:highlight w:val="none"/>
              </w:rPr>
              <w:t>若营业执照或事业单位法人证书上无法体现金额，则需要以投标人提供的</w:t>
            </w:r>
            <w:r>
              <w:rPr>
                <w:rFonts w:hint="eastAsia" w:ascii="宋体" w:hAnsi="宋体" w:eastAsia="宋体" w:cs="宋体"/>
                <w:sz w:val="18"/>
                <w:szCs w:val="18"/>
                <w:highlight w:val="none"/>
                <w:lang w:eastAsia="zh-CN"/>
              </w:rPr>
              <w:t>“全国企业信用信息公示系统”</w:t>
            </w:r>
            <w:r>
              <w:rPr>
                <w:rFonts w:hint="eastAsia" w:ascii="宋体" w:hAnsi="宋体" w:eastAsia="宋体" w:cs="宋体"/>
                <w:sz w:val="18"/>
                <w:szCs w:val="18"/>
                <w:highlight w:val="none"/>
              </w:rPr>
              <w:t>企业所填的信息截图为准。</w:t>
            </w:r>
          </w:p>
          <w:p>
            <w:pPr>
              <w:adjustRightInd w:val="0"/>
              <w:snapToGrid w:val="0"/>
              <w:spacing w:line="400" w:lineRule="atLeast"/>
              <w:ind w:firstLine="720" w:firstLineChars="400"/>
              <w:jc w:val="left"/>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、上述复印件必须清晰可辨，不允许超过</w:t>
            </w:r>
            <w:r>
              <w:rPr>
                <w:rFonts w:hint="eastAsia" w:ascii="宋体" w:hAnsi="宋体" w:eastAsia="宋体" w:cs="宋体"/>
                <w:sz w:val="18"/>
                <w:szCs w:val="18"/>
                <w:highlight w:val="none"/>
                <w:lang w:val="en-US" w:eastAsia="zh-CN"/>
              </w:rPr>
              <w:t>两</w:t>
            </w:r>
            <w:r>
              <w:rPr>
                <w:rFonts w:hint="eastAsia" w:ascii="宋体" w:hAnsi="宋体" w:eastAsia="宋体" w:cs="宋体"/>
                <w:sz w:val="18"/>
                <w:szCs w:val="18"/>
                <w:highlight w:val="none"/>
              </w:rPr>
              <w:t>页或以上拼接复印。</w:t>
            </w:r>
          </w:p>
          <w:p>
            <w:pPr>
              <w:adjustRightInd w:val="0"/>
              <w:snapToGrid w:val="0"/>
              <w:spacing w:line="400" w:lineRule="atLeast"/>
              <w:ind w:firstLine="420" w:firstLineChars="200"/>
              <w:jc w:val="both"/>
              <w:rPr>
                <w:rFonts w:ascii="宋体" w:hAnsi="宋体"/>
                <w:color w:val="000000"/>
                <w:sz w:val="21"/>
                <w:szCs w:val="21"/>
                <w:highlight w:val="none"/>
              </w:rPr>
            </w:pPr>
          </w:p>
        </w:tc>
      </w:tr>
    </w:tbl>
    <w:p>
      <w:pPr>
        <w:pStyle w:val="2"/>
        <w:ind w:left="0" w:leftChars="0" w:firstLine="0" w:firstLineChars="0"/>
        <w:rPr>
          <w:rFonts w:ascii="宋体" w:hAnsi="宋体"/>
          <w:b/>
          <w:bCs/>
          <w:color w:val="000000"/>
          <w:sz w:val="28"/>
          <w:szCs w:val="28"/>
          <w:highlight w:val="none"/>
        </w:rPr>
      </w:pPr>
    </w:p>
    <w:p>
      <w:pPr>
        <w:adjustRightInd w:val="0"/>
        <w:snapToGrid w:val="0"/>
        <w:spacing w:line="360" w:lineRule="auto"/>
        <w:jc w:val="center"/>
        <w:rPr>
          <w:rFonts w:ascii="宋体" w:hAnsi="宋体"/>
          <w:b/>
          <w:bCs/>
          <w:color w:val="000000"/>
          <w:sz w:val="28"/>
          <w:szCs w:val="28"/>
          <w:highlight w:val="none"/>
        </w:rPr>
      </w:pPr>
      <w:r>
        <w:rPr>
          <w:rFonts w:ascii="宋体" w:hAnsi="宋体"/>
          <w:b/>
          <w:bCs/>
          <w:color w:val="000000"/>
          <w:sz w:val="28"/>
          <w:szCs w:val="28"/>
          <w:highlight w:val="none"/>
        </w:rPr>
        <w:t xml:space="preserve">附录3 资格审查条件(业绩最低要求) </w:t>
      </w:r>
    </w:p>
    <w:tbl>
      <w:tblPr>
        <w:tblStyle w:val="9"/>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8877" w:type="dxa"/>
            <w:vAlign w:val="center"/>
          </w:tcPr>
          <w:p>
            <w:pPr>
              <w:adjustRightInd w:val="0"/>
              <w:snapToGrid w:val="0"/>
              <w:spacing w:line="400" w:lineRule="atLeas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业绩</w:t>
            </w:r>
            <w:r>
              <w:rPr>
                <w:rFonts w:ascii="宋体" w:hAnsi="宋体"/>
                <w:color w:val="00000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5" w:hRule="atLeast"/>
          <w:jc w:val="center"/>
        </w:trPr>
        <w:tc>
          <w:tcPr>
            <w:tcW w:w="8877" w:type="dxa"/>
            <w:vAlign w:val="center"/>
          </w:tcPr>
          <w:p>
            <w:pPr>
              <w:spacing w:line="360" w:lineRule="auto"/>
              <w:rPr>
                <w:rFonts w:hint="eastAsia" w:ascii="宋体" w:hAnsi="宋体"/>
                <w:szCs w:val="21"/>
                <w:highlight w:val="none"/>
              </w:rPr>
            </w:pPr>
          </w:p>
          <w:p>
            <w:pPr>
              <w:spacing w:line="360" w:lineRule="auto"/>
              <w:ind w:firstLine="420" w:firstLineChars="200"/>
              <w:rPr>
                <w:rFonts w:hint="eastAsia" w:ascii="宋体" w:hAnsi="宋体"/>
                <w:szCs w:val="21"/>
                <w:highlight w:val="none"/>
              </w:rPr>
            </w:pPr>
            <w:r>
              <w:rPr>
                <w:rFonts w:hint="eastAsia" w:ascii="宋体" w:hAnsi="宋体"/>
                <w:szCs w:val="21"/>
                <w:highlight w:val="none"/>
              </w:rPr>
              <w:t>投标人须</w:t>
            </w:r>
            <w:r>
              <w:rPr>
                <w:rFonts w:hint="eastAsia" w:ascii="宋体" w:hAnsi="宋体"/>
                <w:szCs w:val="21"/>
                <w:highlight w:val="none"/>
                <w:lang w:val="en-US" w:eastAsia="zh-CN"/>
              </w:rPr>
              <w:t>同时</w:t>
            </w:r>
            <w:r>
              <w:rPr>
                <w:rFonts w:hint="eastAsia" w:ascii="宋体" w:hAnsi="宋体"/>
                <w:szCs w:val="21"/>
                <w:highlight w:val="none"/>
              </w:rPr>
              <w:t>具有以下工程业绩：</w:t>
            </w:r>
          </w:p>
          <w:p>
            <w:pPr>
              <w:spacing w:line="360" w:lineRule="auto"/>
              <w:ind w:firstLine="420" w:firstLineChars="200"/>
              <w:rPr>
                <w:rFonts w:hint="eastAsia" w:ascii="宋体" w:hAnsi="宋体"/>
                <w:color w:val="000000"/>
                <w:sz w:val="18"/>
                <w:szCs w:val="18"/>
                <w:highlight w:val="none"/>
                <w:lang w:val="en-US" w:eastAsia="zh-CN"/>
              </w:rPr>
            </w:pPr>
            <w:r>
              <w:rPr>
                <w:rFonts w:hint="eastAsia" w:ascii="宋体" w:hAnsi="宋体"/>
                <w:color w:val="000000"/>
                <w:szCs w:val="21"/>
              </w:rPr>
              <w:t>201</w:t>
            </w:r>
            <w:r>
              <w:rPr>
                <w:rFonts w:hint="eastAsia" w:ascii="宋体" w:hAnsi="宋体"/>
                <w:color w:val="000000"/>
                <w:szCs w:val="21"/>
                <w:lang w:val="en-US" w:eastAsia="zh-CN"/>
              </w:rPr>
              <w:t>9</w:t>
            </w:r>
            <w:r>
              <w:rPr>
                <w:rFonts w:hint="eastAsia" w:ascii="宋体" w:hAnsi="宋体"/>
                <w:color w:val="000000"/>
                <w:szCs w:val="21"/>
              </w:rPr>
              <w:t>年1月1日至投标文件递交之日止</w:t>
            </w:r>
            <w:r>
              <w:rPr>
                <w:rFonts w:hint="eastAsia"/>
                <w:color w:val="000000"/>
              </w:rPr>
              <w:t>，至少成功地独立承接1个高速公路桥航标（桥涵标）维护管理合同，合同中必须体现</w:t>
            </w:r>
            <w:r>
              <w:rPr>
                <w:rFonts w:hint="eastAsia"/>
                <w:b/>
                <w:color w:val="000000"/>
              </w:rPr>
              <w:t>对航标进行检查、维护工作。</w:t>
            </w:r>
          </w:p>
          <w:p>
            <w:pPr>
              <w:numPr>
                <w:ilvl w:val="0"/>
                <w:numId w:val="0"/>
              </w:numPr>
              <w:spacing w:line="360" w:lineRule="auto"/>
              <w:ind w:firstLine="361" w:firstLineChars="200"/>
              <w:rPr>
                <w:rFonts w:hint="default" w:ascii="宋体" w:hAnsi="宋体"/>
                <w:color w:val="000000"/>
                <w:sz w:val="18"/>
                <w:szCs w:val="18"/>
                <w:highlight w:val="none"/>
                <w:lang w:val="en-US" w:eastAsia="zh-CN"/>
              </w:rPr>
            </w:pPr>
            <w:r>
              <w:rPr>
                <w:rFonts w:hint="eastAsia" w:ascii="宋体" w:hAnsi="宋体"/>
                <w:b/>
                <w:bCs/>
                <w:color w:val="000000"/>
                <w:sz w:val="18"/>
                <w:szCs w:val="18"/>
                <w:highlight w:val="none"/>
                <w:lang w:val="en-US" w:eastAsia="zh-CN"/>
              </w:rPr>
              <w:t>注：1、业绩时间以合同签订时间为准。</w:t>
            </w:r>
          </w:p>
          <w:p>
            <w:pPr>
              <w:numPr>
                <w:ilvl w:val="0"/>
                <w:numId w:val="0"/>
              </w:numPr>
              <w:spacing w:line="360" w:lineRule="auto"/>
              <w:ind w:firstLine="542" w:firstLineChars="300"/>
              <w:rPr>
                <w:rFonts w:hint="eastAsia" w:ascii="宋体" w:hAnsi="宋体"/>
                <w:b/>
                <w:bCs/>
                <w:color w:val="000000"/>
                <w:sz w:val="18"/>
                <w:szCs w:val="18"/>
                <w:highlight w:val="none"/>
                <w:lang w:val="en-US" w:eastAsia="zh-CN"/>
              </w:rPr>
            </w:pPr>
            <w:r>
              <w:rPr>
                <w:rFonts w:hint="eastAsia" w:ascii="宋体" w:hAnsi="宋体"/>
                <w:b/>
                <w:bCs/>
                <w:color w:val="000000"/>
                <w:sz w:val="18"/>
                <w:szCs w:val="18"/>
                <w:highlight w:val="none"/>
                <w:lang w:val="en-US" w:eastAsia="zh-CN"/>
              </w:rPr>
              <w:t>2、相关业绩证明材料如下：中标通知书（如有）、完整的合同协议书的复印件。</w:t>
            </w:r>
          </w:p>
          <w:p>
            <w:pPr>
              <w:numPr>
                <w:ilvl w:val="0"/>
                <w:numId w:val="0"/>
              </w:numPr>
              <w:spacing w:line="360" w:lineRule="auto"/>
              <w:ind w:firstLine="542" w:firstLineChars="300"/>
              <w:rPr>
                <w:rFonts w:hint="eastAsia" w:ascii="宋体" w:hAnsi="宋体"/>
                <w:color w:val="000000"/>
                <w:sz w:val="18"/>
                <w:szCs w:val="18"/>
                <w:highlight w:val="none"/>
                <w:lang w:val="en-US" w:eastAsia="zh-CN"/>
              </w:rPr>
            </w:pPr>
            <w:r>
              <w:rPr>
                <w:rFonts w:hint="eastAsia" w:ascii="宋体" w:hAnsi="宋体"/>
                <w:b/>
                <w:bCs/>
                <w:color w:val="000000"/>
                <w:sz w:val="18"/>
                <w:szCs w:val="18"/>
                <w:highlight w:val="none"/>
                <w:lang w:val="en-US" w:eastAsia="zh-CN"/>
              </w:rPr>
              <w:t>3、如近年来，投标人法人机构发生合法变更或重组或法人名称变更时，应提供相关部门的合法批件或其他相关证明材料来证明其所附业绩的继承性。</w:t>
            </w:r>
          </w:p>
          <w:p>
            <w:pPr>
              <w:numPr>
                <w:ilvl w:val="0"/>
                <w:numId w:val="0"/>
              </w:numPr>
              <w:adjustRightInd w:val="0"/>
              <w:snapToGrid w:val="0"/>
              <w:spacing w:line="400" w:lineRule="atLeast"/>
              <w:ind w:firstLine="0" w:firstLineChars="0"/>
              <w:rPr>
                <w:rFonts w:hint="eastAsia"/>
                <w:sz w:val="24"/>
                <w:szCs w:val="24"/>
                <w:highlight w:val="none"/>
              </w:rPr>
            </w:pPr>
          </w:p>
        </w:tc>
      </w:tr>
    </w:tbl>
    <w:p>
      <w:pPr>
        <w:pStyle w:val="2"/>
        <w:ind w:left="0" w:leftChars="0"/>
        <w:rPr>
          <w:highlight w:val="none"/>
        </w:rPr>
      </w:pPr>
    </w:p>
    <w:p>
      <w:pPr>
        <w:adjustRightInd w:val="0"/>
        <w:snapToGrid w:val="0"/>
        <w:spacing w:line="360" w:lineRule="auto"/>
        <w:jc w:val="center"/>
        <w:rPr>
          <w:rFonts w:ascii="宋体" w:hAnsi="宋体"/>
          <w:b/>
          <w:bCs/>
          <w:color w:val="000000"/>
          <w:sz w:val="28"/>
          <w:szCs w:val="28"/>
          <w:highlight w:val="none"/>
        </w:rPr>
      </w:pPr>
    </w:p>
    <w:p>
      <w:pPr>
        <w:pStyle w:val="2"/>
      </w:pPr>
    </w:p>
    <w:p>
      <w:pPr>
        <w:adjustRightInd w:val="0"/>
        <w:snapToGrid w:val="0"/>
        <w:spacing w:line="360" w:lineRule="auto"/>
        <w:jc w:val="center"/>
        <w:rPr>
          <w:rFonts w:hint="eastAsia"/>
          <w:highlight w:val="none"/>
        </w:rPr>
      </w:pPr>
      <w:r>
        <w:rPr>
          <w:rFonts w:ascii="宋体" w:hAnsi="宋体"/>
          <w:b/>
          <w:bCs/>
          <w:color w:val="000000"/>
          <w:sz w:val="28"/>
          <w:szCs w:val="28"/>
          <w:highlight w:val="none"/>
        </w:rPr>
        <w:t>附录4  资格审查条件(信誉最低要求)</w:t>
      </w:r>
    </w:p>
    <w:tbl>
      <w:tblPr>
        <w:tblStyle w:val="9"/>
        <w:tblW w:w="89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jc w:val="center"/>
        </w:trPr>
        <w:tc>
          <w:tcPr>
            <w:tcW w:w="8945" w:type="dxa"/>
            <w:vAlign w:val="center"/>
          </w:tcPr>
          <w:p>
            <w:pPr>
              <w:adjustRightInd w:val="0"/>
              <w:snapToGrid w:val="0"/>
              <w:spacing w:line="240" w:lineRule="auto"/>
              <w:jc w:val="center"/>
              <w:rPr>
                <w:rFonts w:ascii="宋体" w:hAnsi="宋体"/>
                <w:color w:val="000000"/>
                <w:sz w:val="24"/>
                <w:szCs w:val="24"/>
                <w:highlight w:val="none"/>
              </w:rPr>
            </w:pPr>
            <w:r>
              <w:rPr>
                <w:rFonts w:ascii="宋体" w:hAnsi="宋体"/>
                <w:color w:val="000000"/>
                <w:sz w:val="24"/>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95" w:hRule="atLeast"/>
          <w:jc w:val="center"/>
        </w:trPr>
        <w:tc>
          <w:tcPr>
            <w:tcW w:w="8945" w:type="dxa"/>
            <w:vAlign w:val="center"/>
          </w:tcPr>
          <w:p>
            <w:pPr>
              <w:adjustRightInd w:val="0"/>
              <w:snapToGrid w:val="0"/>
              <w:spacing w:line="400" w:lineRule="atLeast"/>
              <w:ind w:firstLine="315" w:firstLineChars="150"/>
              <w:rPr>
                <w:rFonts w:hint="eastAsia"/>
                <w:highlight w:val="none"/>
              </w:rPr>
            </w:pPr>
          </w:p>
          <w:p>
            <w:pPr>
              <w:adjustRightInd w:val="0"/>
              <w:snapToGrid w:val="0"/>
              <w:spacing w:line="360" w:lineRule="auto"/>
              <w:ind w:firstLine="420" w:firstLineChars="200"/>
              <w:rPr>
                <w:rFonts w:hint="eastAsia"/>
                <w:highlight w:val="none"/>
              </w:rPr>
            </w:pPr>
            <w:r>
              <w:rPr>
                <w:rFonts w:hint="eastAsia"/>
                <w:highlight w:val="none"/>
              </w:rPr>
              <w:t>除了“投标人须知”第1.4.4项规定的内容外，投标人还需满足以下信誉要求：</w:t>
            </w:r>
          </w:p>
          <w:p>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1、没有处于被责令停业，财务处于被接管、冻结、破产状态；</w:t>
            </w:r>
          </w:p>
          <w:p>
            <w:pPr>
              <w:adjustRightInd w:val="0"/>
              <w:snapToGrid w:val="0"/>
              <w:spacing w:line="360" w:lineRule="auto"/>
              <w:ind w:firstLine="420" w:firstLineChars="200"/>
              <w:rPr>
                <w:rFonts w:hint="eastAsia"/>
                <w:highlight w:val="none"/>
                <w:lang w:val="en-US" w:eastAsia="zh-CN"/>
              </w:rPr>
            </w:pPr>
            <w:r>
              <w:rPr>
                <w:rFonts w:hint="eastAsia"/>
                <w:highlight w:val="none"/>
                <w:lang w:val="en-US" w:eastAsia="zh-CN"/>
              </w:rPr>
              <w:t>2、没有被国家住建部、交通运输部、广东省交通运输厅通报且取消相应投标资格（处于有效期内）；</w:t>
            </w:r>
          </w:p>
          <w:p>
            <w:pPr>
              <w:adjustRightInd w:val="0"/>
              <w:snapToGrid w:val="0"/>
              <w:spacing w:line="360" w:lineRule="auto"/>
              <w:ind w:firstLine="420" w:firstLineChars="200"/>
              <w:rPr>
                <w:rFonts w:hint="eastAsia"/>
                <w:highlight w:val="none"/>
                <w:lang w:eastAsia="zh-CN"/>
              </w:rPr>
            </w:pPr>
            <w:r>
              <w:rPr>
                <w:rFonts w:hint="eastAsia"/>
                <w:highlight w:val="none"/>
                <w:lang w:val="en-US" w:eastAsia="zh-CN"/>
              </w:rPr>
              <w:t>3、</w:t>
            </w:r>
            <w:r>
              <w:rPr>
                <w:rFonts w:hint="eastAsia"/>
                <w:highlight w:val="none"/>
              </w:rPr>
              <w:t>投标人没有涉及正在诉讼的案件，或虽涉及正在诉讼的案件但经评审委员会认定不会对承担本项目造成重大影响</w:t>
            </w:r>
            <w:r>
              <w:rPr>
                <w:rFonts w:hint="eastAsia"/>
                <w:highlight w:val="none"/>
                <w:lang w:eastAsia="zh-CN"/>
              </w:rPr>
              <w:t>；</w:t>
            </w:r>
          </w:p>
          <w:p>
            <w:pPr>
              <w:pStyle w:val="2"/>
              <w:rPr>
                <w:rFonts w:hint="eastAsia"/>
                <w:sz w:val="24"/>
                <w:szCs w:val="24"/>
                <w:highlight w:val="none"/>
                <w:lang w:val="en-US" w:eastAsia="zh-CN"/>
              </w:rPr>
            </w:pPr>
          </w:p>
        </w:tc>
      </w:tr>
    </w:tbl>
    <w:p>
      <w:pPr>
        <w:adjustRightInd w:val="0"/>
        <w:snapToGrid w:val="0"/>
        <w:spacing w:line="360" w:lineRule="auto"/>
        <w:jc w:val="center"/>
        <w:rPr>
          <w:rFonts w:hint="default" w:ascii="宋体" w:hAnsi="宋体"/>
          <w:b/>
          <w:bCs/>
          <w:color w:val="000000"/>
          <w:sz w:val="28"/>
          <w:szCs w:val="28"/>
          <w:highlight w:val="none"/>
        </w:rPr>
      </w:pPr>
      <w:r>
        <w:rPr>
          <w:rFonts w:ascii="宋体" w:hAnsi="宋体"/>
          <w:b/>
          <w:bCs/>
          <w:color w:val="000000"/>
          <w:sz w:val="28"/>
          <w:szCs w:val="28"/>
          <w:highlight w:val="none"/>
        </w:rPr>
        <w:t>附录5  资格审查条件(</w:t>
      </w:r>
      <w:r>
        <w:rPr>
          <w:rFonts w:hint="eastAsia" w:ascii="宋体" w:hAnsi="宋体"/>
          <w:b/>
          <w:bCs/>
          <w:color w:val="000000"/>
          <w:sz w:val="28"/>
          <w:szCs w:val="28"/>
          <w:highlight w:val="none"/>
          <w:lang w:val="en-US" w:eastAsia="zh-CN"/>
        </w:rPr>
        <w:t>项目经理</w:t>
      </w:r>
      <w:r>
        <w:rPr>
          <w:rFonts w:ascii="宋体" w:hAnsi="宋体"/>
          <w:b/>
          <w:bCs/>
          <w:color w:val="000000"/>
          <w:sz w:val="28"/>
          <w:szCs w:val="28"/>
          <w:highlight w:val="none"/>
        </w:rPr>
        <w:t>最低要求)</w:t>
      </w:r>
      <w:r>
        <w:rPr>
          <w:rFonts w:hint="default" w:ascii="宋体" w:hAnsi="宋体"/>
          <w:b/>
          <w:bCs/>
          <w:color w:val="000000"/>
          <w:sz w:val="28"/>
          <w:szCs w:val="28"/>
          <w:highlight w:val="none"/>
        </w:rPr>
        <w:t xml:space="preserve"> </w:t>
      </w:r>
    </w:p>
    <w:tbl>
      <w:tblPr>
        <w:tblStyle w:val="9"/>
        <w:tblW w:w="930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46"/>
        <w:gridCol w:w="1335"/>
        <w:gridCol w:w="5310"/>
        <w:gridCol w:w="13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44" w:hRule="atLeast"/>
          <w:jc w:val="center"/>
        </w:trPr>
        <w:tc>
          <w:tcPr>
            <w:tcW w:w="1346"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人员</w:t>
            </w:r>
          </w:p>
        </w:tc>
        <w:tc>
          <w:tcPr>
            <w:tcW w:w="133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数量（人）</w:t>
            </w:r>
          </w:p>
        </w:tc>
        <w:tc>
          <w:tcPr>
            <w:tcW w:w="5310"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资质要求</w:t>
            </w:r>
          </w:p>
        </w:tc>
        <w:tc>
          <w:tcPr>
            <w:tcW w:w="1309" w:type="dxa"/>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19" w:hRule="atLeast"/>
          <w:jc w:val="center"/>
        </w:trPr>
        <w:tc>
          <w:tcPr>
            <w:tcW w:w="1346" w:type="dxa"/>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lang w:val="en-US" w:eastAsia="zh-CN"/>
              </w:rPr>
              <w:t>项目经理</w:t>
            </w:r>
          </w:p>
        </w:tc>
        <w:tc>
          <w:tcPr>
            <w:tcW w:w="133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1</w:t>
            </w:r>
          </w:p>
        </w:tc>
        <w:tc>
          <w:tcPr>
            <w:tcW w:w="5310" w:type="dxa"/>
            <w:vAlign w:val="center"/>
          </w:tcPr>
          <w:p>
            <w:pPr>
              <w:adjustRightInd w:val="0"/>
              <w:snapToGrid w:val="0"/>
              <w:spacing w:line="360" w:lineRule="exact"/>
              <w:jc w:val="center"/>
              <w:rPr>
                <w:rFonts w:hint="eastAsia" w:ascii="宋体" w:hAnsi="宋体"/>
                <w:color w:val="000000"/>
                <w:szCs w:val="21"/>
                <w:highlight w:val="none"/>
              </w:rPr>
            </w:pPr>
            <w:r>
              <w:rPr>
                <w:rFonts w:hint="eastAsia" w:ascii="宋体" w:hAnsi="宋体"/>
                <w:color w:val="000000"/>
                <w:szCs w:val="21"/>
              </w:rPr>
              <w:t>航标、港航类助理级及以上工程师，年龄不超过50岁。</w:t>
            </w:r>
          </w:p>
        </w:tc>
        <w:tc>
          <w:tcPr>
            <w:tcW w:w="1309" w:type="dxa"/>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409" w:hRule="atLeast"/>
          <w:jc w:val="center"/>
        </w:trPr>
        <w:tc>
          <w:tcPr>
            <w:tcW w:w="9300" w:type="dxa"/>
            <w:gridSpan w:val="4"/>
            <w:vAlign w:val="center"/>
          </w:tcPr>
          <w:p>
            <w:pPr>
              <w:widowControl/>
              <w:spacing w:line="360" w:lineRule="auto"/>
              <w:ind w:firstLine="420" w:firstLineChars="200"/>
              <w:rPr>
                <w:rFonts w:hint="eastAsia" w:ascii="宋体" w:hAnsi="宋体"/>
                <w:color w:val="000000"/>
                <w:szCs w:val="21"/>
                <w:highlight w:val="none"/>
              </w:rPr>
            </w:pPr>
            <w:r>
              <w:rPr>
                <w:rFonts w:hint="eastAsia" w:ascii="宋体" w:hAnsi="宋体" w:cs="宋体"/>
                <w:color w:val="000000"/>
                <w:szCs w:val="21"/>
                <w:highlight w:val="none"/>
                <w:lang w:val="en-US" w:eastAsia="zh-CN"/>
              </w:rPr>
              <w:t>注：1、</w:t>
            </w:r>
            <w:r>
              <w:rPr>
                <w:rFonts w:hint="eastAsia" w:ascii="宋体" w:hAnsi="宋体" w:cs="宋体"/>
                <w:bCs/>
                <w:color w:val="000000"/>
                <w:szCs w:val="21"/>
              </w:rPr>
              <w:t>须提供人员证书及</w:t>
            </w:r>
            <w:r>
              <w:rPr>
                <w:rFonts w:hint="eastAsia" w:ascii="宋体" w:hAnsi="宋体" w:cs="宋体"/>
                <w:color w:val="000000"/>
                <w:szCs w:val="21"/>
              </w:rPr>
              <w:t>投标人（或投标人上级行政主管部门）近半年（20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月至</w:t>
            </w:r>
            <w:r>
              <w:rPr>
                <w:rFonts w:hint="eastAsia" w:ascii="宋体" w:hAnsi="宋体" w:cs="宋体"/>
                <w:color w:val="000000"/>
                <w:szCs w:val="21"/>
                <w:lang w:val="en-US" w:eastAsia="zh-CN"/>
              </w:rPr>
              <w:t>2022</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月）为其缴纳社会保险的有效凭证的复印件。</w:t>
            </w:r>
          </w:p>
        </w:tc>
      </w:tr>
    </w:tbl>
    <w:p>
      <w:pPr>
        <w:adjustRightInd w:val="0"/>
        <w:snapToGrid w:val="0"/>
        <w:spacing w:line="360" w:lineRule="auto"/>
        <w:jc w:val="both"/>
        <w:rPr>
          <w:rFonts w:hint="default" w:ascii="宋体" w:hAnsi="宋体"/>
          <w:b/>
          <w:bCs/>
          <w:color w:val="000000"/>
          <w:sz w:val="28"/>
          <w:szCs w:val="28"/>
          <w:highlight w:val="none"/>
        </w:rPr>
      </w:pPr>
    </w:p>
    <w:p>
      <w:pPr>
        <w:adjustRightInd w:val="0"/>
        <w:snapToGrid w:val="0"/>
        <w:spacing w:line="360" w:lineRule="auto"/>
        <w:jc w:val="center"/>
        <w:rPr>
          <w:rFonts w:hint="default" w:ascii="宋体" w:hAnsi="宋体"/>
          <w:b/>
          <w:bCs/>
          <w:color w:val="000000"/>
          <w:sz w:val="28"/>
          <w:szCs w:val="28"/>
          <w:highlight w:val="none"/>
        </w:rPr>
      </w:pPr>
      <w:r>
        <w:rPr>
          <w:rFonts w:ascii="宋体" w:hAnsi="宋体"/>
          <w:b/>
          <w:bCs/>
          <w:color w:val="000000"/>
          <w:sz w:val="28"/>
          <w:szCs w:val="28"/>
          <w:highlight w:val="none"/>
        </w:rPr>
        <w:t>附录</w:t>
      </w:r>
      <w:r>
        <w:rPr>
          <w:rFonts w:hint="eastAsia" w:ascii="宋体" w:hAnsi="宋体"/>
          <w:b/>
          <w:bCs/>
          <w:color w:val="000000"/>
          <w:sz w:val="28"/>
          <w:szCs w:val="28"/>
          <w:highlight w:val="none"/>
          <w:lang w:val="en-US" w:eastAsia="zh-CN"/>
        </w:rPr>
        <w:t>6</w:t>
      </w:r>
      <w:r>
        <w:rPr>
          <w:rFonts w:ascii="宋体" w:hAnsi="宋体"/>
          <w:b/>
          <w:bCs/>
          <w:color w:val="000000"/>
          <w:sz w:val="28"/>
          <w:szCs w:val="28"/>
          <w:highlight w:val="none"/>
        </w:rPr>
        <w:t xml:space="preserve">  资格审查条件(</w:t>
      </w:r>
      <w:r>
        <w:rPr>
          <w:rFonts w:hint="eastAsia" w:ascii="宋体" w:hAnsi="宋体"/>
          <w:b/>
          <w:bCs/>
          <w:color w:val="000000"/>
          <w:sz w:val="28"/>
          <w:szCs w:val="28"/>
          <w:highlight w:val="none"/>
          <w:lang w:val="en-US" w:eastAsia="zh-CN"/>
        </w:rPr>
        <w:t>其他人员</w:t>
      </w:r>
      <w:r>
        <w:rPr>
          <w:rFonts w:ascii="宋体" w:hAnsi="宋体"/>
          <w:b/>
          <w:bCs/>
          <w:color w:val="000000"/>
          <w:sz w:val="28"/>
          <w:szCs w:val="28"/>
          <w:highlight w:val="none"/>
        </w:rPr>
        <w:t>最低要求)</w:t>
      </w:r>
      <w:r>
        <w:rPr>
          <w:rFonts w:hint="default" w:ascii="宋体" w:hAnsi="宋体"/>
          <w:b/>
          <w:bCs/>
          <w:color w:val="000000"/>
          <w:sz w:val="28"/>
          <w:szCs w:val="28"/>
          <w:highlight w:val="none"/>
        </w:rPr>
        <w:t xml:space="preserve"> </w:t>
      </w:r>
    </w:p>
    <w:tbl>
      <w:tblPr>
        <w:tblStyle w:val="9"/>
        <w:tblW w:w="930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46"/>
        <w:gridCol w:w="1335"/>
        <w:gridCol w:w="5310"/>
        <w:gridCol w:w="13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44" w:hRule="atLeast"/>
          <w:jc w:val="center"/>
        </w:trPr>
        <w:tc>
          <w:tcPr>
            <w:tcW w:w="1346"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人员</w:t>
            </w:r>
          </w:p>
        </w:tc>
        <w:tc>
          <w:tcPr>
            <w:tcW w:w="133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数量（人）</w:t>
            </w:r>
          </w:p>
        </w:tc>
        <w:tc>
          <w:tcPr>
            <w:tcW w:w="5310"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olor w:val="000000"/>
                <w:szCs w:val="21"/>
                <w:highlight w:val="none"/>
              </w:rPr>
              <w:t>资质要求</w:t>
            </w:r>
          </w:p>
        </w:tc>
        <w:tc>
          <w:tcPr>
            <w:tcW w:w="1309" w:type="dxa"/>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19" w:hRule="atLeast"/>
          <w:jc w:val="center"/>
        </w:trPr>
        <w:tc>
          <w:tcPr>
            <w:tcW w:w="1346" w:type="dxa"/>
            <w:vAlign w:val="center"/>
          </w:tcPr>
          <w:p>
            <w:pPr>
              <w:adjustRightInd w:val="0"/>
              <w:snapToGrid w:val="0"/>
              <w:spacing w:line="360" w:lineRule="exact"/>
              <w:jc w:val="center"/>
              <w:rPr>
                <w:rFonts w:ascii="宋体" w:hAnsi="宋体"/>
                <w:color w:val="000000"/>
                <w:szCs w:val="21"/>
                <w:highlight w:val="none"/>
              </w:rPr>
            </w:pPr>
            <w:r>
              <w:rPr>
                <w:rFonts w:hint="eastAsia" w:ascii="宋体" w:hAnsi="宋体"/>
                <w:color w:val="000000"/>
                <w:szCs w:val="21"/>
              </w:rPr>
              <w:t>视觉航标工</w:t>
            </w:r>
          </w:p>
        </w:tc>
        <w:tc>
          <w:tcPr>
            <w:tcW w:w="1335" w:type="dxa"/>
            <w:vAlign w:val="center"/>
          </w:tcPr>
          <w:p>
            <w:pPr>
              <w:adjustRightInd w:val="0"/>
              <w:snapToGrid w:val="0"/>
              <w:spacing w:line="240" w:lineRule="auto"/>
              <w:jc w:val="center"/>
              <w:rPr>
                <w:rFonts w:ascii="宋体" w:hAnsi="宋体"/>
                <w:color w:val="000000"/>
                <w:szCs w:val="21"/>
                <w:highlight w:val="none"/>
              </w:rPr>
            </w:pPr>
            <w:r>
              <w:rPr>
                <w:rFonts w:hint="eastAsia" w:ascii="宋体" w:hAnsi="宋体" w:cs="宋体"/>
                <w:szCs w:val="21"/>
                <w:highlight w:val="none"/>
                <w:lang w:val="en-US" w:eastAsia="zh-CN"/>
              </w:rPr>
              <w:t>2</w:t>
            </w:r>
          </w:p>
        </w:tc>
        <w:tc>
          <w:tcPr>
            <w:tcW w:w="5310" w:type="dxa"/>
            <w:vAlign w:val="center"/>
          </w:tcPr>
          <w:p>
            <w:pPr>
              <w:adjustRightInd w:val="0"/>
              <w:snapToGrid w:val="0"/>
              <w:spacing w:line="360" w:lineRule="exact"/>
              <w:ind w:firstLine="420" w:firstLineChars="200"/>
              <w:rPr>
                <w:rFonts w:hint="eastAsia" w:ascii="宋体" w:hAnsi="宋体"/>
                <w:color w:val="000000"/>
                <w:szCs w:val="21"/>
                <w:highlight w:val="none"/>
              </w:rPr>
            </w:pPr>
            <w:r>
              <w:rPr>
                <w:rFonts w:hint="eastAsia" w:ascii="宋体" w:hAnsi="宋体"/>
                <w:color w:val="000000"/>
                <w:szCs w:val="21"/>
              </w:rPr>
              <w:t>高级视觉航标工，年龄不超过50岁。</w:t>
            </w:r>
          </w:p>
        </w:tc>
        <w:tc>
          <w:tcPr>
            <w:tcW w:w="1309" w:type="dxa"/>
            <w:vAlign w:val="center"/>
          </w:tcPr>
          <w:p>
            <w:pPr>
              <w:adjustRightInd w:val="0"/>
              <w:snapToGrid w:val="0"/>
              <w:spacing w:line="240" w:lineRule="auto"/>
              <w:jc w:val="center"/>
              <w:rPr>
                <w:rFonts w:hint="eastAsia" w:ascii="宋体" w:hAnsi="宋体"/>
                <w:color w:val="000000"/>
                <w:szCs w:val="21"/>
                <w:highlight w:val="none"/>
              </w:rPr>
            </w:pPr>
            <w:r>
              <w:rPr>
                <w:rFonts w:hint="eastAsia" w:ascii="宋体" w:hAnsi="宋体"/>
                <w:color w:val="000000"/>
                <w:szCs w:val="21"/>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409" w:hRule="atLeast"/>
          <w:jc w:val="center"/>
        </w:trPr>
        <w:tc>
          <w:tcPr>
            <w:tcW w:w="9300" w:type="dxa"/>
            <w:gridSpan w:val="4"/>
            <w:vAlign w:val="center"/>
          </w:tcPr>
          <w:p>
            <w:pPr>
              <w:widowControl/>
              <w:spacing w:line="360" w:lineRule="auto"/>
              <w:ind w:firstLine="420" w:firstLineChars="200"/>
              <w:rPr>
                <w:rFonts w:hint="eastAsia" w:ascii="宋体" w:hAnsi="宋体"/>
                <w:color w:val="000000"/>
                <w:szCs w:val="21"/>
                <w:highlight w:val="none"/>
              </w:rPr>
            </w:pPr>
            <w:r>
              <w:rPr>
                <w:rFonts w:hint="eastAsia" w:ascii="宋体" w:hAnsi="宋体" w:cs="宋体"/>
                <w:color w:val="000000"/>
                <w:szCs w:val="21"/>
                <w:highlight w:val="none"/>
                <w:lang w:val="en-US" w:eastAsia="zh-CN"/>
              </w:rPr>
              <w:t>注：1、</w:t>
            </w:r>
            <w:r>
              <w:rPr>
                <w:rFonts w:hint="eastAsia" w:ascii="宋体" w:hAnsi="宋体" w:cs="宋体"/>
                <w:bCs/>
                <w:color w:val="000000"/>
                <w:szCs w:val="21"/>
              </w:rPr>
              <w:t>须提供人员证书及</w:t>
            </w:r>
            <w:r>
              <w:rPr>
                <w:rFonts w:hint="eastAsia" w:ascii="宋体" w:hAnsi="宋体" w:cs="宋体"/>
                <w:color w:val="000000"/>
                <w:szCs w:val="21"/>
              </w:rPr>
              <w:t>投标人（或投标人上级行政主管部门）近半年（20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月至</w:t>
            </w:r>
            <w:r>
              <w:rPr>
                <w:rFonts w:hint="eastAsia" w:ascii="宋体" w:hAnsi="宋体" w:cs="宋体"/>
                <w:color w:val="000000"/>
                <w:szCs w:val="21"/>
                <w:lang w:val="en-US" w:eastAsia="zh-CN"/>
              </w:rPr>
              <w:t>2022</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月）为其缴纳社会保险的有效凭证的复印件。</w:t>
            </w:r>
          </w:p>
        </w:tc>
      </w:tr>
    </w:tbl>
    <w:p>
      <w:pPr>
        <w:pStyle w:val="2"/>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pStyle w:val="2"/>
        <w:rPr>
          <w:rFonts w:hint="default" w:ascii="宋体" w:hAnsi="宋体"/>
          <w:b/>
          <w:bCs/>
          <w:color w:val="000000"/>
          <w:sz w:val="28"/>
          <w:szCs w:val="28"/>
          <w:highlight w:val="none"/>
        </w:rPr>
      </w:pPr>
    </w:p>
    <w:p>
      <w:pPr>
        <w:pStyle w:val="2"/>
        <w:ind w:left="0" w:leftChars="0"/>
        <w:rPr>
          <w:rFonts w:hint="eastAsia" w:ascii="宋体" w:hAnsi="宋体"/>
          <w:color w:val="000000"/>
          <w:sz w:val="24"/>
          <w:highlight w:val="none"/>
        </w:rPr>
      </w:pPr>
    </w:p>
    <w:p>
      <w:pPr>
        <w:adjustRightInd w:val="0"/>
        <w:snapToGrid w:val="0"/>
        <w:spacing w:line="360" w:lineRule="auto"/>
        <w:jc w:val="center"/>
        <w:rPr>
          <w:rFonts w:hint="eastAsia" w:ascii="宋体" w:hAnsi="宋体"/>
          <w:b/>
          <w:bCs/>
          <w:color w:val="000000"/>
          <w:sz w:val="28"/>
          <w:szCs w:val="28"/>
          <w:highlight w:val="none"/>
        </w:rPr>
      </w:pPr>
      <w:bookmarkStart w:id="0" w:name="_Toc465783934"/>
      <w:bookmarkStart w:id="1" w:name="_Toc343507780"/>
      <w:bookmarkStart w:id="2" w:name="_Toc467701909"/>
      <w:bookmarkStart w:id="3" w:name="_Toc467744166"/>
      <w:bookmarkStart w:id="4" w:name="_Toc467702454"/>
      <w:bookmarkStart w:id="5" w:name="_Toc346891122"/>
      <w:bookmarkStart w:id="6" w:name="_Toc467743962"/>
      <w:r>
        <w:rPr>
          <w:rFonts w:hint="eastAsia" w:ascii="宋体" w:hAnsi="宋体"/>
          <w:b/>
          <w:bCs/>
          <w:color w:val="000000"/>
          <w:sz w:val="28"/>
          <w:szCs w:val="28"/>
          <w:highlight w:val="none"/>
        </w:rPr>
        <w:t>附录</w:t>
      </w:r>
      <w:r>
        <w:rPr>
          <w:rFonts w:hint="eastAsia" w:ascii="宋体" w:hAnsi="宋体"/>
          <w:b/>
          <w:bCs/>
          <w:color w:val="000000"/>
          <w:sz w:val="28"/>
          <w:szCs w:val="28"/>
          <w:highlight w:val="none"/>
          <w:lang w:val="en-US" w:eastAsia="zh-CN"/>
        </w:rPr>
        <w:t>7</w:t>
      </w:r>
      <w:r>
        <w:rPr>
          <w:rFonts w:hint="eastAsia" w:ascii="宋体" w:hAnsi="宋体"/>
          <w:b/>
          <w:bCs/>
          <w:color w:val="000000"/>
          <w:sz w:val="28"/>
          <w:szCs w:val="28"/>
          <w:highlight w:val="none"/>
        </w:rPr>
        <w:t xml:space="preserve">  资格审查条件(设备最低要求)</w:t>
      </w:r>
      <w:bookmarkEnd w:id="0"/>
      <w:bookmarkEnd w:id="1"/>
      <w:bookmarkEnd w:id="2"/>
      <w:bookmarkEnd w:id="3"/>
      <w:bookmarkEnd w:id="4"/>
      <w:bookmarkEnd w:id="5"/>
      <w:bookmarkEnd w:id="6"/>
      <w:r>
        <w:rPr>
          <w:rFonts w:hint="eastAsia" w:ascii="宋体" w:hAnsi="宋体"/>
          <w:b/>
          <w:bCs/>
          <w:color w:val="000000"/>
          <w:sz w:val="28"/>
          <w:szCs w:val="28"/>
          <w:highlight w:val="none"/>
        </w:rPr>
        <w:t xml:space="preserve"> </w:t>
      </w:r>
    </w:p>
    <w:p>
      <w:pPr>
        <w:spacing w:line="360" w:lineRule="auto"/>
        <w:rPr>
          <w:rFonts w:hint="eastAsia" w:ascii="仿宋" w:hAnsi="仿宋" w:eastAsia="仿宋" w:cs="仿宋"/>
          <w:color w:val="000000"/>
          <w:sz w:val="18"/>
          <w:szCs w:val="18"/>
          <w:highlight w:val="none"/>
        </w:rPr>
      </w:pPr>
    </w:p>
    <w:tbl>
      <w:tblPr>
        <w:tblStyle w:val="9"/>
        <w:tblW w:w="912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96"/>
        <w:gridCol w:w="24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3" w:hRule="atLeast"/>
          <w:jc w:val="center"/>
        </w:trPr>
        <w:tc>
          <w:tcPr>
            <w:tcW w:w="6696" w:type="dxa"/>
            <w:vAlign w:val="center"/>
          </w:tcPr>
          <w:p>
            <w:pPr>
              <w:adjustRightInd w:val="0"/>
              <w:snapToGrid w:val="0"/>
              <w:spacing w:line="360" w:lineRule="exact"/>
              <w:jc w:val="center"/>
              <w:rPr>
                <w:rFonts w:ascii="宋体" w:hAnsi="宋体"/>
                <w:color w:val="000000"/>
                <w:szCs w:val="21"/>
              </w:rPr>
            </w:pPr>
            <w:r>
              <w:rPr>
                <w:rFonts w:hint="eastAsia" w:ascii="宋体" w:hAnsi="宋体"/>
                <w:color w:val="000000"/>
                <w:szCs w:val="21"/>
              </w:rPr>
              <w:t>设备</w:t>
            </w:r>
          </w:p>
        </w:tc>
        <w:tc>
          <w:tcPr>
            <w:tcW w:w="2424" w:type="dxa"/>
            <w:vAlign w:val="center"/>
          </w:tcPr>
          <w:p>
            <w:pPr>
              <w:adjustRightInd w:val="0"/>
              <w:snapToGrid w:val="0"/>
              <w:spacing w:line="360" w:lineRule="exact"/>
              <w:jc w:val="center"/>
              <w:rPr>
                <w:rFonts w:ascii="宋体" w:hAnsi="宋体"/>
                <w:color w:val="000000"/>
                <w:szCs w:val="21"/>
              </w:rPr>
            </w:pPr>
            <w:r>
              <w:rPr>
                <w:rFonts w:hint="eastAsia" w:ascii="宋体" w:hAnsi="宋体"/>
                <w:color w:val="000000"/>
                <w:szCs w:val="21"/>
              </w:rPr>
              <w:t>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3" w:hRule="atLeast"/>
          <w:jc w:val="center"/>
        </w:trPr>
        <w:tc>
          <w:tcPr>
            <w:tcW w:w="6696" w:type="dxa"/>
            <w:vAlign w:val="center"/>
          </w:tcPr>
          <w:p>
            <w:pPr>
              <w:adjustRightInd w:val="0"/>
              <w:snapToGrid w:val="0"/>
              <w:spacing w:line="360" w:lineRule="exact"/>
              <w:jc w:val="center"/>
              <w:rPr>
                <w:rFonts w:ascii="宋体" w:hAnsi="宋体"/>
                <w:color w:val="000000"/>
                <w:szCs w:val="21"/>
              </w:rPr>
            </w:pPr>
            <w:r>
              <w:rPr>
                <w:rFonts w:hint="eastAsia" w:ascii="宋体" w:hAnsi="宋体" w:cs="宋体"/>
                <w:color w:val="000000"/>
                <w:sz w:val="22"/>
              </w:rPr>
              <w:t>主机功率120kw以上航标船（或测量船、工程船）</w:t>
            </w:r>
          </w:p>
        </w:tc>
        <w:tc>
          <w:tcPr>
            <w:tcW w:w="2424" w:type="dxa"/>
            <w:vAlign w:val="center"/>
          </w:tcPr>
          <w:p>
            <w:pPr>
              <w:adjustRightInd w:val="0"/>
              <w:snapToGrid w:val="0"/>
              <w:spacing w:line="360" w:lineRule="exact"/>
              <w:jc w:val="center"/>
              <w:rPr>
                <w:rFonts w:ascii="宋体" w:hAnsi="宋体"/>
                <w:color w:val="000000"/>
                <w:szCs w:val="21"/>
              </w:rPr>
            </w:pPr>
            <w:r>
              <w:rPr>
                <w:rFonts w:ascii="宋体" w:hAnsi="宋体" w:cs="宋体"/>
                <w:color w:val="000000"/>
                <w:sz w:val="22"/>
              </w:rPr>
              <w:t>1</w:t>
            </w:r>
            <w:r>
              <w:rPr>
                <w:rFonts w:hint="eastAsia" w:ascii="宋体" w:hAnsi="宋体" w:cs="宋体"/>
                <w:color w:val="000000"/>
                <w:sz w:val="22"/>
              </w:rPr>
              <w:t>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3" w:hRule="atLeast"/>
          <w:jc w:val="center"/>
        </w:trPr>
        <w:tc>
          <w:tcPr>
            <w:tcW w:w="6696" w:type="dxa"/>
            <w:vAlign w:val="center"/>
          </w:tcPr>
          <w:p>
            <w:pPr>
              <w:adjustRightInd w:val="0"/>
              <w:snapToGrid w:val="0"/>
              <w:spacing w:line="360" w:lineRule="exact"/>
              <w:jc w:val="center"/>
              <w:rPr>
                <w:rFonts w:hint="eastAsia" w:ascii="宋体" w:hAnsi="宋体"/>
                <w:color w:val="000000"/>
                <w:szCs w:val="21"/>
              </w:rPr>
            </w:pPr>
            <w:r>
              <w:rPr>
                <w:rFonts w:hint="eastAsia" w:ascii="宋体" w:hAnsi="宋体" w:cs="宋体"/>
                <w:color w:val="000000"/>
                <w:sz w:val="22"/>
              </w:rPr>
              <w:t>主机功率</w:t>
            </w:r>
            <w:r>
              <w:rPr>
                <w:rFonts w:ascii="宋体" w:hAnsi="宋体" w:cs="宋体"/>
                <w:color w:val="000000"/>
                <w:sz w:val="22"/>
              </w:rPr>
              <w:t>10</w:t>
            </w:r>
            <w:r>
              <w:rPr>
                <w:rFonts w:hint="eastAsia" w:ascii="宋体" w:hAnsi="宋体" w:cs="宋体"/>
                <w:color w:val="000000"/>
                <w:sz w:val="22"/>
              </w:rPr>
              <w:t>0</w:t>
            </w:r>
            <w:r>
              <w:rPr>
                <w:rFonts w:ascii="宋体" w:hAnsi="宋体" w:cs="宋体"/>
                <w:color w:val="000000"/>
                <w:sz w:val="22"/>
              </w:rPr>
              <w:t>kw</w:t>
            </w:r>
            <w:r>
              <w:rPr>
                <w:rFonts w:hint="eastAsia" w:ascii="宋体" w:hAnsi="宋体" w:cs="宋体"/>
                <w:color w:val="000000"/>
                <w:sz w:val="22"/>
              </w:rPr>
              <w:t>以上快艇</w:t>
            </w:r>
          </w:p>
        </w:tc>
        <w:tc>
          <w:tcPr>
            <w:tcW w:w="2424" w:type="dxa"/>
            <w:vAlign w:val="center"/>
          </w:tcPr>
          <w:p>
            <w:pPr>
              <w:adjustRightInd w:val="0"/>
              <w:snapToGrid w:val="0"/>
              <w:spacing w:line="360" w:lineRule="exact"/>
              <w:jc w:val="center"/>
              <w:rPr>
                <w:rFonts w:hint="eastAsia" w:ascii="宋体" w:hAnsi="宋体"/>
                <w:color w:val="000000"/>
                <w:szCs w:val="21"/>
              </w:rPr>
            </w:pPr>
            <w:r>
              <w:rPr>
                <w:rFonts w:hint="eastAsia" w:ascii="宋体" w:hAnsi="宋体" w:cs="宋体"/>
                <w:color w:val="000000"/>
                <w:sz w:val="22"/>
              </w:rPr>
              <w:t>1艘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625" w:hRule="atLeast"/>
          <w:jc w:val="center"/>
        </w:trPr>
        <w:tc>
          <w:tcPr>
            <w:tcW w:w="9120" w:type="dxa"/>
            <w:gridSpan w:val="2"/>
            <w:vAlign w:val="center"/>
          </w:tcPr>
          <w:p>
            <w:pPr>
              <w:spacing w:line="360" w:lineRule="auto"/>
              <w:ind w:firstLine="440" w:firstLineChars="200"/>
              <w:rPr>
                <w:rFonts w:hint="eastAsia" w:ascii="宋体" w:hAnsi="宋体" w:cs="宋体"/>
                <w:color w:val="000000"/>
                <w:sz w:val="22"/>
              </w:rPr>
            </w:pPr>
            <w:r>
              <w:rPr>
                <w:rFonts w:hint="eastAsia" w:ascii="宋体" w:hAnsi="宋体" w:cs="宋体"/>
                <w:color w:val="000000"/>
                <w:sz w:val="22"/>
              </w:rPr>
              <w:t>注：上述设备，自有或租赁的均可，需对主机功率进行说明并提供证明材料。自有的，须提供年审有效的船舶检验证书复印件和船舶产权证明复印件（原件备查）。租赁的，租赁期</w:t>
            </w:r>
            <w:r>
              <w:rPr>
                <w:rFonts w:hint="eastAsia" w:ascii="宋体" w:hAnsi="宋体" w:cs="宋体"/>
                <w:color w:val="000000"/>
                <w:sz w:val="22"/>
                <w:lang w:val="en-US" w:eastAsia="zh-CN"/>
              </w:rPr>
              <w:t>至少</w:t>
            </w:r>
            <w:r>
              <w:rPr>
                <w:rFonts w:hint="eastAsia" w:ascii="宋体" w:hAnsi="宋体" w:cs="宋体"/>
                <w:color w:val="000000"/>
                <w:sz w:val="22"/>
                <w:highlight w:val="none"/>
              </w:rPr>
              <w:t>至202</w:t>
            </w:r>
            <w:r>
              <w:rPr>
                <w:rFonts w:hint="eastAsia" w:ascii="宋体" w:hAnsi="宋体" w:cs="宋体"/>
                <w:color w:val="000000"/>
                <w:sz w:val="22"/>
                <w:highlight w:val="none"/>
                <w:lang w:val="en-US" w:eastAsia="zh-CN"/>
              </w:rPr>
              <w:t>5</w:t>
            </w:r>
            <w:r>
              <w:rPr>
                <w:rFonts w:hint="eastAsia" w:ascii="宋体" w:hAnsi="宋体" w:cs="宋体"/>
                <w:color w:val="000000"/>
                <w:sz w:val="22"/>
                <w:highlight w:val="none"/>
              </w:rPr>
              <w:t>年12月31日</w:t>
            </w:r>
            <w:r>
              <w:rPr>
                <w:rFonts w:hint="eastAsia" w:ascii="宋体" w:hAnsi="宋体" w:cs="宋体"/>
                <w:color w:val="000000"/>
                <w:sz w:val="22"/>
              </w:rPr>
              <w:t>，同时须提供租赁合同及船舶检验证书复印件。</w:t>
            </w:r>
            <w:r>
              <w:rPr>
                <w:rFonts w:hint="eastAsia" w:ascii="宋体" w:hAnsi="宋体" w:cs="宋体"/>
                <w:color w:val="000000"/>
                <w:sz w:val="22"/>
                <w:lang w:val="en-US" w:eastAsia="zh-CN"/>
              </w:rPr>
              <w:t>如本项目经考核后合同期延长至2027年，则中标人需相应延长设备租赁期至合同届满日，否则招标人有权终止合同。</w:t>
            </w:r>
          </w:p>
        </w:tc>
      </w:tr>
    </w:tbl>
    <w:p>
      <w:pPr>
        <w:pStyle w:val="2"/>
        <w:rPr>
          <w:rFonts w:hint="eastAsia" w:ascii="仿宋" w:hAnsi="仿宋" w:eastAsia="仿宋" w:cs="仿宋"/>
          <w:color w:val="000000"/>
          <w:sz w:val="18"/>
          <w:szCs w:val="18"/>
          <w:highlight w:val="none"/>
        </w:rPr>
      </w:pPr>
    </w:p>
    <w:p>
      <w:pPr>
        <w:autoSpaceDE w:val="0"/>
        <w:autoSpaceDN w:val="0"/>
        <w:adjustRightInd w:val="0"/>
        <w:spacing w:line="400" w:lineRule="exact"/>
        <w:jc w:val="left"/>
        <w:rPr>
          <w:rFonts w:hint="eastAsia" w:ascii="宋体" w:hAnsi="宋体" w:cs="楷体_GB2312"/>
          <w:color w:val="000000"/>
          <w:kern w:val="0"/>
          <w:szCs w:val="21"/>
          <w:lang w:val="en-US" w:eastAsia="zh-CN"/>
        </w:rPr>
      </w:pPr>
    </w:p>
    <w:p>
      <w:pPr>
        <w:autoSpaceDE w:val="0"/>
        <w:autoSpaceDN w:val="0"/>
        <w:adjustRightInd w:val="0"/>
        <w:spacing w:line="400" w:lineRule="exact"/>
        <w:jc w:val="left"/>
        <w:rPr>
          <w:rFonts w:hint="eastAsia" w:ascii="宋体" w:hAnsi="宋体" w:cs="楷体_GB2312"/>
          <w:color w:val="000000"/>
          <w:kern w:val="0"/>
          <w:szCs w:val="21"/>
          <w:lang w:val="en-US" w:eastAsia="zh-CN"/>
        </w:rPr>
      </w:pPr>
    </w:p>
    <w:p>
      <w:pPr>
        <w:autoSpaceDE w:val="0"/>
        <w:autoSpaceDN w:val="0"/>
        <w:adjustRightInd w:val="0"/>
        <w:spacing w:line="400" w:lineRule="exact"/>
        <w:jc w:val="left"/>
        <w:rPr>
          <w:rFonts w:hint="eastAsia" w:ascii="宋体" w:hAnsi="宋体" w:cs="楷体_GB2312"/>
          <w:color w:val="000000"/>
          <w:kern w:val="0"/>
          <w:szCs w:val="21"/>
          <w:lang w:val="en-US" w:eastAsia="zh-CN"/>
        </w:rPr>
      </w:pPr>
    </w:p>
    <w:p>
      <w:pPr>
        <w:autoSpaceDE w:val="0"/>
        <w:autoSpaceDN w:val="0"/>
        <w:adjustRightInd w:val="0"/>
        <w:spacing w:line="400" w:lineRule="exact"/>
        <w:jc w:val="left"/>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ind w:left="0" w:leftChars="0" w:firstLine="0" w:firstLineChars="0"/>
        <w:rPr>
          <w:rFonts w:hint="eastAsia" w:ascii="宋体" w:hAnsi="宋体" w:cs="楷体_GB2312"/>
          <w:color w:val="000000"/>
          <w:kern w:val="0"/>
          <w:szCs w:val="21"/>
          <w:lang w:val="en-US" w:eastAsia="zh-CN"/>
        </w:rPr>
      </w:pPr>
    </w:p>
    <w:p>
      <w:pPr>
        <w:pStyle w:val="2"/>
        <w:rPr>
          <w:rFonts w:hint="eastAsia" w:ascii="宋体" w:hAnsi="宋体" w:cs="楷体_GB2312"/>
          <w:color w:val="000000"/>
          <w:kern w:val="0"/>
          <w:szCs w:val="21"/>
          <w:lang w:val="en-US" w:eastAsia="zh-CN"/>
        </w:rPr>
      </w:pPr>
    </w:p>
    <w:p>
      <w:pPr>
        <w:pStyle w:val="2"/>
        <w:rPr>
          <w:rFonts w:eastAsia="黑体"/>
          <w:color w:val="000000"/>
          <w:sz w:val="30"/>
          <w:szCs w:val="30"/>
          <w:highlight w:val="none"/>
        </w:rPr>
      </w:pPr>
      <w:r>
        <w:rPr>
          <w:rFonts w:hint="eastAsia" w:ascii="宋体" w:hAnsi="宋体"/>
          <w:b/>
          <w:bCs/>
          <w:color w:val="000000"/>
          <w:sz w:val="28"/>
          <w:szCs w:val="28"/>
          <w:highlight w:val="none"/>
        </w:rPr>
        <w:t>附件</w:t>
      </w:r>
      <w:r>
        <w:rPr>
          <w:rFonts w:hint="eastAsia" w:ascii="宋体" w:hAnsi="宋体"/>
          <w:b/>
          <w:bCs/>
          <w:color w:val="000000"/>
          <w:sz w:val="28"/>
          <w:szCs w:val="28"/>
          <w:highlight w:val="none"/>
          <w:lang w:val="en-US" w:eastAsia="zh-CN"/>
        </w:rPr>
        <w:t>三</w:t>
      </w:r>
      <w:r>
        <w:rPr>
          <w:rFonts w:hint="eastAsia" w:ascii="宋体" w:hAnsi="宋体"/>
          <w:b/>
          <w:bCs/>
          <w:color w:val="000000"/>
          <w:sz w:val="28"/>
          <w:szCs w:val="28"/>
          <w:highlight w:val="none"/>
        </w:rPr>
        <w:t>：</w:t>
      </w:r>
      <w:r>
        <w:rPr>
          <w:rFonts w:eastAsia="黑体"/>
          <w:color w:val="000000"/>
          <w:sz w:val="30"/>
          <w:szCs w:val="30"/>
          <w:highlight w:val="none"/>
        </w:rPr>
        <w:t>评标办法</w:t>
      </w:r>
    </w:p>
    <w:p>
      <w:pPr>
        <w:spacing w:line="440" w:lineRule="exact"/>
        <w:ind w:firstLine="720" w:firstLineChars="200"/>
        <w:jc w:val="center"/>
        <w:rPr>
          <w:rFonts w:hint="eastAsia" w:eastAsia="黑体"/>
          <w:color w:val="000000"/>
          <w:sz w:val="30"/>
          <w:szCs w:val="30"/>
          <w:highlight w:val="none"/>
        </w:rPr>
      </w:pPr>
      <w:r>
        <w:rPr>
          <w:rFonts w:eastAsia="黑体"/>
          <w:color w:val="000000"/>
          <w:sz w:val="30"/>
          <w:szCs w:val="30"/>
          <w:highlight w:val="none"/>
        </w:rPr>
        <w:t>评标办法(</w:t>
      </w:r>
      <w:r>
        <w:rPr>
          <w:rFonts w:hint="eastAsia" w:eastAsia="黑体"/>
          <w:color w:val="000000"/>
          <w:sz w:val="30"/>
          <w:szCs w:val="30"/>
          <w:highlight w:val="none"/>
        </w:rPr>
        <w:t>双信封的综合评分法</w:t>
      </w:r>
      <w:r>
        <w:rPr>
          <w:rFonts w:eastAsia="黑体"/>
          <w:color w:val="000000"/>
          <w:sz w:val="30"/>
          <w:szCs w:val="30"/>
          <w:highlight w:val="none"/>
        </w:rPr>
        <w:t>)</w:t>
      </w:r>
    </w:p>
    <w:p>
      <w:pPr>
        <w:spacing w:line="440" w:lineRule="exact"/>
        <w:jc w:val="center"/>
        <w:rPr>
          <w:rFonts w:hint="eastAsia" w:eastAsia="黑体"/>
          <w:color w:val="000000"/>
          <w:sz w:val="32"/>
          <w:szCs w:val="32"/>
          <w:highlight w:val="none"/>
        </w:rPr>
      </w:pPr>
      <w:r>
        <w:rPr>
          <w:rFonts w:eastAsia="黑体"/>
          <w:color w:val="000000"/>
          <w:sz w:val="32"/>
          <w:szCs w:val="32"/>
          <w:highlight w:val="none"/>
        </w:rPr>
        <w:t>评标办法前附表</w:t>
      </w:r>
    </w:p>
    <w:tbl>
      <w:tblPr>
        <w:tblStyle w:val="9"/>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891"/>
        <w:gridCol w:w="7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8" w:hRule="atLeast"/>
          <w:tblHeader/>
          <w:jc w:val="center"/>
        </w:trPr>
        <w:tc>
          <w:tcPr>
            <w:tcW w:w="1632" w:type="dxa"/>
            <w:gridSpan w:val="2"/>
            <w:tcBorders>
              <w:top w:val="single" w:color="auto" w:sz="4" w:space="0"/>
              <w:bottom w:val="single" w:color="auto" w:sz="4" w:space="0"/>
              <w:right w:val="single" w:color="auto" w:sz="4" w:space="0"/>
            </w:tcBorders>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000000"/>
                <w:szCs w:val="21"/>
                <w:highlight w:val="none"/>
              </w:rPr>
            </w:pPr>
            <w:r>
              <w:rPr>
                <w:rFonts w:ascii="宋体" w:hAnsi="宋体"/>
                <w:b/>
                <w:color w:val="000000"/>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color w:val="000000"/>
                <w:szCs w:val="21"/>
                <w:highlight w:val="none"/>
              </w:rPr>
            </w:pPr>
            <w:r>
              <w:rPr>
                <w:rFonts w:hint="eastAsia" w:ascii="宋体" w:hAnsi="宋体"/>
                <w:color w:val="000000"/>
                <w:szCs w:val="21"/>
                <w:highlight w:val="none"/>
              </w:rPr>
              <w:t>评标办法</w:t>
            </w:r>
          </w:p>
        </w:tc>
        <w:tc>
          <w:tcPr>
            <w:tcW w:w="7829" w:type="dxa"/>
            <w:tcBorders>
              <w:top w:val="single" w:color="auto" w:sz="4" w:space="0"/>
              <w:left w:val="single" w:color="auto" w:sz="4" w:space="0"/>
              <w:right w:val="single" w:color="auto" w:sz="4" w:space="0"/>
            </w:tcBorders>
            <w:vAlign w:val="center"/>
          </w:tcPr>
          <w:p>
            <w:pPr>
              <w:pStyle w:val="5"/>
              <w:adjustRightInd w:val="0"/>
              <w:snapToGrid w:val="0"/>
              <w:spacing w:line="360" w:lineRule="exact"/>
              <w:rPr>
                <w:rFonts w:hint="eastAsia" w:hAnsi="宋体"/>
                <w:color w:val="000000"/>
                <w:szCs w:val="21"/>
                <w:highlight w:val="none"/>
              </w:rPr>
            </w:pPr>
            <w:r>
              <w:rPr>
                <w:rFonts w:hint="eastAsia" w:hAnsi="宋体"/>
                <w:color w:val="000000"/>
                <w:szCs w:val="21"/>
                <w:highlight w:val="none"/>
              </w:rPr>
              <w:t>综合评分相等时，评标委员会依次按照以下优先顺序推荐中标候选人：</w:t>
            </w:r>
          </w:p>
          <w:p>
            <w:pPr>
              <w:pStyle w:val="5"/>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（1）评标价低的优先，当一家以上投标人综合得分相等且评标价也相等时，若各投标人工程量清单细目单价也相同，视为串标（一个合同段仅一工作细目报价的除外），应否决其投标；</w:t>
            </w:r>
          </w:p>
          <w:p>
            <w:pPr>
              <w:pStyle w:val="5"/>
              <w:adjustRightInd w:val="0"/>
              <w:snapToGrid w:val="0"/>
              <w:spacing w:line="360" w:lineRule="exact"/>
              <w:ind w:firstLine="315" w:firstLineChars="150"/>
              <w:rPr>
                <w:rFonts w:hint="eastAsia" w:hAnsi="宋体"/>
                <w:color w:val="000000"/>
                <w:szCs w:val="21"/>
                <w:highlight w:val="none"/>
              </w:rPr>
            </w:pPr>
            <w:r>
              <w:rPr>
                <w:rFonts w:hint="eastAsia" w:hAnsi="宋体"/>
                <w:color w:val="000000"/>
                <w:szCs w:val="21"/>
                <w:highlight w:val="none"/>
              </w:rPr>
              <w:t>（2）以投标人商务及技术文件得分较高的优先；</w:t>
            </w:r>
          </w:p>
          <w:p>
            <w:pPr>
              <w:pStyle w:val="5"/>
              <w:adjustRightInd w:val="0"/>
              <w:snapToGrid w:val="0"/>
              <w:spacing w:line="360" w:lineRule="exact"/>
              <w:ind w:firstLine="315" w:firstLineChars="150"/>
              <w:rPr>
                <w:rFonts w:hint="eastAsia" w:ascii="宋体" w:hAnsi="宋体"/>
                <w:color w:val="000000"/>
                <w:szCs w:val="21"/>
                <w:highlight w:val="none"/>
              </w:rPr>
            </w:pPr>
            <w:r>
              <w:rPr>
                <w:rFonts w:hint="eastAsia" w:hAnsi="宋体"/>
                <w:color w:val="000000"/>
                <w:szCs w:val="21"/>
                <w:highlight w:val="none"/>
              </w:rPr>
              <w:t>（3）由</w:t>
            </w:r>
            <w:r>
              <w:rPr>
                <w:rFonts w:hint="eastAsia" w:ascii="宋体" w:hAnsi="宋体"/>
                <w:color w:val="000000"/>
                <w:szCs w:val="21"/>
                <w:highlight w:val="none"/>
              </w:rPr>
              <w:t>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5"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spacing w:line="360" w:lineRule="exact"/>
              <w:rPr>
                <w:rFonts w:hint="eastAsia" w:ascii="宋体" w:hAnsi="宋体"/>
                <w:b/>
                <w:color w:val="000000"/>
                <w:szCs w:val="21"/>
                <w:highlight w:val="none"/>
              </w:rPr>
            </w:pPr>
            <w:r>
              <w:rPr>
                <w:rFonts w:hint="eastAsia" w:ascii="宋体" w:hAnsi="宋体"/>
                <w:b/>
                <w:color w:val="000000"/>
                <w:szCs w:val="21"/>
                <w:highlight w:val="none"/>
              </w:rPr>
              <w:t>第一个信封（商务及技术文件）评审标准</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(1)投标文件按照招标文件规定的格式、内容填写，字迹清晰可辨：</w:t>
            </w:r>
          </w:p>
          <w:p>
            <w:pPr>
              <w:spacing w:line="360" w:lineRule="exact"/>
              <w:ind w:firstLine="390"/>
              <w:rPr>
                <w:rFonts w:ascii="宋体" w:hAnsi="宋体"/>
                <w:color w:val="000000"/>
                <w:szCs w:val="21"/>
                <w:highlight w:val="none"/>
              </w:rPr>
            </w:pPr>
            <w:r>
              <w:rPr>
                <w:rFonts w:ascii="宋体" w:hAnsi="宋体"/>
                <w:color w:val="000000"/>
                <w:szCs w:val="21"/>
                <w:highlight w:val="none"/>
              </w:rPr>
              <w:t>a.投标函按招标文件规定填报了</w:t>
            </w:r>
            <w:r>
              <w:rPr>
                <w:rFonts w:hint="eastAsia" w:ascii="宋体" w:hAnsi="宋体"/>
                <w:color w:val="000000"/>
                <w:szCs w:val="21"/>
                <w:highlight w:val="none"/>
              </w:rPr>
              <w:t>项目名称、标段号、补遗书编号（如有）、</w:t>
            </w:r>
            <w:r>
              <w:rPr>
                <w:rFonts w:ascii="宋体" w:hAnsi="宋体"/>
                <w:color w:val="000000"/>
                <w:szCs w:val="21"/>
                <w:highlight w:val="none"/>
              </w:rPr>
              <w:t>工期</w:t>
            </w:r>
            <w:r>
              <w:rPr>
                <w:rFonts w:hint="eastAsia" w:ascii="宋体" w:hAnsi="宋体"/>
                <w:color w:val="000000"/>
                <w:szCs w:val="21"/>
                <w:highlight w:val="none"/>
              </w:rPr>
              <w:t>、</w:t>
            </w:r>
            <w:r>
              <w:rPr>
                <w:rFonts w:ascii="宋体" w:hAnsi="宋体"/>
                <w:color w:val="000000"/>
                <w:szCs w:val="21"/>
                <w:highlight w:val="none"/>
              </w:rPr>
              <w:t>工程质量</w:t>
            </w:r>
            <w:r>
              <w:rPr>
                <w:rFonts w:hint="eastAsia" w:ascii="宋体" w:hAnsi="宋体"/>
                <w:color w:val="000000"/>
                <w:szCs w:val="21"/>
                <w:highlight w:val="none"/>
              </w:rPr>
              <w:t>要求及安全目标</w:t>
            </w:r>
            <w:r>
              <w:rPr>
                <w:rFonts w:ascii="宋体" w:hAnsi="宋体"/>
                <w:color w:val="000000"/>
                <w:szCs w:val="21"/>
                <w:highlight w:val="none"/>
              </w:rPr>
              <w:t>；</w:t>
            </w:r>
          </w:p>
          <w:p>
            <w:pPr>
              <w:spacing w:line="360" w:lineRule="exact"/>
              <w:ind w:firstLine="390"/>
              <w:rPr>
                <w:rFonts w:ascii="宋体" w:hAnsi="宋体"/>
                <w:color w:val="000000"/>
                <w:szCs w:val="21"/>
                <w:highlight w:val="none"/>
              </w:rPr>
            </w:pPr>
            <w:r>
              <w:rPr>
                <w:rFonts w:ascii="宋体" w:hAnsi="宋体"/>
                <w:color w:val="000000"/>
                <w:szCs w:val="21"/>
                <w:highlight w:val="none"/>
              </w:rPr>
              <w:t>b.投标函附录的所有数据均符合招标文件规定；</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c</w:t>
            </w:r>
            <w:r>
              <w:rPr>
                <w:rFonts w:ascii="宋体" w:hAnsi="宋体"/>
                <w:color w:val="000000"/>
                <w:szCs w:val="21"/>
                <w:highlight w:val="none"/>
              </w:rPr>
              <w:t>.</w:t>
            </w:r>
            <w:r>
              <w:rPr>
                <w:rFonts w:hint="eastAsia" w:ascii="宋体" w:hAnsi="宋体"/>
                <w:color w:val="000000"/>
                <w:szCs w:val="21"/>
                <w:highlight w:val="none"/>
              </w:rPr>
              <w:t>投标文件（第一个信封）组成齐全完整，</w:t>
            </w:r>
            <w:r>
              <w:rPr>
                <w:rFonts w:hint="eastAsia" w:ascii="宋体" w:hAnsi="宋体"/>
                <w:color w:val="000000"/>
                <w:szCs w:val="21"/>
                <w:highlight w:val="none"/>
                <w:lang w:val="en-US" w:eastAsia="zh-CN"/>
              </w:rPr>
              <w:t>正、副本</w:t>
            </w:r>
            <w:r>
              <w:rPr>
                <w:rFonts w:hint="eastAsia" w:ascii="宋体" w:hAnsi="宋体"/>
                <w:color w:val="000000"/>
                <w:szCs w:val="21"/>
                <w:highlight w:val="none"/>
              </w:rPr>
              <w:t>份数符合规定，内容均按规定填写。</w:t>
            </w:r>
          </w:p>
          <w:p>
            <w:pPr>
              <w:spacing w:line="360" w:lineRule="exact"/>
              <w:ind w:left="-2" w:leftChars="-1" w:firstLine="420" w:firstLineChars="200"/>
              <w:rPr>
                <w:rFonts w:hint="eastAsia" w:ascii="宋体" w:hAnsi="宋体"/>
                <w:color w:val="000000"/>
                <w:szCs w:val="21"/>
                <w:highlight w:val="none"/>
              </w:rPr>
            </w:pPr>
            <w:r>
              <w:rPr>
                <w:rFonts w:ascii="宋体" w:hAnsi="宋体"/>
                <w:color w:val="000000"/>
                <w:szCs w:val="21"/>
                <w:highlight w:val="none"/>
              </w:rPr>
              <w:t>(2) 投标文件上法定代表人或其授权代理人的签字、投标人的单位章盖章齐全，符合招标文件</w:t>
            </w:r>
            <w:r>
              <w:rPr>
                <w:rFonts w:hint="eastAsia" w:ascii="宋体" w:hAnsi="宋体"/>
                <w:color w:val="000000"/>
                <w:szCs w:val="21"/>
                <w:highlight w:val="none"/>
              </w:rPr>
              <w:t>的</w:t>
            </w:r>
            <w:r>
              <w:rPr>
                <w:rFonts w:ascii="宋体" w:hAnsi="宋体"/>
                <w:color w:val="000000"/>
                <w:szCs w:val="21"/>
                <w:highlight w:val="none"/>
              </w:rPr>
              <w:t>规定。</w:t>
            </w:r>
          </w:p>
          <w:p>
            <w:pPr>
              <w:spacing w:line="360" w:lineRule="exact"/>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w:t>
            </w:r>
            <w:r>
              <w:rPr>
                <w:rFonts w:hint="eastAsia" w:ascii="宋体" w:hAnsi="宋体"/>
                <w:color w:val="000000"/>
                <w:szCs w:val="21"/>
                <w:highlight w:val="none"/>
                <w:lang w:val="en-US" w:eastAsia="zh-CN"/>
              </w:rPr>
              <w:t>3</w:t>
            </w:r>
            <w:r>
              <w:rPr>
                <w:rFonts w:ascii="宋体" w:hAnsi="宋体"/>
                <w:color w:val="000000"/>
                <w:szCs w:val="21"/>
                <w:highlight w:val="none"/>
              </w:rPr>
              <w:t>)投标人按照招标文件的规定提供了投标担保：</w:t>
            </w:r>
          </w:p>
          <w:p>
            <w:pPr>
              <w:spacing w:line="360" w:lineRule="exact"/>
              <w:ind w:firstLine="445" w:firstLineChars="212"/>
              <w:rPr>
                <w:rFonts w:ascii="宋体" w:hAnsi="宋体"/>
                <w:color w:val="000000"/>
                <w:szCs w:val="21"/>
                <w:highlight w:val="none"/>
              </w:rPr>
            </w:pPr>
            <w:r>
              <w:rPr>
                <w:rFonts w:ascii="宋体" w:hAnsi="宋体"/>
                <w:color w:val="000000"/>
                <w:szCs w:val="21"/>
                <w:highlight w:val="none"/>
              </w:rPr>
              <w:t>a.投标担保金额符合招标文件规定的金额</w:t>
            </w:r>
            <w:r>
              <w:rPr>
                <w:rFonts w:hint="eastAsia" w:ascii="宋体" w:hAnsi="宋体"/>
                <w:color w:val="000000"/>
                <w:szCs w:val="21"/>
                <w:highlight w:val="none"/>
              </w:rPr>
              <w:t>,且投标保证金有效期不少于投标有效期</w:t>
            </w:r>
            <w:r>
              <w:rPr>
                <w:rFonts w:ascii="宋体" w:hAnsi="宋体"/>
                <w:color w:val="000000"/>
                <w:szCs w:val="21"/>
                <w:highlight w:val="none"/>
              </w:rPr>
              <w:t>；</w:t>
            </w:r>
          </w:p>
          <w:p>
            <w:pPr>
              <w:spacing w:line="360" w:lineRule="exact"/>
              <w:ind w:firstLine="445" w:firstLineChars="212"/>
              <w:rPr>
                <w:rFonts w:hint="eastAsia" w:ascii="宋体" w:hAnsi="宋体"/>
                <w:color w:val="000000"/>
                <w:szCs w:val="21"/>
                <w:highlight w:val="none"/>
              </w:rPr>
            </w:pPr>
            <w:r>
              <w:rPr>
                <w:rFonts w:ascii="宋体" w:hAnsi="宋体"/>
                <w:color w:val="000000"/>
                <w:szCs w:val="21"/>
                <w:highlight w:val="none"/>
              </w:rPr>
              <w:t>b.</w:t>
            </w:r>
            <w:r>
              <w:rPr>
                <w:rFonts w:hint="eastAsia" w:ascii="宋体" w:hAnsi="宋体" w:cs="宋体"/>
                <w:color w:val="000000"/>
                <w:kern w:val="0"/>
                <w:szCs w:val="21"/>
                <w:highlight w:val="none"/>
              </w:rPr>
              <w:t xml:space="preserve"> </w:t>
            </w:r>
            <w:r>
              <w:rPr>
                <w:rFonts w:hint="eastAsia" w:ascii="宋体" w:hAnsi="宋体"/>
                <w:color w:val="000000"/>
                <w:szCs w:val="21"/>
                <w:highlight w:val="none"/>
              </w:rPr>
              <w:t>若</w:t>
            </w:r>
            <w:r>
              <w:rPr>
                <w:rFonts w:ascii="宋体" w:hAnsi="宋体"/>
                <w:color w:val="000000"/>
                <w:szCs w:val="21"/>
                <w:highlight w:val="none"/>
              </w:rPr>
              <w:t>投标担保金</w:t>
            </w:r>
            <w:r>
              <w:rPr>
                <w:rFonts w:hint="eastAsia" w:ascii="宋体" w:hAnsi="宋体"/>
                <w:color w:val="000000"/>
                <w:szCs w:val="21"/>
                <w:highlight w:val="none"/>
              </w:rPr>
              <w:t>采用现金或支票形式提交，投标人应在投标人须知3.4.1款规定的时间，将投标保证金由投标人的基本账户一次性汇入（或开给）招标人指定账户；</w:t>
            </w:r>
          </w:p>
          <w:p>
            <w:pPr>
              <w:spacing w:line="360" w:lineRule="exact"/>
              <w:ind w:firstLine="445" w:firstLineChars="212"/>
              <w:rPr>
                <w:rFonts w:ascii="宋体" w:hAnsi="宋体"/>
                <w:b/>
                <w:color w:val="000000"/>
                <w:szCs w:val="21"/>
                <w:highlight w:val="none"/>
              </w:rPr>
            </w:pPr>
            <w:r>
              <w:rPr>
                <w:rFonts w:ascii="宋体" w:hAnsi="宋体"/>
                <w:color w:val="000000"/>
                <w:szCs w:val="21"/>
                <w:highlight w:val="none"/>
              </w:rPr>
              <w:t>c.若投标担保金采用银行保函</w:t>
            </w:r>
            <w:r>
              <w:rPr>
                <w:rFonts w:hint="eastAsia" w:ascii="宋体" w:hAnsi="宋体"/>
                <w:color w:val="000000"/>
                <w:szCs w:val="21"/>
                <w:highlight w:val="none"/>
              </w:rPr>
              <w:t>形式提交</w:t>
            </w:r>
            <w:r>
              <w:rPr>
                <w:rFonts w:ascii="宋体" w:hAnsi="宋体"/>
                <w:color w:val="000000"/>
                <w:szCs w:val="21"/>
                <w:highlight w:val="none"/>
              </w:rPr>
              <w:t>，银行保函的格式、开具保函的银行均满足招标文件要求，</w:t>
            </w:r>
            <w:r>
              <w:rPr>
                <w:rFonts w:ascii="宋体" w:hAnsi="宋体"/>
                <w:b/>
                <w:color w:val="000000"/>
                <w:szCs w:val="21"/>
                <w:highlight w:val="none"/>
              </w:rPr>
              <w:t>且银行保函原件在</w:t>
            </w:r>
            <w:r>
              <w:rPr>
                <w:rFonts w:hint="eastAsia" w:ascii="宋体" w:hAnsi="宋体"/>
                <w:b/>
                <w:color w:val="000000"/>
                <w:szCs w:val="21"/>
                <w:highlight w:val="none"/>
              </w:rPr>
              <w:t>递交</w:t>
            </w:r>
            <w:r>
              <w:rPr>
                <w:rFonts w:ascii="宋体" w:hAnsi="宋体"/>
                <w:b/>
                <w:color w:val="000000"/>
                <w:szCs w:val="21"/>
                <w:highlight w:val="none"/>
              </w:rPr>
              <w:t>投标文件</w:t>
            </w:r>
            <w:r>
              <w:rPr>
                <w:rFonts w:hint="eastAsia" w:ascii="宋体" w:hAnsi="宋体"/>
                <w:b/>
                <w:color w:val="000000"/>
                <w:szCs w:val="21"/>
                <w:highlight w:val="none"/>
              </w:rPr>
              <w:t>时单独密封递交，其复印件装订在投标文件中</w:t>
            </w:r>
            <w:r>
              <w:rPr>
                <w:rFonts w:ascii="宋体" w:hAnsi="宋体"/>
                <w:b/>
                <w:color w:val="000000"/>
                <w:szCs w:val="21"/>
                <w:highlight w:val="none"/>
              </w:rPr>
              <w:t>。</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)投标人法定代表人授权委托代理人签署投标文件的，须提交授权委托书，且授权人和被授权人均在授权委托书上签名，未使用印章、签名章或其他电子制版签名。</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)投标人法定代表人若亲自签署投标文件的，提供了法定代表人身份证明，且法定代表人在法定代表人身份证明上签名，未使用印章、签名章或其他电子制版签名。</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w:t>
            </w:r>
            <w:r>
              <w:rPr>
                <w:rFonts w:hint="eastAsia" w:ascii="宋体" w:hAnsi="宋体"/>
                <w:color w:val="000000"/>
                <w:szCs w:val="21"/>
                <w:highlight w:val="none"/>
              </w:rPr>
              <w:t>本项目不允许</w:t>
            </w:r>
            <w:r>
              <w:rPr>
                <w:rFonts w:ascii="宋体" w:hAnsi="宋体"/>
                <w:color w:val="000000"/>
                <w:szCs w:val="21"/>
                <w:highlight w:val="none"/>
              </w:rPr>
              <w:t>分包</w:t>
            </w:r>
            <w:r>
              <w:rPr>
                <w:rFonts w:hint="eastAsia" w:ascii="宋体" w:hAnsi="宋体"/>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7</w:t>
            </w:r>
            <w:r>
              <w:rPr>
                <w:rFonts w:ascii="宋体" w:hAnsi="宋体"/>
                <w:color w:val="000000"/>
                <w:szCs w:val="21"/>
                <w:highlight w:val="none"/>
              </w:rPr>
              <w:t>)</w:t>
            </w:r>
            <w:r>
              <w:rPr>
                <w:rFonts w:hint="eastAsia" w:ascii="宋体" w:hAnsi="宋体"/>
                <w:color w:val="000000"/>
                <w:szCs w:val="21"/>
                <w:highlight w:val="none"/>
              </w:rPr>
              <w:t>同一标段的同一投标人没有提交两个以上不同的投标文件，但招标文件要求提交备选投标的除外。</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8</w:t>
            </w:r>
            <w:r>
              <w:rPr>
                <w:rFonts w:hint="eastAsia" w:ascii="宋体" w:hAnsi="宋体"/>
                <w:color w:val="000000"/>
                <w:szCs w:val="21"/>
                <w:highlight w:val="none"/>
              </w:rPr>
              <w:t>）投标文件第一个信封（商务及技术文件）不得出现有关投标报价的内容。</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9</w:t>
            </w:r>
            <w:r>
              <w:rPr>
                <w:rFonts w:ascii="宋体" w:hAnsi="宋体"/>
                <w:color w:val="000000"/>
                <w:szCs w:val="21"/>
                <w:highlight w:val="none"/>
              </w:rPr>
              <w:t>)投标文件载明的招标项目完成期限未超过招标文件规定的时限</w:t>
            </w:r>
            <w:r>
              <w:rPr>
                <w:rFonts w:hint="eastAsia" w:ascii="宋体" w:hAnsi="宋体"/>
                <w:color w:val="000000"/>
                <w:szCs w:val="21"/>
                <w:highlight w:val="none"/>
              </w:rPr>
              <w:t>。</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ascii="宋体" w:hAnsi="宋体"/>
                <w:color w:val="000000"/>
                <w:szCs w:val="21"/>
                <w:highlight w:val="none"/>
              </w:rPr>
              <w:t>)</w:t>
            </w:r>
            <w:r>
              <w:rPr>
                <w:rFonts w:hint="eastAsia" w:ascii="宋体" w:hAnsi="宋体"/>
                <w:color w:val="000000"/>
                <w:szCs w:val="21"/>
                <w:highlight w:val="none"/>
              </w:rPr>
              <w:t>投标文件对招标文件的实质性要求和条件作出响应。</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lang w:val="en-US" w:eastAsia="zh-CN"/>
              </w:rPr>
              <w:t>1</w:t>
            </w:r>
            <w:r>
              <w:rPr>
                <w:rFonts w:ascii="宋体" w:hAnsi="宋体"/>
                <w:color w:val="000000"/>
                <w:szCs w:val="21"/>
                <w:highlight w:val="none"/>
              </w:rPr>
              <w:t>)权利义务符合招标文件规定：</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a.投标人应接受招标文件规定的风险划分原则，未提出新的风险划分办法；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b.投标人未增加发包人的责任范围，或减少投标人义务；</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c.投标人未提出不同的工程验收、计量、支付办法；</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d.投标人对合同纠纷、事故处理办法未提出异议；</w:t>
            </w:r>
          </w:p>
          <w:p>
            <w:pPr>
              <w:spacing w:line="360" w:lineRule="exact"/>
              <w:ind w:firstLine="420" w:firstLineChars="200"/>
              <w:rPr>
                <w:rFonts w:ascii="宋体" w:hAnsi="宋体"/>
                <w:color w:val="000000"/>
                <w:szCs w:val="21"/>
                <w:highlight w:val="none"/>
              </w:rPr>
            </w:pPr>
            <w:r>
              <w:rPr>
                <w:rFonts w:ascii="宋体" w:hAnsi="宋体"/>
                <w:color w:val="000000"/>
                <w:szCs w:val="21"/>
                <w:highlight w:val="none"/>
              </w:rPr>
              <w:t>e.投标人在投标活动中无欺诈行为；</w:t>
            </w:r>
          </w:p>
          <w:p>
            <w:pPr>
              <w:spacing w:line="360" w:lineRule="exact"/>
              <w:ind w:firstLine="420" w:firstLineChars="200"/>
              <w:rPr>
                <w:rFonts w:hint="eastAsia" w:ascii="宋体" w:hAnsi="宋体"/>
                <w:color w:val="000000"/>
                <w:szCs w:val="21"/>
                <w:highlight w:val="none"/>
              </w:rPr>
            </w:pPr>
            <w:r>
              <w:rPr>
                <w:rFonts w:ascii="宋体" w:hAnsi="宋体"/>
                <w:color w:val="000000"/>
                <w:szCs w:val="21"/>
                <w:highlight w:val="none"/>
              </w:rPr>
              <w:t>f.投标人未对合同条款有重要保留。</w:t>
            </w:r>
          </w:p>
          <w:p>
            <w:pPr>
              <w:spacing w:line="360" w:lineRule="exact"/>
              <w:ind w:firstLine="420" w:firstLineChars="200"/>
              <w:rPr>
                <w:rFonts w:hint="eastAsia" w:ascii="宋体" w:hAnsi="宋体"/>
                <w:color w:val="000000"/>
                <w:szCs w:val="21"/>
                <w:highlight w:val="none"/>
              </w:rPr>
            </w:pPr>
            <w:r>
              <w:rPr>
                <w:rFonts w:hint="eastAsia" w:ascii="宋体" w:hAnsi="宋体"/>
                <w:color w:val="000000"/>
                <w:highlight w:val="none"/>
              </w:rPr>
              <w:t>（1</w:t>
            </w:r>
            <w:r>
              <w:rPr>
                <w:rFonts w:hint="eastAsia" w:ascii="宋体" w:hAnsi="宋体"/>
                <w:color w:val="000000"/>
                <w:highlight w:val="none"/>
                <w:lang w:val="en-US" w:eastAsia="zh-CN"/>
              </w:rPr>
              <w:t>2</w:t>
            </w:r>
            <w:r>
              <w:rPr>
                <w:rFonts w:hint="eastAsia" w:ascii="宋体" w:hAnsi="宋体"/>
                <w:color w:val="000000"/>
                <w:highlight w:val="none"/>
              </w:rPr>
              <w:t>）</w:t>
            </w:r>
            <w:r>
              <w:rPr>
                <w:rFonts w:hint="eastAsia" w:ascii="宋体" w:hAnsi="宋体"/>
                <w:color w:val="000000"/>
                <w:szCs w:val="21"/>
                <w:highlight w:val="none"/>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45"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2.1.1</w:t>
            </w:r>
          </w:p>
          <w:p>
            <w:pPr>
              <w:spacing w:line="360" w:lineRule="exact"/>
              <w:jc w:val="center"/>
              <w:rPr>
                <w:rFonts w:ascii="宋体" w:hAnsi="宋体"/>
                <w:color w:val="000000"/>
                <w:szCs w:val="21"/>
                <w:highlight w:val="none"/>
              </w:rPr>
            </w:pPr>
            <w:r>
              <w:rPr>
                <w:rFonts w:ascii="宋体" w:hAnsi="宋体"/>
                <w:color w:val="000000"/>
                <w:szCs w:val="21"/>
                <w:highlight w:val="none"/>
              </w:rPr>
              <w:t>2.1.3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形式评审与响应性评审标准</w:t>
            </w:r>
          </w:p>
        </w:tc>
        <w:tc>
          <w:tcPr>
            <w:tcW w:w="7829" w:type="dxa"/>
            <w:tcBorders>
              <w:top w:val="single" w:color="auto" w:sz="4" w:space="0"/>
              <w:left w:val="single" w:color="auto" w:sz="4" w:space="0"/>
              <w:right w:val="single" w:color="auto" w:sz="4" w:space="0"/>
            </w:tcBorders>
            <w:vAlign w:val="center"/>
          </w:tcPr>
          <w:p>
            <w:pPr>
              <w:spacing w:line="360" w:lineRule="exact"/>
              <w:jc w:val="left"/>
              <w:rPr>
                <w:rFonts w:hint="eastAsia"/>
                <w:highlight w:val="none"/>
              </w:rPr>
            </w:pPr>
            <w:r>
              <w:rPr>
                <w:rFonts w:hint="eastAsia"/>
                <w:highlight w:val="none"/>
              </w:rPr>
              <w:t>第二</w:t>
            </w:r>
            <w:r>
              <w:rPr>
                <w:rFonts w:hint="eastAsia"/>
                <w:highlight w:val="none"/>
                <w:lang w:val="en-US" w:eastAsia="zh-CN"/>
              </w:rPr>
              <w:t>个</w:t>
            </w:r>
            <w:r>
              <w:rPr>
                <w:rFonts w:hint="eastAsia"/>
                <w:highlight w:val="none"/>
              </w:rPr>
              <w:t>信封（报价文件）评审标准：</w:t>
            </w:r>
          </w:p>
          <w:p>
            <w:pPr>
              <w:spacing w:line="360" w:lineRule="exact"/>
              <w:ind w:firstLine="390"/>
              <w:rPr>
                <w:rFonts w:hint="eastAsia"/>
                <w:highlight w:val="none"/>
              </w:rPr>
            </w:pPr>
            <w:r>
              <w:rPr>
                <w:rFonts w:hint="eastAsia"/>
                <w:highlight w:val="none"/>
              </w:rPr>
              <w:t>（1）</w:t>
            </w:r>
            <w:r>
              <w:rPr>
                <w:highlight w:val="none"/>
              </w:rPr>
              <w:t>投标文件按照招标文件规定的格式、内容填写，字迹清晰可辨：</w:t>
            </w:r>
          </w:p>
          <w:p>
            <w:pPr>
              <w:spacing w:line="360" w:lineRule="exact"/>
              <w:ind w:firstLine="390"/>
              <w:rPr>
                <w:highlight w:val="none"/>
              </w:rPr>
            </w:pPr>
            <w:r>
              <w:rPr>
                <w:highlight w:val="none"/>
              </w:rPr>
              <w:t>a.投标函按招标文件规定填报了</w:t>
            </w:r>
            <w:r>
              <w:rPr>
                <w:rFonts w:hint="eastAsia"/>
                <w:highlight w:val="none"/>
              </w:rPr>
              <w:t>项目名称、标段号、补遗书编号（如有）、</w:t>
            </w:r>
            <w:r>
              <w:rPr>
                <w:rFonts w:hint="eastAsia" w:ascii="宋体" w:hAnsi="宋体"/>
                <w:color w:val="000000"/>
                <w:szCs w:val="21"/>
                <w:highlight w:val="none"/>
              </w:rPr>
              <w:t>投标价（包括大写金额和小写金额）</w:t>
            </w:r>
            <w:r>
              <w:rPr>
                <w:highlight w:val="none"/>
              </w:rPr>
              <w:t>；</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lang w:val="en-US" w:eastAsia="zh-CN"/>
              </w:rPr>
              <w:t>b</w:t>
            </w:r>
            <w:r>
              <w:rPr>
                <w:highlight w:val="none"/>
              </w:rPr>
              <w:t>.</w:t>
            </w:r>
            <w:r>
              <w:rPr>
                <w:rFonts w:ascii="宋体" w:hAnsi="宋体"/>
                <w:color w:val="000000"/>
                <w:szCs w:val="21"/>
                <w:highlight w:val="none"/>
              </w:rPr>
              <w:t>已标价工程量清单</w:t>
            </w:r>
            <w:r>
              <w:rPr>
                <w:rFonts w:hint="eastAsia" w:ascii="宋体" w:hAnsi="宋体"/>
                <w:color w:val="000000"/>
                <w:szCs w:val="21"/>
                <w:highlight w:val="none"/>
              </w:rPr>
              <w:t>及清单</w:t>
            </w:r>
            <w:r>
              <w:rPr>
                <w:rFonts w:ascii="宋体" w:hAnsi="宋体"/>
                <w:color w:val="000000"/>
                <w:szCs w:val="21"/>
                <w:highlight w:val="none"/>
              </w:rPr>
              <w:t>说明文字与招标文件规定一致，</w:t>
            </w:r>
            <w:r>
              <w:rPr>
                <w:rFonts w:hint="eastAsia" w:ascii="宋体" w:hAnsi="宋体"/>
                <w:color w:val="000000"/>
                <w:szCs w:val="21"/>
                <w:highlight w:val="none"/>
              </w:rPr>
              <w:t>未</w:t>
            </w:r>
            <w:r>
              <w:rPr>
                <w:rFonts w:ascii="宋体" w:hAnsi="宋体"/>
                <w:color w:val="000000"/>
                <w:szCs w:val="21"/>
                <w:highlight w:val="none"/>
              </w:rPr>
              <w:t>进行修改和删减；</w:t>
            </w:r>
          </w:p>
          <w:p>
            <w:pPr>
              <w:spacing w:line="360" w:lineRule="exact"/>
              <w:ind w:firstLine="0"/>
              <w:rPr>
                <w:rFonts w:hint="eastAsia"/>
                <w:highlight w:val="none"/>
              </w:rPr>
            </w:pPr>
            <w:r>
              <w:rPr>
                <w:rFonts w:hint="eastAsia"/>
                <w:highlight w:val="none"/>
                <w:lang w:val="en-US" w:eastAsia="zh-CN"/>
              </w:rPr>
              <w:t xml:space="preserve">    c</w:t>
            </w:r>
            <w:r>
              <w:rPr>
                <w:highlight w:val="none"/>
              </w:rPr>
              <w:t>.</w:t>
            </w:r>
            <w:r>
              <w:rPr>
                <w:rFonts w:hint="eastAsia"/>
                <w:highlight w:val="none"/>
              </w:rPr>
              <w:t>投标文件（第</w:t>
            </w:r>
            <w:r>
              <w:rPr>
                <w:rFonts w:hint="eastAsia"/>
                <w:highlight w:val="none"/>
                <w:lang w:val="en-US" w:eastAsia="zh-CN"/>
              </w:rPr>
              <w:t>二</w:t>
            </w:r>
            <w:r>
              <w:rPr>
                <w:rFonts w:hint="eastAsia"/>
                <w:highlight w:val="none"/>
              </w:rPr>
              <w:t>个信封）组成齐全完整，</w:t>
            </w:r>
            <w:r>
              <w:rPr>
                <w:rFonts w:hint="default" w:ascii="Times New Roman" w:hAnsi="Times New Roman"/>
                <w:szCs w:val="24"/>
                <w:highlight w:val="none"/>
                <w:lang w:val="en-US" w:eastAsia="zh-CN"/>
              </w:rPr>
              <w:t>正、副本</w:t>
            </w:r>
            <w:r>
              <w:rPr>
                <w:rFonts w:hint="eastAsia"/>
                <w:highlight w:val="none"/>
              </w:rPr>
              <w:t>份数符合规定，内容均按规定填写。</w:t>
            </w:r>
          </w:p>
          <w:p>
            <w:pPr>
              <w:spacing w:line="360" w:lineRule="exact"/>
              <w:ind w:firstLine="390"/>
              <w:rPr>
                <w:rFonts w:hint="eastAsia"/>
                <w:highlight w:val="none"/>
              </w:rPr>
            </w:pPr>
            <w:r>
              <w:rPr>
                <w:rFonts w:hint="eastAsia"/>
                <w:highlight w:val="none"/>
              </w:rPr>
              <w:t>（2）</w:t>
            </w:r>
            <w:r>
              <w:rPr>
                <w:highlight w:val="none"/>
              </w:rPr>
              <w:t>投标文件上法定代表人或其授权代理人的签字、投标人的单位章盖章齐全，符合招标文件</w:t>
            </w:r>
            <w:r>
              <w:rPr>
                <w:rFonts w:hint="eastAsia"/>
                <w:highlight w:val="none"/>
              </w:rPr>
              <w:t>的</w:t>
            </w:r>
            <w:r>
              <w:rPr>
                <w:highlight w:val="none"/>
              </w:rPr>
              <w:t>规定</w:t>
            </w:r>
            <w:r>
              <w:rPr>
                <w:rFonts w:hint="eastAsia"/>
                <w:highlight w:val="none"/>
              </w:rPr>
              <w:t>；</w:t>
            </w:r>
          </w:p>
          <w:p>
            <w:pPr>
              <w:spacing w:line="360" w:lineRule="exact"/>
              <w:ind w:firstLine="390"/>
              <w:rPr>
                <w:rFonts w:hint="eastAsia"/>
                <w:highlight w:val="none"/>
              </w:rPr>
            </w:pPr>
            <w:r>
              <w:rPr>
                <w:rFonts w:hint="eastAsia"/>
                <w:highlight w:val="none"/>
              </w:rPr>
              <w:t>（3）</w:t>
            </w:r>
            <w:r>
              <w:rPr>
                <w:rFonts w:hint="default" w:ascii="Times New Roman" w:hAnsi="Times New Roman"/>
                <w:color w:val="000000"/>
                <w:szCs w:val="24"/>
                <w:highlight w:val="none"/>
              </w:rPr>
              <w:t>投标报价中的报价未超过招标文件设定的</w:t>
            </w:r>
            <w:r>
              <w:rPr>
                <w:rFonts w:hint="default" w:ascii="Times New Roman" w:hAnsi="Times New Roman"/>
                <w:b w:val="0"/>
                <w:bCs w:val="0"/>
                <w:color w:val="000000"/>
                <w:szCs w:val="24"/>
                <w:highlight w:val="none"/>
              </w:rPr>
              <w:t>最</w:t>
            </w:r>
            <w:r>
              <w:rPr>
                <w:rFonts w:hint="default" w:ascii="Times New Roman" w:hAnsi="Times New Roman"/>
                <w:b w:val="0"/>
                <w:color w:val="000000"/>
                <w:szCs w:val="24"/>
                <w:highlight w:val="none"/>
              </w:rPr>
              <w:t>高投标限价</w:t>
            </w:r>
            <w:r>
              <w:rPr>
                <w:rFonts w:hint="default" w:ascii="Times New Roman" w:hAnsi="Times New Roman"/>
                <w:color w:val="000000"/>
                <w:szCs w:val="24"/>
                <w:highlight w:val="none"/>
              </w:rPr>
              <w:t>。</w:t>
            </w:r>
          </w:p>
          <w:p>
            <w:pPr>
              <w:spacing w:line="360" w:lineRule="exact"/>
              <w:ind w:firstLine="390"/>
              <w:rPr>
                <w:rFonts w:hint="default" w:eastAsia="宋体"/>
                <w:highlight w:val="none"/>
                <w:lang w:eastAsia="zh-CN"/>
              </w:rPr>
            </w:pPr>
            <w:r>
              <w:rPr>
                <w:rFonts w:hint="default" w:eastAsia="宋体"/>
                <w:highlight w:val="none"/>
                <w:lang w:eastAsia="zh-CN"/>
              </w:rPr>
              <w:t>（4）投标报价中报价的大写金额能够确定具体数值。</w:t>
            </w:r>
          </w:p>
          <w:p>
            <w:pPr>
              <w:spacing w:line="360" w:lineRule="exact"/>
              <w:ind w:firstLine="390"/>
              <w:rPr>
                <w:rFonts w:hint="default" w:eastAsia="宋体"/>
                <w:highlight w:val="none"/>
                <w:lang w:eastAsia="zh-CN"/>
              </w:rPr>
            </w:pPr>
            <w:r>
              <w:rPr>
                <w:rFonts w:hint="default" w:eastAsia="宋体"/>
                <w:highlight w:val="none"/>
                <w:lang w:eastAsia="zh-CN"/>
              </w:rPr>
              <w:t>（5）投标人须对本项目提供独立的投标报价，同一标段的同一投标人仅可提交一个投标报价，但招标文件要求提交备选投标的除外。</w:t>
            </w:r>
          </w:p>
          <w:p>
            <w:pPr>
              <w:spacing w:line="360" w:lineRule="exact"/>
              <w:ind w:firstLine="390"/>
              <w:rPr>
                <w:rFonts w:hint="default" w:eastAsia="宋体"/>
                <w:highlight w:val="none"/>
                <w:lang w:eastAsia="zh-CN"/>
              </w:rPr>
            </w:pPr>
            <w:r>
              <w:rPr>
                <w:rFonts w:hint="default" w:eastAsia="宋体"/>
                <w:highlight w:val="none"/>
                <w:lang w:eastAsia="zh-CN"/>
              </w:rPr>
              <w:t>（6）投标人必须严格按照工程量固化清单填写，填写完毕的工程量固化清单未对工程量固化清单电子文件中的数据、格式和运算定义进行修改；工程量固化清单中的投标报价和投标函大写金额报价一致。</w:t>
            </w:r>
          </w:p>
          <w:p>
            <w:pPr>
              <w:spacing w:line="360" w:lineRule="exact"/>
              <w:ind w:firstLine="390"/>
              <w:rPr>
                <w:rFonts w:hint="eastAsia" w:eastAsia="宋体"/>
                <w:highlight w:val="none"/>
                <w:lang w:eastAsia="zh-CN"/>
              </w:rPr>
            </w:pPr>
            <w:r>
              <w:rPr>
                <w:rFonts w:hint="default" w:eastAsia="宋体"/>
                <w:highlight w:val="none"/>
                <w:lang w:eastAsia="zh-CN"/>
              </w:rPr>
              <w:t xml:space="preserve">（7）投标人必须按招标人提供的具有防伪水印的固化工程量清单打印并装订在投标文件中。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0"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2.1.2</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资格评审标准</w:t>
            </w:r>
          </w:p>
        </w:tc>
        <w:tc>
          <w:tcPr>
            <w:tcW w:w="7829" w:type="dxa"/>
            <w:tcBorders>
              <w:top w:val="single" w:color="auto" w:sz="4" w:space="0"/>
              <w:left w:val="single" w:color="auto" w:sz="4" w:space="0"/>
              <w:right w:val="single" w:color="auto" w:sz="4" w:space="0"/>
            </w:tcBorders>
            <w:vAlign w:val="center"/>
          </w:tcPr>
          <w:p>
            <w:pPr>
              <w:numPr>
                <w:ilvl w:val="0"/>
                <w:numId w:val="3"/>
              </w:numPr>
              <w:spacing w:line="360" w:lineRule="exact"/>
              <w:ind w:firstLine="390"/>
              <w:rPr>
                <w:rFonts w:ascii="宋体" w:hAnsi="宋体"/>
                <w:strike w:val="0"/>
                <w:color w:val="000000"/>
                <w:szCs w:val="21"/>
                <w:highlight w:val="none"/>
              </w:rPr>
            </w:pPr>
            <w:r>
              <w:rPr>
                <w:rFonts w:hint="eastAsia" w:ascii="宋体" w:hAnsi="宋体"/>
                <w:strike w:val="0"/>
                <w:dstrike w:val="0"/>
                <w:color w:val="000000"/>
                <w:szCs w:val="21"/>
                <w:highlight w:val="none"/>
                <w:lang w:val="en-US" w:eastAsia="zh-CN"/>
              </w:rPr>
              <w:t>投标人具备有效的营业执照、组织机构代码证（如有）和基本账户开户许可证（如企业所在地已取消企业银行账户许可而无法提供开户许可证的，则需附上开户银行出具的“基本存款账户信息”或“人民银行账户管理系统查询的基本账户信息截图”）；</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投标人的资质等级符合招标文件规定；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投标人的财务状况符合招标文件规定；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投标人的类似项目业绩符合招标文件规定；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投标人的信誉符合招标文件规定；</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（6）</w:t>
            </w:r>
            <w:r>
              <w:rPr>
                <w:rFonts w:ascii="宋体" w:hAnsi="宋体"/>
                <w:b/>
                <w:bCs/>
                <w:color w:val="000000"/>
                <w:szCs w:val="21"/>
                <w:highlight w:val="none"/>
              </w:rPr>
              <w:t>投标人的</w:t>
            </w:r>
            <w:r>
              <w:rPr>
                <w:rFonts w:hint="eastAsia" w:ascii="宋体" w:hAnsi="宋体"/>
                <w:b/>
                <w:bCs/>
                <w:color w:val="000000"/>
                <w:szCs w:val="21"/>
              </w:rPr>
              <w:t>拟投入本项目的</w:t>
            </w:r>
            <w:r>
              <w:rPr>
                <w:rFonts w:hint="eastAsia" w:ascii="宋体" w:hAnsi="宋体"/>
                <w:b/>
                <w:bCs/>
                <w:color w:val="000000"/>
                <w:szCs w:val="21"/>
                <w:lang w:val="en-US" w:eastAsia="zh-CN"/>
              </w:rPr>
              <w:t>项目经理</w:t>
            </w:r>
            <w:r>
              <w:rPr>
                <w:rFonts w:hint="eastAsia" w:ascii="宋体" w:hAnsi="宋体"/>
                <w:b/>
                <w:bCs/>
                <w:color w:val="000000"/>
                <w:szCs w:val="21"/>
              </w:rPr>
              <w:t>情况</w:t>
            </w:r>
            <w:r>
              <w:rPr>
                <w:rFonts w:ascii="宋体" w:hAnsi="宋体"/>
                <w:b/>
                <w:bCs/>
                <w:color w:val="000000"/>
                <w:szCs w:val="21"/>
                <w:highlight w:val="none"/>
              </w:rPr>
              <w:t>符合招标文件规定</w:t>
            </w:r>
            <w:r>
              <w:rPr>
                <w:rFonts w:hint="eastAsia" w:ascii="宋体" w:hAnsi="宋体"/>
                <w:b/>
                <w:bCs/>
                <w:color w:val="000000"/>
                <w:szCs w:val="21"/>
                <w:highlight w:val="none"/>
              </w:rPr>
              <w:t>，且按规定在投标文件中进行签字确认</w:t>
            </w:r>
            <w:r>
              <w:rPr>
                <w:rFonts w:ascii="宋体" w:hAnsi="宋体"/>
                <w:b/>
                <w:bCs/>
                <w:color w:val="000000"/>
                <w:szCs w:val="21"/>
                <w:highlight w:val="none"/>
              </w:rPr>
              <w:t>；</w:t>
            </w:r>
          </w:p>
          <w:p>
            <w:pPr>
              <w:spacing w:line="360" w:lineRule="exact"/>
              <w:ind w:firstLine="390"/>
              <w:rPr>
                <w:rFonts w:ascii="宋体" w:hAnsi="宋体"/>
                <w:color w:val="000000"/>
                <w:szCs w:val="21"/>
                <w:highlight w:val="none"/>
              </w:rPr>
            </w:pPr>
            <w:r>
              <w:rPr>
                <w:rFonts w:hint="eastAsia" w:ascii="宋体" w:hAnsi="宋体"/>
                <w:color w:val="000000"/>
                <w:szCs w:val="21"/>
                <w:highlight w:val="none"/>
              </w:rPr>
              <w:t>（7）</w:t>
            </w:r>
            <w:r>
              <w:rPr>
                <w:rFonts w:ascii="宋体" w:hAnsi="宋体"/>
                <w:color w:val="000000"/>
                <w:szCs w:val="21"/>
                <w:highlight w:val="none"/>
              </w:rPr>
              <w:t>投标人的其他要求</w:t>
            </w:r>
            <w:r>
              <w:rPr>
                <w:rFonts w:hint="eastAsia" w:ascii="宋体" w:hAnsi="宋体"/>
                <w:color w:val="000000"/>
                <w:szCs w:val="21"/>
                <w:highlight w:val="none"/>
              </w:rPr>
              <w:t>，如机械设备、材料等</w:t>
            </w:r>
            <w:r>
              <w:rPr>
                <w:rFonts w:ascii="宋体" w:hAnsi="宋体"/>
                <w:color w:val="000000"/>
                <w:szCs w:val="21"/>
                <w:highlight w:val="none"/>
              </w:rPr>
              <w:t>符合招标文件规定；</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（8）</w:t>
            </w:r>
            <w:r>
              <w:rPr>
                <w:rFonts w:ascii="宋体" w:hAnsi="宋体"/>
                <w:color w:val="000000"/>
                <w:szCs w:val="21"/>
                <w:highlight w:val="none"/>
              </w:rPr>
              <w:t>不存在第二章“投标人须知”第1.4.3项</w:t>
            </w:r>
            <w:r>
              <w:rPr>
                <w:rFonts w:hint="eastAsia" w:ascii="宋体" w:hAnsi="宋体"/>
                <w:color w:val="000000"/>
                <w:szCs w:val="21"/>
                <w:highlight w:val="none"/>
              </w:rPr>
              <w:t>或第1.4.4项</w:t>
            </w:r>
            <w:r>
              <w:rPr>
                <w:rFonts w:ascii="宋体" w:hAnsi="宋体"/>
                <w:color w:val="000000"/>
                <w:szCs w:val="21"/>
                <w:highlight w:val="none"/>
              </w:rPr>
              <w:t>规定的任何一种情形</w:t>
            </w:r>
            <w:r>
              <w:rPr>
                <w:rFonts w:hint="eastAsia" w:ascii="宋体" w:hAnsi="宋体"/>
                <w:color w:val="000000"/>
                <w:szCs w:val="21"/>
                <w:highlight w:val="none"/>
              </w:rPr>
              <w:t>。</w:t>
            </w:r>
            <w:r>
              <w:rPr>
                <w:rFonts w:ascii="宋体" w:hAnsi="宋体"/>
                <w:color w:val="000000"/>
                <w:szCs w:val="21"/>
                <w:highlight w:val="none"/>
              </w:rPr>
              <w:t xml:space="preserve"> </w:t>
            </w:r>
          </w:p>
          <w:p>
            <w:pPr>
              <w:spacing w:line="360" w:lineRule="exact"/>
              <w:ind w:firstLine="390"/>
              <w:rPr>
                <w:rFonts w:hint="eastAsia" w:ascii="宋体" w:hAnsi="宋体"/>
                <w:color w:val="000000"/>
                <w:szCs w:val="21"/>
                <w:highlight w:val="none"/>
              </w:rPr>
            </w:pPr>
            <w:r>
              <w:rPr>
                <w:rFonts w:hint="eastAsia" w:ascii="宋体" w:hAnsi="宋体"/>
                <w:color w:val="000000"/>
                <w:szCs w:val="21"/>
                <w:highlight w:val="none"/>
              </w:rPr>
              <w:t>（9）投标人符合第二章</w:t>
            </w:r>
            <w:r>
              <w:rPr>
                <w:rFonts w:ascii="宋体" w:hAnsi="宋体"/>
                <w:color w:val="000000"/>
                <w:szCs w:val="21"/>
                <w:highlight w:val="none"/>
              </w:rPr>
              <w:t>“投标人须知”第1.4.</w:t>
            </w:r>
            <w:r>
              <w:rPr>
                <w:rFonts w:hint="eastAsia" w:ascii="宋体" w:hAnsi="宋体"/>
                <w:color w:val="000000"/>
                <w:szCs w:val="21"/>
                <w:highlight w:val="none"/>
              </w:rPr>
              <w:t>5</w:t>
            </w:r>
            <w:r>
              <w:rPr>
                <w:rFonts w:ascii="宋体" w:hAnsi="宋体"/>
                <w:color w:val="000000"/>
                <w:szCs w:val="21"/>
                <w:highlight w:val="none"/>
              </w:rPr>
              <w:t>项规定</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60" w:hRule="atLeast"/>
          <w:jc w:val="center"/>
        </w:trPr>
        <w:tc>
          <w:tcPr>
            <w:tcW w:w="74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2.2.1</w:t>
            </w:r>
          </w:p>
        </w:tc>
        <w:tc>
          <w:tcPr>
            <w:tcW w:w="89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分值构成(总分100分)</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b/>
                <w:color w:val="auto"/>
                <w:szCs w:val="21"/>
              </w:rPr>
            </w:pPr>
            <w:r>
              <w:rPr>
                <w:rFonts w:hint="eastAsia" w:ascii="宋体" w:hAnsi="宋体"/>
                <w:color w:val="auto"/>
                <w:szCs w:val="21"/>
              </w:rPr>
              <w:t>第一个信封商务技术文件的分值：</w:t>
            </w:r>
          </w:p>
          <w:p>
            <w:pPr>
              <w:spacing w:line="360" w:lineRule="exact"/>
              <w:ind w:firstLine="390"/>
              <w:rPr>
                <w:rFonts w:hint="eastAsia" w:ascii="宋体" w:hAnsi="宋体"/>
                <w:color w:val="auto"/>
                <w:szCs w:val="21"/>
              </w:rPr>
            </w:pPr>
            <w:r>
              <w:rPr>
                <w:rFonts w:hint="eastAsia" w:ascii="宋体" w:hAnsi="宋体"/>
                <w:color w:val="auto"/>
                <w:szCs w:val="21"/>
              </w:rPr>
              <w:t>总体服务方案：</w:t>
            </w:r>
            <w:r>
              <w:rPr>
                <w:rFonts w:hint="eastAsia" w:ascii="宋体" w:hAnsi="宋体"/>
                <w:color w:val="auto"/>
                <w:szCs w:val="21"/>
                <w:u w:val="single"/>
              </w:rPr>
              <w:t xml:space="preserve"> 5 </w:t>
            </w:r>
            <w:r>
              <w:rPr>
                <w:rFonts w:hint="eastAsia" w:ascii="宋体" w:hAnsi="宋体"/>
                <w:color w:val="auto"/>
                <w:szCs w:val="21"/>
              </w:rPr>
              <w:t>分</w:t>
            </w:r>
          </w:p>
          <w:p>
            <w:pPr>
              <w:spacing w:line="360" w:lineRule="exact"/>
              <w:ind w:firstLine="390"/>
              <w:rPr>
                <w:rFonts w:hint="eastAsia" w:ascii="宋体" w:hAnsi="宋体"/>
                <w:color w:val="auto"/>
                <w:szCs w:val="21"/>
              </w:rPr>
            </w:pPr>
            <w:r>
              <w:rPr>
                <w:rFonts w:hint="eastAsia" w:ascii="宋体" w:hAnsi="宋体"/>
                <w:color w:val="auto"/>
                <w:szCs w:val="21"/>
              </w:rPr>
              <w:t>项目</w:t>
            </w:r>
            <w:r>
              <w:rPr>
                <w:rFonts w:hint="eastAsia" w:ascii="宋体" w:hAnsi="宋体"/>
                <w:color w:val="auto"/>
                <w:szCs w:val="21"/>
                <w:lang w:val="en-US" w:eastAsia="zh-CN"/>
              </w:rPr>
              <w:t>组织</w:t>
            </w:r>
            <w:r>
              <w:rPr>
                <w:rFonts w:hint="eastAsia" w:ascii="宋体" w:hAnsi="宋体"/>
                <w:color w:val="auto"/>
                <w:szCs w:val="21"/>
              </w:rPr>
              <w:t>机构：</w:t>
            </w:r>
            <w:r>
              <w:rPr>
                <w:rFonts w:hint="eastAsia" w:ascii="宋体" w:hAnsi="宋体"/>
                <w:color w:val="auto"/>
                <w:szCs w:val="21"/>
                <w:u w:val="single"/>
              </w:rPr>
              <w:t xml:space="preserve"> 5 </w:t>
            </w:r>
            <w:r>
              <w:rPr>
                <w:rFonts w:hint="eastAsia" w:ascii="宋体" w:hAnsi="宋体"/>
                <w:color w:val="auto"/>
                <w:szCs w:val="21"/>
              </w:rPr>
              <w:t>分</w:t>
            </w:r>
          </w:p>
          <w:p>
            <w:pPr>
              <w:spacing w:line="360" w:lineRule="exact"/>
              <w:ind w:firstLine="390"/>
              <w:rPr>
                <w:rFonts w:hint="eastAsia" w:ascii="宋体" w:hAnsi="宋体"/>
                <w:color w:val="auto"/>
                <w:szCs w:val="21"/>
              </w:rPr>
            </w:pPr>
            <w:r>
              <w:rPr>
                <w:rFonts w:hint="eastAsia" w:ascii="宋体" w:hAnsi="宋体"/>
                <w:color w:val="auto"/>
                <w:szCs w:val="21"/>
              </w:rPr>
              <w:t>其它因素：业    绩：</w:t>
            </w:r>
            <w:r>
              <w:rPr>
                <w:rFonts w:hint="eastAsia" w:ascii="宋体" w:hAnsi="宋体"/>
                <w:color w:val="auto"/>
                <w:szCs w:val="21"/>
                <w:u w:val="single"/>
              </w:rPr>
              <w:t xml:space="preserve"> 5 </w:t>
            </w:r>
            <w:r>
              <w:rPr>
                <w:rFonts w:hint="eastAsia" w:ascii="宋体" w:hAnsi="宋体"/>
                <w:color w:val="auto"/>
                <w:szCs w:val="21"/>
              </w:rPr>
              <w:t>分</w:t>
            </w:r>
          </w:p>
          <w:p>
            <w:pPr>
              <w:spacing w:line="360" w:lineRule="exact"/>
              <w:ind w:left="1050" w:leftChars="500" w:firstLine="390"/>
              <w:rPr>
                <w:rFonts w:hint="eastAsia" w:ascii="宋体" w:hAnsi="宋体"/>
                <w:color w:val="auto"/>
                <w:szCs w:val="21"/>
              </w:rPr>
            </w:pPr>
            <w:r>
              <w:rPr>
                <w:rFonts w:hint="eastAsia" w:ascii="宋体" w:hAnsi="宋体"/>
                <w:color w:val="auto"/>
                <w:szCs w:val="21"/>
              </w:rPr>
              <w:t>拟投入本项目设备：</w:t>
            </w:r>
            <w:r>
              <w:rPr>
                <w:rFonts w:hint="eastAsia" w:ascii="宋体" w:hAnsi="宋体"/>
                <w:color w:val="auto"/>
                <w:szCs w:val="21"/>
                <w:u w:val="single"/>
              </w:rPr>
              <w:t>3</w:t>
            </w:r>
            <w:r>
              <w:rPr>
                <w:rFonts w:hint="eastAsia" w:ascii="宋体" w:hAnsi="宋体"/>
                <w:color w:val="auto"/>
                <w:szCs w:val="21"/>
              </w:rPr>
              <w:t>分</w:t>
            </w:r>
          </w:p>
          <w:p>
            <w:pPr>
              <w:spacing w:line="360" w:lineRule="exact"/>
              <w:ind w:left="1050" w:leftChars="500" w:firstLine="390"/>
              <w:rPr>
                <w:rFonts w:hint="eastAsia" w:ascii="宋体" w:hAnsi="宋体"/>
                <w:color w:val="auto"/>
                <w:szCs w:val="21"/>
              </w:rPr>
            </w:pPr>
            <w:r>
              <w:rPr>
                <w:rFonts w:hint="eastAsia" w:ascii="宋体" w:hAnsi="宋体"/>
                <w:color w:val="auto"/>
                <w:szCs w:val="21"/>
              </w:rPr>
              <w:t>投标人实力:</w:t>
            </w:r>
            <w:r>
              <w:rPr>
                <w:rFonts w:hint="eastAsia" w:ascii="宋体" w:hAnsi="宋体"/>
                <w:color w:val="auto"/>
                <w:szCs w:val="21"/>
                <w:u w:val="single"/>
              </w:rPr>
              <w:t>2</w:t>
            </w:r>
            <w:r>
              <w:rPr>
                <w:rFonts w:hint="eastAsia" w:ascii="宋体" w:hAnsi="宋体"/>
                <w:color w:val="auto"/>
                <w:szCs w:val="21"/>
              </w:rPr>
              <w:t>分</w:t>
            </w:r>
          </w:p>
          <w:p>
            <w:pPr>
              <w:spacing w:line="360" w:lineRule="exact"/>
              <w:rPr>
                <w:rFonts w:hint="eastAsia" w:ascii="宋体" w:hAnsi="宋体"/>
                <w:b/>
                <w:color w:val="auto"/>
                <w:szCs w:val="21"/>
              </w:rPr>
            </w:pPr>
            <w:r>
              <w:rPr>
                <w:rFonts w:hint="eastAsia" w:ascii="宋体" w:hAnsi="宋体"/>
                <w:b/>
                <w:color w:val="auto"/>
                <w:szCs w:val="21"/>
              </w:rPr>
              <w:t>第二个信封报价（评标价）的分值：</w:t>
            </w:r>
          </w:p>
          <w:p>
            <w:pPr>
              <w:pStyle w:val="2"/>
              <w:spacing w:line="360" w:lineRule="exact"/>
              <w:ind w:left="0" w:leftChars="0"/>
              <w:jc w:val="left"/>
              <w:rPr>
                <w:rFonts w:hint="default" w:ascii="宋体" w:hAnsi="宋体" w:eastAsia="宋体"/>
                <w:color w:val="000000"/>
                <w:szCs w:val="21"/>
                <w:highlight w:val="none"/>
                <w:lang w:val="en-US" w:eastAsia="zh-CN"/>
              </w:rPr>
            </w:pPr>
            <w:r>
              <w:rPr>
                <w:rFonts w:hint="eastAsia" w:ascii="宋体" w:hAnsi="宋体"/>
                <w:color w:val="auto"/>
                <w:szCs w:val="21"/>
              </w:rPr>
              <w:t>评标价：</w:t>
            </w:r>
            <w:r>
              <w:rPr>
                <w:rFonts w:hint="eastAsia" w:ascii="宋体" w:hAnsi="宋体"/>
                <w:color w:val="auto"/>
                <w:szCs w:val="21"/>
                <w:u w:val="single"/>
              </w:rPr>
              <w:t xml:space="preserve">  80  </w:t>
            </w:r>
            <w:r>
              <w:rPr>
                <w:rFonts w:hint="eastAsia"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6" w:hRule="atLeast"/>
          <w:jc w:val="center"/>
        </w:trPr>
        <w:tc>
          <w:tcPr>
            <w:tcW w:w="74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2.2.2</w:t>
            </w:r>
          </w:p>
        </w:tc>
        <w:tc>
          <w:tcPr>
            <w:tcW w:w="891" w:type="dxa"/>
            <w:tcBorders>
              <w:top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评标基准价计算方法</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b/>
                <w:color w:val="000000"/>
                <w:szCs w:val="21"/>
                <w:highlight w:val="none"/>
              </w:rPr>
            </w:pP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评标基准价的计算：</w:t>
            </w: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在开标现场，招标人将当场计算并宣布评标基准价。</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 评标价的确定：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投标人评标价＝报价函文字报价</w:t>
            </w:r>
          </w:p>
          <w:p>
            <w:pPr>
              <w:numPr>
                <w:ilvl w:val="0"/>
                <w:numId w:val="4"/>
              </w:numPr>
              <w:spacing w:line="360" w:lineRule="exact"/>
              <w:rPr>
                <w:rFonts w:hint="eastAsia" w:ascii="宋体" w:hAnsi="宋体"/>
                <w:b/>
                <w:color w:val="000000"/>
                <w:kern w:val="0"/>
                <w:szCs w:val="21"/>
                <w:highlight w:val="none"/>
              </w:rPr>
            </w:pPr>
            <w:r>
              <w:rPr>
                <w:rFonts w:hint="eastAsia" w:ascii="宋体" w:hAnsi="宋体"/>
                <w:b/>
                <w:color w:val="000000"/>
                <w:kern w:val="0"/>
                <w:szCs w:val="21"/>
                <w:highlight w:val="none"/>
              </w:rPr>
              <w:t>最高评标限价的确定</w:t>
            </w:r>
          </w:p>
          <w:p>
            <w:pPr>
              <w:ind w:firstLine="430" w:firstLineChars="205"/>
              <w:rPr>
                <w:rFonts w:hint="eastAsia"/>
                <w:highlight w:val="none"/>
              </w:rPr>
            </w:pPr>
          </w:p>
          <w:tbl>
            <w:tblPr>
              <w:tblStyle w:val="9"/>
              <w:tblW w:w="7100" w:type="dxa"/>
              <w:jc w:val="center"/>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215"/>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2174" w:type="dxa"/>
                  <w:vMerge w:val="restart"/>
                  <w:vAlign w:val="center"/>
                </w:tcPr>
                <w:p>
                  <w:pPr>
                    <w:spacing w:line="360" w:lineRule="exact"/>
                    <w:jc w:val="center"/>
                    <w:rPr>
                      <w:rFonts w:hint="default" w:ascii="宋体" w:hAnsi="宋体"/>
                      <w:b/>
                      <w:bCs/>
                      <w:color w:val="auto"/>
                      <w:kern w:val="0"/>
                      <w:szCs w:val="21"/>
                      <w:highlight w:val="none"/>
                      <w:lang w:val="en-US"/>
                    </w:rPr>
                  </w:pPr>
                  <w:r>
                    <w:rPr>
                      <w:rFonts w:hint="eastAsia" w:ascii="宋体" w:hAnsi="宋体"/>
                      <w:b/>
                      <w:bCs/>
                      <w:color w:val="auto"/>
                      <w:kern w:val="0"/>
                      <w:szCs w:val="21"/>
                      <w:highlight w:val="none"/>
                      <w:lang w:val="en-US" w:eastAsia="zh-CN"/>
                    </w:rPr>
                    <w:t>最高投标限价（元）</w:t>
                  </w:r>
                </w:p>
              </w:tc>
              <w:tc>
                <w:tcPr>
                  <w:tcW w:w="1215" w:type="dxa"/>
                  <w:vAlign w:val="center"/>
                </w:tcPr>
                <w:p>
                  <w:pPr>
                    <w:spacing w:line="360" w:lineRule="exact"/>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大写</w:t>
                  </w:r>
                </w:p>
              </w:tc>
              <w:tc>
                <w:tcPr>
                  <w:tcW w:w="3711" w:type="dxa"/>
                  <w:vAlign w:val="center"/>
                </w:tcPr>
                <w:p>
                  <w:pPr>
                    <w:spacing w:line="360" w:lineRule="exact"/>
                    <w:jc w:val="center"/>
                    <w:rPr>
                      <w:rFonts w:hint="eastAsia" w:ascii="宋体" w:hAnsi="宋体" w:eastAsia="宋体"/>
                      <w:b/>
                      <w:bCs/>
                      <w:color w:val="auto"/>
                      <w:kern w:val="0"/>
                      <w:szCs w:val="21"/>
                      <w:highlight w:val="none"/>
                      <w:lang w:eastAsia="zh-CN"/>
                    </w:rPr>
                  </w:pPr>
                  <w:r>
                    <w:rPr>
                      <w:rFonts w:hint="eastAsia" w:ascii="宋体" w:hAnsi="宋体" w:cs="Times New Roman"/>
                      <w:b/>
                      <w:bCs/>
                      <w:color w:val="auto"/>
                      <w:kern w:val="0"/>
                      <w:sz w:val="21"/>
                      <w:szCs w:val="21"/>
                      <w:highlight w:val="none"/>
                      <w:lang w:val="en-US" w:eastAsia="zh-CN" w:bidi="ar"/>
                    </w:rPr>
                    <w:t>贰佰陆拾肆万玖仟陆佰陆拾玖</w:t>
                  </w:r>
                  <w:r>
                    <w:rPr>
                      <w:rFonts w:hint="eastAsia" w:ascii="宋体" w:hAnsi="宋体" w:eastAsia="宋体" w:cs="Times New Roman"/>
                      <w:b/>
                      <w:bCs/>
                      <w:color w:val="auto"/>
                      <w:kern w:val="0"/>
                      <w:sz w:val="21"/>
                      <w:szCs w:val="21"/>
                      <w:highlight w:val="none"/>
                      <w:lang w:val="en-US" w:eastAsia="zh-CN" w:bidi="ar"/>
                    </w:rPr>
                    <w:t>元</w:t>
                  </w:r>
                  <w:r>
                    <w:rPr>
                      <w:rFonts w:hint="eastAsia" w:ascii="宋体" w:hAnsi="宋体"/>
                      <w:b/>
                      <w:bCs/>
                      <w:color w:val="auto"/>
                      <w:kern w:val="0"/>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174" w:type="dxa"/>
                  <w:vMerge w:val="continue"/>
                  <w:vAlign w:val="center"/>
                </w:tcPr>
                <w:p>
                  <w:pPr>
                    <w:spacing w:line="360" w:lineRule="exact"/>
                    <w:jc w:val="center"/>
                    <w:rPr>
                      <w:rFonts w:hint="eastAsia" w:ascii="宋体" w:hAnsi="宋体"/>
                      <w:b/>
                      <w:bCs/>
                      <w:color w:val="auto"/>
                      <w:kern w:val="0"/>
                      <w:szCs w:val="21"/>
                      <w:highlight w:val="none"/>
                    </w:rPr>
                  </w:pPr>
                </w:p>
              </w:tc>
              <w:tc>
                <w:tcPr>
                  <w:tcW w:w="1215" w:type="dxa"/>
                  <w:vAlign w:val="center"/>
                </w:tcPr>
                <w:p>
                  <w:pPr>
                    <w:spacing w:line="360" w:lineRule="exact"/>
                    <w:jc w:val="center"/>
                    <w:rPr>
                      <w:rFonts w:hint="eastAsia" w:ascii="宋体" w:hAnsi="宋体"/>
                      <w:b/>
                      <w:bCs/>
                      <w:color w:val="auto"/>
                      <w:kern w:val="0"/>
                      <w:szCs w:val="21"/>
                      <w:highlight w:val="none"/>
                    </w:rPr>
                  </w:pPr>
                  <w:r>
                    <w:rPr>
                      <w:rFonts w:hint="eastAsia" w:ascii="宋体" w:hAnsi="宋体"/>
                      <w:b/>
                      <w:bCs/>
                      <w:color w:val="auto"/>
                      <w:kern w:val="0"/>
                      <w:szCs w:val="21"/>
                      <w:highlight w:val="none"/>
                    </w:rPr>
                    <w:t>小写</w:t>
                  </w:r>
                </w:p>
              </w:tc>
              <w:tc>
                <w:tcPr>
                  <w:tcW w:w="3711" w:type="dxa"/>
                  <w:vAlign w:val="center"/>
                </w:tcPr>
                <w:p>
                  <w:pPr>
                    <w:spacing w:line="360" w:lineRule="exact"/>
                    <w:jc w:val="center"/>
                    <w:rPr>
                      <w:rFonts w:hint="default" w:ascii="宋体" w:hAnsi="宋体" w:eastAsia="宋体"/>
                      <w:b/>
                      <w:bCs/>
                      <w:color w:val="auto"/>
                      <w:kern w:val="0"/>
                      <w:szCs w:val="21"/>
                      <w:highlight w:val="none"/>
                      <w:lang w:val="en-US" w:eastAsia="zh-CN"/>
                    </w:rPr>
                  </w:pPr>
                  <w:r>
                    <w:rPr>
                      <w:rFonts w:hint="eastAsia" w:ascii="宋体" w:hAnsi="宋体"/>
                      <w:b/>
                      <w:bCs/>
                      <w:color w:val="auto"/>
                      <w:kern w:val="0"/>
                      <w:szCs w:val="21"/>
                      <w:highlight w:val="none"/>
                      <w:lang w:val="en-US" w:eastAsia="zh-CN"/>
                    </w:rPr>
                    <w:t>￥</w:t>
                  </w:r>
                  <w:r>
                    <w:rPr>
                      <w:rFonts w:hint="eastAsia" w:ascii="宋体" w:hAnsi="宋体" w:cs="Times New Roman"/>
                      <w:b/>
                      <w:bCs/>
                      <w:color w:val="auto"/>
                      <w:kern w:val="0"/>
                      <w:sz w:val="21"/>
                      <w:szCs w:val="21"/>
                      <w:highlight w:val="none"/>
                      <w:lang w:val="en-US" w:eastAsia="zh-CN" w:bidi="ar"/>
                    </w:rPr>
                    <w:t>2,649,669</w:t>
                  </w:r>
                  <w:r>
                    <w:rPr>
                      <w:rFonts w:hint="eastAsia" w:ascii="宋体" w:hAnsi="宋体"/>
                      <w:b/>
                      <w:bCs/>
                      <w:color w:val="auto"/>
                      <w:kern w:val="0"/>
                      <w:szCs w:val="21"/>
                      <w:highlight w:val="none"/>
                      <w:lang w:val="en-US" w:eastAsia="zh-CN"/>
                    </w:rPr>
                    <w:t>元/年</w:t>
                  </w:r>
                </w:p>
              </w:tc>
            </w:tr>
          </w:tbl>
          <w:p>
            <w:pPr>
              <w:snapToGrid w:val="0"/>
              <w:spacing w:line="360" w:lineRule="exact"/>
              <w:ind w:firstLine="422" w:firstLineChars="200"/>
              <w:rPr>
                <w:rFonts w:hint="eastAsia" w:ascii="宋体" w:hAnsi="宋体"/>
                <w:b/>
                <w:snapToGrid w:val="0"/>
                <w:color w:val="000000"/>
                <w:szCs w:val="21"/>
                <w:highlight w:val="none"/>
              </w:rPr>
            </w:pPr>
          </w:p>
          <w:p>
            <w:pPr>
              <w:snapToGrid w:val="0"/>
              <w:spacing w:line="360" w:lineRule="exact"/>
              <w:ind w:firstLine="422" w:firstLineChars="200"/>
              <w:rPr>
                <w:rFonts w:hint="eastAsia" w:ascii="宋体" w:hAnsi="宋体"/>
                <w:b/>
                <w:snapToGrid w:val="0"/>
                <w:color w:val="000000"/>
                <w:szCs w:val="21"/>
                <w:highlight w:val="none"/>
              </w:rPr>
            </w:pPr>
            <w:r>
              <w:rPr>
                <w:rFonts w:hint="eastAsia" w:ascii="宋体" w:hAnsi="宋体"/>
                <w:b/>
                <w:snapToGrid w:val="0"/>
                <w:color w:val="000000"/>
                <w:szCs w:val="21"/>
                <w:highlight w:val="none"/>
              </w:rPr>
              <w:t>投标人报价不能超过</w:t>
            </w:r>
            <w:r>
              <w:rPr>
                <w:rFonts w:hint="eastAsia" w:ascii="宋体" w:hAnsi="宋体"/>
                <w:b/>
                <w:color w:val="000000"/>
                <w:kern w:val="0"/>
                <w:szCs w:val="21"/>
                <w:highlight w:val="none"/>
              </w:rPr>
              <w:t>最高投标限价，</w:t>
            </w:r>
            <w:r>
              <w:rPr>
                <w:rFonts w:hint="eastAsia" w:ascii="宋体" w:hAnsi="宋体"/>
                <w:b/>
                <w:snapToGrid w:val="0"/>
                <w:color w:val="000000"/>
                <w:szCs w:val="21"/>
                <w:highlight w:val="none"/>
              </w:rPr>
              <w:t>否则按否决其投标处理。</w:t>
            </w:r>
          </w:p>
          <w:p>
            <w:pPr>
              <w:pStyle w:val="2"/>
              <w:rPr>
                <w:rFonts w:hint="eastAsia"/>
              </w:rPr>
            </w:pPr>
          </w:p>
          <w:p>
            <w:pPr>
              <w:spacing w:line="360" w:lineRule="exact"/>
              <w:ind w:firstLine="411" w:firstLineChars="196"/>
              <w:rPr>
                <w:rFonts w:hint="eastAsia" w:ascii="宋体" w:hAnsi="宋体"/>
                <w:color w:val="000000"/>
                <w:kern w:val="0"/>
                <w:szCs w:val="21"/>
                <w:highlight w:val="none"/>
              </w:rPr>
            </w:pPr>
            <w:r>
              <w:rPr>
                <w:rFonts w:hint="eastAsia" w:ascii="宋体" w:hAnsi="宋体"/>
                <w:color w:val="000000"/>
                <w:kern w:val="0"/>
                <w:szCs w:val="21"/>
                <w:highlight w:val="none"/>
              </w:rPr>
              <w:t>最高投标限价下浮率在开标前在开标现场采取摇珠方式确定。</w:t>
            </w:r>
          </w:p>
          <w:p>
            <w:pPr>
              <w:spacing w:line="360" w:lineRule="exact"/>
              <w:ind w:firstLine="411" w:firstLineChars="196"/>
              <w:rPr>
                <w:rFonts w:hint="eastAsia" w:ascii="宋体" w:hAnsi="宋体"/>
                <w:snapToGrid w:val="0"/>
                <w:color w:val="000000"/>
                <w:szCs w:val="21"/>
                <w:highlight w:val="none"/>
              </w:rPr>
            </w:pPr>
            <w:r>
              <w:rPr>
                <w:rFonts w:hint="eastAsia" w:ascii="宋体" w:hAnsi="宋体"/>
                <w:snapToGrid w:val="0"/>
                <w:color w:val="000000"/>
                <w:szCs w:val="21"/>
                <w:highlight w:val="none"/>
              </w:rPr>
              <w:t>摇珠操作办法如下：在下浮率</w:t>
            </w:r>
            <w:r>
              <w:rPr>
                <w:rFonts w:hint="eastAsia" w:ascii="宋体" w:hAnsi="宋体"/>
                <w:snapToGrid w:val="0"/>
                <w:color w:val="000000"/>
                <w:szCs w:val="21"/>
                <w:highlight w:val="none"/>
                <w:lang w:val="en-US" w:eastAsia="zh-CN"/>
              </w:rPr>
              <w:t>摇珠</w:t>
            </w:r>
            <w:r>
              <w:rPr>
                <w:rFonts w:hint="eastAsia" w:ascii="宋体" w:hAnsi="宋体"/>
                <w:snapToGrid w:val="0"/>
                <w:color w:val="000000"/>
                <w:szCs w:val="21"/>
                <w:highlight w:val="none"/>
              </w:rPr>
              <w:t>范围内，以0.1%为一档次增序确定摇珠号码，一共31个球</w:t>
            </w:r>
            <w:r>
              <w:rPr>
                <w:rFonts w:hint="eastAsia" w:ascii="宋体" w:hAnsi="宋体"/>
                <w:b/>
                <w:bCs/>
                <w:snapToGrid w:val="0"/>
                <w:color w:val="000000"/>
                <w:szCs w:val="21"/>
                <w:highlight w:val="none"/>
              </w:rPr>
              <w:t>，</w:t>
            </w:r>
            <w:r>
              <w:rPr>
                <w:rFonts w:hint="eastAsia" w:ascii="宋体" w:hAnsi="宋体"/>
                <w:snapToGrid w:val="0"/>
                <w:color w:val="000000"/>
                <w:szCs w:val="21"/>
                <w:highlight w:val="none"/>
              </w:rPr>
              <w:t>连续依次摇取三个球</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lang w:val="en-US" w:eastAsia="zh-CN"/>
              </w:rPr>
              <w:t>摇出的球不放回</w:t>
            </w:r>
            <w:r>
              <w:rPr>
                <w:rFonts w:hint="eastAsia" w:ascii="宋体" w:hAnsi="宋体"/>
                <w:snapToGrid w:val="0"/>
                <w:color w:val="000000"/>
                <w:szCs w:val="21"/>
                <w:highlight w:val="none"/>
                <w:lang w:eastAsia="zh-CN"/>
              </w:rPr>
              <w:t>）</w:t>
            </w:r>
            <w:r>
              <w:rPr>
                <w:rFonts w:hint="eastAsia" w:ascii="宋体" w:hAnsi="宋体"/>
                <w:snapToGrid w:val="0"/>
                <w:color w:val="000000"/>
                <w:szCs w:val="21"/>
                <w:highlight w:val="none"/>
              </w:rPr>
              <w:t>，摇出号码对应的下浮率平均值即为本</w:t>
            </w:r>
            <w:r>
              <w:rPr>
                <w:rFonts w:hint="eastAsia" w:ascii="宋体" w:hAnsi="宋体"/>
                <w:snapToGrid w:val="0"/>
                <w:color w:val="000000"/>
                <w:szCs w:val="21"/>
                <w:highlight w:val="none"/>
                <w:lang w:val="en-US" w:eastAsia="zh-CN"/>
              </w:rPr>
              <w:t>标段</w:t>
            </w:r>
            <w:r>
              <w:rPr>
                <w:rFonts w:hint="eastAsia" w:ascii="宋体" w:hAnsi="宋体"/>
                <w:snapToGrid w:val="0"/>
                <w:color w:val="000000"/>
                <w:szCs w:val="21"/>
                <w:highlight w:val="none"/>
              </w:rPr>
              <w:t>的下浮率。</w:t>
            </w:r>
          </w:p>
          <w:p>
            <w:pPr>
              <w:snapToGrid w:val="0"/>
              <w:spacing w:line="360" w:lineRule="exact"/>
              <w:ind w:firstLine="422" w:firstLineChars="200"/>
              <w:rPr>
                <w:rFonts w:hint="eastAsia" w:ascii="宋体" w:hAnsi="宋体"/>
                <w:snapToGrid w:val="0"/>
                <w:color w:val="000000"/>
                <w:szCs w:val="21"/>
                <w:highlight w:val="none"/>
              </w:rPr>
            </w:pPr>
            <w:r>
              <w:rPr>
                <w:rFonts w:hint="eastAsia" w:ascii="宋体" w:hAnsi="宋体"/>
                <w:b/>
                <w:snapToGrid w:val="0"/>
                <w:color w:val="000000"/>
                <w:szCs w:val="21"/>
                <w:highlight w:val="none"/>
              </w:rPr>
              <w:t>（注：下浮率范围控制在</w:t>
            </w:r>
            <w:r>
              <w:rPr>
                <w:rFonts w:hint="eastAsia" w:ascii="宋体" w:hAnsi="宋体"/>
                <w:b/>
                <w:snapToGrid w:val="0"/>
                <w:color w:val="000000"/>
                <w:szCs w:val="21"/>
                <w:highlight w:val="none"/>
                <w:u w:val="single"/>
              </w:rPr>
              <w:t xml:space="preserve"> 3 %～ 6 %</w:t>
            </w:r>
            <w:r>
              <w:rPr>
                <w:rFonts w:hint="eastAsia" w:ascii="宋体" w:hAnsi="宋体"/>
                <w:b/>
                <w:snapToGrid w:val="0"/>
                <w:color w:val="000000"/>
                <w:szCs w:val="21"/>
                <w:highlight w:val="none"/>
              </w:rPr>
              <w:t>浮动区间，摇出三个下浮率的平均值四舍五入精确到</w:t>
            </w:r>
            <w:r>
              <w:rPr>
                <w:rFonts w:ascii="宋体" w:hAnsi="宋体"/>
                <w:b/>
                <w:snapToGrid w:val="0"/>
                <w:color w:val="000000"/>
                <w:szCs w:val="21"/>
                <w:highlight w:val="none"/>
              </w:rPr>
              <w:t>0.001</w:t>
            </w:r>
            <w:r>
              <w:rPr>
                <w:rFonts w:hint="eastAsia" w:ascii="宋体" w:hAnsi="宋体"/>
                <w:b/>
                <w:snapToGrid w:val="0"/>
                <w:color w:val="000000"/>
                <w:szCs w:val="21"/>
                <w:highlight w:val="none"/>
              </w:rPr>
              <w:t>％）</w:t>
            </w:r>
          </w:p>
          <w:p>
            <w:pPr>
              <w:snapToGrid w:val="0"/>
              <w:spacing w:line="360" w:lineRule="exact"/>
              <w:ind w:firstLine="422" w:firstLineChars="200"/>
              <w:rPr>
                <w:rFonts w:hint="eastAsia" w:ascii="宋体" w:hAnsi="宋体"/>
                <w:b/>
                <w:color w:val="000000"/>
                <w:kern w:val="0"/>
                <w:szCs w:val="21"/>
                <w:highlight w:val="none"/>
              </w:rPr>
            </w:pPr>
            <w:r>
              <w:rPr>
                <w:rFonts w:hint="eastAsia" w:ascii="宋体" w:hAnsi="宋体"/>
                <w:b/>
                <w:color w:val="000000"/>
                <w:kern w:val="0"/>
                <w:szCs w:val="21"/>
                <w:highlight w:val="none"/>
              </w:rPr>
              <w:t>最高评标限价＝最高投标限价×（1-下浮率）</w:t>
            </w:r>
          </w:p>
          <w:p>
            <w:pPr>
              <w:snapToGrid w:val="0"/>
              <w:spacing w:line="360" w:lineRule="exact"/>
              <w:rPr>
                <w:rFonts w:hint="eastAsia" w:ascii="宋体" w:hAnsi="宋体"/>
                <w:b/>
                <w:snapToGrid w:val="0"/>
                <w:color w:val="000000"/>
                <w:szCs w:val="21"/>
                <w:highlight w:val="none"/>
              </w:rPr>
            </w:pPr>
            <w:r>
              <w:rPr>
                <w:rFonts w:hint="eastAsia" w:ascii="宋体" w:hAnsi="宋体"/>
                <w:b/>
                <w:snapToGrid w:val="0"/>
                <w:color w:val="000000"/>
                <w:szCs w:val="21"/>
                <w:highlight w:val="none"/>
              </w:rPr>
              <w:t>（3）有效评标价的范围：</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有效评标价的范围：不大于最高评标限价的评标价为有效评标价。</w:t>
            </w:r>
          </w:p>
          <w:p>
            <w:pPr>
              <w:snapToGrid w:val="0"/>
              <w:spacing w:line="360" w:lineRule="exact"/>
              <w:ind w:firstLine="420" w:firstLineChars="200"/>
              <w:rPr>
                <w:rFonts w:hint="eastAsia" w:ascii="宋体" w:hAnsi="宋体"/>
                <w:snapToGrid w:val="0"/>
                <w:color w:val="000000"/>
                <w:szCs w:val="21"/>
                <w:highlight w:val="none"/>
              </w:rPr>
            </w:pPr>
            <w:r>
              <w:rPr>
                <w:rFonts w:hint="eastAsia" w:ascii="宋体" w:hAnsi="宋体"/>
                <w:snapToGrid w:val="0"/>
                <w:color w:val="000000"/>
                <w:szCs w:val="21"/>
                <w:highlight w:val="none"/>
              </w:rPr>
              <w:t>若大于最高评标限价的评标价，将否决其投标。</w:t>
            </w:r>
          </w:p>
          <w:p>
            <w:pPr>
              <w:snapToGrid w:val="0"/>
              <w:spacing w:line="360" w:lineRule="exact"/>
              <w:rPr>
                <w:rFonts w:hint="eastAsia" w:ascii="宋体" w:hAnsi="宋体"/>
                <w:b/>
                <w:snapToGrid w:val="0"/>
                <w:color w:val="000000"/>
                <w:szCs w:val="21"/>
                <w:highlight w:val="none"/>
              </w:rPr>
            </w:pPr>
            <w:r>
              <w:rPr>
                <w:rFonts w:hint="eastAsia" w:ascii="宋体" w:hAnsi="宋体"/>
                <w:b/>
                <w:snapToGrid w:val="0"/>
                <w:color w:val="000000"/>
                <w:szCs w:val="21"/>
                <w:highlight w:val="none"/>
              </w:rPr>
              <w:t>（4）</w:t>
            </w:r>
            <w:r>
              <w:rPr>
                <w:rFonts w:ascii="宋体" w:hAnsi="宋体"/>
                <w:b/>
                <w:snapToGrid w:val="0"/>
                <w:color w:val="000000"/>
                <w:szCs w:val="21"/>
                <w:highlight w:val="none"/>
              </w:rPr>
              <w:t>评标基准价的确定</w:t>
            </w:r>
            <w:r>
              <w:rPr>
                <w:rFonts w:hint="eastAsia" w:ascii="宋体" w:hAnsi="宋体"/>
                <w:b/>
                <w:snapToGrid w:val="0"/>
                <w:color w:val="000000"/>
                <w:szCs w:val="21"/>
                <w:highlight w:val="none"/>
              </w:rPr>
              <w:t>：</w:t>
            </w:r>
          </w:p>
          <w:p>
            <w:pPr>
              <w:snapToGrid w:val="0"/>
              <w:spacing w:line="360" w:lineRule="exact"/>
              <w:ind w:firstLine="422" w:firstLineChars="200"/>
              <w:rPr>
                <w:rFonts w:hint="eastAsia" w:ascii="宋体" w:hAnsi="宋体"/>
                <w:b/>
                <w:snapToGrid w:val="0"/>
                <w:color w:val="000000"/>
                <w:szCs w:val="21"/>
                <w:highlight w:val="none"/>
              </w:rPr>
            </w:pPr>
            <w:r>
              <w:rPr>
                <w:rFonts w:hint="eastAsia" w:ascii="宋体" w:hAnsi="宋体"/>
                <w:b/>
                <w:snapToGrid w:val="0"/>
                <w:color w:val="000000"/>
                <w:szCs w:val="21"/>
                <w:highlight w:val="none"/>
              </w:rPr>
              <w:t>评标基准价=</w:t>
            </w:r>
            <w:r>
              <w:rPr>
                <w:rFonts w:hint="eastAsia" w:ascii="宋体" w:hAnsi="宋体"/>
                <w:b/>
                <w:color w:val="000000"/>
                <w:kern w:val="0"/>
                <w:szCs w:val="21"/>
                <w:highlight w:val="none"/>
              </w:rPr>
              <w:t>最高评标限价</w:t>
            </w:r>
            <w:r>
              <w:rPr>
                <w:rFonts w:hint="eastAsia" w:ascii="宋体" w:hAnsi="宋体"/>
                <w:b/>
                <w:snapToGrid w:val="0"/>
                <w:color w:val="000000"/>
                <w:szCs w:val="21"/>
                <w:highlight w:val="none"/>
              </w:rPr>
              <w:t>×0.98。</w:t>
            </w:r>
          </w:p>
          <w:p>
            <w:pPr>
              <w:spacing w:line="360" w:lineRule="exact"/>
              <w:ind w:firstLine="420" w:firstLineChars="200"/>
              <w:rPr>
                <w:rFonts w:hint="eastAsia" w:ascii="宋体" w:hAnsi="宋体"/>
                <w:color w:val="000000"/>
                <w:szCs w:val="21"/>
                <w:highlight w:val="none"/>
              </w:rPr>
            </w:pPr>
            <w:r>
              <w:rPr>
                <w:rFonts w:hint="eastAsia" w:ascii="宋体" w:hAnsi="宋体"/>
                <w:snapToGrid w:val="0"/>
                <w:color w:val="000000"/>
                <w:szCs w:val="21"/>
                <w:highlight w:val="none"/>
              </w:rPr>
              <w:t>备注：</w:t>
            </w:r>
            <w:r>
              <w:rPr>
                <w:rFonts w:hint="eastAsia" w:ascii="宋体" w:hAnsi="宋体"/>
                <w:color w:val="000000"/>
                <w:kern w:val="0"/>
                <w:szCs w:val="21"/>
                <w:highlight w:val="none"/>
              </w:rPr>
              <w:t>最高评标限价</w:t>
            </w:r>
            <w:r>
              <w:rPr>
                <w:rFonts w:hint="eastAsia" w:ascii="宋体" w:hAnsi="宋体"/>
                <w:color w:val="000000"/>
                <w:szCs w:val="21"/>
                <w:highlight w:val="none"/>
              </w:rPr>
              <w:t>、评标基准价D四舍五入精确至个位整数元。</w:t>
            </w:r>
          </w:p>
          <w:p>
            <w:pPr>
              <w:spacing w:line="360" w:lineRule="exact"/>
              <w:ind w:firstLine="413" w:firstLineChars="196"/>
              <w:rPr>
                <w:rFonts w:hint="eastAsia" w:ascii="宋体" w:hAnsi="宋体"/>
                <w:b/>
                <w:color w:val="000000"/>
                <w:szCs w:val="21"/>
                <w:highlight w:val="none"/>
              </w:rPr>
            </w:pPr>
          </w:p>
          <w:p>
            <w:pPr>
              <w:spacing w:line="360" w:lineRule="exact"/>
              <w:ind w:firstLine="413" w:firstLineChars="196"/>
              <w:rPr>
                <w:rFonts w:hint="eastAsia" w:ascii="宋体" w:hAnsi="宋体"/>
                <w:b/>
                <w:color w:val="000000"/>
                <w:szCs w:val="21"/>
                <w:highlight w:val="none"/>
              </w:rPr>
            </w:pPr>
            <w:r>
              <w:rPr>
                <w:rFonts w:hint="eastAsia" w:ascii="宋体" w:hAnsi="宋体"/>
                <w:b/>
                <w:color w:val="00000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60" w:lineRule="exact"/>
              <w:ind w:firstLine="551" w:firstLineChars="196"/>
              <w:rPr>
                <w:rFonts w:hint="eastAsia"/>
                <w:b/>
                <w:bCs/>
                <w:i w:val="0"/>
                <w:i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2"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ascii="宋体" w:hAnsi="宋体"/>
                <w:color w:val="000000"/>
                <w:szCs w:val="21"/>
                <w:highlight w:val="none"/>
              </w:rPr>
              <w:t>2.2.3</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highlight w:val="none"/>
              </w:rPr>
              <w:t>偏差率计算公式</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b/>
                <w:szCs w:val="21"/>
                <w:highlight w:val="none"/>
              </w:rPr>
            </w:pPr>
            <w:r>
              <w:rPr>
                <w:rFonts w:ascii="宋体" w:hAnsi="宋体"/>
                <w:color w:val="000000"/>
                <w:szCs w:val="21"/>
                <w:highlight w:val="none"/>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jc w:val="center"/>
        </w:trPr>
        <w:tc>
          <w:tcPr>
            <w:tcW w:w="1632" w:type="dxa"/>
            <w:gridSpan w:val="2"/>
            <w:tcBorders>
              <w:top w:val="single" w:color="auto" w:sz="4" w:space="0"/>
              <w:bottom w:val="single" w:color="auto" w:sz="4" w:space="0"/>
              <w:right w:val="single" w:color="auto" w:sz="4" w:space="0"/>
            </w:tcBorders>
            <w:vAlign w:val="center"/>
          </w:tcPr>
          <w:p>
            <w:pPr>
              <w:spacing w:line="360" w:lineRule="exact"/>
              <w:jc w:val="center"/>
              <w:rPr>
                <w:highlight w:val="none"/>
              </w:rPr>
            </w:pPr>
            <w:r>
              <w:rPr>
                <w:rFonts w:ascii="宋体" w:hAnsi="宋体"/>
                <w:b/>
                <w:color w:val="000000"/>
                <w:szCs w:val="21"/>
                <w:highlight w:val="none"/>
              </w:rPr>
              <w:t>条款号</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szCs w:val="21"/>
                <w:highlight w:val="none"/>
              </w:rPr>
            </w:pPr>
            <w:r>
              <w:rPr>
                <w:rFonts w:hint="eastAsia" w:ascii="宋体" w:hAnsi="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hint="eastAsia"/>
              </w:rPr>
            </w:pPr>
          </w:p>
          <w:p>
            <w:pPr>
              <w:pStyle w:val="2"/>
              <w:rPr>
                <w:rFonts w:hint="eastAsia" w:ascii="宋体" w:hAnsi="宋体"/>
                <w:b/>
                <w:bCs/>
                <w:color w:val="000000"/>
                <w:szCs w:val="21"/>
                <w:highlight w:val="none"/>
              </w:rPr>
            </w:pPr>
          </w:p>
          <w:p>
            <w:pPr>
              <w:pStyle w:val="2"/>
              <w:rPr>
                <w:rFonts w:hint="eastAsia" w:ascii="宋体" w:hAnsi="宋体"/>
                <w:b/>
                <w:bCs/>
                <w:color w:val="000000"/>
                <w:szCs w:val="21"/>
                <w:highlight w:val="none"/>
              </w:rPr>
            </w:pPr>
          </w:p>
          <w:p>
            <w:pPr>
              <w:pStyle w:val="2"/>
              <w:ind w:left="0" w:leftChars="0" w:firstLine="0" w:firstLineChars="0"/>
              <w:rPr>
                <w:rFonts w:hint="eastAsia" w:ascii="宋体" w:hAnsi="宋体"/>
                <w:b/>
                <w:bCs/>
                <w:color w:val="000000"/>
                <w:kern w:val="2"/>
                <w:sz w:val="21"/>
                <w:szCs w:val="21"/>
                <w:highlight w:val="none"/>
                <w:lang w:val="en-US" w:eastAsia="zh-CN" w:bidi="ar-SA"/>
              </w:rPr>
            </w:pPr>
            <w:r>
              <w:rPr>
                <w:rFonts w:hint="eastAsia" w:ascii="宋体" w:hAnsi="宋体"/>
                <w:b/>
                <w:bCs/>
                <w:color w:val="000000"/>
                <w:kern w:val="2"/>
                <w:sz w:val="21"/>
                <w:szCs w:val="21"/>
                <w:highlight w:val="none"/>
                <w:lang w:val="en-US" w:eastAsia="zh-CN" w:bidi="ar-SA"/>
              </w:rPr>
              <w:t>2.2.4（1）</w:t>
            </w:r>
          </w:p>
          <w:p>
            <w:pPr>
              <w:pStyle w:val="2"/>
              <w:rPr>
                <w:rFonts w:hint="eastAsia" w:ascii="宋体" w:hAnsi="宋体"/>
                <w:b/>
                <w:bCs/>
                <w:color w:val="000000"/>
                <w:kern w:val="2"/>
                <w:sz w:val="21"/>
                <w:szCs w:val="21"/>
                <w:highlight w:val="none"/>
                <w:lang w:val="en-US" w:eastAsia="zh-CN" w:bidi="ar-SA"/>
              </w:rPr>
            </w:pPr>
          </w:p>
          <w:p>
            <w:pPr>
              <w:pStyle w:val="2"/>
              <w:rPr>
                <w:rFonts w:hint="eastAsia" w:ascii="宋体" w:hAnsi="宋体"/>
                <w:b/>
                <w:bCs/>
                <w:color w:val="000000"/>
                <w:szCs w:val="21"/>
                <w:highlight w:val="none"/>
              </w:rPr>
            </w:pP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总体服务方案（维护方案</w:t>
            </w:r>
            <w:r>
              <w:rPr>
                <w:rFonts w:hint="eastAsia" w:ascii="宋体" w:hAnsi="宋体"/>
                <w:b/>
                <w:bCs/>
                <w:color w:val="000000"/>
                <w:szCs w:val="21"/>
                <w:highlight w:val="none"/>
                <w:lang w:eastAsia="zh-CN"/>
              </w:rPr>
              <w:t>）</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color w:val="auto"/>
                <w:szCs w:val="21"/>
              </w:rPr>
            </w:pPr>
            <w:r>
              <w:rPr>
                <w:rFonts w:hint="eastAsia" w:ascii="宋体" w:hAnsi="宋体"/>
                <w:b/>
                <w:color w:val="auto"/>
                <w:highlight w:val="none"/>
                <w:lang w:val="en-US" w:eastAsia="zh-CN"/>
              </w:rPr>
              <w:t>满分：5分</w:t>
            </w:r>
          </w:p>
          <w:p>
            <w:pPr>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维护方案总体设计情况，针对管理运行维护工作基本制度、设备管理、运维管理、应急处置能力等方面，对比各投标人的方案满足用户需求的程度，方案的合理科学性、可操作性，对本项目提出的合理建议和服务详细描述情况。</w:t>
            </w:r>
          </w:p>
          <w:p>
            <w:pPr>
              <w:numPr>
                <w:ilvl w:val="0"/>
                <w:numId w:val="5"/>
              </w:numPr>
              <w:spacing w:line="360" w:lineRule="exact"/>
              <w:rPr>
                <w:rFonts w:hint="eastAsia" w:ascii="宋体" w:hAnsi="宋体"/>
                <w:szCs w:val="21"/>
              </w:rPr>
            </w:pPr>
            <w:r>
              <w:rPr>
                <w:rFonts w:hint="eastAsia" w:ascii="宋体" w:hAnsi="宋体"/>
                <w:szCs w:val="21"/>
              </w:rPr>
              <w:t>方案总体思路基本可行，得3分；</w:t>
            </w:r>
          </w:p>
          <w:p>
            <w:pPr>
              <w:numPr>
                <w:ilvl w:val="0"/>
                <w:numId w:val="5"/>
              </w:numPr>
              <w:spacing w:line="360" w:lineRule="exact"/>
              <w:rPr>
                <w:rFonts w:hint="eastAsia" w:ascii="宋体" w:hAnsi="宋体"/>
                <w:b/>
                <w:color w:val="000000"/>
                <w:highlight w:val="none"/>
              </w:rPr>
            </w:pPr>
            <w:r>
              <w:rPr>
                <w:rFonts w:hint="eastAsia" w:ascii="宋体" w:hAnsi="宋体"/>
                <w:szCs w:val="21"/>
              </w:rPr>
              <w:t>方案总体思路一般，内容较全面，得3-4分；</w:t>
            </w:r>
          </w:p>
          <w:p>
            <w:pPr>
              <w:numPr>
                <w:ilvl w:val="0"/>
                <w:numId w:val="5"/>
              </w:numPr>
              <w:spacing w:line="360" w:lineRule="exact"/>
              <w:rPr>
                <w:rFonts w:hint="eastAsia" w:ascii="宋体" w:hAnsi="宋体"/>
                <w:b/>
                <w:color w:val="000000"/>
                <w:highlight w:val="none"/>
              </w:rPr>
            </w:pPr>
            <w:r>
              <w:rPr>
                <w:rFonts w:hint="eastAsia" w:ascii="宋体" w:hAnsi="宋体" w:eastAsia="宋体" w:cs="Times New Roman"/>
                <w:kern w:val="2"/>
                <w:sz w:val="21"/>
                <w:szCs w:val="21"/>
                <w:lang w:val="en-US" w:eastAsia="zh-CN" w:bidi="ar-SA"/>
              </w:rPr>
              <w:t>方案总体思路很好，内容完善，具有较强的可实施性，得4-5分。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741" w:type="dxa"/>
            <w:tcBorders>
              <w:top w:val="single" w:color="auto" w:sz="4" w:space="0"/>
              <w:bottom w:val="single" w:color="auto" w:sz="4" w:space="0"/>
              <w:right w:val="single" w:color="auto" w:sz="4" w:space="0"/>
            </w:tcBorders>
            <w:vAlign w:val="center"/>
          </w:tcPr>
          <w:p>
            <w:pPr>
              <w:pStyle w:val="2"/>
              <w:rPr>
                <w:rFonts w:hint="eastAsia" w:ascii="宋体" w:hAnsi="宋体"/>
                <w:b/>
                <w:bCs/>
                <w:color w:val="000000"/>
                <w:szCs w:val="21"/>
                <w:highlight w:val="none"/>
              </w:rPr>
            </w:pPr>
          </w:p>
          <w:p>
            <w:pPr>
              <w:pStyle w:val="2"/>
              <w:rPr>
                <w:rFonts w:hint="eastAsia" w:ascii="宋体" w:hAnsi="宋体"/>
                <w:b/>
                <w:bCs/>
                <w:color w:val="000000"/>
                <w:szCs w:val="21"/>
                <w:highlight w:val="none"/>
              </w:rPr>
            </w:pPr>
          </w:p>
          <w:p>
            <w:pPr>
              <w:pStyle w:val="2"/>
              <w:rPr>
                <w:rFonts w:hint="eastAsia" w:ascii="宋体" w:hAnsi="宋体"/>
                <w:b/>
                <w:bCs/>
                <w:color w:val="000000"/>
                <w:szCs w:val="21"/>
                <w:highlight w:val="none"/>
              </w:rPr>
            </w:pPr>
          </w:p>
          <w:p>
            <w:pPr>
              <w:pStyle w:val="2"/>
              <w:ind w:left="0" w:leftChars="0" w:firstLine="0" w:firstLineChars="0"/>
              <w:rPr>
                <w:rFonts w:hint="eastAsia" w:ascii="宋体" w:hAnsi="宋体"/>
                <w:b/>
                <w:bCs/>
                <w:color w:val="000000"/>
                <w:szCs w:val="21"/>
                <w:highlight w:val="none"/>
              </w:rPr>
            </w:pPr>
            <w:r>
              <w:rPr>
                <w:rFonts w:hint="eastAsia" w:ascii="宋体" w:hAnsi="宋体"/>
                <w:b/>
                <w:bCs/>
                <w:color w:val="000000"/>
                <w:kern w:val="2"/>
                <w:sz w:val="21"/>
                <w:szCs w:val="21"/>
                <w:highlight w:val="none"/>
                <w:lang w:val="en-US" w:eastAsia="zh-CN" w:bidi="ar-SA"/>
              </w:rPr>
              <w:t>2.2.4（2）</w:t>
            </w:r>
          </w:p>
          <w:p>
            <w:pPr>
              <w:pStyle w:val="2"/>
              <w:rPr>
                <w:rFonts w:hint="eastAsia" w:ascii="宋体" w:hAnsi="宋体"/>
                <w:b/>
                <w:bCs/>
                <w:color w:val="000000"/>
                <w:szCs w:val="21"/>
                <w:highlight w:val="none"/>
              </w:rPr>
            </w:pPr>
          </w:p>
          <w:p>
            <w:pPr>
              <w:pStyle w:val="2"/>
              <w:rPr>
                <w:rFonts w:hint="eastAsia" w:ascii="宋体" w:hAnsi="宋体"/>
                <w:b/>
                <w:bCs/>
                <w:color w:val="000000"/>
                <w:szCs w:val="21"/>
                <w:highlight w:val="none"/>
              </w:rPr>
            </w:pPr>
          </w:p>
          <w:p>
            <w:pPr>
              <w:pStyle w:val="2"/>
              <w:rPr>
                <w:rFonts w:hint="eastAsia" w:ascii="宋体" w:hAnsi="宋体"/>
                <w:b/>
                <w:bCs/>
                <w:color w:val="000000"/>
                <w:szCs w:val="21"/>
                <w:highlight w:val="none"/>
              </w:rPr>
            </w:pP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项目组织机构</w:t>
            </w: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olor w:val="auto"/>
                <w:szCs w:val="21"/>
              </w:rPr>
            </w:pPr>
            <w:r>
              <w:rPr>
                <w:rFonts w:hint="eastAsia" w:ascii="宋体" w:hAnsi="宋体"/>
                <w:b/>
                <w:color w:val="auto"/>
                <w:highlight w:val="none"/>
                <w:lang w:val="en-US" w:eastAsia="zh-CN"/>
              </w:rPr>
              <w:t>满分：5分</w:t>
            </w:r>
          </w:p>
          <w:p>
            <w:pPr>
              <w:spacing w:line="360" w:lineRule="auto"/>
              <w:ind w:firstLine="420" w:firstLineChars="200"/>
              <w:rPr>
                <w:rFonts w:hint="eastAsia" w:ascii="宋体" w:hAnsi="宋体"/>
                <w:color w:val="000000"/>
                <w:szCs w:val="21"/>
              </w:rPr>
            </w:pPr>
            <w:r>
              <w:rPr>
                <w:rFonts w:hint="eastAsia" w:ascii="宋体" w:hAnsi="宋体"/>
                <w:color w:val="000000"/>
                <w:szCs w:val="21"/>
              </w:rPr>
              <w:t>满足资格审查条件（人员最低要求）条件的得3分。</w:t>
            </w:r>
          </w:p>
          <w:p>
            <w:pPr>
              <w:spacing w:line="360" w:lineRule="auto"/>
              <w:ind w:firstLine="420" w:firstLineChars="200"/>
              <w:rPr>
                <w:rFonts w:hint="eastAsia" w:ascii="宋体" w:hAnsi="宋体"/>
                <w:color w:val="000000"/>
                <w:szCs w:val="21"/>
              </w:rPr>
            </w:pPr>
            <w:r>
              <w:rPr>
                <w:rFonts w:hint="eastAsia" w:ascii="宋体" w:hAnsi="宋体"/>
                <w:color w:val="000000"/>
                <w:szCs w:val="21"/>
              </w:rPr>
              <w:t>在此基础上，拟投入本项目的人员有以下情况的得相应加分，最</w:t>
            </w:r>
            <w:r>
              <w:rPr>
                <w:rFonts w:hint="eastAsia" w:ascii="宋体" w:hAnsi="宋体"/>
                <w:color w:val="000000"/>
                <w:szCs w:val="21"/>
                <w:lang w:val="en-US" w:eastAsia="zh-CN"/>
              </w:rPr>
              <w:t>多</w:t>
            </w:r>
            <w:r>
              <w:rPr>
                <w:rFonts w:hint="eastAsia" w:ascii="宋体" w:hAnsi="宋体"/>
                <w:color w:val="000000"/>
                <w:szCs w:val="21"/>
              </w:rPr>
              <w:t>加分不超2分：</w:t>
            </w:r>
          </w:p>
          <w:p>
            <w:pPr>
              <w:spacing w:line="360" w:lineRule="auto"/>
              <w:ind w:firstLine="420" w:firstLineChars="200"/>
              <w:rPr>
                <w:rFonts w:hint="eastAsia" w:ascii="宋体" w:hAnsi="宋体"/>
                <w:color w:val="000000"/>
                <w:szCs w:val="21"/>
              </w:rPr>
            </w:pPr>
            <w:r>
              <w:rPr>
                <w:rFonts w:hint="eastAsia" w:ascii="宋体" w:hAnsi="宋体"/>
                <w:color w:val="000000"/>
                <w:szCs w:val="21"/>
              </w:rPr>
              <w:t>每增加1名航标工程师的人员加0.4分，最多加0.4分；</w:t>
            </w:r>
          </w:p>
          <w:p>
            <w:pPr>
              <w:spacing w:line="360" w:lineRule="auto"/>
              <w:ind w:firstLine="420" w:firstLineChars="200"/>
              <w:rPr>
                <w:rFonts w:hint="eastAsia" w:ascii="宋体" w:hAnsi="宋体"/>
                <w:color w:val="000000"/>
                <w:szCs w:val="21"/>
              </w:rPr>
            </w:pPr>
            <w:r>
              <w:rPr>
                <w:rFonts w:hint="eastAsia" w:ascii="宋体" w:hAnsi="宋体"/>
                <w:color w:val="000000"/>
                <w:szCs w:val="21"/>
              </w:rPr>
              <w:t>每增加1名高级视觉航标工加0.4分，最多加0.4分；</w:t>
            </w:r>
          </w:p>
          <w:p>
            <w:pPr>
              <w:spacing w:line="360" w:lineRule="auto"/>
              <w:ind w:firstLine="420" w:firstLineChars="200"/>
              <w:rPr>
                <w:rFonts w:hint="eastAsia" w:ascii="宋体" w:hAnsi="宋体"/>
                <w:color w:val="000000"/>
                <w:szCs w:val="21"/>
              </w:rPr>
            </w:pPr>
            <w:r>
              <w:rPr>
                <w:rFonts w:hint="eastAsia" w:ascii="宋体" w:hAnsi="宋体"/>
                <w:color w:val="000000"/>
                <w:szCs w:val="21"/>
              </w:rPr>
              <w:t>每增加1名高级船舶甲板操作工加0.4分，最多加0.4分；</w:t>
            </w:r>
          </w:p>
          <w:p>
            <w:pPr>
              <w:spacing w:line="360" w:lineRule="auto"/>
              <w:ind w:firstLine="420" w:firstLineChars="200"/>
              <w:rPr>
                <w:rFonts w:hint="eastAsia" w:ascii="宋体" w:hAnsi="宋体"/>
                <w:color w:val="000000"/>
                <w:szCs w:val="21"/>
              </w:rPr>
            </w:pPr>
            <w:r>
              <w:rPr>
                <w:rFonts w:hint="eastAsia" w:ascii="宋体" w:hAnsi="宋体"/>
                <w:color w:val="000000"/>
                <w:szCs w:val="21"/>
              </w:rPr>
              <w:t>每增加1名内河三类船长加0.4分，最多加0.4分；</w:t>
            </w:r>
          </w:p>
          <w:p>
            <w:pPr>
              <w:spacing w:line="360" w:lineRule="auto"/>
              <w:ind w:firstLine="420" w:firstLineChars="200"/>
              <w:rPr>
                <w:rFonts w:hint="eastAsia" w:ascii="宋体" w:hAnsi="宋体" w:cs="宋体"/>
                <w:color w:val="000000"/>
                <w:szCs w:val="21"/>
              </w:rPr>
            </w:pPr>
            <w:r>
              <w:rPr>
                <w:rFonts w:hint="eastAsia" w:ascii="宋体" w:hAnsi="宋体"/>
                <w:color w:val="000000"/>
                <w:szCs w:val="21"/>
              </w:rPr>
              <w:t>每增加1名内河三类轮机长加0.4分，最多加0.4分；</w:t>
            </w:r>
          </w:p>
          <w:p>
            <w:pPr>
              <w:pStyle w:val="2"/>
              <w:spacing w:line="360" w:lineRule="exact"/>
              <w:rPr>
                <w:rFonts w:hint="eastAsia" w:ascii="宋体" w:hAnsi="宋体"/>
                <w:szCs w:val="21"/>
              </w:rPr>
            </w:pPr>
            <w:r>
              <w:rPr>
                <w:rFonts w:hint="eastAsia" w:ascii="宋体" w:hAnsi="宋体" w:cs="宋体"/>
                <w:color w:val="000000"/>
                <w:szCs w:val="21"/>
              </w:rPr>
              <w:t>注：须提供人员证书及投标人（或投标人上级行政主管部门）近半年（20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月至20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月）为其缴纳社会保险的有效凭证的复印件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2.2.4（</w:t>
            </w:r>
            <w:r>
              <w:rPr>
                <w:rFonts w:hint="eastAsia" w:ascii="宋体" w:hAnsi="宋体"/>
                <w:b/>
                <w:bCs/>
                <w:color w:val="000000"/>
                <w:szCs w:val="21"/>
                <w:highlight w:val="none"/>
                <w:lang w:val="en-US" w:eastAsia="zh-CN"/>
              </w:rPr>
              <w:t>3</w:t>
            </w:r>
            <w:r>
              <w:rPr>
                <w:rFonts w:hint="eastAsia" w:ascii="宋体" w:hAnsi="宋体"/>
                <w:b/>
                <w:bCs/>
                <w:color w:val="000000"/>
                <w:szCs w:val="21"/>
                <w:highlight w:val="none"/>
              </w:rPr>
              <w:t>）</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评标价</w:t>
            </w:r>
          </w:p>
        </w:tc>
        <w:tc>
          <w:tcPr>
            <w:tcW w:w="7829" w:type="dxa"/>
            <w:tcBorders>
              <w:top w:val="single" w:color="auto" w:sz="4" w:space="0"/>
              <w:left w:val="single" w:color="auto" w:sz="4" w:space="0"/>
              <w:bottom w:val="single" w:color="auto" w:sz="4" w:space="0"/>
              <w:right w:val="single" w:color="auto" w:sz="4" w:space="0"/>
            </w:tcBorders>
            <w:vAlign w:val="center"/>
          </w:tcPr>
          <w:p>
            <w:pPr>
              <w:pStyle w:val="2"/>
              <w:spacing w:line="360" w:lineRule="exact"/>
              <w:ind w:left="0" w:leftChars="0"/>
              <w:rPr>
                <w:rFonts w:hint="eastAsia" w:ascii="宋体" w:hAnsi="宋体"/>
                <w:b/>
                <w:color w:val="auto"/>
                <w:kern w:val="2"/>
                <w:sz w:val="21"/>
                <w:szCs w:val="24"/>
                <w:highlight w:val="none"/>
                <w:lang w:val="en-US" w:eastAsia="zh-CN" w:bidi="ar-SA"/>
              </w:rPr>
            </w:pPr>
            <w:r>
              <w:rPr>
                <w:rFonts w:hint="eastAsia" w:ascii="宋体" w:hAnsi="宋体"/>
                <w:b/>
                <w:color w:val="auto"/>
                <w:kern w:val="2"/>
                <w:sz w:val="21"/>
                <w:szCs w:val="24"/>
                <w:highlight w:val="none"/>
                <w:lang w:val="en-US" w:eastAsia="zh-CN" w:bidi="ar-SA"/>
              </w:rPr>
              <w:t>满分：80分</w:t>
            </w:r>
          </w:p>
          <w:p>
            <w:pPr>
              <w:pStyle w:val="2"/>
              <w:spacing w:line="360" w:lineRule="exact"/>
              <w:rPr>
                <w:rFonts w:hint="eastAsia" w:ascii="宋体" w:hAnsi="宋体"/>
                <w:b/>
                <w:color w:val="000000"/>
                <w:highlight w:val="none"/>
              </w:rPr>
            </w:pPr>
            <w:r>
              <w:rPr>
                <w:rFonts w:hint="eastAsia" w:ascii="宋体" w:hAnsi="宋体"/>
                <w:b/>
                <w:color w:val="000000"/>
                <w:highlight w:val="none"/>
              </w:rPr>
              <w:t>评标价得分计算公式示例：</w:t>
            </w:r>
          </w:p>
          <w:p>
            <w:pPr>
              <w:pStyle w:val="2"/>
              <w:spacing w:line="360" w:lineRule="exact"/>
              <w:ind w:left="0" w:leftChars="0"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当报价人的</w:t>
            </w:r>
            <w:r>
              <w:rPr>
                <w:rFonts w:hint="eastAsia" w:ascii="宋体" w:hAnsi="宋体"/>
                <w:b/>
                <w:bCs/>
                <w:sz w:val="21"/>
                <w:szCs w:val="21"/>
                <w:highlight w:val="none"/>
                <w:lang w:val="en-US" w:eastAsia="zh-CN"/>
              </w:rPr>
              <w:t>评标价</w:t>
            </w:r>
            <w:r>
              <w:rPr>
                <w:rFonts w:hint="eastAsia" w:ascii="宋体" w:hAnsi="宋体"/>
                <w:sz w:val="21"/>
                <w:szCs w:val="21"/>
                <w:highlight w:val="none"/>
                <w:lang w:val="en-US" w:eastAsia="zh-CN"/>
              </w:rPr>
              <w:t>等于D时得满分，每高于D一个百分点扣1.5分，每低于D一个百分点扣0.5分，中间值按比例内插。用公式表示如下：</w:t>
            </w:r>
          </w:p>
          <w:p>
            <w:pPr>
              <w:pStyle w:val="2"/>
              <w:spacing w:line="360" w:lineRule="auto"/>
              <w:rPr>
                <w:rFonts w:hint="eastAsia" w:ascii="宋体" w:hAnsi="宋体" w:eastAsia="宋体" w:cs="宋体"/>
                <w:szCs w:val="21"/>
                <w:highlight w:val="none"/>
              </w:rPr>
            </w:pPr>
            <w:r>
              <w:rPr>
                <w:rFonts w:hint="eastAsia" w:ascii="宋体" w:hAnsi="宋体" w:eastAsia="宋体" w:cs="宋体"/>
                <w:position w:val="-24"/>
                <w:szCs w:val="21"/>
                <w:highlight w:val="none"/>
              </w:rPr>
              <w:object>
                <v:shape id="_x0000_i1025" o:spt="75" type="#_x0000_t75" style="height:38.9pt;width:156.55pt;" o:ole="t" filled="f" o:preferrelative="t" stroked="f" coordsize="21600,21600">
                  <v:path/>
                  <v:fill on="f" alignshape="1" focussize="0,0"/>
                  <v:stroke on="f"/>
                  <v:imagedata r:id="rId6" o:title=""/>
                  <o:lock v:ext="edit" aspectratio="t"/>
                  <w10:wrap type="none"/>
                  <w10:anchorlock/>
                </v:shape>
                <o:OLEObject Type="Embed" ProgID="Equation.3" ShapeID="_x0000_i1025" DrawAspect="Content" ObjectID="_1468075725" r:id="rId5">
                  <o:LockedField>false</o:LockedField>
                </o:OLEObject>
              </w:objec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式中：</w:t>
            </w:r>
            <w:r>
              <w:rPr>
                <w:rFonts w:hint="eastAsia" w:ascii="宋体" w:hAnsi="宋体" w:eastAsia="宋体" w:cs="宋体"/>
                <w:sz w:val="21"/>
                <w:szCs w:val="21"/>
                <w:highlight w:val="none"/>
              </w:rPr>
              <w:object>
                <v:shape id="_x0000_i1026" o:spt="75" type="#_x0000_t75" style="height:18pt;width:13pt;" o:ole="t" filled="f" o:preferrelative="t" stroked="f" coordsize="21600,21600">
                  <v:path/>
                  <v:fill on="f" alignshape="1" focussize="0,0"/>
                  <v:stroke on="f"/>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的评标价</w:t>
            </w:r>
            <w:r>
              <w:rPr>
                <w:rFonts w:hint="eastAsia" w:ascii="宋体" w:hAnsi="宋体" w:eastAsia="宋体" w:cs="宋体"/>
                <w:sz w:val="21"/>
                <w:szCs w:val="21"/>
                <w:highlight w:val="none"/>
              </w:rPr>
              <w:t>得分（精确到小数点后</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位）；</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7" o:spt="75" type="#_x0000_t75" style="height:13pt;width:13pt;" o:ole="t" filled="f" stroked="f" coordsize="21600,21600">
                  <v:path/>
                  <v:fill on="f" alignshape="1" focussize="0,0"/>
                  <v:stroke on="f"/>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所占的百分比权重分值，</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F=</w:t>
            </w:r>
            <w:r>
              <w:rPr>
                <w:rFonts w:hint="eastAsia" w:ascii="宋体" w:hAnsi="宋体" w:eastAsia="宋体" w:cs="宋体"/>
                <w:strike w:val="0"/>
                <w:dstrike w:val="0"/>
                <w:color w:val="auto"/>
                <w:sz w:val="21"/>
                <w:szCs w:val="21"/>
                <w:highlight w:val="none"/>
                <w:lang w:val="en-US" w:eastAsia="zh-CN"/>
              </w:rPr>
              <w:t>80</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object>
                <v:shape id="_x0000_i1028" o:spt="75" type="#_x0000_t75" style="height:18pt;width:15pt;" o:ole="t" filled="f" o:preferrelative="t" stroked="f" coordsize="21600,21600">
                  <v:path/>
                  <v:fill on="f" alignshape="1" focussize="0,0"/>
                  <v:stroke on="f"/>
                  <v:imagedata r:id="rId12" o:title=""/>
                  <o:lock v:ext="edit" aspectratio="t"/>
                  <w10:wrap type="none"/>
                  <w10:anchorlock/>
                </v:shape>
                <o:OLEObject Type="Embed" ProgID="Equation.3" ShapeID="_x0000_i1028" DrawAspect="Content" ObjectID="_1468075728" r:id="rId11">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报价人</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评标价</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position w:val="-4"/>
                <w:sz w:val="21"/>
                <w:szCs w:val="21"/>
                <w:highlight w:val="none"/>
              </w:rPr>
              <w:object>
                <v:shape id="_x0000_i1029" o:spt="75" type="#_x0000_t75" style="height:13pt;width:13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评标基准价</w:t>
            </w:r>
            <w:r>
              <w:rPr>
                <w:rFonts w:hint="eastAsia" w:ascii="宋体" w:hAnsi="宋体" w:eastAsia="宋体" w:cs="宋体"/>
                <w:sz w:val="21"/>
                <w:szCs w:val="21"/>
                <w:highlight w:val="none"/>
              </w:rPr>
              <w:t>。</w:t>
            </w:r>
          </w:p>
          <w:p>
            <w:pPr>
              <w:pStyle w:val="2"/>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0" o:spt="75" type="#_x0000_t75" style="height:18pt;width:15pt;" o:ole="t" filled="f" o:preferrelative="t" stroked="f" coordsize="21600,21600">
                  <v:path/>
                  <v:fill on="f" alignshape="1" focussize="0,0"/>
                  <v:stroke on="f"/>
                  <v:imagedata r:id="rId12" o:title=""/>
                  <o:lock v:ext="edit" aspectratio="t"/>
                  <w10:wrap type="none"/>
                  <w10:anchorlock/>
                </v:shape>
                <o:OLEObject Type="Embed" ProgID="Equation.3" ShapeID="_x0000_i1030" DrawAspect="Content" ObjectID="_1468075730" r:id="rId15">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1" o:spt="75" type="#_x0000_t75" style="height:13pt;width:13pt;" o:ole="t" filled="f" o:preferrelative="t" stroked="f" coordsize="21600,21600">
                  <v:path/>
                  <v:fill on="f" focussize="0,0"/>
                  <v:stroke on="f"/>
                  <v:imagedata r:id="rId14" o:title=""/>
                  <o:lock v:ext="edit" aspectratio="t"/>
                  <w10:wrap type="none"/>
                  <w10:anchorlock/>
                </v:shape>
                <o:OLEObject Type="Embed" ProgID="Equation.KSEE3" ShapeID="_x0000_i1031" DrawAspect="Content" ObjectID="_1468075731" r:id="rId16">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2" o:spt="75" type="#_x0000_t75" style="height:13pt;width:12pt;" o:ole="t" filled="f" stroked="f" coordsize="21600,21600">
                  <v:path/>
                  <v:fill on="f" alignshape="1" focussize="0,0"/>
                  <v:stroke on="f"/>
                  <v:imagedata r:id="rId18" o:title=""/>
                  <o:lock v:ext="edit" aspectratio="t"/>
                  <w10:wrap type="none"/>
                  <w10:anchorlock/>
                </v:shape>
                <o:OLEObject Type="Embed" ProgID="Equation.3" ShapeID="_x0000_i1032" DrawAspect="Content" ObjectID="_1468075732" r:id="rId17">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；若</w:t>
            </w:r>
            <w:r>
              <w:rPr>
                <w:rFonts w:hint="eastAsia" w:ascii="宋体" w:hAnsi="宋体" w:eastAsia="宋体" w:cs="宋体"/>
                <w:sz w:val="21"/>
                <w:szCs w:val="21"/>
                <w:highlight w:val="none"/>
              </w:rPr>
              <w:object>
                <v:shape id="_x0000_i1033" o:spt="75" type="#_x0000_t75" style="height:18pt;width:15pt;" o:ole="t" filled="f" o:preferrelative="t" stroked="f" coordsize="21600,21600">
                  <v:path/>
                  <v:fill on="f" alignshape="1" focussize="0,0"/>
                  <v:stroke on="f"/>
                  <v:imagedata r:id="rId12" o:title=""/>
                  <o:lock v:ext="edit" aspectratio="t"/>
                  <w10:wrap type="none"/>
                  <w10:anchorlock/>
                </v:shape>
                <o:OLEObject Type="Embed" ProgID="Equation.3" ShapeID="_x0000_i1033" DrawAspect="Content" ObjectID="_1468075733" r:id="rId19">
                  <o:LockedField>false</o:LockedField>
                </o:OLEObject>
              </w:object>
            </w:r>
            <w:r>
              <w:rPr>
                <w:rFonts w:hint="eastAsia" w:ascii="宋体" w:hAnsi="宋体" w:eastAsia="宋体" w:cs="宋体"/>
                <w:sz w:val="21"/>
                <w:szCs w:val="21"/>
                <w:highlight w:val="none"/>
              </w:rPr>
              <w:t>＜</w:t>
            </w:r>
            <w:r>
              <w:rPr>
                <w:rFonts w:hint="eastAsia" w:ascii="宋体" w:hAnsi="宋体" w:eastAsia="宋体" w:cs="宋体"/>
                <w:position w:val="-4"/>
                <w:sz w:val="21"/>
                <w:szCs w:val="21"/>
                <w:highlight w:val="none"/>
              </w:rPr>
              <w:object>
                <v:shape id="_x0000_i1034" o:spt="75" type="#_x0000_t75" style="height:13pt;width:13pt;" o:ole="t" filled="f" o:preferrelative="t" stroked="f" coordsize="21600,21600">
                  <v:path/>
                  <v:fill on="f" focussize="0,0"/>
                  <v:stroke on="f"/>
                  <v:imagedata r:id="rId14" o:title=""/>
                  <o:lock v:ext="edit" aspectratio="t"/>
                  <w10:wrap type="none"/>
                  <w10:anchorlock/>
                </v:shape>
                <o:OLEObject Type="Embed" ProgID="Equation.KSEE3" ShapeID="_x0000_i1034" DrawAspect="Content" ObjectID="_1468075734" r:id="rId20">
                  <o:LockedField>false</o:LockedField>
                </o:OLEObject>
              </w:object>
            </w:r>
            <w:r>
              <w:rPr>
                <w:rFonts w:hint="eastAsia" w:ascii="宋体" w:hAnsi="宋体" w:eastAsia="宋体" w:cs="宋体"/>
                <w:sz w:val="21"/>
                <w:szCs w:val="21"/>
                <w:highlight w:val="none"/>
              </w:rPr>
              <w:t>，则</w:t>
            </w:r>
            <w:r>
              <w:rPr>
                <w:rFonts w:hint="eastAsia" w:ascii="宋体" w:hAnsi="宋体" w:eastAsia="宋体" w:cs="宋体"/>
                <w:sz w:val="21"/>
                <w:szCs w:val="21"/>
                <w:highlight w:val="none"/>
              </w:rPr>
              <w:object>
                <v:shape id="_x0000_i1035" o:spt="75" type="#_x0000_t75" style="height:13pt;width:12pt;" o:ole="t" filled="f" stroked="f" coordsize="21600,21600">
                  <v:path/>
                  <v:fill on="f" alignshape="1" focussize="0,0"/>
                  <v:stroke on="f"/>
                  <v:imagedata r:id="rId18" o:title=""/>
                  <o:lock v:ext="edit" aspectratio="t"/>
                  <w10:wrap type="none"/>
                  <w10:anchorlock/>
                </v:shape>
                <o:OLEObject Type="Embed" ProgID="Equation.3" ShapeID="_x0000_i1035" DrawAspect="Content" ObjectID="_1468075735" r:id="rId21">
                  <o:LockedField>false</o:LockedField>
                </o:OLEObject>
              </w:objec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w:t>
            </w:r>
          </w:p>
          <w:p>
            <w:pPr>
              <w:pStyle w:val="2"/>
              <w:spacing w:line="360" w:lineRule="exact"/>
              <w:ind w:left="420" w:leftChars="200"/>
              <w:rPr>
                <w:rFonts w:hint="eastAsia" w:ascii="宋体" w:hAnsi="宋体" w:cs="宋体"/>
                <w:color w:val="000000"/>
                <w:szCs w:val="21"/>
              </w:rPr>
            </w:pPr>
            <w:r>
              <w:rPr>
                <w:rFonts w:hint="eastAsia" w:ascii="宋体" w:hAnsi="宋体"/>
                <w:b/>
                <w:color w:val="000000"/>
                <w:highlight w:val="none"/>
              </w:rPr>
              <w:t>注：评标价得分分值计算保留小数点后两位，小数点后第三位“四舍五入”。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90" w:hRule="atLeast"/>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b/>
                <w:bCs/>
                <w:color w:val="auto"/>
                <w:szCs w:val="21"/>
                <w:highlight w:val="none"/>
              </w:rPr>
              <w:t>2.2.4（</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p>
        </w:tc>
        <w:tc>
          <w:tcPr>
            <w:tcW w:w="891"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其他因素：</w:t>
            </w:r>
          </w:p>
          <w:p>
            <w:pPr>
              <w:spacing w:line="360" w:lineRule="exact"/>
              <w:jc w:val="center"/>
              <w:rPr>
                <w:rFonts w:ascii="宋体" w:hAnsi="宋体"/>
                <w:color w:val="auto"/>
                <w:szCs w:val="21"/>
                <w:highlight w:val="none"/>
              </w:rPr>
            </w:pPr>
          </w:p>
        </w:tc>
        <w:tc>
          <w:tcPr>
            <w:tcW w:w="782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b/>
                <w:color w:val="auto"/>
                <w:highlight w:val="none"/>
                <w:lang w:val="en-US" w:eastAsia="zh-CN"/>
              </w:rPr>
            </w:pPr>
            <w:r>
              <w:rPr>
                <w:rFonts w:hint="eastAsia" w:ascii="宋体" w:hAnsi="宋体"/>
                <w:b/>
                <w:color w:val="auto"/>
                <w:highlight w:val="none"/>
                <w:lang w:val="en-US" w:eastAsia="zh-CN"/>
              </w:rPr>
              <w:t>满分：10分</w:t>
            </w:r>
          </w:p>
          <w:p>
            <w:pPr>
              <w:spacing w:line="360" w:lineRule="exact"/>
              <w:ind w:firstLine="422" w:firstLineChars="200"/>
              <w:rPr>
                <w:b/>
                <w:bCs/>
                <w:color w:val="auto"/>
                <w:highlight w:val="none"/>
              </w:rPr>
            </w:pPr>
            <w:r>
              <w:rPr>
                <w:b/>
                <w:bCs/>
                <w:color w:val="auto"/>
                <w:highlight w:val="none"/>
              </w:rPr>
              <w:t>1</w:t>
            </w:r>
            <w:r>
              <w:rPr>
                <w:rFonts w:hint="eastAsia"/>
                <w:b/>
                <w:bCs/>
                <w:color w:val="auto"/>
                <w:highlight w:val="none"/>
              </w:rPr>
              <w:t>、</w:t>
            </w:r>
            <w:r>
              <w:rPr>
                <w:rFonts w:hint="eastAsia" w:ascii="宋体" w:hAnsi="宋体" w:cs="SimSun-Identity-H"/>
                <w:color w:val="auto"/>
                <w:kern w:val="0"/>
                <w:szCs w:val="21"/>
                <w:highlight w:val="none"/>
              </w:rPr>
              <w:t>业绩</w:t>
            </w:r>
            <w:r>
              <w:rPr>
                <w:rFonts w:hint="eastAsia"/>
                <w:b/>
                <w:bCs/>
                <w:color w:val="auto"/>
                <w:highlight w:val="none"/>
              </w:rPr>
              <w:t>：</w:t>
            </w:r>
            <w:r>
              <w:rPr>
                <w:rFonts w:hint="eastAsia"/>
                <w:b/>
                <w:bCs/>
                <w:color w:val="auto"/>
                <w:highlight w:val="none"/>
                <w:lang w:val="en-US" w:eastAsia="zh-CN"/>
              </w:rPr>
              <w:t>5</w:t>
            </w:r>
            <w:r>
              <w:rPr>
                <w:b/>
                <w:bCs/>
                <w:color w:val="auto"/>
                <w:highlight w:val="none"/>
              </w:rPr>
              <w:t xml:space="preserve"> </w:t>
            </w:r>
            <w:r>
              <w:rPr>
                <w:rFonts w:hint="eastAsia"/>
                <w:b/>
                <w:bCs/>
                <w:color w:val="auto"/>
                <w:highlight w:val="none"/>
              </w:rPr>
              <w:t>分</w:t>
            </w:r>
          </w:p>
          <w:p>
            <w:pPr>
              <w:spacing w:line="360" w:lineRule="exact"/>
              <w:ind w:left="-63" w:leftChars="-30" w:firstLine="420" w:firstLineChars="200"/>
              <w:rPr>
                <w:rFonts w:hint="eastAsia" w:ascii="宋体" w:hAnsi="宋体"/>
                <w:color w:val="auto"/>
                <w:szCs w:val="21"/>
                <w:highlight w:val="none"/>
              </w:rPr>
            </w:pPr>
            <w:r>
              <w:rPr>
                <w:rFonts w:hint="eastAsia" w:ascii="宋体" w:hAnsi="宋体"/>
                <w:color w:val="auto"/>
                <w:szCs w:val="21"/>
                <w:highlight w:val="none"/>
              </w:rPr>
              <w:t>满足投标须知资格审查条件（业绩最低要求）的，得3分；</w:t>
            </w:r>
          </w:p>
          <w:p>
            <w:pPr>
              <w:spacing w:line="360" w:lineRule="exact"/>
              <w:ind w:left="-63" w:leftChars="-30" w:firstLine="420" w:firstLineChars="200"/>
              <w:rPr>
                <w:rFonts w:hint="eastAsia" w:ascii="宋体" w:hAnsi="宋体"/>
                <w:color w:val="auto"/>
                <w:szCs w:val="21"/>
                <w:highlight w:val="yellow"/>
              </w:rPr>
            </w:pPr>
            <w:r>
              <w:rPr>
                <w:rFonts w:hint="eastAsia" w:ascii="宋体" w:hAnsi="宋体"/>
                <w:color w:val="auto"/>
                <w:szCs w:val="21"/>
                <w:highlight w:val="none"/>
              </w:rPr>
              <w:t>在此基础上，201</w:t>
            </w:r>
            <w:r>
              <w:rPr>
                <w:rFonts w:hint="eastAsia" w:ascii="宋体" w:hAnsi="宋体"/>
                <w:color w:val="auto"/>
                <w:szCs w:val="21"/>
                <w:highlight w:val="none"/>
                <w:lang w:val="en-US" w:eastAsia="zh-CN"/>
              </w:rPr>
              <w:t>9</w:t>
            </w:r>
            <w:r>
              <w:rPr>
                <w:rFonts w:hint="eastAsia" w:ascii="宋体" w:hAnsi="宋体"/>
                <w:color w:val="auto"/>
                <w:szCs w:val="21"/>
                <w:highlight w:val="none"/>
              </w:rPr>
              <w:t>年1月1日至投标文件递交之日止，每成功地独立签订1份高速公路桥航标（桥涵标）维护管理合同加0.5分，最多加2分。</w:t>
            </w:r>
          </w:p>
          <w:p>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业绩时间以合同签订时间时间为准。</w:t>
            </w:r>
          </w:p>
          <w:p>
            <w:pPr>
              <w:spacing w:line="360" w:lineRule="exact"/>
              <w:ind w:left="-63" w:leftChars="-30" w:firstLine="422" w:firstLineChars="200"/>
              <w:rPr>
                <w:rFonts w:hint="eastAsia"/>
                <w:color w:val="auto"/>
                <w:highlight w:val="none"/>
              </w:rPr>
            </w:pPr>
            <w:r>
              <w:rPr>
                <w:rFonts w:hint="eastAsia" w:ascii="宋体" w:hAnsi="宋体"/>
                <w:b/>
                <w:color w:val="auto"/>
                <w:szCs w:val="21"/>
                <w:highlight w:val="none"/>
              </w:rPr>
              <w:t>相关业绩证明材料如下：中标通知书（如有）、完整的合同协议书的复印件。</w:t>
            </w:r>
          </w:p>
          <w:p>
            <w:pPr>
              <w:spacing w:line="360" w:lineRule="exact"/>
              <w:ind w:left="-63" w:leftChars="-30" w:firstLine="422" w:firstLineChars="200"/>
              <w:rPr>
                <w:rFonts w:hint="eastAsia"/>
                <w:b/>
                <w:bCs/>
                <w:color w:val="auto"/>
                <w:highlight w:val="none"/>
              </w:rPr>
            </w:pPr>
            <w:r>
              <w:rPr>
                <w:b/>
                <w:bCs/>
                <w:color w:val="auto"/>
                <w:highlight w:val="none"/>
              </w:rPr>
              <w:t>2</w:t>
            </w:r>
            <w:r>
              <w:rPr>
                <w:rFonts w:hint="eastAsia"/>
                <w:b/>
                <w:bCs/>
                <w:color w:val="auto"/>
                <w:highlight w:val="none"/>
                <w:lang w:eastAsia="zh-CN"/>
              </w:rPr>
              <w:t>、</w:t>
            </w:r>
            <w:r>
              <w:rPr>
                <w:rFonts w:hint="eastAsia" w:ascii="宋体" w:hAnsi="宋体"/>
                <w:color w:val="auto"/>
                <w:szCs w:val="21"/>
                <w:highlight w:val="none"/>
              </w:rPr>
              <w:t>拟投入本项目设备</w:t>
            </w: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分</w:t>
            </w:r>
          </w:p>
          <w:p>
            <w:pPr>
              <w:spacing w:line="360" w:lineRule="auto"/>
              <w:ind w:left="-63" w:leftChars="-30" w:firstLine="420" w:firstLineChars="200"/>
              <w:rPr>
                <w:rFonts w:hint="eastAsia" w:ascii="宋体" w:hAnsi="宋体"/>
                <w:color w:val="auto"/>
                <w:szCs w:val="21"/>
                <w:highlight w:val="none"/>
              </w:rPr>
            </w:pPr>
            <w:r>
              <w:rPr>
                <w:rFonts w:hint="eastAsia" w:ascii="宋体" w:hAnsi="宋体"/>
                <w:color w:val="auto"/>
                <w:szCs w:val="21"/>
                <w:highlight w:val="none"/>
              </w:rPr>
              <w:t>满足投标须知</w:t>
            </w:r>
            <w:r>
              <w:rPr>
                <w:rFonts w:ascii="宋体" w:hAnsi="宋体"/>
                <w:color w:val="auto"/>
                <w:szCs w:val="21"/>
                <w:highlight w:val="none"/>
              </w:rPr>
              <w:t>资格审查条件（</w:t>
            </w:r>
            <w:r>
              <w:rPr>
                <w:rFonts w:hint="eastAsia" w:ascii="宋体" w:hAnsi="宋体"/>
                <w:color w:val="auto"/>
                <w:szCs w:val="21"/>
                <w:highlight w:val="none"/>
              </w:rPr>
              <w:t>设备</w:t>
            </w:r>
            <w:r>
              <w:rPr>
                <w:rFonts w:ascii="宋体" w:hAnsi="宋体"/>
                <w:color w:val="auto"/>
                <w:szCs w:val="21"/>
                <w:highlight w:val="none"/>
              </w:rPr>
              <w:t>最低要求）</w:t>
            </w:r>
            <w:r>
              <w:rPr>
                <w:rFonts w:hint="eastAsia" w:ascii="宋体" w:hAnsi="宋体"/>
                <w:color w:val="auto"/>
                <w:szCs w:val="21"/>
                <w:highlight w:val="none"/>
              </w:rPr>
              <w:t xml:space="preserve">的，得1.8分； </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在此基础上，拟投入本项目的设备有以下情况的得相应加分，最加分不超1.2分：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每增加1艘主机功率120kw以上航标船（或测量船、工程船）加0.6分，最多加0.6分；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每增加1艘主机功率</w:t>
            </w:r>
            <w:r>
              <w:rPr>
                <w:rFonts w:ascii="宋体" w:hAnsi="宋体"/>
                <w:color w:val="auto"/>
                <w:szCs w:val="21"/>
                <w:highlight w:val="none"/>
              </w:rPr>
              <w:t>10</w:t>
            </w:r>
            <w:r>
              <w:rPr>
                <w:rFonts w:hint="eastAsia" w:ascii="宋体" w:hAnsi="宋体"/>
                <w:color w:val="auto"/>
                <w:szCs w:val="21"/>
                <w:highlight w:val="none"/>
              </w:rPr>
              <w:t>0</w:t>
            </w:r>
            <w:r>
              <w:rPr>
                <w:rFonts w:ascii="宋体" w:hAnsi="宋体"/>
                <w:color w:val="auto"/>
                <w:szCs w:val="21"/>
                <w:highlight w:val="none"/>
              </w:rPr>
              <w:t>kw</w:t>
            </w:r>
            <w:r>
              <w:rPr>
                <w:rFonts w:hint="eastAsia" w:ascii="宋体" w:hAnsi="宋体"/>
                <w:color w:val="auto"/>
                <w:szCs w:val="21"/>
                <w:highlight w:val="none"/>
              </w:rPr>
              <w:t>以上快艇加0.6分，最多加0.6分。</w:t>
            </w:r>
          </w:p>
          <w:p>
            <w:pPr>
              <w:pStyle w:val="2"/>
              <w:spacing w:line="360" w:lineRule="exact"/>
              <w:ind w:left="0" w:leftChars="0" w:firstLine="422" w:firstLineChars="200"/>
              <w:rPr>
                <w:rFonts w:hint="eastAsia" w:ascii="宋体" w:hAnsi="宋体"/>
                <w:b/>
                <w:color w:val="auto"/>
                <w:kern w:val="2"/>
                <w:sz w:val="21"/>
                <w:szCs w:val="21"/>
                <w:highlight w:val="none"/>
                <w:lang w:val="en-US" w:eastAsia="zh-CN" w:bidi="ar-SA"/>
              </w:rPr>
            </w:pPr>
            <w:r>
              <w:rPr>
                <w:rFonts w:hint="eastAsia" w:ascii="宋体" w:hAnsi="宋体"/>
                <w:b/>
                <w:color w:val="auto"/>
                <w:kern w:val="2"/>
                <w:sz w:val="21"/>
                <w:szCs w:val="21"/>
                <w:highlight w:val="none"/>
                <w:lang w:val="en-US" w:eastAsia="zh-CN" w:bidi="ar-SA"/>
              </w:rPr>
              <w:t>注：上述设备，自有或租赁的均可，需对主机功率进行说明并提供证明材料。自有的，须提供年审有效的船舶检验证书复印件和船舶产权证明复印件（原件备查）。租赁的，租赁期至少至2025年12月31日，同时须提供租赁合同及船舶检验证书复印件。</w:t>
            </w:r>
            <w:r>
              <w:rPr>
                <w:rFonts w:hint="eastAsia" w:ascii="宋体" w:hAnsi="宋体" w:cs="Times New Roman"/>
                <w:b/>
                <w:color w:val="000000"/>
                <w:sz w:val="21"/>
                <w:szCs w:val="21"/>
                <w:highlight w:val="none"/>
                <w:lang w:val="en-US" w:eastAsia="zh-CN"/>
              </w:rPr>
              <w:t>如本项目经考核后合同期延长至2027年，则中标人需相应延长设备租赁期至合同届满日，否则招标人有权终止合同。</w:t>
            </w:r>
          </w:p>
          <w:p>
            <w:pPr>
              <w:spacing w:line="360" w:lineRule="exact"/>
              <w:ind w:left="-63" w:leftChars="-30" w:firstLine="422" w:firstLineChars="200"/>
              <w:rPr>
                <w:rFonts w:hint="eastAsia"/>
                <w:b/>
                <w:bCs/>
                <w:color w:val="auto"/>
                <w:highlight w:val="none"/>
              </w:rPr>
            </w:pPr>
            <w:r>
              <w:rPr>
                <w:rFonts w:hint="eastAsia"/>
                <w:b/>
                <w:bCs/>
                <w:color w:val="auto"/>
                <w:highlight w:val="none"/>
                <w:lang w:val="en-US" w:eastAsia="zh-CN"/>
              </w:rPr>
              <w:t>3</w:t>
            </w:r>
            <w:r>
              <w:rPr>
                <w:rFonts w:hint="eastAsia"/>
                <w:b/>
                <w:bCs/>
                <w:color w:val="auto"/>
                <w:highlight w:val="none"/>
                <w:lang w:eastAsia="zh-CN"/>
              </w:rPr>
              <w:t>、</w:t>
            </w:r>
            <w:r>
              <w:rPr>
                <w:rFonts w:hint="eastAsia" w:ascii="宋体" w:hAnsi="宋体" w:cs="宋体"/>
                <w:color w:val="auto"/>
                <w:szCs w:val="21"/>
                <w:highlight w:val="none"/>
              </w:rPr>
              <w:t>投标人实力</w:t>
            </w:r>
            <w:r>
              <w:rPr>
                <w:rFonts w:hint="eastAsia"/>
                <w:b/>
                <w:bCs/>
                <w:color w:val="auto"/>
                <w:highlight w:val="none"/>
              </w:rPr>
              <w:t>：</w:t>
            </w:r>
            <w:r>
              <w:rPr>
                <w:rFonts w:hint="eastAsia"/>
                <w:b/>
                <w:bCs/>
                <w:color w:val="auto"/>
                <w:highlight w:val="none"/>
                <w:lang w:val="en-US" w:eastAsia="zh-CN"/>
              </w:rPr>
              <w:t>2</w:t>
            </w:r>
            <w:r>
              <w:rPr>
                <w:rFonts w:hint="eastAsia"/>
                <w:b/>
                <w:bCs/>
                <w:color w:val="auto"/>
                <w:highlight w:val="none"/>
              </w:rPr>
              <w:t>分</w:t>
            </w:r>
          </w:p>
          <w:p>
            <w:pPr>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有成熟的航道维护业务信息化管理系统且具有能实现航标异常快速响应处置的信息化技术的，得2分。</w:t>
            </w:r>
          </w:p>
          <w:p>
            <w:pPr>
              <w:pStyle w:val="2"/>
              <w:spacing w:line="360" w:lineRule="exact"/>
              <w:ind w:left="0" w:leftChars="0" w:firstLine="422" w:firstLineChars="200"/>
              <w:rPr>
                <w:rFonts w:hint="eastAsia" w:ascii="宋体" w:hAnsi="宋体"/>
                <w:color w:val="auto"/>
                <w:szCs w:val="21"/>
                <w:highlight w:val="none"/>
                <w:lang w:val="en-US" w:eastAsia="zh-CN"/>
              </w:rPr>
            </w:pPr>
            <w:r>
              <w:rPr>
                <w:rFonts w:hint="eastAsia" w:ascii="宋体" w:hAnsi="宋体"/>
                <w:b/>
                <w:color w:val="auto"/>
                <w:szCs w:val="21"/>
                <w:highlight w:val="none"/>
              </w:rPr>
              <w:t>[提供系统验收证书或软件著作权证书复印件(投标人自有或其上级主管部门授权)，系统网址、系统使用截图]。</w:t>
            </w:r>
          </w:p>
        </w:tc>
      </w:tr>
    </w:tbl>
    <w:p>
      <w:pPr>
        <w:jc w:val="right"/>
        <w:rPr>
          <w:rFonts w:hint="eastAsia" w:ascii="宋体" w:hAnsi="宋体"/>
          <w:color w:val="000000"/>
          <w:szCs w:val="21"/>
          <w:highlight w:val="none"/>
        </w:rPr>
      </w:pPr>
    </w:p>
    <w:p>
      <w:pPr>
        <w:jc w:val="right"/>
        <w:rPr>
          <w:rFonts w:hint="eastAsia" w:ascii="宋体" w:hAnsi="宋体"/>
          <w:szCs w:val="21"/>
          <w:highlight w:val="none"/>
        </w:rPr>
        <w:sectPr>
          <w:footnotePr>
            <w:numFmt w:val="decimalEnclosedCircleChinese"/>
            <w:numRestart w:val="eachPage"/>
          </w:footnotePr>
          <w:pgSz w:w="11906" w:h="16838"/>
          <w:pgMar w:top="1134" w:right="1457" w:bottom="1440" w:left="1457" w:header="851" w:footer="851" w:gutter="0"/>
          <w:pgNumType w:fmt="numberInDash"/>
          <w:cols w:space="720" w:num="1"/>
          <w:docGrid w:linePitch="312" w:charSpace="0"/>
        </w:sectPr>
      </w:pPr>
    </w:p>
    <w:p>
      <w:pPr>
        <w:jc w:val="right"/>
        <w:rPr>
          <w:rFonts w:hint="eastAsia" w:ascii="宋体" w:hAnsi="宋体"/>
          <w:color w:val="000000"/>
          <w:szCs w:val="21"/>
          <w:highlight w:val="none"/>
        </w:rPr>
      </w:pPr>
      <w:r>
        <w:rPr>
          <w:rFonts w:hint="eastAsia" w:ascii="宋体" w:hAnsi="宋体"/>
          <w:color w:val="000000"/>
          <w:szCs w:val="21"/>
          <w:highlight w:val="none"/>
        </w:rPr>
        <w:t>续上表</w:t>
      </w:r>
    </w:p>
    <w:tbl>
      <w:tblPr>
        <w:tblStyle w:val="9"/>
        <w:tblW w:w="9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427" w:type="dxa"/>
            <w:gridSpan w:val="2"/>
            <w:vAlign w:val="center"/>
          </w:tcPr>
          <w:p>
            <w:pPr>
              <w:spacing w:line="360" w:lineRule="exact"/>
              <w:jc w:val="center"/>
              <w:rPr>
                <w:rFonts w:hint="eastAsia" w:ascii="宋体" w:hAnsi="宋体"/>
                <w:b/>
                <w:color w:val="000000"/>
                <w:sz w:val="32"/>
                <w:szCs w:val="32"/>
                <w:highlight w:val="none"/>
              </w:rPr>
            </w:pPr>
            <w:r>
              <w:rPr>
                <w:rFonts w:ascii="宋体" w:hAnsi="宋体"/>
                <w:b/>
                <w:color w:val="000000"/>
                <w:sz w:val="32"/>
                <w:szCs w:val="32"/>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条款号</w:t>
            </w:r>
          </w:p>
        </w:tc>
        <w:tc>
          <w:tcPr>
            <w:tcW w:w="8398"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highlight w:val="none"/>
              </w:rPr>
              <w:t>1</w:t>
            </w:r>
          </w:p>
        </w:tc>
        <w:tc>
          <w:tcPr>
            <w:tcW w:w="8398" w:type="dxa"/>
            <w:vAlign w:val="center"/>
          </w:tcPr>
          <w:p>
            <w:pPr>
              <w:spacing w:line="3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将评标办法范本原文第1条“评标方法”改为“评标方法及评标组织”，并且原文内容修改如下：</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1.1评标方法</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本次评标采用</w:t>
            </w:r>
            <w:r>
              <w:rPr>
                <w:rFonts w:hint="eastAsia" w:ascii="宋体" w:hAnsi="宋体"/>
                <w:color w:val="000000"/>
                <w:szCs w:val="21"/>
              </w:rPr>
              <w:t>双信封综合评</w:t>
            </w:r>
            <w:r>
              <w:rPr>
                <w:rFonts w:hint="eastAsia" w:ascii="宋体" w:hAnsi="宋体"/>
                <w:color w:val="000000"/>
                <w:szCs w:val="21"/>
                <w:lang w:val="en-US" w:eastAsia="zh-CN"/>
              </w:rPr>
              <w:t>分</w:t>
            </w:r>
            <w:r>
              <w:rPr>
                <w:rFonts w:hint="eastAsia" w:ascii="宋体" w:hAnsi="宋体"/>
                <w:color w:val="000000"/>
                <w:szCs w:val="21"/>
              </w:rPr>
              <w:t>法</w:t>
            </w:r>
            <w:r>
              <w:rPr>
                <w:rFonts w:hint="eastAsia" w:ascii="宋体" w:hAnsi="宋体"/>
                <w:color w:val="000000"/>
                <w:szCs w:val="21"/>
                <w:highlight w:val="none"/>
              </w:rPr>
              <w:t>。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1.2评标组织</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1.2.1协助工作组</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招标人可以协助评标委员会开展下列工作并提供相关信息：</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）根据招标文件，编制评标使用的相应表格；</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）对投标报价进行算术性校核（如采用固化工程量清单，本步骤省略）；</w:t>
            </w:r>
          </w:p>
          <w:p>
            <w:pPr>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）以评标标准和方法为依据，列出投标文件相对于招标文件的所有偏差，并进行归类汇总；</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招标人不得对投标文件作出任何评价，不得故意遗漏或者片面摘录，不得在评标委员会对所有偏差定性之前透露存有偏差的投标人名称。</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1.2.2评标委员会</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评标委员会由招标人按国家、省等的有关规定依法组建，由招标人的代表和技术、经济专家组成。评标委员人数</w:t>
            </w:r>
            <w:r>
              <w:rPr>
                <w:rFonts w:ascii="宋体" w:hAnsi="宋体"/>
                <w:color w:val="000000"/>
                <w:szCs w:val="21"/>
                <w:highlight w:val="none"/>
              </w:rPr>
              <w:t>按投标人须知第6.1.1项执行</w:t>
            </w:r>
            <w:r>
              <w:rPr>
                <w:rFonts w:hint="eastAsia" w:ascii="宋体" w:hAnsi="宋体"/>
                <w:color w:val="000000"/>
                <w:szCs w:val="21"/>
                <w:highlight w:val="none"/>
              </w:rPr>
              <w:t>，评标委员会的主要工作内容包括：</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（1）评标委员会开始评标工作之前，首先听取招标人、协助工作组关于工程情况和辅助工作的说明，并认真研读招标文件，获取评标所需的重要信息和数据；</w:t>
            </w:r>
          </w:p>
          <w:p>
            <w:pPr>
              <w:spacing w:line="360" w:lineRule="exact"/>
              <w:ind w:firstLine="323" w:firstLineChars="154"/>
              <w:rPr>
                <w:rFonts w:hint="eastAsia" w:ascii="宋体" w:hAnsi="宋体"/>
                <w:color w:val="000000"/>
                <w:szCs w:val="21"/>
                <w:highlight w:val="none"/>
              </w:rPr>
            </w:pPr>
            <w:r>
              <w:rPr>
                <w:rFonts w:hint="eastAsia" w:ascii="宋体" w:hAnsi="宋体"/>
                <w:color w:val="000000"/>
                <w:szCs w:val="21"/>
                <w:highlight w:val="none"/>
              </w:rPr>
              <w:t>（2）对协助工作组提供的评标工作用表和评标内容进行认真核查；</w:t>
            </w:r>
          </w:p>
          <w:p>
            <w:pPr>
              <w:spacing w:line="360" w:lineRule="exact"/>
              <w:ind w:firstLine="315" w:firstLineChars="150"/>
              <w:rPr>
                <w:rFonts w:hint="eastAsia" w:ascii="宋体" w:hAnsi="宋体"/>
                <w:color w:val="000000"/>
                <w:szCs w:val="21"/>
                <w:highlight w:val="none"/>
              </w:rPr>
            </w:pPr>
            <w:r>
              <w:rPr>
                <w:rFonts w:hint="eastAsia" w:ascii="宋体" w:hAnsi="宋体"/>
                <w:color w:val="000000"/>
                <w:szCs w:val="21"/>
                <w:highlight w:val="none"/>
              </w:rPr>
              <w:t>（3）按照以下</w:t>
            </w:r>
            <w:r>
              <w:rPr>
                <w:rFonts w:ascii="宋体" w:hAnsi="宋体"/>
                <w:color w:val="000000"/>
                <w:szCs w:val="21"/>
                <w:highlight w:val="none"/>
              </w:rPr>
              <w:t xml:space="preserve">1.3 </w:t>
            </w:r>
            <w:r>
              <w:rPr>
                <w:rFonts w:hint="eastAsia" w:ascii="宋体" w:hAnsi="宋体"/>
                <w:color w:val="000000"/>
                <w:szCs w:val="21"/>
                <w:highlight w:val="none"/>
              </w:rPr>
              <w:t>款程序进行各项评审工作。</w:t>
            </w:r>
          </w:p>
          <w:p>
            <w:pPr>
              <w:spacing w:line="360" w:lineRule="exact"/>
              <w:rPr>
                <w:rFonts w:hint="eastAsia" w:ascii="宋体" w:hAnsi="宋体"/>
                <w:b/>
                <w:color w:val="000000"/>
                <w:szCs w:val="21"/>
                <w:highlight w:val="none"/>
              </w:rPr>
            </w:pPr>
            <w:r>
              <w:rPr>
                <w:rFonts w:hint="eastAsia" w:ascii="宋体" w:hAnsi="宋体"/>
                <w:b/>
                <w:color w:val="000000"/>
                <w:szCs w:val="21"/>
                <w:highlight w:val="none"/>
              </w:rPr>
              <w:t>1.3评审工作程序</w:t>
            </w:r>
          </w:p>
          <w:p>
            <w:pPr>
              <w:spacing w:line="360" w:lineRule="exact"/>
              <w:rPr>
                <w:rFonts w:hint="eastAsia" w:ascii="宋体" w:hAnsi="宋体"/>
                <w:color w:val="auto"/>
                <w:szCs w:val="21"/>
                <w:highlight w:val="none"/>
              </w:rPr>
            </w:pPr>
            <w:r>
              <w:rPr>
                <w:rFonts w:hint="eastAsia" w:ascii="宋体" w:hAnsi="宋体"/>
                <w:color w:val="auto"/>
                <w:szCs w:val="21"/>
                <w:highlight w:val="none"/>
              </w:rPr>
              <w:t>（一）第一信封（商务文件和技术文件）：</w:t>
            </w:r>
          </w:p>
          <w:p>
            <w:pPr>
              <w:spacing w:line="360" w:lineRule="exact"/>
              <w:ind w:firstLine="323" w:firstLineChars="154"/>
              <w:rPr>
                <w:rFonts w:hint="eastAsia" w:ascii="宋体" w:hAnsi="宋体"/>
                <w:color w:val="auto"/>
                <w:szCs w:val="21"/>
                <w:highlight w:val="none"/>
              </w:rPr>
            </w:pPr>
            <w:r>
              <w:rPr>
                <w:rFonts w:hint="eastAsia" w:ascii="宋体" w:hAnsi="宋体"/>
                <w:color w:val="auto"/>
                <w:szCs w:val="21"/>
                <w:highlight w:val="none"/>
              </w:rPr>
              <w:t>（1）初步评审，包括形式评审与响应性评审、资格评审（适用于资格后审）；</w:t>
            </w:r>
          </w:p>
          <w:p>
            <w:pPr>
              <w:spacing w:line="360" w:lineRule="exact"/>
              <w:ind w:firstLine="323" w:firstLineChars="154"/>
              <w:rPr>
                <w:rFonts w:hint="eastAsia" w:ascii="宋体" w:hAnsi="宋体"/>
                <w:color w:val="auto"/>
                <w:szCs w:val="21"/>
                <w:highlight w:val="none"/>
              </w:rPr>
            </w:pPr>
            <w:r>
              <w:rPr>
                <w:rFonts w:hint="eastAsia" w:ascii="宋体" w:hAnsi="宋体"/>
                <w:color w:val="auto"/>
                <w:szCs w:val="21"/>
                <w:highlight w:val="none"/>
              </w:rPr>
              <w:t>（2）详细评审（评审打分）：评标委员会首先对通过初步评审的投标文件第一个信封（商务及技术文件）进行详细评审，</w:t>
            </w:r>
            <w:r>
              <w:rPr>
                <w:rFonts w:hint="eastAsia" w:ascii="宋体" w:cs="宋体"/>
                <w:color w:val="auto"/>
                <w:kern w:val="0"/>
                <w:sz w:val="22"/>
                <w:szCs w:val="22"/>
                <w:highlight w:val="none"/>
              </w:rPr>
              <w:t>对投标人的</w:t>
            </w:r>
            <w:r>
              <w:rPr>
                <w:rFonts w:hint="eastAsia" w:ascii="宋体" w:hAnsi="宋体"/>
                <w:color w:val="auto"/>
                <w:szCs w:val="21"/>
                <w:highlight w:val="none"/>
              </w:rPr>
              <w:t>对投标人的施工组织设计、主要人员、其他因素等分别评审打分。</w:t>
            </w:r>
          </w:p>
          <w:p>
            <w:pPr>
              <w:spacing w:line="360" w:lineRule="exact"/>
              <w:rPr>
                <w:rFonts w:hint="eastAsia" w:ascii="宋体" w:hAnsi="宋体"/>
                <w:color w:val="auto"/>
                <w:szCs w:val="21"/>
                <w:highlight w:val="none"/>
              </w:rPr>
            </w:pPr>
            <w:r>
              <w:rPr>
                <w:rFonts w:hint="eastAsia" w:ascii="宋体" w:hAnsi="宋体"/>
                <w:color w:val="auto"/>
                <w:szCs w:val="21"/>
                <w:highlight w:val="none"/>
              </w:rPr>
              <w:t>（二）第二信封（报价文件）：</w:t>
            </w:r>
          </w:p>
          <w:p>
            <w:pPr>
              <w:spacing w:line="4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1、初步评审：</w:t>
            </w:r>
          </w:p>
          <w:p>
            <w:pPr>
              <w:spacing w:line="4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（1）只有投标文件第一个信封通过详细评审的投标人才能继续参加第二信封报价文件的形式评审与响应性评审。</w:t>
            </w:r>
          </w:p>
          <w:p>
            <w:pPr>
              <w:spacing w:line="4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（2）报价算术性修正（如采用固化工程量清单，本步骤省略）；</w:t>
            </w:r>
          </w:p>
          <w:p>
            <w:pPr>
              <w:spacing w:line="4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2、详细评审：计算评标基准价、评标价得分及综合得分；</w:t>
            </w:r>
          </w:p>
          <w:p>
            <w:pPr>
              <w:spacing w:line="360" w:lineRule="exact"/>
              <w:ind w:firstLine="220" w:firstLineChars="105"/>
              <w:rPr>
                <w:rFonts w:ascii="宋体" w:hAnsi="宋体"/>
                <w:color w:val="auto"/>
                <w:szCs w:val="21"/>
                <w:highlight w:val="none"/>
              </w:rPr>
            </w:pPr>
            <w:r>
              <w:rPr>
                <w:rFonts w:hint="eastAsia" w:ascii="宋体" w:hAnsi="宋体"/>
                <w:color w:val="auto"/>
                <w:szCs w:val="21"/>
                <w:highlight w:val="none"/>
              </w:rPr>
              <w:t>（三）投标文件相关信息的核查。</w:t>
            </w:r>
          </w:p>
          <w:p>
            <w:pPr>
              <w:spacing w:line="360" w:lineRule="exact"/>
              <w:ind w:firstLine="220" w:firstLineChars="105"/>
              <w:rPr>
                <w:rFonts w:ascii="宋体" w:hAnsi="宋体"/>
                <w:color w:val="auto"/>
                <w:szCs w:val="21"/>
                <w:highlight w:val="none"/>
              </w:rPr>
            </w:pPr>
            <w:r>
              <w:rPr>
                <w:rFonts w:hint="eastAsia" w:ascii="宋体" w:hAnsi="宋体"/>
                <w:color w:val="auto"/>
                <w:szCs w:val="21"/>
                <w:highlight w:val="none"/>
              </w:rPr>
              <w:t>（四）投标文件的澄清和说明</w:t>
            </w:r>
            <w:r>
              <w:rPr>
                <w:rFonts w:ascii="宋体" w:hAnsi="宋体"/>
                <w:color w:val="auto"/>
                <w:szCs w:val="21"/>
                <w:highlight w:val="none"/>
              </w:rPr>
              <w:t>(</w:t>
            </w:r>
            <w:r>
              <w:rPr>
                <w:rFonts w:hint="eastAsia" w:ascii="宋体" w:hAnsi="宋体"/>
                <w:color w:val="auto"/>
                <w:szCs w:val="21"/>
                <w:highlight w:val="none"/>
              </w:rPr>
              <w:t>如有</w:t>
            </w:r>
            <w:r>
              <w:rPr>
                <w:rFonts w:ascii="宋体" w:hAnsi="宋体"/>
                <w:color w:val="auto"/>
                <w:szCs w:val="21"/>
                <w:highlight w:val="none"/>
              </w:rPr>
              <w:t>)</w:t>
            </w:r>
          </w:p>
          <w:p>
            <w:pPr>
              <w:spacing w:line="360" w:lineRule="exact"/>
              <w:ind w:firstLine="210" w:firstLineChars="100"/>
              <w:rPr>
                <w:rFonts w:hint="eastAsia" w:ascii="宋体" w:hAnsi="宋体"/>
                <w:b/>
                <w:color w:val="000000"/>
                <w:szCs w:val="21"/>
                <w:highlight w:val="none"/>
              </w:rPr>
            </w:pPr>
            <w:r>
              <w:rPr>
                <w:rFonts w:hint="eastAsia" w:ascii="宋体" w:hAnsi="宋体"/>
                <w:color w:val="auto"/>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1029" w:type="dxa"/>
            <w:vAlign w:val="center"/>
          </w:tcPr>
          <w:p>
            <w:pPr>
              <w:spacing w:line="360" w:lineRule="exact"/>
              <w:jc w:val="center"/>
              <w:rPr>
                <w:rFonts w:ascii="宋体" w:hAnsi="宋体"/>
                <w:b/>
                <w:color w:val="000000"/>
                <w:szCs w:val="21"/>
                <w:highlight w:val="none"/>
              </w:rPr>
            </w:pPr>
            <w:r>
              <w:rPr>
                <w:rFonts w:ascii="宋体" w:hAnsi="宋体"/>
                <w:b/>
                <w:color w:val="000000"/>
                <w:szCs w:val="21"/>
              </w:rPr>
              <w:t>3.2.3</w:t>
            </w:r>
          </w:p>
        </w:tc>
        <w:tc>
          <w:tcPr>
            <w:tcW w:w="8398" w:type="dxa"/>
            <w:vAlign w:val="top"/>
          </w:tcPr>
          <w:p>
            <w:pPr>
              <w:autoSpaceDE w:val="0"/>
              <w:autoSpaceDN w:val="0"/>
              <w:adjustRightInd w:val="0"/>
              <w:spacing w:line="360" w:lineRule="exact"/>
              <w:ind w:firstLine="422" w:firstLineChars="200"/>
              <w:jc w:val="left"/>
              <w:rPr>
                <w:rFonts w:hint="eastAsia" w:ascii="宋体" w:hAnsi="宋体"/>
                <w:b/>
                <w:color w:val="000000"/>
                <w:szCs w:val="21"/>
              </w:rPr>
            </w:pPr>
            <w:r>
              <w:rPr>
                <w:rFonts w:hint="eastAsia" w:ascii="宋体" w:hAnsi="宋体"/>
                <w:b/>
                <w:color w:val="000000"/>
                <w:szCs w:val="21"/>
              </w:rPr>
              <w:t>将评标办法范本原文第</w:t>
            </w:r>
            <w:r>
              <w:rPr>
                <w:rFonts w:ascii="宋体" w:hAnsi="宋体"/>
                <w:b/>
                <w:color w:val="000000"/>
                <w:szCs w:val="21"/>
              </w:rPr>
              <w:t xml:space="preserve">3.2.3 </w:t>
            </w:r>
            <w:r>
              <w:rPr>
                <w:rFonts w:hint="eastAsia" w:ascii="宋体" w:hAnsi="宋体"/>
                <w:b/>
                <w:color w:val="000000"/>
                <w:szCs w:val="21"/>
              </w:rPr>
              <w:t>款细化如下：</w:t>
            </w:r>
          </w:p>
          <w:p>
            <w:pPr>
              <w:overflowPunct w:val="0"/>
              <w:spacing w:line="360" w:lineRule="exact"/>
              <w:ind w:firstLine="420" w:firstLineChars="200"/>
              <w:rPr>
                <w:rFonts w:hint="eastAsia" w:ascii="宋体" w:hAnsi="宋体"/>
                <w:color w:val="000000"/>
                <w:szCs w:val="21"/>
              </w:rPr>
            </w:pPr>
            <w:r>
              <w:rPr>
                <w:rFonts w:hint="eastAsia" w:ascii="宋体" w:hAnsi="宋体"/>
                <w:color w:val="000000"/>
                <w:szCs w:val="21"/>
              </w:rPr>
              <w:t>投标人的商务和技术得分</w:t>
            </w:r>
            <w:r>
              <w:rPr>
                <w:rFonts w:ascii="宋体" w:hAnsi="宋体"/>
                <w:color w:val="000000"/>
                <w:szCs w:val="21"/>
              </w:rPr>
              <w:t>=A+B+D</w:t>
            </w:r>
            <w:r>
              <w:rPr>
                <w:rFonts w:hint="eastAsia" w:ascii="宋体" w:hAnsi="宋体"/>
                <w:color w:val="000000"/>
                <w:szCs w:val="21"/>
              </w:rPr>
              <w:t>。</w:t>
            </w:r>
          </w:p>
          <w:p>
            <w:pPr>
              <w:autoSpaceDE w:val="0"/>
              <w:autoSpaceDN w:val="0"/>
              <w:adjustRightInd w:val="0"/>
              <w:spacing w:line="360" w:lineRule="exact"/>
              <w:ind w:firstLine="420" w:firstLineChars="200"/>
              <w:jc w:val="left"/>
              <w:rPr>
                <w:rFonts w:ascii="宋体" w:hAnsi="宋体"/>
                <w:b/>
                <w:color w:val="000000"/>
                <w:szCs w:val="21"/>
                <w:highlight w:val="none"/>
              </w:rPr>
            </w:pPr>
            <w:r>
              <w:rPr>
                <w:rFonts w:hint="eastAsia" w:ascii="宋体" w:hAnsi="宋体"/>
                <w:color w:val="000000"/>
                <w:szCs w:val="21"/>
              </w:rPr>
              <w:t>计算投标人总体服务方案得分时</w:t>
            </w:r>
            <w:r>
              <w:rPr>
                <w:rFonts w:ascii="宋体" w:hAnsi="宋体"/>
                <w:color w:val="000000"/>
                <w:szCs w:val="21"/>
              </w:rPr>
              <w:t>:</w:t>
            </w:r>
            <w:r>
              <w:rPr>
                <w:rFonts w:hint="eastAsia" w:ascii="宋体" w:hAnsi="宋体"/>
                <w:color w:val="000000"/>
                <w:szCs w:val="21"/>
              </w:rPr>
              <w:t>在评委施工组织设计评分中，取消一个最高、一个最低分后计算算术平均值的和为投标人的最终施工组织设计得分。评委打分需保留至小数点后两位。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eastAsia="宋体"/>
                <w:b/>
                <w:color w:val="000000"/>
                <w:szCs w:val="21"/>
                <w:highlight w:val="none"/>
                <w:lang w:val="en-US" w:eastAsia="zh-CN"/>
              </w:rPr>
            </w:pPr>
            <w:r>
              <w:rPr>
                <w:rFonts w:hint="eastAsia" w:ascii="宋体" w:hAnsi="宋体"/>
                <w:b/>
                <w:color w:val="000000"/>
                <w:szCs w:val="21"/>
                <w:highlight w:val="none"/>
              </w:rPr>
              <w:t>3.</w:t>
            </w:r>
            <w:r>
              <w:rPr>
                <w:rFonts w:hint="eastAsia" w:ascii="宋体" w:hAnsi="宋体"/>
                <w:b/>
                <w:color w:val="000000"/>
                <w:szCs w:val="21"/>
                <w:highlight w:val="none"/>
                <w:lang w:val="en-US" w:eastAsia="zh-CN"/>
              </w:rPr>
              <w:t>3</w:t>
            </w:r>
          </w:p>
        </w:tc>
        <w:tc>
          <w:tcPr>
            <w:tcW w:w="8398" w:type="dxa"/>
            <w:vAlign w:val="top"/>
          </w:tcPr>
          <w:p>
            <w:pPr>
              <w:spacing w:line="360" w:lineRule="exact"/>
              <w:rPr>
                <w:rFonts w:hint="eastAsia" w:ascii="宋体" w:hAnsi="宋体"/>
                <w:b/>
                <w:color w:val="000000"/>
                <w:szCs w:val="21"/>
              </w:rPr>
            </w:pPr>
            <w:r>
              <w:rPr>
                <w:rFonts w:hint="eastAsia" w:ascii="宋体" w:hAnsi="宋体"/>
                <w:b/>
                <w:color w:val="000000"/>
                <w:szCs w:val="21"/>
              </w:rPr>
              <w:t>将评标办法范本原文第3.3款修改为：</w:t>
            </w:r>
          </w:p>
          <w:p>
            <w:pPr>
              <w:overflowPunct w:val="0"/>
              <w:spacing w:line="360" w:lineRule="exact"/>
              <w:ind w:firstLine="420" w:firstLineChars="200"/>
              <w:rPr>
                <w:rFonts w:hint="eastAsia" w:ascii="宋体" w:hAnsi="宋体"/>
                <w:color w:val="000000"/>
                <w:szCs w:val="21"/>
              </w:rPr>
            </w:pPr>
            <w:r>
              <w:rPr>
                <w:rFonts w:hint="eastAsia" w:ascii="宋体" w:hAnsi="宋体"/>
                <w:color w:val="000000"/>
                <w:szCs w:val="21"/>
              </w:rPr>
              <w:t>第一个信封（商务及技术文件）评审结束后，招标人将按照第二章“投标人须知”</w:t>
            </w:r>
            <w:r>
              <w:rPr>
                <w:rFonts w:ascii="宋体" w:hAnsi="宋体"/>
                <w:color w:val="000000"/>
                <w:szCs w:val="21"/>
              </w:rPr>
              <w:t xml:space="preserve"> </w:t>
            </w:r>
            <w:r>
              <w:rPr>
                <w:rFonts w:hint="eastAsia" w:ascii="宋体" w:hAnsi="宋体"/>
                <w:color w:val="000000"/>
                <w:szCs w:val="21"/>
              </w:rPr>
              <w:t>第</w:t>
            </w:r>
            <w:r>
              <w:rPr>
                <w:rFonts w:ascii="宋体" w:hAnsi="宋体"/>
                <w:color w:val="000000"/>
                <w:szCs w:val="21"/>
              </w:rPr>
              <w:t xml:space="preserve"> 5.1 </w:t>
            </w:r>
            <w:r>
              <w:rPr>
                <w:rFonts w:hint="eastAsia" w:ascii="宋体" w:hAnsi="宋体"/>
                <w:color w:val="000000"/>
                <w:szCs w:val="21"/>
              </w:rPr>
              <w:t>款规定的时间和地点对通过投标文件第一个信封（商务及技术文件）评审的投标文件第二个信封（报价文件）进行开标。</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rPr>
              <w:t>只有通过第一个信封（商务及技术文件）评审的投标人才能继续参加第二信封（报价文件）的评审。对不通过第一个信封（商务及技术文件）评审的投标人的第二信封直接退回，不再开启内层信封。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rPr>
              <w:t>3.4</w:t>
            </w:r>
          </w:p>
        </w:tc>
        <w:tc>
          <w:tcPr>
            <w:tcW w:w="8398" w:type="dxa"/>
            <w:vAlign w:val="top"/>
          </w:tcPr>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rPr>
              <w:t>本项目招标采用第二章“投标人须知”第3.2.1项（1）目规定的投标人按照招标人提供的工程量固化清单电子文件填写工程量清单，无须按照本章第 3.4.2 项和第 3.4.3 项的规定对投标报价进行修正，第 3.4.2 项至第 3.4.5 项内容不适用。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029" w:type="dxa"/>
            <w:vAlign w:val="center"/>
          </w:tcPr>
          <w:p>
            <w:pPr>
              <w:spacing w:line="360" w:lineRule="exact"/>
              <w:jc w:val="center"/>
              <w:rPr>
                <w:rFonts w:hint="eastAsia" w:ascii="宋体" w:hAnsi="宋体"/>
                <w:b/>
                <w:color w:val="000000"/>
                <w:szCs w:val="21"/>
              </w:rPr>
            </w:pPr>
            <w:r>
              <w:rPr>
                <w:rFonts w:hint="eastAsia" w:ascii="宋体" w:hAnsi="宋体"/>
                <w:b/>
                <w:color w:val="000000"/>
                <w:szCs w:val="21"/>
              </w:rPr>
              <w:t>3.6.1</w:t>
            </w:r>
          </w:p>
        </w:tc>
        <w:tc>
          <w:tcPr>
            <w:tcW w:w="8398" w:type="dxa"/>
            <w:vAlign w:val="center"/>
          </w:tcPr>
          <w:p>
            <w:pPr>
              <w:spacing w:line="360" w:lineRule="exact"/>
              <w:ind w:firstLine="420" w:firstLineChars="200"/>
              <w:rPr>
                <w:rFonts w:hint="eastAsia" w:ascii="宋体" w:hAnsi="宋体"/>
                <w:color w:val="000000"/>
                <w:szCs w:val="21"/>
              </w:rPr>
            </w:pPr>
            <w:r>
              <w:rPr>
                <w:rFonts w:hint="eastAsia" w:ascii="宋体" w:hAnsi="宋体"/>
                <w:color w:val="000000"/>
                <w:szCs w:val="21"/>
              </w:rPr>
              <w:t>本项目不适用此条款。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rPr>
              <w:t>3.6.3</w:t>
            </w:r>
          </w:p>
        </w:tc>
        <w:tc>
          <w:tcPr>
            <w:tcW w:w="8398" w:type="dxa"/>
            <w:vAlign w:val="top"/>
          </w:tcPr>
          <w:p>
            <w:pPr>
              <w:spacing w:line="360" w:lineRule="exact"/>
              <w:rPr>
                <w:rFonts w:ascii="宋体" w:hAnsi="宋体"/>
                <w:b/>
                <w:color w:val="000000"/>
                <w:szCs w:val="21"/>
              </w:rPr>
            </w:pPr>
            <w:r>
              <w:rPr>
                <w:rFonts w:hint="eastAsia" w:ascii="宋体" w:hAnsi="宋体"/>
                <w:b/>
                <w:color w:val="000000"/>
                <w:szCs w:val="21"/>
              </w:rPr>
              <w:t>增加</w:t>
            </w:r>
            <w:r>
              <w:rPr>
                <w:rFonts w:ascii="宋体" w:hAnsi="宋体"/>
                <w:b/>
                <w:color w:val="000000"/>
                <w:szCs w:val="21"/>
              </w:rPr>
              <w:t xml:space="preserve">3.6.3 </w:t>
            </w:r>
            <w:r>
              <w:rPr>
                <w:rFonts w:hint="eastAsia" w:ascii="宋体" w:hAnsi="宋体"/>
                <w:b/>
                <w:color w:val="000000"/>
                <w:szCs w:val="21"/>
              </w:rPr>
              <w:t>款：</w:t>
            </w:r>
          </w:p>
          <w:p>
            <w:pPr>
              <w:spacing w:line="360" w:lineRule="exact"/>
              <w:ind w:firstLine="420" w:firstLineChars="200"/>
              <w:rPr>
                <w:rFonts w:hint="eastAsia" w:ascii="宋体" w:hAnsi="宋体"/>
                <w:b/>
                <w:color w:val="000000"/>
                <w:szCs w:val="21"/>
                <w:highlight w:val="none"/>
              </w:rPr>
            </w:pPr>
            <w:r>
              <w:rPr>
                <w:rFonts w:ascii="宋体" w:hAnsi="宋体"/>
                <w:color w:val="000000"/>
                <w:szCs w:val="21"/>
              </w:rPr>
              <w:t xml:space="preserve">3.6.3 </w:t>
            </w:r>
            <w:r>
              <w:rPr>
                <w:rFonts w:hint="eastAsia" w:ascii="宋体" w:hAnsi="宋体"/>
                <w:color w:val="000000"/>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1029" w:type="dxa"/>
            <w:vAlign w:val="center"/>
          </w:tcPr>
          <w:p>
            <w:pPr>
              <w:spacing w:line="360" w:lineRule="exact"/>
              <w:jc w:val="center"/>
              <w:rPr>
                <w:rFonts w:hint="eastAsia" w:ascii="宋体" w:hAnsi="宋体"/>
                <w:b/>
                <w:color w:val="000000"/>
                <w:szCs w:val="21"/>
                <w:highlight w:val="none"/>
              </w:rPr>
            </w:pPr>
            <w:r>
              <w:rPr>
                <w:rFonts w:hint="eastAsia" w:ascii="宋体" w:hAnsi="宋体"/>
                <w:b/>
                <w:color w:val="000000"/>
                <w:szCs w:val="21"/>
              </w:rPr>
              <w:t>3.7.1</w:t>
            </w:r>
          </w:p>
        </w:tc>
        <w:tc>
          <w:tcPr>
            <w:tcW w:w="8398" w:type="dxa"/>
            <w:vAlign w:val="top"/>
          </w:tcPr>
          <w:p>
            <w:pPr>
              <w:spacing w:line="360" w:lineRule="exact"/>
              <w:rPr>
                <w:rFonts w:ascii="宋体" w:hAnsi="宋体"/>
                <w:b/>
                <w:color w:val="000000"/>
                <w:szCs w:val="21"/>
              </w:rPr>
            </w:pPr>
            <w:r>
              <w:rPr>
                <w:rFonts w:hint="eastAsia" w:ascii="宋体" w:hAnsi="宋体"/>
                <w:b/>
                <w:color w:val="000000"/>
                <w:szCs w:val="21"/>
              </w:rPr>
              <w:t>将评标办法范本原文第</w:t>
            </w:r>
            <w:r>
              <w:rPr>
                <w:rFonts w:ascii="宋体" w:hAnsi="宋体"/>
                <w:b/>
                <w:color w:val="000000"/>
                <w:szCs w:val="21"/>
              </w:rPr>
              <w:t xml:space="preserve">3.7.1 </w:t>
            </w:r>
            <w:r>
              <w:rPr>
                <w:rFonts w:hint="eastAsia" w:ascii="宋体" w:hAnsi="宋体"/>
                <w:b/>
                <w:color w:val="000000"/>
                <w:szCs w:val="21"/>
              </w:rPr>
              <w:t>项修改为：</w:t>
            </w:r>
          </w:p>
          <w:p>
            <w:pPr>
              <w:overflowPunct w:val="0"/>
              <w:spacing w:line="360" w:lineRule="exact"/>
              <w:ind w:firstLine="420" w:firstLineChars="200"/>
              <w:rPr>
                <w:rFonts w:ascii="宋体" w:hAnsi="宋体"/>
                <w:color w:val="000000"/>
                <w:szCs w:val="21"/>
              </w:rPr>
            </w:pPr>
            <w:r>
              <w:rPr>
                <w:rFonts w:ascii="宋体" w:hAnsi="宋体"/>
                <w:color w:val="000000"/>
                <w:szCs w:val="21"/>
              </w:rPr>
              <w:t xml:space="preserve">3.7.1 </w:t>
            </w:r>
            <w:r>
              <w:rPr>
                <w:rFonts w:hint="eastAsia" w:ascii="宋体" w:hAnsi="宋体"/>
                <w:color w:val="000000"/>
                <w:szCs w:val="21"/>
              </w:rPr>
              <w:t>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overflowPunct w:val="0"/>
              <w:spacing w:line="360" w:lineRule="exact"/>
              <w:ind w:firstLine="420" w:firstLineChars="200"/>
              <w:rPr>
                <w:rFonts w:ascii="宋体" w:hAnsi="宋体"/>
                <w:color w:val="000000"/>
                <w:szCs w:val="21"/>
              </w:rPr>
            </w:pPr>
            <w:r>
              <w:rPr>
                <w:rFonts w:ascii="宋体" w:hAnsi="宋体"/>
                <w:color w:val="000000"/>
                <w:szCs w:val="21"/>
              </w:rPr>
              <w:t xml:space="preserve">(1) </w:t>
            </w:r>
            <w:r>
              <w:rPr>
                <w:rFonts w:hint="eastAsia" w:ascii="宋体" w:hAnsi="宋体"/>
                <w:color w:val="000000"/>
                <w:szCs w:val="21"/>
              </w:rPr>
              <w:t>投标文件中的下列计算错误为细微偏差（采用固化工程量清单，则</w:t>
            </w:r>
            <w:r>
              <w:rPr>
                <w:rFonts w:ascii="宋体" w:hAnsi="宋体"/>
                <w:color w:val="000000"/>
                <w:szCs w:val="21"/>
              </w:rPr>
              <w:t>a</w:t>
            </w:r>
            <w:r>
              <w:rPr>
                <w:rFonts w:hint="eastAsia" w:ascii="宋体" w:hAnsi="宋体"/>
                <w:color w:val="000000"/>
                <w:szCs w:val="21"/>
              </w:rPr>
              <w:t>－</w:t>
            </w:r>
            <w:r>
              <w:rPr>
                <w:rFonts w:ascii="宋体" w:hAnsi="宋体"/>
                <w:color w:val="000000"/>
                <w:szCs w:val="21"/>
              </w:rPr>
              <w:t xml:space="preserve">d </w:t>
            </w:r>
            <w:r>
              <w:rPr>
                <w:rFonts w:hint="eastAsia" w:ascii="宋体" w:hAnsi="宋体"/>
                <w:color w:val="000000"/>
                <w:szCs w:val="21"/>
              </w:rPr>
              <w:t>步骤省略）：</w:t>
            </w:r>
          </w:p>
          <w:p>
            <w:pPr>
              <w:overflowPunct w:val="0"/>
              <w:spacing w:line="360" w:lineRule="exact"/>
              <w:ind w:firstLine="420" w:firstLineChars="200"/>
              <w:rPr>
                <w:rFonts w:ascii="宋体" w:hAnsi="宋体"/>
                <w:color w:val="000000"/>
                <w:szCs w:val="21"/>
              </w:rPr>
            </w:pPr>
            <w:r>
              <w:rPr>
                <w:rFonts w:ascii="宋体" w:hAnsi="宋体"/>
                <w:color w:val="000000"/>
                <w:szCs w:val="21"/>
              </w:rPr>
              <w:t>a</w:t>
            </w:r>
            <w:r>
              <w:rPr>
                <w:rFonts w:hint="eastAsia" w:ascii="宋体" w:hAnsi="宋体"/>
                <w:color w:val="000000"/>
                <w:szCs w:val="21"/>
              </w:rPr>
              <w:t>、在算术性复核中发现的算术性差错：</w:t>
            </w:r>
          </w:p>
          <w:p>
            <w:pPr>
              <w:overflowPunct w:val="0"/>
              <w:spacing w:line="360" w:lineRule="exact"/>
              <w:ind w:firstLine="420" w:firstLineChars="200"/>
              <w:rPr>
                <w:rFonts w:ascii="宋体" w:hAnsi="宋体"/>
                <w:color w:val="000000"/>
                <w:szCs w:val="21"/>
              </w:rPr>
            </w:pPr>
            <w:r>
              <w:rPr>
                <w:rFonts w:ascii="宋体" w:hAnsi="宋体"/>
                <w:color w:val="000000"/>
                <w:szCs w:val="21"/>
              </w:rPr>
              <w:t>b</w:t>
            </w:r>
            <w:r>
              <w:rPr>
                <w:rFonts w:hint="eastAsia" w:ascii="宋体" w:hAnsi="宋体"/>
                <w:color w:val="000000"/>
                <w:szCs w:val="21"/>
              </w:rPr>
              <w:t>、在招标人给定的工程量清单中漏报了某个工程细目的单价和合价；</w:t>
            </w:r>
          </w:p>
          <w:p>
            <w:pPr>
              <w:overflowPunct w:val="0"/>
              <w:spacing w:line="360" w:lineRule="exact"/>
              <w:ind w:firstLine="420" w:firstLineChars="200"/>
              <w:rPr>
                <w:rFonts w:ascii="宋体" w:hAnsi="宋体"/>
                <w:color w:val="000000"/>
                <w:szCs w:val="21"/>
              </w:rPr>
            </w:pPr>
            <w:r>
              <w:rPr>
                <w:rFonts w:ascii="宋体" w:hAnsi="宋体"/>
                <w:color w:val="000000"/>
                <w:szCs w:val="21"/>
              </w:rPr>
              <w:t>c</w:t>
            </w:r>
            <w:r>
              <w:rPr>
                <w:rFonts w:hint="eastAsia" w:ascii="宋体" w:hAnsi="宋体"/>
                <w:color w:val="000000"/>
                <w:szCs w:val="21"/>
              </w:rPr>
              <w:t>、在招标人给定的工程量清单中多报了某个工程细目的单价和合价或所报单价增加或减少了报价范围；</w:t>
            </w:r>
          </w:p>
          <w:p>
            <w:pPr>
              <w:overflowPunct w:val="0"/>
              <w:spacing w:line="360" w:lineRule="exact"/>
              <w:ind w:firstLine="420" w:firstLineChars="200"/>
              <w:rPr>
                <w:rFonts w:ascii="宋体" w:hAnsi="宋体"/>
                <w:color w:val="000000"/>
                <w:szCs w:val="21"/>
              </w:rPr>
            </w:pPr>
            <w:r>
              <w:rPr>
                <w:rFonts w:ascii="宋体" w:hAnsi="宋体"/>
                <w:color w:val="000000"/>
                <w:szCs w:val="21"/>
              </w:rPr>
              <w:t>d</w:t>
            </w:r>
            <w:r>
              <w:rPr>
                <w:rFonts w:hint="eastAsia" w:ascii="宋体" w:hAnsi="宋体"/>
                <w:color w:val="000000"/>
                <w:szCs w:val="21"/>
              </w:rPr>
              <w:t>、在招标人给定的工程量清单中修改了某些支付号的工程数量。</w:t>
            </w:r>
          </w:p>
          <w:p>
            <w:pPr>
              <w:overflowPunct w:val="0"/>
              <w:spacing w:line="360" w:lineRule="exact"/>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）评标委员会对投标文件中的细微偏差按如下规定处理（采用固化工程量清单，则</w:t>
            </w:r>
            <w:r>
              <w:rPr>
                <w:rFonts w:ascii="宋体" w:hAnsi="宋体"/>
                <w:color w:val="000000"/>
                <w:szCs w:val="21"/>
              </w:rPr>
              <w:t>a</w:t>
            </w:r>
            <w:r>
              <w:rPr>
                <w:rFonts w:hint="eastAsia" w:ascii="宋体" w:hAnsi="宋体"/>
                <w:color w:val="000000"/>
                <w:szCs w:val="21"/>
              </w:rPr>
              <w:t>－</w:t>
            </w:r>
            <w:r>
              <w:rPr>
                <w:rFonts w:ascii="宋体" w:hAnsi="宋体"/>
                <w:color w:val="000000"/>
                <w:szCs w:val="21"/>
              </w:rPr>
              <w:t xml:space="preserve">d </w:t>
            </w:r>
            <w:r>
              <w:rPr>
                <w:rFonts w:hint="eastAsia" w:ascii="宋体" w:hAnsi="宋体"/>
                <w:color w:val="000000"/>
                <w:szCs w:val="21"/>
              </w:rPr>
              <w:t>步骤省略）：</w:t>
            </w:r>
          </w:p>
          <w:p>
            <w:pPr>
              <w:overflowPunct w:val="0"/>
              <w:spacing w:line="360" w:lineRule="exact"/>
              <w:ind w:firstLine="420" w:firstLineChars="200"/>
              <w:rPr>
                <w:rFonts w:ascii="宋体" w:hAnsi="宋体"/>
                <w:color w:val="000000"/>
                <w:szCs w:val="21"/>
              </w:rPr>
            </w:pPr>
            <w:r>
              <w:rPr>
                <w:rFonts w:ascii="宋体" w:hAnsi="宋体"/>
                <w:color w:val="000000"/>
                <w:szCs w:val="21"/>
              </w:rPr>
              <w:t>a</w:t>
            </w:r>
            <w:r>
              <w:rPr>
                <w:rFonts w:hint="eastAsia" w:ascii="宋体" w:hAnsi="宋体"/>
                <w:color w:val="000000"/>
                <w:szCs w:val="21"/>
              </w:rPr>
              <w:t>、按本评标办法的规定对算术性错误予以修正；</w:t>
            </w:r>
          </w:p>
          <w:p>
            <w:pPr>
              <w:overflowPunct w:val="0"/>
              <w:spacing w:line="360" w:lineRule="exact"/>
              <w:ind w:firstLine="420" w:firstLineChars="200"/>
              <w:rPr>
                <w:rFonts w:ascii="宋体" w:hAnsi="宋体"/>
                <w:color w:val="000000"/>
                <w:szCs w:val="21"/>
              </w:rPr>
            </w:pPr>
            <w:r>
              <w:rPr>
                <w:rFonts w:ascii="宋体" w:hAnsi="宋体"/>
                <w:color w:val="000000"/>
                <w:szCs w:val="21"/>
              </w:rPr>
              <w:t>b</w:t>
            </w:r>
            <w:r>
              <w:rPr>
                <w:rFonts w:hint="eastAsia" w:ascii="宋体" w:hAnsi="宋体"/>
                <w:color w:val="000000"/>
                <w:szCs w:val="21"/>
              </w:rPr>
              <w:t>、对于漏报的工程细目单价和合价或单价和合价减少的报价内容视为已含入其它工程细目的单价和合价之中；</w:t>
            </w:r>
          </w:p>
          <w:p>
            <w:pPr>
              <w:overflowPunct w:val="0"/>
              <w:spacing w:line="360" w:lineRule="exact"/>
              <w:ind w:firstLine="420" w:firstLineChars="200"/>
              <w:rPr>
                <w:rFonts w:ascii="宋体" w:hAnsi="宋体"/>
                <w:color w:val="000000"/>
                <w:szCs w:val="21"/>
              </w:rPr>
            </w:pPr>
            <w:r>
              <w:rPr>
                <w:rFonts w:ascii="宋体" w:hAnsi="宋体"/>
                <w:color w:val="000000"/>
                <w:szCs w:val="21"/>
              </w:rPr>
              <w:t>c</w:t>
            </w:r>
            <w:r>
              <w:rPr>
                <w:rFonts w:hint="eastAsia" w:ascii="宋体" w:hAnsi="宋体"/>
                <w:color w:val="000000"/>
                <w:szCs w:val="21"/>
              </w:rPr>
              <w:t>、在保证投标总价不变的前提下，对于多报的工程细目报价或工程细目报价中增加的部分报价从投标报价中予以扣除，并对其它细目作相应的平衡性调整；</w:t>
            </w:r>
          </w:p>
          <w:p>
            <w:pPr>
              <w:overflowPunct w:val="0"/>
              <w:spacing w:line="360" w:lineRule="exact"/>
              <w:ind w:firstLine="420" w:firstLineChars="200"/>
              <w:rPr>
                <w:rFonts w:hint="eastAsia" w:ascii="宋体" w:hAnsi="宋体"/>
                <w:b/>
                <w:color w:val="000000"/>
                <w:szCs w:val="21"/>
                <w:highlight w:val="none"/>
              </w:rPr>
            </w:pPr>
            <w:r>
              <w:rPr>
                <w:rFonts w:ascii="宋体" w:hAnsi="宋体"/>
                <w:color w:val="000000"/>
                <w:szCs w:val="21"/>
              </w:rPr>
              <w:t>d</w:t>
            </w:r>
            <w:r>
              <w:rPr>
                <w:rFonts w:hint="eastAsia" w:ascii="宋体" w:hAnsi="宋体"/>
                <w:color w:val="000000"/>
                <w:szCs w:val="21"/>
              </w:rPr>
              <w:t>、在保证投标总价不变的前提下，对与给定工程量清单数量不符的工程数量进行更正，并对其它细目作相应的平衡性调整；。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29" w:type="dxa"/>
            <w:vAlign w:val="center"/>
          </w:tcPr>
          <w:p>
            <w:pPr>
              <w:spacing w:line="360" w:lineRule="exact"/>
              <w:jc w:val="center"/>
              <w:rPr>
                <w:rFonts w:hint="eastAsia" w:ascii="宋体" w:hAnsi="宋体" w:eastAsia="宋体"/>
                <w:b/>
                <w:color w:val="000000"/>
                <w:szCs w:val="21"/>
                <w:highlight w:val="none"/>
                <w:lang w:eastAsia="zh-CN"/>
              </w:rPr>
            </w:pPr>
            <w:r>
              <w:rPr>
                <w:rFonts w:hint="eastAsia" w:ascii="宋体" w:hAnsi="宋体"/>
                <w:b/>
                <w:color w:val="000000"/>
                <w:szCs w:val="21"/>
                <w:lang w:val="en-US" w:eastAsia="zh-CN"/>
              </w:rPr>
              <w:t>3.9</w:t>
            </w:r>
          </w:p>
        </w:tc>
        <w:tc>
          <w:tcPr>
            <w:tcW w:w="8398" w:type="dxa"/>
            <w:vAlign w:val="top"/>
          </w:tcPr>
          <w:p>
            <w:pPr>
              <w:pStyle w:val="5"/>
              <w:adjustRightInd w:val="0"/>
              <w:snapToGrid w:val="0"/>
              <w:spacing w:line="360" w:lineRule="exact"/>
              <w:ind w:left="44" w:leftChars="21" w:firstLine="434" w:firstLineChars="206"/>
              <w:rPr>
                <w:rFonts w:hint="eastAsia" w:hAnsi="宋体"/>
                <w:b/>
                <w:color w:val="000000"/>
                <w:szCs w:val="21"/>
              </w:rPr>
            </w:pPr>
            <w:r>
              <w:rPr>
                <w:rFonts w:hint="eastAsia" w:hAnsi="宋体"/>
                <w:b/>
                <w:color w:val="000000"/>
                <w:szCs w:val="21"/>
              </w:rPr>
              <w:t>增加</w:t>
            </w:r>
            <w:r>
              <w:rPr>
                <w:rFonts w:hAnsi="宋体"/>
                <w:b/>
                <w:color w:val="000000"/>
                <w:szCs w:val="21"/>
              </w:rPr>
              <w:t>3.</w:t>
            </w:r>
            <w:r>
              <w:rPr>
                <w:rFonts w:hint="eastAsia" w:hAnsi="宋体"/>
                <w:b/>
                <w:color w:val="000000"/>
                <w:szCs w:val="21"/>
              </w:rPr>
              <w:t>9</w:t>
            </w:r>
            <w:r>
              <w:rPr>
                <w:rFonts w:hAnsi="宋体"/>
                <w:b/>
                <w:color w:val="000000"/>
                <w:szCs w:val="21"/>
              </w:rPr>
              <w:t xml:space="preserve">.3 </w:t>
            </w:r>
            <w:r>
              <w:rPr>
                <w:rFonts w:hint="eastAsia" w:hAnsi="宋体"/>
                <w:b/>
                <w:color w:val="000000"/>
                <w:szCs w:val="21"/>
              </w:rPr>
              <w:t xml:space="preserve">-3.9.6款： </w:t>
            </w:r>
          </w:p>
          <w:p>
            <w:pPr>
              <w:pStyle w:val="5"/>
              <w:adjustRightInd w:val="0"/>
              <w:snapToGrid w:val="0"/>
              <w:spacing w:line="360" w:lineRule="exact"/>
              <w:ind w:left="44" w:leftChars="21" w:firstLine="432" w:firstLineChars="206"/>
              <w:rPr>
                <w:rFonts w:hint="eastAsia" w:hAnsi="宋体"/>
                <w:color w:val="000000"/>
                <w:szCs w:val="21"/>
              </w:rPr>
            </w:pPr>
            <w:r>
              <w:rPr>
                <w:rFonts w:hint="eastAsia" w:hAnsi="宋体"/>
                <w:color w:val="000000"/>
                <w:szCs w:val="21"/>
              </w:rPr>
              <w:t>3.9.3  通过第一信封商务文件和技术文件评审的投标人少于</w:t>
            </w:r>
            <w:r>
              <w:rPr>
                <w:rFonts w:hAnsi="宋体"/>
                <w:color w:val="000000"/>
                <w:szCs w:val="21"/>
              </w:rPr>
              <w:t xml:space="preserve">3 </w:t>
            </w:r>
            <w:r>
              <w:rPr>
                <w:rFonts w:hint="eastAsia" w:hAnsi="宋体"/>
                <w:color w:val="000000"/>
                <w:szCs w:val="21"/>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pStyle w:val="5"/>
              <w:snapToGrid w:val="0"/>
              <w:spacing w:line="360" w:lineRule="exact"/>
              <w:ind w:left="44" w:leftChars="21" w:firstLine="432" w:firstLineChars="206"/>
              <w:rPr>
                <w:rFonts w:hint="eastAsia" w:hAnsi="宋体"/>
                <w:color w:val="000000"/>
                <w:szCs w:val="21"/>
              </w:rPr>
            </w:pPr>
            <w:r>
              <w:rPr>
                <w:rFonts w:hint="eastAsia" w:hAnsi="宋体"/>
                <w:color w:val="000000"/>
                <w:szCs w:val="21"/>
              </w:rPr>
              <w:t>3.9.4 通过第一信封商务文件和技术文件评审的投标人在</w:t>
            </w:r>
            <w:r>
              <w:rPr>
                <w:rFonts w:hAnsi="宋体"/>
                <w:color w:val="000000"/>
                <w:szCs w:val="21"/>
              </w:rPr>
              <w:t xml:space="preserve">3 </w:t>
            </w:r>
            <w:r>
              <w:rPr>
                <w:rFonts w:hint="eastAsia" w:hAnsi="宋体"/>
                <w:color w:val="000000"/>
                <w:szCs w:val="21"/>
              </w:rPr>
              <w:t>个及以上的，招标人应当按照招标文件规定的程序进行第二信封报价文件开标；在对报价文件进行评审后，有效投标不足</w:t>
            </w:r>
            <w:r>
              <w:rPr>
                <w:rFonts w:hAnsi="宋体"/>
                <w:color w:val="000000"/>
                <w:szCs w:val="21"/>
              </w:rPr>
              <w:t xml:space="preserve">3 </w:t>
            </w:r>
            <w:r>
              <w:rPr>
                <w:rFonts w:hint="eastAsia" w:hAnsi="宋体"/>
                <w:color w:val="000000"/>
                <w:szCs w:val="21"/>
              </w:rPr>
              <w:t>个的，评标委员会可以否决全部投标。未否决全部投标的，评标委员会应当在评标报告中阐明理由并推荐中标候选人。</w:t>
            </w:r>
          </w:p>
          <w:p>
            <w:pPr>
              <w:pStyle w:val="5"/>
              <w:adjustRightInd w:val="0"/>
              <w:snapToGrid w:val="0"/>
              <w:spacing w:line="360" w:lineRule="exact"/>
              <w:ind w:left="44" w:leftChars="21" w:firstLine="432" w:firstLineChars="206"/>
              <w:rPr>
                <w:rFonts w:hint="eastAsia" w:hAnsi="宋体"/>
                <w:color w:val="000000"/>
                <w:szCs w:val="21"/>
              </w:rPr>
            </w:pPr>
            <w:r>
              <w:rPr>
                <w:rFonts w:hint="eastAsia" w:hAnsi="宋体"/>
                <w:color w:val="000000"/>
                <w:szCs w:val="21"/>
              </w:rPr>
              <w:t>3.9.5 如果发生无法确定推荐中标候选人的其它意外情况，由评标委员会研究处理，评标委员会有权决定本次招标无效，有权建议招标人重新招标。</w:t>
            </w:r>
          </w:p>
          <w:p>
            <w:pPr>
              <w:spacing w:line="360" w:lineRule="exact"/>
              <w:ind w:firstLine="420" w:firstLineChars="200"/>
              <w:rPr>
                <w:rFonts w:hint="eastAsia" w:ascii="宋体" w:hAnsi="宋体"/>
                <w:color w:val="000000"/>
                <w:szCs w:val="21"/>
              </w:rPr>
            </w:pPr>
            <w:r>
              <w:rPr>
                <w:rFonts w:hint="eastAsia" w:ascii="宋体" w:hAnsi="宋体"/>
                <w:color w:val="000000"/>
                <w:szCs w:val="21"/>
              </w:rPr>
              <w:t>3.9.6 如果推荐的中标候选人因公示被投诉并查证属实存在造假行为的，按否决其投标处理，且没收其投标保证金；</w:t>
            </w:r>
          </w:p>
          <w:p>
            <w:pPr>
              <w:spacing w:line="360" w:lineRule="exact"/>
              <w:ind w:firstLine="420" w:firstLineChars="200"/>
              <w:rPr>
                <w:rFonts w:hint="eastAsia"/>
                <w:highlight w:val="none"/>
              </w:rPr>
            </w:pPr>
            <w:r>
              <w:rPr>
                <w:rFonts w:hint="eastAsia"/>
                <w:highlight w:val="none"/>
              </w:rPr>
              <w:t>发生以上情况时，招标人按推荐中标候选人排名顺序依次确定中标人，或重新组织招标。</w:t>
            </w:r>
          </w:p>
          <w:p>
            <w:pPr>
              <w:spacing w:line="3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3.9.7 本招标文件规定的否决投标条款包含在以下条款：</w:t>
            </w:r>
          </w:p>
          <w:p>
            <w:pPr>
              <w:spacing w:line="3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（1）招标公告第3点 投标人资格要求；</w:t>
            </w:r>
          </w:p>
          <w:p>
            <w:pPr>
              <w:spacing w:line="36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（2）投标人须知1.4.3款、1.4.4款、1.4.5款、1.12款、3.2款、3.4款、3.5款、3.6款、10.4款、10.8款、10.9款；</w:t>
            </w:r>
          </w:p>
          <w:p>
            <w:pPr>
              <w:spacing w:line="360" w:lineRule="exact"/>
              <w:ind w:firstLine="420" w:firstLineChars="200"/>
              <w:rPr>
                <w:rFonts w:hint="eastAsia" w:ascii="宋体" w:hAnsi="宋体"/>
                <w:color w:val="000000"/>
                <w:szCs w:val="21"/>
                <w:highlight w:val="none"/>
              </w:rPr>
            </w:pPr>
            <w:r>
              <w:rPr>
                <w:rFonts w:hint="eastAsia" w:ascii="宋体" w:hAnsi="宋体"/>
                <w:color w:val="000000"/>
                <w:szCs w:val="21"/>
                <w:lang w:val="en-US" w:eastAsia="zh-CN"/>
              </w:rPr>
              <w:t>（3）本评标办法否决条款。</w:t>
            </w:r>
          </w:p>
        </w:tc>
      </w:tr>
    </w:tbl>
    <w:p>
      <w:pPr>
        <w:spacing w:before="300" w:after="300" w:line="360" w:lineRule="exact"/>
        <w:outlineLvl w:val="0"/>
        <w:rPr>
          <w:rFonts w:hint="eastAsia" w:ascii="宋体" w:hAnsi="宋体"/>
          <w:b/>
          <w:kern w:val="44"/>
          <w:sz w:val="28"/>
          <w:szCs w:val="28"/>
          <w:highlight w:val="none"/>
        </w:rPr>
      </w:pPr>
    </w:p>
    <w:p>
      <w:pPr>
        <w:pStyle w:val="2"/>
        <w:rPr>
          <w:rFonts w:hint="eastAsia" w:ascii="宋体" w:hAnsi="宋体"/>
          <w:b/>
          <w:kern w:val="44"/>
          <w:sz w:val="28"/>
          <w:szCs w:val="28"/>
          <w:highlight w:val="none"/>
        </w:rPr>
      </w:pPr>
    </w:p>
    <w:p>
      <w:pPr>
        <w:pStyle w:val="2"/>
        <w:rPr>
          <w:rFonts w:hint="eastAsia" w:ascii="宋体" w:hAnsi="宋体"/>
          <w:b/>
          <w:kern w:val="44"/>
          <w:sz w:val="28"/>
          <w:szCs w:val="28"/>
          <w:highlight w:val="none"/>
        </w:rPr>
      </w:pPr>
    </w:p>
    <w:p>
      <w:pPr>
        <w:pStyle w:val="2"/>
        <w:rPr>
          <w:rFonts w:hint="eastAsia" w:ascii="宋体" w:hAnsi="宋体"/>
          <w:b/>
          <w:kern w:val="44"/>
          <w:sz w:val="28"/>
          <w:szCs w:val="28"/>
          <w:highlight w:val="none"/>
        </w:rPr>
      </w:pPr>
    </w:p>
    <w:p>
      <w:pPr>
        <w:pStyle w:val="2"/>
        <w:ind w:left="0" w:leftChars="0" w:firstLine="0" w:firstLineChars="0"/>
        <w:rPr>
          <w:rFonts w:hint="eastAsia" w:ascii="宋体" w:hAnsi="宋体"/>
          <w:b/>
          <w:kern w:val="44"/>
          <w:sz w:val="28"/>
          <w:szCs w:val="28"/>
          <w:highlight w:val="none"/>
        </w:rPr>
      </w:pPr>
    </w:p>
    <w:p>
      <w:pPr>
        <w:spacing w:before="300" w:after="300" w:line="360" w:lineRule="exact"/>
        <w:outlineLvl w:val="0"/>
        <w:rPr>
          <w:rFonts w:hint="eastAsia" w:ascii="宋体" w:hAnsi="宋体"/>
          <w:b/>
          <w:kern w:val="44"/>
          <w:sz w:val="28"/>
          <w:szCs w:val="28"/>
          <w:highlight w:val="none"/>
        </w:rPr>
      </w:pPr>
      <w:r>
        <w:rPr>
          <w:rFonts w:hint="eastAsia" w:ascii="宋体" w:hAnsi="宋体"/>
          <w:b/>
          <w:kern w:val="44"/>
          <w:sz w:val="28"/>
          <w:szCs w:val="28"/>
          <w:highlight w:val="none"/>
        </w:rPr>
        <w:t>1. 评标方法</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本次评标采用</w:t>
      </w:r>
      <w:r>
        <w:rPr>
          <w:rFonts w:hint="eastAsia" w:ascii="宋体" w:hAnsi="宋体"/>
          <w:color w:val="000000"/>
          <w:szCs w:val="21"/>
          <w:highlight w:val="none"/>
        </w:rPr>
        <w:t>综合评标法</w:t>
      </w:r>
      <w:r>
        <w:rPr>
          <w:rFonts w:hint="eastAsia" w:ascii="宋体" w:hAnsi="宋体"/>
          <w:szCs w:val="21"/>
          <w:highlight w:val="none"/>
        </w:rPr>
        <w:t>。评标委员会对满足招标文件实质性要求的投标文件，按照本章第</w:t>
      </w:r>
      <w:r>
        <w:rPr>
          <w:rFonts w:ascii="宋体" w:hAnsi="宋体"/>
          <w:szCs w:val="21"/>
          <w:highlight w:val="none"/>
        </w:rPr>
        <w:t xml:space="preserve"> 2.2 </w:t>
      </w:r>
      <w:r>
        <w:rPr>
          <w:rFonts w:hint="eastAsia" w:ascii="宋体" w:hAnsi="宋体"/>
          <w:szCs w:val="21"/>
          <w:highlight w:val="none"/>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spacing w:before="300" w:after="300" w:line="360" w:lineRule="exact"/>
        <w:outlineLvl w:val="0"/>
        <w:rPr>
          <w:rFonts w:ascii="宋体" w:hAnsi="宋体"/>
          <w:b/>
          <w:kern w:val="44"/>
          <w:sz w:val="28"/>
          <w:szCs w:val="28"/>
          <w:highlight w:val="none"/>
        </w:rPr>
      </w:pPr>
      <w:r>
        <w:rPr>
          <w:rFonts w:ascii="宋体" w:hAnsi="宋体"/>
          <w:b/>
          <w:kern w:val="44"/>
          <w:sz w:val="28"/>
          <w:szCs w:val="28"/>
          <w:highlight w:val="none"/>
        </w:rPr>
        <w:t>2. 评审标准</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2.1 初步评审标准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2.1.1 形式评审标准：见评标办法前附表。</w:t>
      </w:r>
    </w:p>
    <w:p>
      <w:pPr>
        <w:overflowPunct w:val="0"/>
        <w:spacing w:line="360" w:lineRule="exact"/>
        <w:ind w:firstLine="420" w:firstLineChars="200"/>
        <w:rPr>
          <w:rFonts w:ascii="宋体" w:hAnsi="宋体"/>
          <w:szCs w:val="21"/>
          <w:highlight w:val="none"/>
        </w:rPr>
      </w:pPr>
      <w:r>
        <w:rPr>
          <w:rFonts w:ascii="宋体" w:hAnsi="宋体"/>
          <w:szCs w:val="21"/>
          <w:highlight w:val="none"/>
        </w:rPr>
        <w:t>2.1.2 资格评审标准：见评标办法前附表</w:t>
      </w:r>
      <w:r>
        <w:rPr>
          <w:rFonts w:hint="eastAsia" w:ascii="宋体" w:hAnsi="宋体"/>
          <w:szCs w:val="21"/>
          <w:highlight w:val="none"/>
        </w:rPr>
        <w:t>及</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投标人须知</w:t>
      </w:r>
      <w:r>
        <w:rPr>
          <w:rFonts w:ascii="宋体" w:hAnsi="宋体"/>
          <w:szCs w:val="21"/>
          <w:highlight w:val="none"/>
        </w:rPr>
        <w:t>”</w:t>
      </w:r>
      <w:r>
        <w:rPr>
          <w:rFonts w:hint="eastAsia" w:ascii="宋体" w:hAnsi="宋体"/>
          <w:szCs w:val="21"/>
          <w:highlight w:val="none"/>
        </w:rPr>
        <w:t>附录的资格</w:t>
      </w:r>
      <w:r>
        <w:rPr>
          <w:rFonts w:ascii="宋体" w:hAnsi="宋体"/>
          <w:szCs w:val="21"/>
          <w:highlight w:val="none"/>
        </w:rPr>
        <w:t>审查</w:t>
      </w:r>
      <w:r>
        <w:rPr>
          <w:rFonts w:hint="eastAsia" w:ascii="宋体" w:hAnsi="宋体"/>
          <w:szCs w:val="21"/>
          <w:highlight w:val="none"/>
        </w:rPr>
        <w:t>条件</w:t>
      </w:r>
      <w:r>
        <w:rPr>
          <w:rFonts w:ascii="宋体" w:hAnsi="宋体"/>
          <w:szCs w:val="21"/>
          <w:highlight w:val="none"/>
        </w:rPr>
        <w:t>标准。</w:t>
      </w:r>
    </w:p>
    <w:p>
      <w:pPr>
        <w:overflowPunct w:val="0"/>
        <w:spacing w:line="360" w:lineRule="exact"/>
        <w:ind w:firstLine="420" w:firstLineChars="200"/>
        <w:rPr>
          <w:rFonts w:ascii="宋体" w:hAnsi="宋体"/>
          <w:szCs w:val="21"/>
          <w:highlight w:val="none"/>
        </w:rPr>
      </w:pPr>
      <w:r>
        <w:rPr>
          <w:rFonts w:ascii="宋体" w:hAnsi="宋体"/>
          <w:szCs w:val="21"/>
          <w:highlight w:val="none"/>
        </w:rPr>
        <w:t>2.1.3 响应性评审标准：见评标办法前附表。</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2.2 分值构成与评分标准</w:t>
      </w:r>
    </w:p>
    <w:p>
      <w:pPr>
        <w:overflowPunct w:val="0"/>
        <w:spacing w:line="360" w:lineRule="exact"/>
        <w:ind w:firstLine="422" w:firstLineChars="200"/>
        <w:rPr>
          <w:rFonts w:ascii="宋体" w:hAnsi="宋体"/>
          <w:b/>
          <w:szCs w:val="21"/>
          <w:highlight w:val="none"/>
        </w:rPr>
      </w:pPr>
      <w:r>
        <w:rPr>
          <w:rFonts w:ascii="宋体" w:hAnsi="宋体"/>
          <w:b/>
          <w:szCs w:val="21"/>
          <w:highlight w:val="none"/>
        </w:rPr>
        <w:t>2.2.1 分值构成</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（1）总体服务方案：见评标办法前附表；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（2）项目</w:t>
      </w:r>
      <w:r>
        <w:rPr>
          <w:rFonts w:hint="eastAsia" w:ascii="宋体" w:hAnsi="宋体"/>
          <w:color w:val="auto"/>
          <w:szCs w:val="21"/>
          <w:lang w:val="en-US" w:eastAsia="zh-CN"/>
        </w:rPr>
        <w:t>组织</w:t>
      </w:r>
      <w:r>
        <w:rPr>
          <w:rFonts w:hint="eastAsia" w:ascii="宋体" w:hAnsi="宋体"/>
          <w:color w:val="auto"/>
          <w:szCs w:val="21"/>
        </w:rPr>
        <w:t>机构：见评标办法前附表；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（3）评标价：见评标办法前附表；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（4）其他评分因素：见评标办法前附表。</w:t>
      </w:r>
    </w:p>
    <w:p>
      <w:pPr>
        <w:overflowPunct w:val="0"/>
        <w:spacing w:line="360" w:lineRule="exact"/>
        <w:ind w:firstLine="422" w:firstLineChars="200"/>
        <w:rPr>
          <w:rFonts w:ascii="宋体" w:hAnsi="宋体"/>
          <w:b/>
          <w:color w:val="auto"/>
          <w:szCs w:val="21"/>
          <w:highlight w:val="none"/>
        </w:rPr>
      </w:pPr>
      <w:r>
        <w:rPr>
          <w:rFonts w:ascii="宋体" w:hAnsi="宋体"/>
          <w:b/>
          <w:color w:val="auto"/>
          <w:szCs w:val="21"/>
          <w:highlight w:val="none"/>
        </w:rPr>
        <w:t>2.2.2  评标基准价计算</w:t>
      </w:r>
    </w:p>
    <w:p>
      <w:pPr>
        <w:overflowPunct w:val="0"/>
        <w:spacing w:line="360" w:lineRule="exact"/>
        <w:ind w:firstLine="420" w:firstLineChars="200"/>
        <w:rPr>
          <w:rFonts w:ascii="宋体" w:hAnsi="宋体"/>
          <w:color w:val="auto"/>
          <w:szCs w:val="21"/>
          <w:highlight w:val="none"/>
        </w:rPr>
      </w:pPr>
      <w:r>
        <w:rPr>
          <w:rFonts w:ascii="宋体" w:hAnsi="宋体"/>
          <w:color w:val="auto"/>
          <w:szCs w:val="21"/>
          <w:highlight w:val="none"/>
        </w:rPr>
        <w:t>评标基准价计算方法：见评标办法前附表。</w:t>
      </w:r>
    </w:p>
    <w:p>
      <w:pPr>
        <w:overflowPunct w:val="0"/>
        <w:spacing w:line="360" w:lineRule="exact"/>
        <w:ind w:firstLine="422" w:firstLineChars="200"/>
        <w:rPr>
          <w:rFonts w:ascii="宋体" w:hAnsi="宋体"/>
          <w:b/>
          <w:color w:val="auto"/>
          <w:szCs w:val="21"/>
          <w:highlight w:val="none"/>
        </w:rPr>
      </w:pPr>
      <w:r>
        <w:rPr>
          <w:rFonts w:ascii="宋体" w:hAnsi="宋体"/>
          <w:b/>
          <w:color w:val="auto"/>
          <w:szCs w:val="21"/>
          <w:highlight w:val="none"/>
        </w:rPr>
        <w:t xml:space="preserve">2.2.3  </w:t>
      </w:r>
      <w:r>
        <w:rPr>
          <w:rFonts w:hint="eastAsia" w:ascii="宋体" w:hAnsi="宋体"/>
          <w:b/>
          <w:color w:val="auto"/>
          <w:szCs w:val="21"/>
          <w:highlight w:val="none"/>
        </w:rPr>
        <w:t>评标价</w:t>
      </w:r>
      <w:r>
        <w:rPr>
          <w:rFonts w:ascii="宋体" w:hAnsi="宋体"/>
          <w:b/>
          <w:color w:val="auto"/>
          <w:szCs w:val="21"/>
          <w:highlight w:val="none"/>
        </w:rPr>
        <w:t>的偏差率计算</w:t>
      </w:r>
    </w:p>
    <w:p>
      <w:pPr>
        <w:overflowPunct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评标价</w:t>
      </w:r>
      <w:r>
        <w:rPr>
          <w:rFonts w:ascii="宋体" w:hAnsi="宋体"/>
          <w:color w:val="auto"/>
          <w:szCs w:val="21"/>
          <w:highlight w:val="none"/>
        </w:rPr>
        <w:t>的偏差率计算公式：见评标办法前附表。</w:t>
      </w:r>
    </w:p>
    <w:p>
      <w:pPr>
        <w:overflowPunct w:val="0"/>
        <w:spacing w:line="360" w:lineRule="exact"/>
        <w:ind w:firstLine="422" w:firstLineChars="200"/>
        <w:rPr>
          <w:rFonts w:ascii="宋体" w:hAnsi="宋体"/>
          <w:b/>
          <w:color w:val="auto"/>
          <w:szCs w:val="21"/>
          <w:highlight w:val="none"/>
        </w:rPr>
      </w:pPr>
      <w:r>
        <w:rPr>
          <w:rFonts w:ascii="宋体" w:hAnsi="宋体"/>
          <w:b/>
          <w:color w:val="auto"/>
          <w:szCs w:val="21"/>
          <w:highlight w:val="none"/>
        </w:rPr>
        <w:t>2.2.4  评分标准</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（1）总体服务方案评分标准：见评标办法前附表；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（2）项目</w:t>
      </w:r>
      <w:r>
        <w:rPr>
          <w:rFonts w:hint="eastAsia" w:ascii="宋体" w:hAnsi="宋体"/>
          <w:color w:val="auto"/>
          <w:szCs w:val="21"/>
          <w:lang w:val="en-US" w:eastAsia="zh-CN"/>
        </w:rPr>
        <w:t>组织</w:t>
      </w:r>
      <w:r>
        <w:rPr>
          <w:rFonts w:hint="eastAsia" w:ascii="宋体" w:hAnsi="宋体"/>
          <w:color w:val="auto"/>
          <w:szCs w:val="21"/>
        </w:rPr>
        <w:t>机构评分标准：见评标办法前附表；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（3）评标价评分标准：见评标办法前附表；</w:t>
      </w:r>
    </w:p>
    <w:p>
      <w:pPr>
        <w:overflowPunct w:val="0"/>
        <w:spacing w:line="340" w:lineRule="exact"/>
        <w:ind w:firstLine="420" w:firstLineChars="200"/>
        <w:rPr>
          <w:rFonts w:hint="eastAsia" w:ascii="宋体" w:hAnsi="宋体"/>
          <w:color w:val="auto"/>
          <w:szCs w:val="21"/>
        </w:rPr>
      </w:pPr>
      <w:r>
        <w:rPr>
          <w:rFonts w:hint="eastAsia" w:ascii="宋体" w:hAnsi="宋体"/>
          <w:color w:val="auto"/>
          <w:szCs w:val="21"/>
        </w:rPr>
        <w:t>（4）其他因素评分标准：见评标办法前附表。</w:t>
      </w:r>
    </w:p>
    <w:p>
      <w:pPr>
        <w:spacing w:before="300" w:after="300" w:line="360" w:lineRule="exact"/>
        <w:outlineLvl w:val="0"/>
        <w:rPr>
          <w:rFonts w:ascii="宋体" w:hAnsi="宋体"/>
          <w:b/>
          <w:kern w:val="44"/>
          <w:sz w:val="28"/>
          <w:szCs w:val="28"/>
          <w:highlight w:val="none"/>
        </w:rPr>
      </w:pPr>
      <w:r>
        <w:rPr>
          <w:rFonts w:ascii="宋体" w:hAnsi="宋体"/>
          <w:b/>
          <w:kern w:val="44"/>
          <w:sz w:val="28"/>
          <w:szCs w:val="28"/>
          <w:highlight w:val="none"/>
        </w:rPr>
        <w:t>3. 评标程序</w:t>
      </w:r>
    </w:p>
    <w:p>
      <w:pPr>
        <w:spacing w:before="300" w:after="300" w:line="360" w:lineRule="exact"/>
        <w:outlineLvl w:val="0"/>
        <w:rPr>
          <w:rFonts w:ascii="宋体" w:hAnsi="宋体"/>
          <w:b/>
          <w:kern w:val="44"/>
          <w:sz w:val="24"/>
          <w:highlight w:val="none"/>
        </w:rPr>
      </w:pPr>
      <w:r>
        <w:rPr>
          <w:rFonts w:ascii="宋体" w:hAnsi="宋体"/>
          <w:b/>
          <w:kern w:val="44"/>
          <w:sz w:val="24"/>
          <w:highlight w:val="none"/>
        </w:rPr>
        <w:t xml:space="preserve">3.1 </w:t>
      </w:r>
      <w:r>
        <w:rPr>
          <w:rFonts w:hint="eastAsia" w:ascii="宋体" w:hAnsi="宋体"/>
          <w:b/>
          <w:kern w:val="44"/>
          <w:sz w:val="24"/>
          <w:highlight w:val="none"/>
        </w:rPr>
        <w:t>第一个信封</w:t>
      </w:r>
      <w:r>
        <w:rPr>
          <w:rFonts w:ascii="宋体" w:hAnsi="宋体"/>
          <w:b/>
          <w:kern w:val="44"/>
          <w:sz w:val="24"/>
          <w:highlight w:val="none"/>
        </w:rPr>
        <w:t>初步评审</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3.1.1 评标委员会可以要求投标人提交第二章“投标人须知”第</w:t>
      </w:r>
      <w:r>
        <w:rPr>
          <w:rFonts w:ascii="宋体" w:hAnsi="宋体"/>
          <w:szCs w:val="21"/>
          <w:highlight w:val="none"/>
        </w:rPr>
        <w:t xml:space="preserve"> 3.5.1 </w:t>
      </w:r>
      <w:r>
        <w:rPr>
          <w:rFonts w:hint="eastAsia" w:ascii="宋体" w:hAnsi="宋体"/>
          <w:szCs w:val="21"/>
          <w:highlight w:val="none"/>
        </w:rPr>
        <w:t>项至第</w:t>
      </w:r>
      <w:r>
        <w:rPr>
          <w:rFonts w:ascii="宋体" w:hAnsi="宋体"/>
          <w:szCs w:val="21"/>
          <w:highlight w:val="none"/>
        </w:rPr>
        <w:t xml:space="preserve"> 3.5.6 </w:t>
      </w:r>
      <w:r>
        <w:rPr>
          <w:rFonts w:hint="eastAsia" w:ascii="宋体" w:hAnsi="宋体"/>
          <w:szCs w:val="21"/>
          <w:highlight w:val="none"/>
        </w:rPr>
        <w:t>项规定的有关证明和证件的原件，以便核验。评标委员会依据本章第</w:t>
      </w:r>
      <w:r>
        <w:rPr>
          <w:rFonts w:ascii="宋体" w:hAnsi="宋体"/>
          <w:szCs w:val="21"/>
          <w:highlight w:val="none"/>
        </w:rPr>
        <w:t xml:space="preserve"> 2.1 </w:t>
      </w:r>
      <w:r>
        <w:rPr>
          <w:rFonts w:hint="eastAsia" w:ascii="宋体" w:hAnsi="宋体"/>
          <w:szCs w:val="21"/>
          <w:highlight w:val="none"/>
        </w:rPr>
        <w:t>款规定的标准对投标文件第一个信封（商务及技术文件）进行初步评审。有一项不符合评审标准的，评标委员会应否决其投标。（适用于未进行资格预审的）</w:t>
      </w:r>
    </w:p>
    <w:p>
      <w:pPr>
        <w:spacing w:before="300" w:after="300" w:line="340" w:lineRule="exact"/>
        <w:outlineLvl w:val="0"/>
        <w:rPr>
          <w:rFonts w:ascii="宋体" w:hAnsi="宋体"/>
          <w:b/>
          <w:color w:val="auto"/>
          <w:kern w:val="44"/>
          <w:sz w:val="24"/>
          <w:highlight w:val="none"/>
        </w:rPr>
      </w:pPr>
      <w:r>
        <w:rPr>
          <w:rFonts w:hint="eastAsia" w:ascii="宋体" w:hAnsi="宋体"/>
          <w:b/>
          <w:color w:val="auto"/>
          <w:kern w:val="44"/>
          <w:sz w:val="24"/>
          <w:highlight w:val="none"/>
        </w:rPr>
        <w:t>3.2 第一个信封详细评审</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3.2.1 评标委员会按本章第</w:t>
      </w:r>
      <w:r>
        <w:rPr>
          <w:rFonts w:ascii="宋体" w:hAnsi="宋体"/>
          <w:color w:val="auto"/>
          <w:szCs w:val="21"/>
          <w:highlight w:val="none"/>
        </w:rPr>
        <w:t xml:space="preserve"> 2.2 </w:t>
      </w:r>
      <w:r>
        <w:rPr>
          <w:rFonts w:hint="eastAsia" w:ascii="宋体" w:hAnsi="宋体"/>
          <w:color w:val="auto"/>
          <w:szCs w:val="21"/>
          <w:highlight w:val="none"/>
        </w:rPr>
        <w:t>款规定的量化因素和分值进行打分，并计算出各投标人的商务和技术得分。</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）按本章第</w:t>
      </w:r>
      <w:r>
        <w:rPr>
          <w:rFonts w:ascii="宋体" w:hAnsi="宋体"/>
          <w:color w:val="auto"/>
          <w:szCs w:val="21"/>
          <w:highlight w:val="none"/>
        </w:rPr>
        <w:t xml:space="preserve"> 2.2.4 </w:t>
      </w:r>
      <w:r>
        <w:rPr>
          <w:rFonts w:hint="eastAsia" w:ascii="宋体" w:hAnsi="宋体"/>
          <w:color w:val="auto"/>
          <w:szCs w:val="21"/>
          <w:highlight w:val="none"/>
        </w:rPr>
        <w:t>项（</w:t>
      </w:r>
      <w:r>
        <w:rPr>
          <w:rFonts w:ascii="宋体" w:hAnsi="宋体"/>
          <w:color w:val="auto"/>
          <w:szCs w:val="21"/>
          <w:highlight w:val="none"/>
        </w:rPr>
        <w:t>1</w:t>
      </w:r>
      <w:r>
        <w:rPr>
          <w:rFonts w:hint="eastAsia" w:ascii="宋体" w:hAnsi="宋体"/>
          <w:color w:val="auto"/>
          <w:szCs w:val="21"/>
          <w:highlight w:val="none"/>
        </w:rPr>
        <w:t>）目规定的评审因素和分值对施工组织设计部分计算出得分</w:t>
      </w:r>
      <w:r>
        <w:rPr>
          <w:rFonts w:ascii="宋体" w:hAnsi="宋体"/>
          <w:color w:val="auto"/>
          <w:szCs w:val="21"/>
          <w:highlight w:val="none"/>
        </w:rPr>
        <w:t xml:space="preserve"> A</w:t>
      </w:r>
      <w:r>
        <w:rPr>
          <w:rFonts w:hint="eastAsia" w:ascii="宋体" w:hAnsi="宋体"/>
          <w:color w:val="auto"/>
          <w:szCs w:val="21"/>
          <w:highlight w:val="none"/>
        </w:rPr>
        <w:t>；</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）按本章第</w:t>
      </w:r>
      <w:r>
        <w:rPr>
          <w:rFonts w:ascii="宋体" w:hAnsi="宋体"/>
          <w:color w:val="auto"/>
          <w:szCs w:val="21"/>
          <w:highlight w:val="none"/>
        </w:rPr>
        <w:t xml:space="preserve"> 2.2.4 </w:t>
      </w:r>
      <w:r>
        <w:rPr>
          <w:rFonts w:hint="eastAsia" w:ascii="宋体" w:hAnsi="宋体"/>
          <w:color w:val="auto"/>
          <w:szCs w:val="21"/>
          <w:highlight w:val="none"/>
        </w:rPr>
        <w:t>项（</w:t>
      </w:r>
      <w:r>
        <w:rPr>
          <w:rFonts w:ascii="宋体" w:hAnsi="宋体"/>
          <w:color w:val="auto"/>
          <w:szCs w:val="21"/>
          <w:highlight w:val="none"/>
        </w:rPr>
        <w:t>2</w:t>
      </w:r>
      <w:r>
        <w:rPr>
          <w:rFonts w:hint="eastAsia" w:ascii="宋体" w:hAnsi="宋体"/>
          <w:color w:val="auto"/>
          <w:szCs w:val="21"/>
          <w:highlight w:val="none"/>
        </w:rPr>
        <w:t>）目规定的评审因素和分值对主要人员部分计算出得分</w:t>
      </w:r>
      <w:r>
        <w:rPr>
          <w:rFonts w:ascii="宋体" w:hAnsi="宋体"/>
          <w:color w:val="auto"/>
          <w:szCs w:val="21"/>
          <w:highlight w:val="none"/>
        </w:rPr>
        <w:t xml:space="preserve"> B</w:t>
      </w:r>
      <w:r>
        <w:rPr>
          <w:rFonts w:hint="eastAsia" w:ascii="宋体" w:hAnsi="宋体"/>
          <w:color w:val="auto"/>
          <w:szCs w:val="21"/>
          <w:highlight w:val="none"/>
        </w:rPr>
        <w:t>；</w:t>
      </w:r>
    </w:p>
    <w:p>
      <w:pPr>
        <w:overflowPunct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）按本章第</w:t>
      </w:r>
      <w:r>
        <w:rPr>
          <w:rFonts w:ascii="宋体" w:hAnsi="宋体"/>
          <w:color w:val="auto"/>
          <w:szCs w:val="21"/>
          <w:highlight w:val="none"/>
        </w:rPr>
        <w:t xml:space="preserve"> 2.2.4 </w:t>
      </w:r>
      <w:r>
        <w:rPr>
          <w:rFonts w:hint="eastAsia" w:ascii="宋体" w:hAnsi="宋体"/>
          <w:color w:val="auto"/>
          <w:szCs w:val="21"/>
          <w:highlight w:val="none"/>
        </w:rPr>
        <w:t>项（</w:t>
      </w:r>
      <w:r>
        <w:rPr>
          <w:rFonts w:ascii="宋体" w:hAnsi="宋体"/>
          <w:color w:val="auto"/>
          <w:szCs w:val="21"/>
          <w:highlight w:val="none"/>
        </w:rPr>
        <w:t>4</w:t>
      </w:r>
      <w:r>
        <w:rPr>
          <w:rFonts w:hint="eastAsia" w:ascii="宋体" w:hAnsi="宋体"/>
          <w:color w:val="auto"/>
          <w:szCs w:val="21"/>
          <w:highlight w:val="none"/>
        </w:rPr>
        <w:t>）目规定的评审因素和分值对其他部分计算出得分</w:t>
      </w:r>
      <w:r>
        <w:rPr>
          <w:rFonts w:ascii="宋体" w:hAnsi="宋体"/>
          <w:color w:val="auto"/>
          <w:szCs w:val="21"/>
          <w:highlight w:val="none"/>
        </w:rPr>
        <w:t xml:space="preserve"> D</w:t>
      </w:r>
      <w:r>
        <w:rPr>
          <w:rFonts w:hint="eastAsia" w:ascii="宋体" w:hAnsi="宋体"/>
          <w:color w:val="auto"/>
          <w:szCs w:val="21"/>
          <w:highlight w:val="none"/>
        </w:rPr>
        <w:t>。</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3.2.2 投标人的商务和技术得分分值计算保留小数点后两位，小数点后第三位“四舍五入”。</w:t>
      </w:r>
    </w:p>
    <w:p>
      <w:pPr>
        <w:overflowPunct w:val="0"/>
        <w:spacing w:line="340" w:lineRule="exact"/>
        <w:ind w:firstLine="420" w:firstLineChars="200"/>
        <w:rPr>
          <w:rFonts w:hint="eastAsia" w:ascii="宋体" w:hAnsi="宋体"/>
          <w:color w:val="auto"/>
          <w:szCs w:val="21"/>
          <w:highlight w:val="red"/>
        </w:rPr>
      </w:pPr>
      <w:r>
        <w:rPr>
          <w:rFonts w:hint="eastAsia" w:ascii="宋体" w:hAnsi="宋体"/>
          <w:color w:val="auto"/>
          <w:szCs w:val="21"/>
          <w:highlight w:val="none"/>
        </w:rPr>
        <w:t>3.2.3 投标人的商务和技术得分</w:t>
      </w:r>
      <w:r>
        <w:rPr>
          <w:rFonts w:ascii="宋体" w:hAnsi="宋体"/>
          <w:color w:val="auto"/>
          <w:szCs w:val="21"/>
          <w:highlight w:val="none"/>
        </w:rPr>
        <w:t>=A+B+D</w:t>
      </w:r>
      <w:r>
        <w:rPr>
          <w:rFonts w:hint="eastAsia" w:ascii="宋体" w:hAnsi="宋体"/>
          <w:color w:val="auto"/>
          <w:szCs w:val="21"/>
          <w:highlight w:val="none"/>
        </w:rPr>
        <w:t>。</w:t>
      </w:r>
    </w:p>
    <w:p>
      <w:pPr>
        <w:pStyle w:val="2"/>
        <w:rPr>
          <w:rFonts w:hint="eastAsia"/>
        </w:rPr>
      </w:pP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w:t>
      </w:r>
      <w:r>
        <w:rPr>
          <w:rFonts w:hint="eastAsia" w:ascii="宋体" w:hAnsi="宋体"/>
          <w:b/>
          <w:kern w:val="44"/>
          <w:sz w:val="24"/>
          <w:highlight w:val="none"/>
          <w:lang w:val="en-US" w:eastAsia="zh-CN"/>
        </w:rPr>
        <w:t>3</w:t>
      </w:r>
      <w:r>
        <w:rPr>
          <w:rFonts w:hint="eastAsia" w:ascii="宋体" w:hAnsi="宋体"/>
          <w:b/>
          <w:kern w:val="44"/>
          <w:sz w:val="24"/>
          <w:highlight w:val="none"/>
        </w:rPr>
        <w:t xml:space="preserve"> 第二个信封开标</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第一个信封（商务及技术文件）评审结束后，招标人将按照第二章“投标人须知”</w:t>
      </w:r>
      <w:r>
        <w:rPr>
          <w:rFonts w:ascii="宋体" w:hAnsi="宋体"/>
          <w:szCs w:val="21"/>
          <w:highlight w:val="none"/>
        </w:rPr>
        <w:t xml:space="preserve"> </w:t>
      </w:r>
      <w:r>
        <w:rPr>
          <w:rFonts w:hint="eastAsia" w:ascii="宋体" w:hAnsi="宋体"/>
          <w:szCs w:val="21"/>
          <w:highlight w:val="none"/>
        </w:rPr>
        <w:t>第</w:t>
      </w:r>
      <w:r>
        <w:rPr>
          <w:rFonts w:ascii="宋体" w:hAnsi="宋体"/>
          <w:szCs w:val="21"/>
          <w:highlight w:val="none"/>
        </w:rPr>
        <w:t xml:space="preserve"> 5.1 </w:t>
      </w:r>
      <w:r>
        <w:rPr>
          <w:rFonts w:hint="eastAsia" w:ascii="宋体" w:hAnsi="宋体"/>
          <w:szCs w:val="21"/>
          <w:highlight w:val="none"/>
        </w:rPr>
        <w:t>款规定的时间和地点对通过投标文件第一个信封（商务及技术文件）评审的投标文件第二个信封（报价文件）进行开标。</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w:t>
      </w:r>
      <w:r>
        <w:rPr>
          <w:rFonts w:hint="eastAsia" w:ascii="宋体" w:hAnsi="宋体"/>
          <w:b/>
          <w:kern w:val="44"/>
          <w:sz w:val="24"/>
          <w:highlight w:val="none"/>
          <w:lang w:val="en-US" w:eastAsia="zh-CN"/>
        </w:rPr>
        <w:t>4</w:t>
      </w:r>
      <w:r>
        <w:rPr>
          <w:rFonts w:hint="eastAsia" w:ascii="宋体" w:hAnsi="宋体"/>
          <w:b/>
          <w:kern w:val="44"/>
          <w:sz w:val="24"/>
          <w:highlight w:val="none"/>
        </w:rPr>
        <w:t>第二个信封初步评审</w:t>
      </w:r>
    </w:p>
    <w:p>
      <w:pPr>
        <w:overflowPunct w:val="0"/>
        <w:spacing w:line="360" w:lineRule="exact"/>
        <w:ind w:firstLine="525" w:firstLineChars="25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.1 评标委员会依据本章第</w:t>
      </w:r>
      <w:r>
        <w:rPr>
          <w:rFonts w:ascii="宋体" w:hAnsi="宋体"/>
          <w:szCs w:val="21"/>
          <w:highlight w:val="none"/>
        </w:rPr>
        <w:t xml:space="preserve"> 2.1.1 </w:t>
      </w:r>
      <w:r>
        <w:rPr>
          <w:rFonts w:hint="eastAsia" w:ascii="宋体" w:hAnsi="宋体"/>
          <w:szCs w:val="21"/>
          <w:highlight w:val="none"/>
        </w:rPr>
        <w:t>项、第</w:t>
      </w:r>
      <w:r>
        <w:rPr>
          <w:rFonts w:ascii="宋体" w:hAnsi="宋体"/>
          <w:szCs w:val="21"/>
          <w:highlight w:val="none"/>
        </w:rPr>
        <w:t xml:space="preserve"> 2.1.3 </w:t>
      </w:r>
      <w:r>
        <w:rPr>
          <w:rFonts w:hint="eastAsia" w:ascii="宋体" w:hAnsi="宋体"/>
          <w:szCs w:val="21"/>
          <w:highlight w:val="none"/>
        </w:rPr>
        <w:t>项规定的评审标准对投标文件第二个信封（报价文件）进行初步评审。有一项不符合评审标准的，评标委员会应否决其投标。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.2 投标报价有算术错误的，评标委员会按以下原则对投标报价进行修正，修正的价格经投标人书面确认后具有约束力。投标人不接受修正价格的，评标委员会应否决其投标。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）投标文件中的大写金额与小写金额不一致的，以大写金额为准；</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）总价金额与依据单价计算出的结果不一致的，以单价金额为准修正总价，但单价金额小数点有明显错误的除外；</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）当单价与数量相乘不等于合价时，以单价计算为准，如果单价有明显的小数点位置差错，应以标出的合价为准，同时对单价予以修正；</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）当各子目的合价累计不等于总价时，应以各子目合价累计数为准，修正总价。</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.3 工程量清单中的投标报价有其他错误的，评标委员会按以下原则对投标报价进行修正，修正的价格经投标人书面确认后具有约束力。投标人不接受修正价格的，评标委员会应否决其投标。</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）当单价与数量的乘积与合价（金额）虽然一致，但投标人修改了该子目的工程数量，则其合价按招标人给定的工程数量乘以投标人所报单价予以修正。</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.4 修正后的最终投标报价若超过最高投标限价（如有），评标委员会应否决其投标。</w:t>
      </w:r>
    </w:p>
    <w:p>
      <w:pPr>
        <w:overflowPunct w:val="0"/>
        <w:spacing w:line="36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4</w:t>
      </w:r>
      <w:r>
        <w:rPr>
          <w:rFonts w:hint="eastAsia" w:ascii="宋体" w:hAnsi="宋体"/>
          <w:szCs w:val="21"/>
          <w:highlight w:val="none"/>
        </w:rPr>
        <w:t>.5 修正后的最终投标报价仅作为签订合同的一个依据，不参与评标价得分的计算。</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w:t>
      </w:r>
      <w:r>
        <w:rPr>
          <w:rFonts w:hint="eastAsia" w:ascii="宋体" w:hAnsi="宋体"/>
          <w:b/>
          <w:kern w:val="44"/>
          <w:sz w:val="24"/>
          <w:highlight w:val="none"/>
          <w:lang w:val="en-US" w:eastAsia="zh-CN"/>
        </w:rPr>
        <w:t>5</w:t>
      </w:r>
      <w:r>
        <w:rPr>
          <w:rFonts w:hint="eastAsia" w:ascii="宋体" w:hAnsi="宋体"/>
          <w:b/>
          <w:kern w:val="44"/>
          <w:sz w:val="24"/>
          <w:highlight w:val="none"/>
        </w:rPr>
        <w:t xml:space="preserve"> 第二个信封详细评审</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3.5.1 评标委员会按本章第</w:t>
      </w:r>
      <w:r>
        <w:rPr>
          <w:rFonts w:ascii="宋体" w:hAnsi="宋体"/>
          <w:color w:val="auto"/>
          <w:szCs w:val="21"/>
          <w:highlight w:val="none"/>
        </w:rPr>
        <w:t xml:space="preserve"> 2.2.4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）目规定的评审因素和分值对评标价计算出得分</w:t>
      </w:r>
      <w:r>
        <w:rPr>
          <w:rFonts w:ascii="宋体" w:hAnsi="宋体"/>
          <w:color w:val="auto"/>
          <w:szCs w:val="21"/>
          <w:highlight w:val="none"/>
        </w:rPr>
        <w:t xml:space="preserve"> C</w:t>
      </w:r>
      <w:r>
        <w:rPr>
          <w:rFonts w:hint="eastAsia" w:ascii="宋体" w:hAnsi="宋体"/>
          <w:color w:val="auto"/>
          <w:szCs w:val="21"/>
          <w:highlight w:val="none"/>
        </w:rPr>
        <w:t>。评标价得分分值计算保留小数点后两位，小数点后第三位“四舍五入”。</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3.5.2 投标人综合得分</w:t>
      </w:r>
      <w:r>
        <w:rPr>
          <w:rFonts w:ascii="宋体" w:hAnsi="宋体"/>
          <w:color w:val="auto"/>
          <w:szCs w:val="21"/>
          <w:highlight w:val="none"/>
        </w:rPr>
        <w:t>=</w:t>
      </w:r>
      <w:r>
        <w:rPr>
          <w:rFonts w:hint="eastAsia" w:ascii="宋体" w:hAnsi="宋体"/>
          <w:color w:val="auto"/>
          <w:szCs w:val="21"/>
          <w:highlight w:val="none"/>
        </w:rPr>
        <w:t>投标人的商务和技术得分</w:t>
      </w:r>
      <w:r>
        <w:rPr>
          <w:rFonts w:ascii="宋体" w:hAnsi="宋体"/>
          <w:color w:val="auto"/>
          <w:szCs w:val="21"/>
          <w:highlight w:val="none"/>
        </w:rPr>
        <w:t>+C</w:t>
      </w:r>
      <w:r>
        <w:rPr>
          <w:rFonts w:hint="eastAsia" w:ascii="宋体" w:hAnsi="宋体"/>
          <w:color w:val="auto"/>
          <w:szCs w:val="21"/>
          <w:highlight w:val="none"/>
        </w:rPr>
        <w:t>。</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w:t>
      </w:r>
      <w:r>
        <w:rPr>
          <w:rFonts w:hint="eastAsia" w:ascii="宋体" w:hAnsi="宋体"/>
          <w:b/>
          <w:kern w:val="44"/>
          <w:sz w:val="24"/>
          <w:highlight w:val="none"/>
          <w:lang w:val="en-US" w:eastAsia="zh-CN"/>
        </w:rPr>
        <w:t>6</w:t>
      </w:r>
      <w:r>
        <w:rPr>
          <w:rFonts w:hint="eastAsia" w:ascii="宋体" w:hAnsi="宋体"/>
          <w:b/>
          <w:kern w:val="44"/>
          <w:sz w:val="24"/>
          <w:highlight w:val="none"/>
        </w:rPr>
        <w:t>投标文件相关信息的核查</w:t>
      </w:r>
    </w:p>
    <w:p>
      <w:pPr>
        <w:overflowPunct w:val="0"/>
        <w:spacing w:line="340" w:lineRule="exact"/>
        <w:ind w:firstLine="420" w:firstLineChars="200"/>
        <w:rPr>
          <w:rFonts w:ascii="宋体" w:hAnsi="宋体"/>
          <w:color w:val="auto"/>
          <w:szCs w:val="21"/>
          <w:highlight w:val="none"/>
        </w:rPr>
      </w:pPr>
      <w:bookmarkStart w:id="7" w:name="_bookmark105"/>
      <w:bookmarkEnd w:id="7"/>
      <w:r>
        <w:rPr>
          <w:rFonts w:hint="eastAsia" w:ascii="宋体" w:hAnsi="宋体"/>
          <w:color w:val="auto"/>
          <w:szCs w:val="21"/>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）有下列情形之一的，属于投标人相互串通投标：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投标人之间协商投标报价等投标文件的实质性内容；</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投标人之间约定中标人；</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投标人之间约定部分投标人放弃投标或中标；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属于同一集团、协会、商会等组织成员的投标人按照该组织要求协同投标；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投标人之间为谋取中标或排斥特定投标人而采取的其他联合行动。</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）有下列情形之一的，视为投标人相互串通投标：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不同投标人的投标文件由同一单位或个人编制；</w:t>
      </w:r>
    </w:p>
    <w:p>
      <w:pPr>
        <w:overflowPunct w:val="0"/>
        <w:spacing w:line="340" w:lineRule="exact"/>
        <w:ind w:firstLine="420" w:firstLineChars="200"/>
        <w:rPr>
          <w:rFonts w:hint="eastAsia"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不同投标人委托同一单位或个人办理投标事宜；</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不同投标人的投标文件载明的项目管理成员为同一人；</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不同投标人的投标文件异常一致或投标报价呈规律性差异；</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不同投标人的投标文件相互混装；</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不同投标人的投标保证金从同一单位或个人的账户转出。</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）有下列情形之一的，属于招标人与投标人串通投标：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招标人在开标前开启投标文件并将有关信息泄露给其他投标人</w:t>
      </w:r>
      <w:r>
        <w:rPr>
          <w:rFonts w:ascii="宋体" w:hAnsi="宋体"/>
          <w:color w:val="auto"/>
          <w:szCs w:val="21"/>
          <w:highlight w:val="none"/>
        </w:rPr>
        <w:t>;</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招标人直接或间接向投标人泄露标底、评标委员会成员等信息；</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招标人明示或暗示投标人压低或抬高投标报价；</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招标人授意投标人撤换、修改投标文件；</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招标人明示或暗示投标人为特定投标人中标提供方便；</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招标人与投标人为谋求特定投标人中标而采取的其他串通行为。</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）投标人有下列情形之一的，属于弄虚作假的行为：</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使用通过受让或租借等方式获取的资格、资质证书投标；</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使用伪造、变造的许可证件；</w:t>
      </w:r>
    </w:p>
    <w:p>
      <w:pPr>
        <w:overflowPunct w:val="0"/>
        <w:spacing w:line="340" w:lineRule="exact"/>
        <w:ind w:firstLine="420" w:firstLineChars="200"/>
        <w:rPr>
          <w:rFonts w:ascii="宋体" w:hAnsi="宋体"/>
          <w:color w:val="auto"/>
          <w:szCs w:val="21"/>
          <w:highlight w:val="none"/>
        </w:rPr>
      </w:pPr>
      <w:bookmarkStart w:id="10" w:name="_GoBack"/>
      <w:r>
        <w:rPr>
          <w:rFonts w:ascii="宋体" w:hAnsi="宋体"/>
          <w:color w:val="auto"/>
          <w:szCs w:val="21"/>
          <w:highlight w:val="none"/>
        </w:rPr>
        <w:t>c.</w:t>
      </w:r>
      <w:r>
        <w:rPr>
          <w:rFonts w:hint="eastAsia" w:ascii="宋体" w:hAnsi="宋体"/>
          <w:color w:val="auto"/>
          <w:szCs w:val="21"/>
          <w:highlight w:val="none"/>
        </w:rPr>
        <w:t>提供虚假的财务状况或业绩；</w:t>
      </w:r>
    </w:p>
    <w:bookmarkEnd w:id="10"/>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d.</w:t>
      </w:r>
      <w:r>
        <w:rPr>
          <w:rFonts w:hint="eastAsia" w:ascii="宋体" w:hAnsi="宋体"/>
          <w:color w:val="auto"/>
          <w:szCs w:val="21"/>
          <w:highlight w:val="none"/>
        </w:rPr>
        <w:t>提供虚假的项目负责人或主要技术人员简历、劳动关系证明；</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e.</w:t>
      </w:r>
      <w:r>
        <w:rPr>
          <w:rFonts w:hint="eastAsia" w:ascii="宋体" w:hAnsi="宋体"/>
          <w:color w:val="auto"/>
          <w:szCs w:val="21"/>
          <w:highlight w:val="none"/>
        </w:rPr>
        <w:t>提供虚假的信用状况；</w:t>
      </w:r>
    </w:p>
    <w:p>
      <w:pPr>
        <w:overflowPunct w:val="0"/>
        <w:spacing w:line="340" w:lineRule="exact"/>
        <w:ind w:firstLine="420" w:firstLineChars="200"/>
        <w:rPr>
          <w:rFonts w:ascii="宋体" w:hAnsi="宋体"/>
          <w:color w:val="auto"/>
          <w:szCs w:val="21"/>
          <w:highlight w:val="none"/>
        </w:rPr>
      </w:pPr>
      <w:r>
        <w:rPr>
          <w:rFonts w:ascii="宋体" w:hAnsi="宋体"/>
          <w:color w:val="auto"/>
          <w:szCs w:val="21"/>
          <w:highlight w:val="none"/>
        </w:rPr>
        <w:t>f.</w:t>
      </w:r>
      <w:r>
        <w:rPr>
          <w:rFonts w:hint="eastAsia" w:ascii="宋体" w:hAnsi="宋体"/>
          <w:color w:val="auto"/>
          <w:szCs w:val="21"/>
          <w:highlight w:val="none"/>
        </w:rPr>
        <w:t>其他弄虚作假的行为。</w:t>
      </w:r>
    </w:p>
    <w:p>
      <w:pPr>
        <w:spacing w:before="300" w:after="300" w:line="360" w:lineRule="exact"/>
        <w:outlineLvl w:val="0"/>
        <w:rPr>
          <w:rFonts w:ascii="宋体" w:hAnsi="宋体"/>
          <w:b/>
          <w:kern w:val="44"/>
          <w:sz w:val="24"/>
          <w:highlight w:val="none"/>
        </w:rPr>
      </w:pPr>
      <w:r>
        <w:rPr>
          <w:rFonts w:hint="eastAsia" w:ascii="宋体" w:hAnsi="宋体"/>
          <w:b/>
          <w:kern w:val="44"/>
          <w:sz w:val="24"/>
          <w:highlight w:val="none"/>
        </w:rPr>
        <w:t>3.</w:t>
      </w:r>
      <w:r>
        <w:rPr>
          <w:rFonts w:hint="eastAsia" w:ascii="宋体" w:hAnsi="宋体"/>
          <w:b/>
          <w:kern w:val="44"/>
          <w:sz w:val="24"/>
          <w:highlight w:val="none"/>
          <w:lang w:val="en-US" w:eastAsia="zh-CN"/>
        </w:rPr>
        <w:t>7</w:t>
      </w:r>
      <w:r>
        <w:rPr>
          <w:rFonts w:hint="eastAsia" w:ascii="宋体" w:hAnsi="宋体"/>
          <w:b/>
          <w:kern w:val="44"/>
          <w:sz w:val="24"/>
          <w:highlight w:val="none"/>
        </w:rPr>
        <w:t xml:space="preserve"> 投标文件的澄清和说明</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3.7.2 澄清和说明不得超出投标文件的范围或改变投标文件的实质性内容（算术性错误的修正除外）。投标人的书面澄清、说明属于投标文件的组成部分。</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3.7.3 评标委员会不得暗示或诱导投标人作出澄清、说明，对投标人提交的澄清、说明有疑问的，可以要求投标人进一步澄清或说明，直至满足评标委员会的要求。</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3.7.4 凡超出招标文件规定的或给发包人带来未曾要求的利益的变化、偏差或其他因素在评标时不予考虑。</w:t>
      </w:r>
    </w:p>
    <w:p>
      <w:pPr>
        <w:overflowPunct w:val="0"/>
        <w:spacing w:line="360" w:lineRule="exact"/>
        <w:ind w:firstLine="420" w:firstLineChars="200"/>
        <w:rPr>
          <w:rFonts w:ascii="宋体" w:hAnsi="宋体"/>
          <w:szCs w:val="21"/>
          <w:highlight w:val="none"/>
        </w:rPr>
      </w:pPr>
    </w:p>
    <w:p>
      <w:pPr>
        <w:spacing w:before="300" w:after="300" w:line="360" w:lineRule="exact"/>
        <w:outlineLvl w:val="0"/>
        <w:rPr>
          <w:rFonts w:ascii="宋体" w:hAnsi="宋体"/>
          <w:b/>
          <w:kern w:val="44"/>
          <w:sz w:val="24"/>
          <w:highlight w:val="none"/>
        </w:rPr>
      </w:pPr>
      <w:bookmarkStart w:id="8" w:name="_bookmark106"/>
      <w:bookmarkEnd w:id="8"/>
      <w:r>
        <w:rPr>
          <w:rFonts w:hint="eastAsia" w:ascii="宋体" w:hAnsi="宋体"/>
          <w:b/>
          <w:kern w:val="44"/>
          <w:sz w:val="24"/>
          <w:highlight w:val="none"/>
        </w:rPr>
        <w:t>3.</w:t>
      </w:r>
      <w:r>
        <w:rPr>
          <w:rFonts w:hint="eastAsia" w:ascii="宋体" w:hAnsi="宋体"/>
          <w:b/>
          <w:kern w:val="44"/>
          <w:sz w:val="24"/>
          <w:highlight w:val="none"/>
          <w:lang w:val="en-US" w:eastAsia="zh-CN"/>
        </w:rPr>
        <w:t>8</w:t>
      </w:r>
      <w:r>
        <w:rPr>
          <w:rFonts w:hint="eastAsia" w:ascii="宋体" w:hAnsi="宋体"/>
          <w:b/>
          <w:kern w:val="44"/>
          <w:sz w:val="24"/>
          <w:highlight w:val="none"/>
        </w:rPr>
        <w:t xml:space="preserve"> 不得否决投标的情形</w:t>
      </w:r>
    </w:p>
    <w:p>
      <w:pPr>
        <w:overflowPunct w:val="0"/>
        <w:spacing w:line="360" w:lineRule="exact"/>
        <w:ind w:firstLine="420" w:firstLineChars="200"/>
        <w:rPr>
          <w:rFonts w:ascii="宋体" w:hAnsi="宋体"/>
          <w:szCs w:val="21"/>
          <w:highlight w:val="none"/>
        </w:rPr>
      </w:pPr>
      <w:r>
        <w:rPr>
          <w:rFonts w:hint="eastAsia" w:ascii="宋体" w:hAnsi="宋体"/>
          <w:szCs w:val="21"/>
          <w:highlight w:val="none"/>
        </w:rPr>
        <w:t>投标文件存在第二章“投标人须知”第</w:t>
      </w:r>
      <w:r>
        <w:rPr>
          <w:rFonts w:ascii="宋体" w:hAnsi="宋体"/>
          <w:szCs w:val="21"/>
          <w:highlight w:val="none"/>
        </w:rPr>
        <w:t xml:space="preserve"> 1.12.3 </w:t>
      </w:r>
      <w:r>
        <w:rPr>
          <w:rFonts w:hint="eastAsia" w:ascii="宋体" w:hAnsi="宋体"/>
          <w:szCs w:val="21"/>
          <w:highlight w:val="none"/>
        </w:rPr>
        <w:t>项所列情形的，均视为细微偏差，评标委员会不得否决投标人的投标，应按照第二章“投标人须知”第</w:t>
      </w:r>
      <w:r>
        <w:rPr>
          <w:rFonts w:ascii="宋体" w:hAnsi="宋体"/>
          <w:szCs w:val="21"/>
          <w:highlight w:val="none"/>
        </w:rPr>
        <w:t xml:space="preserve"> 1.12.4  </w:t>
      </w:r>
      <w:r>
        <w:rPr>
          <w:rFonts w:hint="eastAsia" w:ascii="宋体" w:hAnsi="宋体"/>
          <w:szCs w:val="21"/>
          <w:highlight w:val="none"/>
        </w:rPr>
        <w:t>项规定的原则处理。</w:t>
      </w:r>
    </w:p>
    <w:p>
      <w:pPr>
        <w:spacing w:before="300" w:after="300" w:line="340" w:lineRule="exact"/>
        <w:outlineLvl w:val="0"/>
        <w:rPr>
          <w:rFonts w:ascii="宋体" w:hAnsi="宋体"/>
          <w:b/>
          <w:color w:val="auto"/>
          <w:kern w:val="44"/>
          <w:sz w:val="24"/>
          <w:highlight w:val="none"/>
        </w:rPr>
      </w:pPr>
      <w:bookmarkStart w:id="9" w:name="_bookmark107"/>
      <w:bookmarkEnd w:id="9"/>
      <w:r>
        <w:rPr>
          <w:rFonts w:hint="eastAsia" w:ascii="宋体" w:hAnsi="宋体"/>
          <w:b/>
          <w:color w:val="auto"/>
          <w:kern w:val="44"/>
          <w:sz w:val="24"/>
          <w:highlight w:val="none"/>
        </w:rPr>
        <w:t>3.9 评标结果</w:t>
      </w:r>
    </w:p>
    <w:p>
      <w:pPr>
        <w:overflowPunct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3.9.1 除第二章“投标人须知”前附表授权直接确定中标人外，评标委员会按照得分由高到低的顺序推荐中标候选人，并标明排序。</w:t>
      </w:r>
    </w:p>
    <w:p>
      <w:pPr>
        <w:spacing w:line="440" w:lineRule="exact"/>
        <w:ind w:firstLine="390"/>
        <w:jc w:val="both"/>
        <w:rPr>
          <w:rFonts w:hint="eastAsia" w:ascii="宋体" w:hAnsi="宋体"/>
          <w:color w:val="000000"/>
          <w:szCs w:val="21"/>
          <w:highlight w:val="none"/>
        </w:rPr>
      </w:pPr>
      <w:r>
        <w:rPr>
          <w:rFonts w:hint="eastAsia" w:ascii="宋体" w:hAnsi="宋体"/>
          <w:color w:val="auto"/>
          <w:szCs w:val="21"/>
          <w:highlight w:val="none"/>
        </w:rPr>
        <w:t>3.9.2 评标委员会完成评标后，应向招标人提交书面评标报告。</w:t>
      </w:r>
    </w:p>
    <w:p>
      <w:pPr>
        <w:pStyle w:val="2"/>
        <w:rPr>
          <w:rFonts w:hint="eastAsia" w:eastAsia="黑体"/>
          <w:color w:val="000000"/>
          <w:sz w:val="30"/>
          <w:szCs w:val="30"/>
          <w:highlight w:val="none"/>
          <w:lang w:val="en-US" w:eastAsia="zh-CN"/>
        </w:rPr>
      </w:pPr>
    </w:p>
    <w:p>
      <w:pPr>
        <w:pStyle w:val="2"/>
        <w:ind w:left="0" w:leftChars="0" w:firstLine="0" w:firstLineChars="0"/>
        <w:rPr>
          <w:rFonts w:ascii="宋体" w:hAnsi="宋体"/>
          <w:color w:val="000000"/>
          <w:sz w:val="29"/>
          <w:szCs w:val="29"/>
          <w:highlight w:val="none"/>
        </w:rPr>
      </w:pPr>
    </w:p>
    <w:p>
      <w:pPr>
        <w:pStyle w:val="2"/>
        <w:rPr>
          <w:rFonts w:ascii="宋体" w:hAnsi="宋体"/>
          <w:color w:val="000000"/>
          <w:sz w:val="29"/>
          <w:szCs w:val="29"/>
          <w:highlight w:val="none"/>
        </w:rPr>
      </w:pPr>
    </w:p>
    <w:p/>
    <w:sectPr>
      <w:pgSz w:w="11906" w:h="16838"/>
      <w:pgMar w:top="873" w:right="1800" w:bottom="87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Noto Sans Mono CJK JP Regular">
    <w:altName w:val="Arial"/>
    <w:panose1 w:val="00000000000000000000"/>
    <w:charset w:val="00"/>
    <w:family w:val="swiss"/>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Comic Sans MS">
    <w:panose1 w:val="030F0702030302020204"/>
    <w:charset w:val="00"/>
    <w:family w:val="script"/>
    <w:pitch w:val="default"/>
    <w:sig w:usb0="00000287" w:usb1="00000013"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Noto Sans CJK JP Regular">
    <w:altName w:val="Arial"/>
    <w:panose1 w:val="00000000000000000000"/>
    <w:charset w:val="00"/>
    <w:family w:val="swiss"/>
    <w:pitch w:val="default"/>
    <w:sig w:usb0="00000000" w:usb1="00000000" w:usb2="00000000" w:usb3="00000000" w:csb0="00000001" w:csb1="00000000"/>
  </w:font>
  <w:font w:name="方正书宋简体">
    <w:altName w:val="宋体"/>
    <w:panose1 w:val="03000509000000000000"/>
    <w:charset w:val="86"/>
    <w:family w:val="script"/>
    <w:pitch w:val="default"/>
    <w:sig w:usb0="00000000" w:usb1="00000000" w:usb2="00000010" w:usb3="00000000" w:csb0="00040000" w:csb1="00000000"/>
  </w:font>
  <w:font w:name="创艺简老宋">
    <w:altName w:val="宋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font-weight : 700">
    <w:altName w:val="Times New Roman"/>
    <w:panose1 w:val="00000000000000000000"/>
    <w:charset w:val="00"/>
    <w:family w:val="auto"/>
    <w:pitch w:val="default"/>
    <w:sig w:usb0="00000000" w:usb1="00000000" w:usb2="00000000" w:usb3="00000000" w:csb0="00040001" w:csb1="00000000"/>
  </w:font>
  <w:font w:name="font-weight : 400">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imSun-Identity-H">
    <w:altName w:val="MS Gothic"/>
    <w:panose1 w:val="00000000000000000000"/>
    <w:charset w:val="80"/>
    <w:family w:val="auto"/>
    <w:pitch w:val="default"/>
    <w:sig w:usb0="00000000" w:usb1="00000000" w:usb2="00000010" w:usb3="00000000" w:csb0="00020000" w:csb1="00000000"/>
  </w:font>
  <w:font w:name="Calibri-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黑体">
    <w:panose1 w:val="02010609060101010101"/>
    <w:charset w:val="7A"/>
    <w:family w:val="auto"/>
    <w:pitch w:val="default"/>
    <w:sig w:usb0="800002BF" w:usb1="38CF7CFA" w:usb2="00000016" w:usb3="00000000" w:csb0="00040001" w:csb1="00000000"/>
  </w:font>
  <w:font w:name="华文细黑">
    <w:panose1 w:val="02010600040101010101"/>
    <w:charset w:val="7A"/>
    <w:family w:val="auto"/>
    <w:pitch w:val="default"/>
    <w:sig w:usb0="00000287" w:usb1="080F0000" w:usb2="00000000" w:usb3="00000000" w:csb0="0004009F" w:csb1="DFD70000"/>
  </w:font>
  <w:font w:name="MingLiU">
    <w:altName w:val="PMingLiU-ExtB"/>
    <w:panose1 w:val="02020509000000000000"/>
    <w:charset w:val="78"/>
    <w:family w:val="modern"/>
    <w:pitch w:val="default"/>
    <w:sig w:usb0="00000000" w:usb1="00000000" w:usb2="00000016" w:usb3="00000000" w:csb0="00100001" w:csb1="00000000"/>
  </w:font>
  <w:font w:name="楷体">
    <w:panose1 w:val="02010609060101010101"/>
    <w:charset w:val="7A"/>
    <w:family w:val="roman"/>
    <w:pitch w:val="default"/>
    <w:sig w:usb0="800002BF" w:usb1="38CF7CFA" w:usb2="00000016" w:usb3="00000000" w:csb0="00040001" w:csb1="00000000"/>
  </w:font>
  <w:font w:name="MingLiU_HKSCS">
    <w:altName w:val="PMingLiU-ExtB"/>
    <w:panose1 w:val="00000000000000000000"/>
    <w:charset w:val="78"/>
    <w:family w:val="roman"/>
    <w:pitch w:val="default"/>
    <w:sig w:usb0="00000000" w:usb1="00000000" w:usb2="00000016" w:usb3="00000000" w:csb0="00100001" w:csb1="00000000"/>
  </w:font>
  <w:font w:name="仿宋">
    <w:panose1 w:val="02010609060101010101"/>
    <w:charset w:val="7A"/>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NewCenturySchlbk">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2DA67B"/>
    <w:multiLevelType w:val="singleLevel"/>
    <w:tmpl w:val="F72DA67B"/>
    <w:lvl w:ilvl="0" w:tentative="0">
      <w:start w:val="1"/>
      <w:numFmt w:val="decimal"/>
      <w:suff w:val="nothing"/>
      <w:lvlText w:val="（%1）"/>
      <w:lvlJc w:val="left"/>
    </w:lvl>
  </w:abstractNum>
  <w:abstractNum w:abstractNumId="1">
    <w:nsid w:val="007406A0"/>
    <w:multiLevelType w:val="multilevel"/>
    <w:tmpl w:val="007406A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631FFE08"/>
    <w:multiLevelType w:val="singleLevel"/>
    <w:tmpl w:val="631FFE08"/>
    <w:lvl w:ilvl="0" w:tentative="0">
      <w:start w:val="3"/>
      <w:numFmt w:val="chineseCounting"/>
      <w:suff w:val="nothing"/>
      <w:lvlText w:val="%1、"/>
      <w:lvlJc w:val="left"/>
    </w:lvl>
  </w:abstractNum>
  <w:abstractNum w:abstractNumId="3">
    <w:nsid w:val="631FFE7D"/>
    <w:multiLevelType w:val="singleLevel"/>
    <w:tmpl w:val="631FFE7D"/>
    <w:lvl w:ilvl="0" w:tentative="0">
      <w:start w:val="1"/>
      <w:numFmt w:val="decimal"/>
      <w:suff w:val="nothing"/>
      <w:lvlText w:val="%1．"/>
      <w:lvlJc w:val="left"/>
    </w:lvl>
  </w:abstractNum>
  <w:abstractNum w:abstractNumId="4">
    <w:nsid w:val="635B71B1"/>
    <w:multiLevelType w:val="singleLevel"/>
    <w:tmpl w:val="635B71B1"/>
    <w:lvl w:ilvl="0" w:tentative="0">
      <w:start w:val="2"/>
      <w:numFmt w:val="decimal"/>
      <w:suff w:val="space"/>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843B5"/>
    <w:rsid w:val="2A9843B5"/>
    <w:rsid w:val="6BC25A9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4">
    <w:name w:val="Body Text 3"/>
    <w:basedOn w:val="1"/>
    <w:uiPriority w:val="0"/>
    <w:rPr>
      <w:rFonts w:ascii="宋体"/>
      <w:sz w:val="24"/>
      <w:szCs w:val="20"/>
    </w:rPr>
  </w:style>
  <w:style w:type="paragraph" w:styleId="5">
    <w:name w:val="Plain Text"/>
    <w:basedOn w:val="1"/>
    <w:uiPriority w:val="0"/>
    <w:rPr>
      <w:rFonts w:ascii="宋体" w:hAnsi="Courier New"/>
      <w:szCs w:val="20"/>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footnote text"/>
    <w:basedOn w:val="1"/>
    <w:uiPriority w:val="0"/>
    <w:pPr>
      <w:adjustRightInd w:val="0"/>
      <w:snapToGrid w:val="0"/>
      <w:spacing w:line="420" w:lineRule="atLeast"/>
      <w:ind w:firstLine="454"/>
      <w:jc w:val="left"/>
      <w:textAlignment w:val="baseline"/>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oleObject" Target="embeddings/oleObject11.bin"/><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2023-01-09T09:27:00Z</dcterms:created>
  <dc:creator>张文高</dc:creator>
  <cp:lastModifiedBy>张文高</cp:lastModifiedBy>
  <dcterms:modified xsi:type="dcterms:W3CDTF">2023-01-09T15:14:32Z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