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F6EC">
      <w:pPr>
        <w:pStyle w:val="17"/>
        <w:spacing w:before="120" w:after="120" w:line="360" w:lineRule="auto"/>
        <w:jc w:val="both"/>
        <w:rPr>
          <w:rFonts w:hint="eastAsia" w:ascii="宋体" w:hAnsi="宋体" w:eastAsia="宋体" w:cs="宋体"/>
          <w:color w:val="auto"/>
          <w:kern w:val="44"/>
          <w:sz w:val="32"/>
          <w:szCs w:val="32"/>
          <w:highlight w:val="none"/>
        </w:rPr>
      </w:pPr>
      <w:bookmarkStart w:id="0" w:name="_Toc21362"/>
      <w:bookmarkStart w:id="1" w:name="_Toc21300"/>
      <w:bookmarkStart w:id="2" w:name="_Toc23246"/>
      <w:bookmarkStart w:id="3" w:name="_Toc468402710"/>
      <w:bookmarkStart w:id="4" w:name="_Toc28337"/>
    </w:p>
    <w:p w14:paraId="49F892E0">
      <w:pPr>
        <w:pStyle w:val="15"/>
        <w:ind w:firstLine="496"/>
        <w:rPr>
          <w:rFonts w:hint="eastAsia" w:ascii="宋体" w:hAnsi="宋体" w:cs="宋体"/>
          <w:color w:val="auto"/>
          <w:highlight w:val="none"/>
        </w:rPr>
      </w:pPr>
    </w:p>
    <w:p w14:paraId="60277EBA">
      <w:pPr>
        <w:pStyle w:val="17"/>
        <w:spacing w:before="120" w:after="120" w:line="360" w:lineRule="auto"/>
        <w:rPr>
          <w:rFonts w:hint="eastAsia" w:ascii="宋体" w:hAnsi="宋体" w:eastAsia="宋体" w:cs="宋体"/>
          <w:color w:val="auto"/>
          <w:kern w:val="44"/>
          <w:sz w:val="72"/>
          <w:szCs w:val="72"/>
          <w:highlight w:val="none"/>
        </w:rPr>
      </w:pPr>
      <w:r>
        <w:rPr>
          <w:rFonts w:hint="eastAsia" w:ascii="宋体" w:hAnsi="宋体" w:eastAsia="宋体" w:cs="宋体"/>
          <w:color w:val="auto"/>
          <w:kern w:val="44"/>
          <w:sz w:val="72"/>
          <w:szCs w:val="72"/>
          <w:highlight w:val="none"/>
        </w:rPr>
        <w:t>《工程量清单计价说明》</w:t>
      </w:r>
    </w:p>
    <w:p w14:paraId="6635A03A">
      <w:pPr>
        <w:pStyle w:val="17"/>
        <w:spacing w:before="120" w:after="120" w:line="360" w:lineRule="auto"/>
        <w:rPr>
          <w:rFonts w:hint="eastAsia" w:ascii="宋体" w:hAnsi="宋体" w:eastAsia="宋体" w:cs="宋体"/>
          <w:color w:val="auto"/>
          <w:kern w:val="44"/>
          <w:highlight w:val="none"/>
        </w:rPr>
      </w:pPr>
      <w:r>
        <w:rPr>
          <w:rFonts w:hint="eastAsia" w:ascii="宋体" w:hAnsi="宋体" w:eastAsia="宋体" w:cs="宋体"/>
          <w:color w:val="auto"/>
          <w:kern w:val="44"/>
          <w:highlight w:val="none"/>
        </w:rPr>
        <w:t>第一部分工程量清单计价</w:t>
      </w:r>
      <w:bookmarkEnd w:id="0"/>
      <w:bookmarkEnd w:id="1"/>
      <w:bookmarkEnd w:id="2"/>
      <w:bookmarkEnd w:id="3"/>
      <w:bookmarkEnd w:id="4"/>
      <w:r>
        <w:rPr>
          <w:rFonts w:hint="eastAsia" w:ascii="宋体" w:hAnsi="宋体" w:eastAsia="宋体" w:cs="宋体"/>
          <w:color w:val="auto"/>
          <w:kern w:val="44"/>
          <w:highlight w:val="none"/>
        </w:rPr>
        <w:t>须知</w:t>
      </w:r>
    </w:p>
    <w:p w14:paraId="3250B82C">
      <w:pPr>
        <w:pStyle w:val="16"/>
        <w:spacing w:before="120" w:after="120" w:line="360" w:lineRule="auto"/>
        <w:jc w:val="center"/>
        <w:outlineLvl w:val="0"/>
        <w:rPr>
          <w:rFonts w:hint="eastAsia" w:ascii="宋体" w:eastAsia="宋体" w:cs="宋体"/>
          <w:color w:val="auto"/>
          <w:highlight w:val="none"/>
        </w:rPr>
      </w:pPr>
      <w:bookmarkStart w:id="5" w:name="_Toc194486378"/>
      <w:bookmarkStart w:id="6" w:name="_Toc18871"/>
      <w:bookmarkStart w:id="7" w:name="_Toc468402711"/>
      <w:bookmarkStart w:id="8" w:name="_Toc1507"/>
      <w:bookmarkStart w:id="9" w:name="_Toc3244"/>
      <w:bookmarkStart w:id="10" w:name="_Toc20308"/>
      <w:r>
        <w:rPr>
          <w:rFonts w:hint="eastAsia" w:ascii="宋体" w:eastAsia="宋体" w:cs="宋体"/>
          <w:color w:val="auto"/>
          <w:highlight w:val="none"/>
        </w:rPr>
        <w:t>第一节工程量清单计价</w:t>
      </w:r>
      <w:bookmarkEnd w:id="5"/>
      <w:bookmarkEnd w:id="6"/>
      <w:bookmarkEnd w:id="7"/>
      <w:bookmarkEnd w:id="8"/>
      <w:bookmarkEnd w:id="9"/>
      <w:bookmarkEnd w:id="10"/>
      <w:r>
        <w:rPr>
          <w:rFonts w:hint="eastAsia" w:ascii="宋体" w:eastAsia="宋体" w:cs="宋体"/>
          <w:color w:val="auto"/>
          <w:highlight w:val="none"/>
        </w:rPr>
        <w:t>规定</w:t>
      </w:r>
    </w:p>
    <w:p w14:paraId="5DB6476D">
      <w:pPr>
        <w:pStyle w:val="16"/>
        <w:spacing w:before="120" w:after="120" w:line="360" w:lineRule="auto"/>
        <w:ind w:firstLine="498" w:firstLineChars="200"/>
        <w:outlineLvl w:val="0"/>
        <w:rPr>
          <w:rFonts w:hint="eastAsia" w:ascii="宋体" w:eastAsia="宋体" w:cs="宋体"/>
          <w:color w:val="auto"/>
          <w:highlight w:val="none"/>
        </w:rPr>
      </w:pPr>
      <w:bookmarkStart w:id="11" w:name="_Toc8280"/>
      <w:bookmarkStart w:id="12" w:name="_Toc2505"/>
      <w:bookmarkStart w:id="13" w:name="_Toc32251"/>
      <w:bookmarkStart w:id="14" w:name="_Toc194486379"/>
      <w:bookmarkStart w:id="15" w:name="_Toc15606"/>
      <w:bookmarkStart w:id="16" w:name="_Toc468402712"/>
      <w:r>
        <w:rPr>
          <w:rFonts w:hint="eastAsia" w:ascii="宋体" w:eastAsia="宋体" w:cs="宋体"/>
          <w:color w:val="auto"/>
          <w:highlight w:val="none"/>
        </w:rPr>
        <w:t>一、总说明</w:t>
      </w:r>
      <w:bookmarkEnd w:id="11"/>
      <w:bookmarkEnd w:id="12"/>
      <w:bookmarkEnd w:id="13"/>
      <w:bookmarkEnd w:id="14"/>
      <w:bookmarkEnd w:id="15"/>
      <w:bookmarkEnd w:id="16"/>
    </w:p>
    <w:p w14:paraId="34DEF977">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报价清单应结合招标文件、招标图纸、设计答疑及修改图（若招标图纸与设计答疑及修改图不一致，以设计答疑及修改图为准）、《招标范围界面》现场环境及项目实际情况，综合考虑各项风险因素，结合企业自身实力，慎重报价。本工程不允许用总价下浮的报价方式。投标人所提供的电子文件必须能够打开，电子文件的内容必须按招标文件的要求格式填报，不得擅自调整格式及顺序，同时电子文件内容必须与纸质投标文件正本内容一致。</w:t>
      </w:r>
    </w:p>
    <w:p w14:paraId="69150E0A">
      <w:pPr>
        <w:pStyle w:val="15"/>
        <w:ind w:firstLine="496"/>
        <w:rPr>
          <w:rFonts w:hint="eastAsia" w:ascii="宋体" w:hAnsi="宋体" w:cs="宋体"/>
          <w:color w:val="auto"/>
          <w:highlight w:val="none"/>
        </w:rPr>
      </w:pPr>
      <w:r>
        <w:rPr>
          <w:rFonts w:hint="eastAsia" w:ascii="宋体" w:hAnsi="宋体" w:cs="宋体"/>
          <w:color w:val="auto"/>
          <w:highlight w:val="none"/>
        </w:rPr>
        <w:t>1、本项目执行《建设工程工程量清单计价规范（GB50500-2013）》。</w:t>
      </w:r>
    </w:p>
    <w:p w14:paraId="67C87E3B">
      <w:pPr>
        <w:pStyle w:val="15"/>
        <w:spacing w:before="120" w:after="120"/>
        <w:ind w:firstLine="496"/>
        <w:rPr>
          <w:rFonts w:hint="eastAsia" w:ascii="宋体" w:hAnsi="宋体" w:cs="宋体"/>
          <w:color w:val="auto"/>
          <w:highlight w:val="none"/>
        </w:rPr>
      </w:pPr>
      <w:r>
        <w:rPr>
          <w:rFonts w:hint="eastAsia" w:ascii="宋体" w:hAnsi="宋体" w:cs="宋体"/>
          <w:color w:val="auto"/>
          <w:highlight w:val="none"/>
        </w:rPr>
        <w:t>2、凡在“工程量清单计价须知”（以下简称本须知）中已明确的须按本须知执行；在本须知中未明确的则按《关于实施&lt;房屋建筑与装饰工程工程量计算规范&gt;(GB50854-2013)等的若干意见》（粤建造发〔2013〕4号）、《广东省建设工程工程量清单计价指引》（粤建造发〔2013〕6号）的规定执行；其次按《房屋建筑与装饰工程工程量计算规范（GB50854-2013）》、《通用安装工程工程量计算规范（GB50856-2013）》、《市政工程工程量计算规范（GB50857-2013）》、《园林绿化工程工程量计算规范（GB50858-2013）》、《建设工程工程量清单计价规范（GB50500-2013）》等国标规范执行；以上均未明确的则按《广东省房屋建筑与装饰工程综合定额(2018)》、《广东省通用安装工程综合定额(2018)》、《广东省市政工程综合定额(2018)》、《广东省园林绿化工程综合定额（2018）》等专业定额及《广东省住房和城乡建设厅关于调整广东省建设工程计价依据增值税率的通知》（粤建标函【2019】819号）的规定执行。</w:t>
      </w:r>
    </w:p>
    <w:p w14:paraId="119F8D28">
      <w:pPr>
        <w:pStyle w:val="15"/>
        <w:spacing w:before="120" w:after="120"/>
        <w:ind w:firstLine="496"/>
        <w:rPr>
          <w:rFonts w:hint="eastAsia" w:ascii="宋体" w:hAnsi="宋体" w:cs="宋体"/>
          <w:color w:val="auto"/>
          <w:highlight w:val="none"/>
        </w:rPr>
      </w:pPr>
      <w:r>
        <w:rPr>
          <w:rFonts w:hint="eastAsia" w:ascii="宋体" w:hAnsi="宋体" w:cs="宋体"/>
          <w:color w:val="auto"/>
          <w:highlight w:val="none"/>
        </w:rPr>
        <w:t>3、工程总报价由分部分项工程量清单报价、措施项目清单报价（含安全防护、文明施工措施费）、其他项目清单报价、税金（增值税销项税额）五部分组成。报价应充分考虑工程施工管理和施工组织设计涉及的内容，不允许报价与工程施工管理和施工组织严重脱节或工程量清单各项单价存在严重不合理报价。</w:t>
      </w:r>
    </w:p>
    <w:p w14:paraId="30F6E457">
      <w:pPr>
        <w:pStyle w:val="15"/>
        <w:ind w:firstLine="496"/>
        <w:rPr>
          <w:rFonts w:hint="eastAsia" w:ascii="宋体" w:hAnsi="宋体" w:cs="宋体"/>
          <w:color w:val="auto"/>
          <w:highlight w:val="none"/>
        </w:rPr>
      </w:pPr>
      <w:r>
        <w:rPr>
          <w:rFonts w:hint="eastAsia" w:ascii="宋体" w:hAnsi="宋体" w:cs="宋体"/>
          <w:color w:val="auto"/>
          <w:highlight w:val="none"/>
        </w:rPr>
        <w:t>4、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14:paraId="0AA2A8E9">
      <w:pPr>
        <w:pStyle w:val="15"/>
        <w:ind w:firstLine="496"/>
        <w:rPr>
          <w:rFonts w:hint="eastAsia" w:ascii="宋体" w:hAnsi="宋体" w:cs="宋体"/>
          <w:color w:val="auto"/>
          <w:highlight w:val="none"/>
        </w:rPr>
      </w:pPr>
      <w:r>
        <w:rPr>
          <w:rFonts w:hint="eastAsia" w:ascii="宋体" w:hAnsi="宋体" w:cs="宋体"/>
          <w:color w:val="auto"/>
          <w:highlight w:val="none"/>
        </w:rPr>
        <w:t>5、投标人认为招标文件工程量清单没有开列的项目或认为清单及清单工程量描述有误时，投标人应以书面形式提出，经发包人以答疑纪要或澄清文件方式确认后可增列或修正。</w:t>
      </w:r>
    </w:p>
    <w:p w14:paraId="35CD197E">
      <w:pPr>
        <w:pStyle w:val="15"/>
        <w:ind w:firstLine="496"/>
        <w:rPr>
          <w:rFonts w:hint="eastAsia" w:ascii="宋体" w:hAnsi="宋体" w:cs="宋体"/>
          <w:color w:val="auto"/>
          <w:highlight w:val="none"/>
        </w:rPr>
      </w:pPr>
      <w:r>
        <w:rPr>
          <w:rFonts w:hint="eastAsia" w:ascii="宋体" w:hAnsi="宋体" w:cs="宋体"/>
          <w:color w:val="auto"/>
          <w:highlight w:val="none"/>
        </w:rPr>
        <w:t>6、工程量报价清单内的每一清单项目均需填报单价和合价,对没有填报或填报为“0”的单价与合价项目,则视为该项费用已含在其他工程量报价清单中的综合单价与综合合价内。</w:t>
      </w:r>
    </w:p>
    <w:p w14:paraId="1857BB30">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、投标人所报的材料及设备单价均为到工地结算价，即包含采购费、运杂费及运输损耗、仓储保管费、装卸费、吊装费及场内二次转运费等。</w:t>
      </w:r>
    </w:p>
    <w:p w14:paraId="4B43F46A">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投标人填报工程量清单时对发包人提供的工程量清单数据及内容、表格格式除招标文件另有约定和单（合）价分析表中可插入行以外均不得改动并严格按招标文件工程量清单中的项目顺序填写，如有改动因此所造成的责任及后果由投标人自已承担。</w:t>
      </w:r>
    </w:p>
    <w:p w14:paraId="09045CC1">
      <w:pPr>
        <w:spacing w:line="360" w:lineRule="auto"/>
        <w:ind w:firstLine="496" w:firstLineChars="200"/>
        <w:rPr>
          <w:rFonts w:hint="eastAsia" w:ascii="宋体" w:hAnsi="宋体" w:cs="宋体"/>
          <w:color w:val="auto"/>
          <w:sz w:val="24"/>
          <w:highlight w:val="none"/>
        </w:rPr>
      </w:pPr>
      <w:r>
        <w:rPr>
          <w:rFonts w:hint="eastAsia" w:ascii="宋体" w:hAnsi="宋体" w:cs="宋体"/>
          <w:snapToGrid w:val="0"/>
          <w:color w:val="auto"/>
          <w:spacing w:val="4"/>
          <w:kern w:val="0"/>
          <w:sz w:val="24"/>
          <w:highlight w:val="none"/>
          <w:lang w:val="en-US" w:eastAsia="zh-CN"/>
        </w:rPr>
        <w:t>9</w:t>
      </w:r>
      <w:r>
        <w:rPr>
          <w:rFonts w:hint="eastAsia" w:ascii="宋体" w:hAnsi="宋体" w:cs="宋体"/>
          <w:snapToGrid w:val="0"/>
          <w:color w:val="auto"/>
          <w:spacing w:val="4"/>
          <w:kern w:val="0"/>
          <w:sz w:val="24"/>
          <w:highlight w:val="none"/>
        </w:rPr>
        <w:t>、所有报价的币种均为人民币；工程数量、单价、合价均保留两位小数，第三位</w:t>
      </w:r>
      <w:r>
        <w:rPr>
          <w:rFonts w:hint="eastAsia" w:ascii="宋体" w:hAnsi="宋体" w:cs="宋体"/>
          <w:color w:val="auto"/>
          <w:sz w:val="24"/>
          <w:highlight w:val="none"/>
        </w:rPr>
        <w:t>小数四舍五入，电子文件中不得隐含第三位及以后位小数。</w:t>
      </w:r>
      <w:r>
        <w:rPr>
          <w:rFonts w:hint="eastAsia" w:ascii="宋体" w:hAnsi="宋体" w:cs="宋体"/>
          <w:snapToGrid w:val="0"/>
          <w:color w:val="auto"/>
          <w:kern w:val="0"/>
          <w:sz w:val="24"/>
          <w:highlight w:val="none"/>
        </w:rPr>
        <w:t>凡报价为零或没</w:t>
      </w:r>
      <w:r>
        <w:rPr>
          <w:rFonts w:hint="eastAsia" w:ascii="宋体" w:hAnsi="宋体" w:cs="宋体"/>
          <w:color w:val="auto"/>
          <w:sz w:val="24"/>
          <w:highlight w:val="none"/>
        </w:rPr>
        <w:t>有报价的项目均视为该项费用已综合考虑在其他项目报价中，结算时不再另行计算。</w:t>
      </w:r>
    </w:p>
    <w:p w14:paraId="07670E37">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、对于工程实施过程中某清单项目若实际未发生的，则在结算时应扣除未发生的清单项目的相应费用。</w:t>
      </w:r>
    </w:p>
    <w:p w14:paraId="17990D01">
      <w:pPr>
        <w:spacing w:line="360" w:lineRule="auto"/>
        <w:ind w:firstLine="480" w:firstLineChars="200"/>
        <w:rPr>
          <w:rFonts w:hint="eastAsia" w:ascii="宋体" w:hAnsi="宋体" w:cs="宋体"/>
          <w:snapToGrid w:val="0"/>
          <w:color w:val="auto"/>
          <w:spacing w:val="4"/>
          <w:kern w:val="0"/>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合价项目的投入若能满足施工组织和验收要求，则按合同全额支付和结算（发包人统一调配的除外）；若不能满足施工组织和验收要求且经整改10天仍不满足要求的，则由发包人有权另行委托队伍施工，所发生的费用不管有无超过合同中该项目的合价，均全部由投标人负责并在其进度计量或结算中扣除；经整改后仍不满足要求，此类事件每发生一</w:t>
      </w:r>
      <w:r>
        <w:rPr>
          <w:rFonts w:hint="eastAsia" w:ascii="宋体" w:hAnsi="宋体" w:cs="宋体"/>
          <w:snapToGrid w:val="0"/>
          <w:color w:val="auto"/>
          <w:spacing w:val="4"/>
          <w:kern w:val="0"/>
          <w:sz w:val="24"/>
          <w:highlight w:val="none"/>
        </w:rPr>
        <w:t>次，在其相应措施项目进度计量或结算中按每天扣除人民币伍万元，直至整改满足要求为止。</w:t>
      </w:r>
    </w:p>
    <w:p w14:paraId="65949B9B">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、不合理报价的处理</w:t>
      </w:r>
    </w:p>
    <w:p w14:paraId="112264A6">
      <w:pPr>
        <w:pStyle w:val="15"/>
        <w:ind w:firstLine="496"/>
        <w:rPr>
          <w:rFonts w:hint="eastAsia" w:ascii="宋体" w:hAnsi="宋体" w:cs="宋体"/>
          <w:color w:val="auto"/>
          <w:highlight w:val="none"/>
        </w:rPr>
      </w:pPr>
      <w:r>
        <w:rPr>
          <w:rFonts w:hint="eastAsia" w:ascii="宋体" w:hAnsi="宋体" w:cs="宋体"/>
          <w:color w:val="auto"/>
          <w:highlight w:val="none"/>
        </w:rPr>
        <w:t>（1）开标后签订合同前或整个合同执行期间，在保持中标总价不变的情况下，发包人将对经济标投标报价文件进行算术校核和修正。</w:t>
      </w:r>
    </w:p>
    <w:p w14:paraId="6F7BF7E3">
      <w:pPr>
        <w:pStyle w:val="15"/>
        <w:ind w:left="248" w:leftChars="118" w:firstLine="248" w:firstLineChars="100"/>
        <w:rPr>
          <w:rFonts w:hint="eastAsia" w:ascii="宋体" w:hAnsi="宋体" w:cs="宋体"/>
          <w:color w:val="auto"/>
          <w:highlight w:val="none"/>
        </w:rPr>
      </w:pPr>
      <w:r>
        <w:rPr>
          <w:rFonts w:hint="eastAsia" w:ascii="宋体" w:hAnsi="宋体" w:cs="宋体"/>
          <w:color w:val="auto"/>
          <w:highlight w:val="none"/>
        </w:rPr>
        <w:t>（2）经济标投标报价文件的算术性校核和修正办法如下：</w:t>
      </w:r>
    </w:p>
    <w:p w14:paraId="01E1B987">
      <w:pPr>
        <w:pStyle w:val="15"/>
        <w:ind w:left="248" w:leftChars="118" w:firstLine="248" w:firstLineChars="100"/>
        <w:rPr>
          <w:rFonts w:hint="eastAsia" w:ascii="宋体" w:hAnsi="宋体" w:cs="宋体"/>
          <w:color w:val="auto"/>
          <w:highlight w:val="none"/>
        </w:rPr>
      </w:pPr>
      <w:r>
        <w:rPr>
          <w:rFonts w:hint="eastAsia" w:ascii="宋体" w:hAnsi="宋体" w:cs="宋体"/>
          <w:color w:val="auto"/>
          <w:highlight w:val="none"/>
        </w:rPr>
        <w:t xml:space="preserve">①按招标文件开标、评标及定标办法相关约定执行； </w:t>
      </w:r>
    </w:p>
    <w:p w14:paraId="4B971F79">
      <w:pPr>
        <w:pStyle w:val="15"/>
        <w:ind w:firstLine="443" w:firstLineChars="179"/>
        <w:rPr>
          <w:rFonts w:hint="eastAsia" w:ascii="宋体" w:hAnsi="宋体" w:cs="宋体"/>
          <w:color w:val="auto"/>
          <w:highlight w:val="none"/>
        </w:rPr>
      </w:pPr>
      <w:r>
        <w:rPr>
          <w:rFonts w:hint="eastAsia" w:ascii="宋体" w:hAnsi="宋体" w:cs="宋体"/>
          <w:color w:val="auto"/>
          <w:highlight w:val="none"/>
        </w:rPr>
        <w:t>②投标文件综合单（合）价分析表中凡出现费率的必须填报，费率的数据由投标人根据企业自身实力自行填报。投标人在相同专业工程的单（合）价分析表中的费率必须填报一致，否则，评标时以其投标时的报价进行评审，进度计量和结算时以最低费率计算。在确定合同外新增项目综合单价时，以最低费率进行计算。如报为0或不填报者则视为0。</w:t>
      </w:r>
    </w:p>
    <w:p w14:paraId="7F9F3DF8">
      <w:pPr>
        <w:pStyle w:val="15"/>
        <w:ind w:firstLine="496"/>
        <w:rPr>
          <w:rFonts w:hint="eastAsia" w:ascii="宋体" w:hAnsi="宋体" w:cs="宋体"/>
          <w:color w:val="auto"/>
          <w:highlight w:val="none"/>
        </w:rPr>
      </w:pPr>
      <w:r>
        <w:rPr>
          <w:rFonts w:hint="eastAsia" w:ascii="宋体" w:hAnsi="宋体" w:cs="宋体"/>
          <w:color w:val="auto"/>
          <w:highlight w:val="none"/>
        </w:rPr>
        <w:t>③投标文件综合单（合）价分析表中，若填报的材料设备价格与分部分项工程量清单中的主材费价格或《承包人提供主要材料和工程设备一览表》以及《材料（工程设备）暂估单价及调整表》（如有）中相应材料设备价格不一致，进度计量和结算时按最低的价格计算，在确定合同外新增项目综合单价时按最低的价格进行组价。</w:t>
      </w:r>
    </w:p>
    <w:p w14:paraId="1B196236">
      <w:pPr>
        <w:pStyle w:val="15"/>
        <w:ind w:firstLine="496"/>
        <w:rPr>
          <w:rFonts w:hint="eastAsia" w:ascii="宋体" w:hAnsi="宋体" w:cs="宋体"/>
          <w:color w:val="auto"/>
          <w:highlight w:val="none"/>
        </w:rPr>
      </w:pPr>
      <w:r>
        <w:rPr>
          <w:rFonts w:hint="eastAsia" w:ascii="宋体" w:hAnsi="宋体" w:cs="宋体"/>
          <w:color w:val="auto"/>
          <w:highlight w:val="none"/>
        </w:rPr>
        <w:t>④相同清单项目（指专业类别、清单项目名称、项目特征、工作内容、施工部位（如同为地下工程、地上工程）计量单位都相同的清单项目）只能有一个投标单价，若相同清单项目出现两个或两个以上投标单价，进度计量和结算时均按最低的价格计算，在确定合同外新增项目综合单价时按最低的价格进行组价。</w:t>
      </w:r>
    </w:p>
    <w:p w14:paraId="37D962B2">
      <w:pPr>
        <w:pStyle w:val="15"/>
        <w:ind w:firstLine="496"/>
        <w:rPr>
          <w:rFonts w:hint="eastAsia" w:ascii="宋体" w:hAnsi="宋体" w:cs="宋体"/>
          <w:color w:val="auto"/>
          <w:highlight w:val="none"/>
        </w:rPr>
      </w:pPr>
      <w:r>
        <w:rPr>
          <w:rFonts w:hint="eastAsia" w:ascii="宋体" w:hAnsi="宋体" w:cs="宋体"/>
          <w:color w:val="auto"/>
          <w:highlight w:val="none"/>
        </w:rPr>
        <w:t>原则上本项目所有涉及到价格调整的事项均须在按本条原则进行不合理报价处理的前提下进行。</w:t>
      </w:r>
    </w:p>
    <w:p w14:paraId="29AC1F88">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1</w:t>
      </w:r>
      <w:r>
        <w:rPr>
          <w:rFonts w:hint="eastAsia" w:ascii="宋体" w:hAnsi="宋体" w:cs="宋体"/>
          <w:snapToGrid w:val="0"/>
          <w:color w:val="auto"/>
          <w:spacing w:val="4"/>
          <w:kern w:val="0"/>
          <w:sz w:val="24"/>
          <w:highlight w:val="none"/>
          <w:lang w:val="en-US" w:eastAsia="zh-CN"/>
        </w:rPr>
        <w:t>3</w:t>
      </w:r>
      <w:r>
        <w:rPr>
          <w:rFonts w:hint="eastAsia" w:ascii="宋体" w:hAnsi="宋体" w:cs="宋体"/>
          <w:snapToGrid w:val="0"/>
          <w:color w:val="auto"/>
          <w:spacing w:val="4"/>
          <w:kern w:val="0"/>
          <w:sz w:val="24"/>
          <w:highlight w:val="none"/>
        </w:rPr>
        <w:t>、非投标人原因引起的分部分项工程量变化，其综合单价的调整原则：</w:t>
      </w:r>
    </w:p>
    <w:p w14:paraId="4B42683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（1）对任一分部分项工程的清单项目，如进度计量和结算工程量与招标工程量相比增加幅度在10%及以内或减少时，其综合单价不做调整，执行原有合同综合单价。</w:t>
      </w:r>
    </w:p>
    <w:p w14:paraId="4DA4EE94">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（2）当工程量增加幅度在10%以上时，其增加部分的工程量的综合单价应予调低，按下列公式调整进度计量及结算分部分项工程费： </w:t>
      </w:r>
    </w:p>
    <w:p w14:paraId="4B61937C">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当Q1＞1.1Q0时，S=1.1Q0×P0+（Q1-1.1Q0）×P1</w:t>
      </w:r>
    </w:p>
    <w:p w14:paraId="7963CF3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式中 S——调整后的某一分部分项工程费结算价；</w:t>
      </w:r>
    </w:p>
    <w:p w14:paraId="051162A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Q1——最终完成的工程量； </w:t>
      </w:r>
    </w:p>
    <w:p w14:paraId="070242EA">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Q0——招标工程量清单中列出的工程量； </w:t>
      </w:r>
    </w:p>
    <w:p w14:paraId="7CCDBEDB">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P1——按照最终完成工程量重新调整后的综合单价，如工程量增加，P1=P0*0.9 </w:t>
      </w:r>
    </w:p>
    <w:p w14:paraId="7C1FCC12">
      <w:pPr>
        <w:spacing w:line="360" w:lineRule="auto"/>
        <w:ind w:firstLine="496" w:firstLineChars="200"/>
        <w:rPr>
          <w:rFonts w:hint="eastAsia" w:ascii="宋体" w:hAnsi="宋体" w:cs="宋体"/>
          <w:color w:val="auto"/>
          <w:highlight w:val="none"/>
        </w:rPr>
      </w:pPr>
      <w:r>
        <w:rPr>
          <w:rFonts w:hint="eastAsia" w:ascii="宋体" w:hAnsi="宋体" w:cs="宋体"/>
          <w:snapToGrid w:val="0"/>
          <w:color w:val="auto"/>
          <w:spacing w:val="4"/>
          <w:kern w:val="0"/>
          <w:sz w:val="24"/>
          <w:highlight w:val="none"/>
        </w:rPr>
        <w:t>P0——承包人在工程量清单中填报的综合单价。</w:t>
      </w:r>
    </w:p>
    <w:p w14:paraId="6AE4B9C2">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投标文件有漏报项目的（招标清单中开列的项目但投标单位未进行报价的项目），在该项累计进度计量及工程结算时，按施工实际工程数量减去漏报项目招标工程数量计算增减工程量，增减工程量乘以【前3名中标候选人】相应投标单价的平均值计列综合单价作为漏报项目进度计量及结算款。</w:t>
      </w:r>
    </w:p>
    <w:p w14:paraId="63B744FB">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、变更及新增项目计价办法：</w:t>
      </w:r>
    </w:p>
    <w:p w14:paraId="08DE349E">
      <w:pPr>
        <w:pStyle w:val="15"/>
        <w:ind w:firstLine="496"/>
        <w:rPr>
          <w:rFonts w:hint="eastAsia" w:ascii="宋体" w:hAnsi="宋体" w:cs="宋体"/>
          <w:color w:val="auto"/>
          <w:highlight w:val="none"/>
        </w:rPr>
      </w:pPr>
      <w:r>
        <w:rPr>
          <w:rFonts w:hint="eastAsia" w:ascii="宋体" w:hAnsi="宋体" w:cs="宋体"/>
          <w:color w:val="auto"/>
          <w:highlight w:val="none"/>
        </w:rPr>
        <w:t>在按本说明第一节第一条第1</w:t>
      </w:r>
      <w:r>
        <w:rPr>
          <w:rFonts w:hint="eastAsia" w:ascii="宋体" w:hAnsi="宋体" w:cs="宋体"/>
          <w:color w:val="auto"/>
          <w:highlight w:val="none"/>
          <w:lang w:val="en-US" w:eastAsia="zh-CN"/>
        </w:rPr>
        <w:t>2</w:t>
      </w:r>
      <w:r>
        <w:rPr>
          <w:rFonts w:hint="eastAsia" w:ascii="宋体" w:hAnsi="宋体" w:cs="宋体"/>
          <w:color w:val="auto"/>
          <w:highlight w:val="none"/>
        </w:rPr>
        <w:t>点原则进行不合理报价处理的前提下，按以下办法执行：</w:t>
      </w:r>
    </w:p>
    <w:p w14:paraId="4F95464C">
      <w:pPr>
        <w:pStyle w:val="15"/>
        <w:ind w:firstLine="496"/>
        <w:rPr>
          <w:rFonts w:hint="eastAsia" w:ascii="宋体" w:hAnsi="宋体" w:cs="宋体"/>
          <w:color w:val="auto"/>
          <w:highlight w:val="none"/>
        </w:rPr>
      </w:pPr>
      <w:r>
        <w:rPr>
          <w:rFonts w:hint="eastAsia" w:ascii="宋体" w:hAnsi="宋体" w:cs="宋体"/>
          <w:color w:val="auto"/>
          <w:highlight w:val="none"/>
        </w:rPr>
        <w:t>（1）投标清单中有相同项目的，执行投标清单中的综合单价。</w:t>
      </w:r>
    </w:p>
    <w:p w14:paraId="2CB6B497">
      <w:pPr>
        <w:pStyle w:val="15"/>
        <w:ind w:firstLine="496"/>
        <w:rPr>
          <w:rFonts w:hint="eastAsia" w:ascii="宋体" w:hAnsi="宋体" w:cs="宋体"/>
          <w:color w:val="auto"/>
          <w:highlight w:val="none"/>
        </w:rPr>
      </w:pPr>
      <w:r>
        <w:rPr>
          <w:rFonts w:hint="eastAsia" w:ascii="宋体" w:hAnsi="宋体" w:cs="宋体"/>
          <w:color w:val="auto"/>
          <w:highlight w:val="none"/>
        </w:rPr>
        <w:t>（2）投标清单中有类似的，按投标清单中类似项目换算主材进行计算，其他费用不变。主材价格按本说明第一节第一条第18点执行。</w:t>
      </w:r>
    </w:p>
    <w:p w14:paraId="783ADCAB">
      <w:pPr>
        <w:pStyle w:val="15"/>
        <w:ind w:firstLine="496"/>
        <w:rPr>
          <w:rFonts w:hint="eastAsia" w:ascii="宋体" w:hAnsi="宋体" w:cs="宋体"/>
          <w:color w:val="auto"/>
          <w:highlight w:val="none"/>
        </w:rPr>
      </w:pPr>
      <w:r>
        <w:rPr>
          <w:rFonts w:hint="eastAsia" w:ascii="宋体" w:hAnsi="宋体" w:cs="宋体"/>
          <w:color w:val="auto"/>
          <w:highlight w:val="none"/>
        </w:rPr>
        <w:t>（3）投标清单中没有相同或类似的项目，执行《建设工程工程量清单计价规范GB50500-2013》、2018年广东省各专业工程综合定额以及国家、省、市关于营业税改征增值税后调整工程计价依据的相关文件，人工、辅材、机械按施工同期广州市建设工程造价管理站发布的综合价格，主材价格按本说明第一节第一条第18点执行；且整体综合单价执行承包人投标下浮率（1-中标价格/招标控制价）。</w:t>
      </w:r>
    </w:p>
    <w:p w14:paraId="053087D5">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、主要材料设备变更调整办法：</w:t>
      </w:r>
    </w:p>
    <w:p w14:paraId="31D7A5A9">
      <w:pPr>
        <w:pStyle w:val="15"/>
        <w:ind w:firstLine="496"/>
        <w:rPr>
          <w:rFonts w:hint="eastAsia" w:ascii="宋体" w:hAnsi="宋体" w:cs="宋体"/>
          <w:color w:val="auto"/>
          <w:highlight w:val="none"/>
        </w:rPr>
      </w:pPr>
      <w:r>
        <w:rPr>
          <w:rFonts w:hint="eastAsia" w:ascii="宋体" w:hAnsi="宋体" w:cs="宋体"/>
          <w:color w:val="auto"/>
          <w:highlight w:val="none"/>
        </w:rPr>
        <w:t>在按本说明第一节第一条第1</w:t>
      </w:r>
      <w:r>
        <w:rPr>
          <w:rFonts w:hint="eastAsia" w:ascii="宋体" w:hAnsi="宋体" w:cs="宋体"/>
          <w:color w:val="auto"/>
          <w:highlight w:val="none"/>
          <w:lang w:val="en-US" w:eastAsia="zh-CN"/>
        </w:rPr>
        <w:t>2</w:t>
      </w:r>
      <w:r>
        <w:rPr>
          <w:rFonts w:hint="eastAsia" w:ascii="宋体" w:hAnsi="宋体" w:cs="宋体"/>
          <w:color w:val="auto"/>
          <w:highlight w:val="none"/>
        </w:rPr>
        <w:t>点原则进行不合理报价处理的前提下，按以下办法执行：</w:t>
      </w:r>
    </w:p>
    <w:p w14:paraId="38FB0F79">
      <w:pPr>
        <w:pStyle w:val="15"/>
        <w:ind w:firstLine="496"/>
        <w:rPr>
          <w:rFonts w:hint="eastAsia" w:ascii="宋体" w:hAnsi="宋体" w:cs="宋体"/>
          <w:color w:val="auto"/>
          <w:highlight w:val="none"/>
        </w:rPr>
      </w:pPr>
      <w:r>
        <w:rPr>
          <w:rFonts w:hint="eastAsia" w:ascii="宋体" w:hAnsi="宋体" w:cs="宋体"/>
          <w:color w:val="auto"/>
          <w:highlight w:val="none"/>
        </w:rPr>
        <w:t>（1）原投标报价中《承包人提供主要材料和工程设备一览表》有相同材料设备的，按《承包人提供主要材料和工程设备一览表》中的价格计算。</w:t>
      </w:r>
    </w:p>
    <w:p w14:paraId="128D6EF3">
      <w:pPr>
        <w:pStyle w:val="15"/>
        <w:ind w:firstLine="496"/>
        <w:rPr>
          <w:rFonts w:hint="eastAsia" w:ascii="宋体" w:hAnsi="宋体" w:cs="宋体"/>
          <w:color w:val="auto"/>
          <w:highlight w:val="none"/>
        </w:rPr>
      </w:pPr>
      <w:r>
        <w:rPr>
          <w:rFonts w:hint="eastAsia" w:ascii="宋体" w:hAnsi="宋体" w:cs="宋体"/>
          <w:color w:val="auto"/>
          <w:highlight w:val="none"/>
        </w:rPr>
        <w:t>（2）原投标报价中《承包人提供主要材料和工程设备一览表》有类似材料设备（即指品牌、规格、型号、尺寸及其他相关技术参数发生变化）的，则该材料设备的品牌按《承包人提供主要材料和工程设备一览表》中填报的品牌，价格如在广州市建设工程造价管理站发布的《广州地区建设工程常用材料税前综合价格》（以下简称“《综合价格》”）有适用的，按施工当月《综合价格》并执行投标时的类似材料设备价格投标下浮率进行下浮；材料设备投标下浮率＝（1-类似材料设备投标价/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月类似材料设备的综合价格），变更材料设备价格＝施工当月综合价格*（1-投标下浮率）。</w:t>
      </w:r>
    </w:p>
    <w:p w14:paraId="56E61986">
      <w:pPr>
        <w:pStyle w:val="15"/>
        <w:ind w:firstLine="496"/>
        <w:rPr>
          <w:rFonts w:hint="eastAsia" w:ascii="宋体" w:hAnsi="宋体" w:cs="宋体"/>
          <w:color w:val="auto"/>
          <w:highlight w:val="none"/>
        </w:rPr>
      </w:pPr>
      <w:r>
        <w:rPr>
          <w:rFonts w:hint="eastAsia" w:ascii="宋体" w:hAnsi="宋体" w:cs="宋体"/>
          <w:color w:val="auto"/>
          <w:highlight w:val="none"/>
        </w:rPr>
        <w:t>如《综合价格》中均没有适用材料的情况下，按变更后材料的市场询价并执行类似材料设备项目的投标综合单价下浮率进行下浮。类似材料设备项目的投标综合单价下浮率=（1-类似材料设备项目的投标综合单价/类似材料设备项目的招标控制综合单价），变更材料设备价格＝市场询价价格*（1-投标综合单价下浮率）。</w:t>
      </w:r>
    </w:p>
    <w:p w14:paraId="546DFAD3">
      <w:pPr>
        <w:pStyle w:val="15"/>
        <w:ind w:firstLine="496"/>
        <w:rPr>
          <w:rFonts w:hint="eastAsia" w:ascii="宋体" w:hAnsi="宋体" w:cs="宋体"/>
          <w:color w:val="auto"/>
          <w:highlight w:val="none"/>
        </w:rPr>
      </w:pPr>
      <w:r>
        <w:rPr>
          <w:rFonts w:hint="eastAsia" w:ascii="宋体" w:hAnsi="宋体" w:cs="宋体"/>
          <w:color w:val="auto"/>
          <w:highlight w:val="none"/>
        </w:rPr>
        <w:t>招标控制综合单价以广州市建设工程造价监管平台(系统)备案通过文件为准。</w:t>
      </w:r>
    </w:p>
    <w:p w14:paraId="1A3C65FE">
      <w:pPr>
        <w:pStyle w:val="15"/>
        <w:ind w:firstLine="496"/>
        <w:rPr>
          <w:rFonts w:hint="eastAsia" w:ascii="宋体" w:hAnsi="宋体" w:cs="宋体"/>
          <w:color w:val="auto"/>
          <w:highlight w:val="none"/>
        </w:rPr>
      </w:pPr>
      <w:r>
        <w:rPr>
          <w:rFonts w:hint="eastAsia" w:ascii="宋体" w:hAnsi="宋体" w:cs="宋体"/>
          <w:color w:val="auto"/>
          <w:highlight w:val="none"/>
        </w:rPr>
        <w:t>（3）原投标报价中《承包人提供主要材料和工程设备一览表》没有相同或类似材料设备的，由投标人（承包人）报不少于三家同档次（国产中档以上）厂家产品资料及单价给发包人（发包人）审查并确定选用其中一个品牌，价格按施工当月广州市建设工程造价管理站发布的《综合价格》执行，《综合价格》没有适用的，按经发包人审核确认的市场价格执行。</w:t>
      </w:r>
    </w:p>
    <w:p w14:paraId="1A2185FC">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、人工、材料、机具调差原则及办法：本工程任何情况下均不予调价或补差。</w:t>
      </w:r>
    </w:p>
    <w:p w14:paraId="7BCE1A79">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18</w:t>
      </w:r>
      <w:r>
        <w:rPr>
          <w:rFonts w:hint="eastAsia" w:ascii="宋体" w:hAnsi="宋体" w:cs="宋体"/>
          <w:color w:val="auto"/>
          <w:highlight w:val="none"/>
        </w:rPr>
        <w:t>、本项目所用材料的检验试验费用由建设单位统一委托专业公司进行，相关费用已在招标控制价中综合考虑，投标人在投标报价时应充分考虑该部分费用，发包人不再另行支付。</w:t>
      </w:r>
    </w:p>
    <w:p w14:paraId="2CDA91FD">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、本项目现场临设布置所有费用（包括临设场地租赁费用），均含在相应措施费中，现场不再另外增加。</w:t>
      </w:r>
    </w:p>
    <w:p w14:paraId="581F5E77">
      <w:pPr>
        <w:pStyle w:val="15"/>
        <w:ind w:firstLine="496"/>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投标报价应综合考虑配合各专业检测单位检测所产生的一切费用，包括不限于:提供检测设备行走的道路、提供检测所需各种材料、人工、机械的配合，及负责检测后的修复等费用含在投标总价中，结算时不另计取该项费用</w:t>
      </w:r>
      <w:bookmarkStart w:id="17" w:name="_Toc11729"/>
      <w:bookmarkStart w:id="18" w:name="_Hlk62640916"/>
      <w:bookmarkStart w:id="19" w:name="_Toc19456"/>
      <w:bookmarkStart w:id="20" w:name="_Toc1248"/>
      <w:bookmarkStart w:id="21" w:name="_Toc18153"/>
      <w:r>
        <w:rPr>
          <w:rFonts w:hint="eastAsia" w:ascii="宋体" w:hAnsi="宋体" w:cs="宋体"/>
          <w:color w:val="auto"/>
          <w:highlight w:val="none"/>
        </w:rPr>
        <w:t>。</w:t>
      </w:r>
    </w:p>
    <w:p w14:paraId="00E4E6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1"/>
          <w:sz w:val="24"/>
          <w:szCs w:val="24"/>
          <w:highlight w:val="none"/>
        </w:rPr>
        <w:t>2</w:t>
      </w:r>
      <w:r>
        <w:rPr>
          <w:rFonts w:hint="eastAsia" w:ascii="宋体" w:hAnsi="宋体" w:cs="宋体"/>
          <w:color w:val="auto"/>
          <w:kern w:val="1"/>
          <w:sz w:val="24"/>
          <w:szCs w:val="24"/>
          <w:highlight w:val="none"/>
          <w:lang w:val="en-US" w:eastAsia="zh-CN"/>
        </w:rPr>
        <w:t>1</w:t>
      </w:r>
      <w:r>
        <w:rPr>
          <w:rFonts w:hint="eastAsia" w:ascii="宋体" w:hAnsi="宋体" w:cs="宋体"/>
          <w:color w:val="auto"/>
          <w:kern w:val="1"/>
          <w:sz w:val="24"/>
          <w:szCs w:val="24"/>
          <w:highlight w:val="none"/>
        </w:rPr>
        <w:t>、</w:t>
      </w:r>
      <w:r>
        <w:rPr>
          <w:rFonts w:hint="eastAsia" w:ascii="宋体" w:hAnsi="宋体" w:cs="宋体"/>
          <w:color w:val="auto"/>
          <w:sz w:val="24"/>
          <w:szCs w:val="24"/>
          <w:highlight w:val="none"/>
          <w:lang w:eastAsia="zh"/>
        </w:rPr>
        <w:t>负责完成</w:t>
      </w:r>
      <w:r>
        <w:rPr>
          <w:rFonts w:hint="eastAsia" w:ascii="宋体" w:hAnsi="宋体" w:cs="宋体"/>
          <w:color w:val="auto"/>
          <w:sz w:val="24"/>
          <w:szCs w:val="24"/>
          <w:highlight w:val="none"/>
          <w:lang w:val="en-US" w:eastAsia="zh-CN"/>
        </w:rPr>
        <w:t>永久用电</w:t>
      </w:r>
      <w:r>
        <w:rPr>
          <w:rFonts w:hint="eastAsia" w:ascii="宋体" w:hAnsi="宋体" w:cs="宋体"/>
          <w:color w:val="auto"/>
          <w:sz w:val="24"/>
          <w:szCs w:val="24"/>
          <w:highlight w:val="none"/>
          <w:lang w:eastAsia="zh"/>
        </w:rPr>
        <w:t>单项报建工作并通过验收。并配合甲方的工期要求及总承包方的施工进度分阶段执行及完成本工程。安装及调试直至</w:t>
      </w:r>
      <w:r>
        <w:rPr>
          <w:rFonts w:hint="eastAsia" w:ascii="宋体" w:hAnsi="宋体" w:cs="宋体"/>
          <w:color w:val="auto"/>
          <w:sz w:val="24"/>
          <w:szCs w:val="24"/>
          <w:highlight w:val="none"/>
          <w:lang w:val="en-US" w:eastAsia="zh-CN"/>
        </w:rPr>
        <w:t>送电</w:t>
      </w:r>
      <w:r>
        <w:rPr>
          <w:rFonts w:hint="eastAsia" w:ascii="宋体" w:hAnsi="宋体" w:cs="宋体"/>
          <w:color w:val="auto"/>
          <w:sz w:val="24"/>
          <w:szCs w:val="24"/>
          <w:highlight w:val="none"/>
          <w:lang w:eastAsia="zh"/>
        </w:rPr>
        <w:t>，并取得有关部门对本工程验收合格且可投入使用的证明资料。上述所需费用全部包含在综合单价中，甲方不予另行支付。</w:t>
      </w:r>
    </w:p>
    <w:p w14:paraId="6863FD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、合同价款及价格说明：</w:t>
      </w:r>
    </w:p>
    <w:p w14:paraId="086E7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采用总价包干结算。由承包人包通过供电局审查增加的一切费用、包工、包材料、包工期、包质量、包安全生产、包文明施工、包调试和联合调试，包招标范围内工程竣工验收、包供电局送电前专项检测验收并送电、包协助配合总包单位完成消防及机电分部等专项验收、包竣工送电后至移交给发包人期间的运行维护管理、包结算的组织和资料整理（含竣工图编制）、包协助完成公变资产移交给供电局等相关一切费用。绿色施工安全防护措施费包干，人工费包干。因应项目现场需要或供电局审查引起的工程量清单开项差异(含可能存在的漏项)或工程量差异，视为相关费用已综合考虑在投标总报价中，结算时按投标总价包干计取、不作调整。</w:t>
      </w:r>
    </w:p>
    <w:p w14:paraId="6A4C9D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材料设备：乙方报价除不含材料设备价格外，已综合考虑材料设备的质量和数量验收、装卸、二次转运、保管、安装、材料进场所需的检测及试验、验收及上述过程中可能发生的材料损耗量增加等一切相关因素及风险。</w:t>
      </w:r>
      <w:bookmarkStart w:id="22" w:name="OLE_LINK7"/>
      <w:bookmarkStart w:id="23" w:name="OLE_LINK6"/>
      <w:r>
        <w:rPr>
          <w:rFonts w:hint="eastAsia" w:ascii="宋体" w:hAnsi="宋体" w:cs="宋体"/>
          <w:color w:val="auto"/>
          <w:sz w:val="24"/>
          <w:szCs w:val="24"/>
          <w:highlight w:val="none"/>
        </w:rPr>
        <w:t>实际实施时甲方不再另行增加任何费用。</w:t>
      </w:r>
      <w:bookmarkEnd w:id="22"/>
      <w:bookmarkEnd w:id="23"/>
    </w:p>
    <w:p w14:paraId="3DAA765C">
      <w:pPr>
        <w:spacing w:line="360" w:lineRule="auto"/>
        <w:ind w:firstLine="480" w:firstLineChars="200"/>
        <w:rPr>
          <w:rFonts w:hint="eastAsia" w:ascii="宋体" w:hAnsi="宋体" w:cs="宋体"/>
          <w:color w:val="auto"/>
          <w:spacing w:val="4"/>
          <w:kern w:val="0"/>
          <w:sz w:val="24"/>
          <w:szCs w:val="24"/>
          <w:highlight w:val="none"/>
        </w:rPr>
      </w:pPr>
      <w:r>
        <w:rPr>
          <w:rFonts w:hint="eastAsia" w:ascii="宋体" w:hAnsi="宋体" w:cs="宋体"/>
          <w:color w:val="auto"/>
          <w:sz w:val="24"/>
          <w:szCs w:val="24"/>
          <w:highlight w:val="none"/>
        </w:rPr>
        <w:t>材料设备损耗率须控制在《广东省通用安装工程综合定额(2018)》中规定的损耗率内，乙方在投标报价时应综合考虑实际损耗可能超出上述定额损耗率的风险和相关因素，实际实施时甲方不再对超出上述定额损耗部分的材料设备另行支付任何费用。乙方负责根据项目进度需要及必要的生产供货期限合理编制材料设备供货计划并对其准确性、完整性负责，若实际供货量超出施工图纸计算工程量与定额损耗用量之和，则超出部分的材料设备货款由乙方承担，且该超出部分的材料设备不再另行计取保管费及运输费。</w:t>
      </w:r>
    </w:p>
    <w:bookmarkEnd w:id="17"/>
    <w:bookmarkEnd w:id="18"/>
    <w:bookmarkEnd w:id="19"/>
    <w:bookmarkEnd w:id="20"/>
    <w:bookmarkEnd w:id="21"/>
    <w:p w14:paraId="395CB27E">
      <w:pPr>
        <w:spacing w:line="360" w:lineRule="auto"/>
        <w:ind w:firstLine="600" w:firstLineChars="250"/>
        <w:rPr>
          <w:rFonts w:hint="eastAsia" w:ascii="宋体" w:hAnsi="宋体" w:cs="宋体"/>
          <w:bCs/>
          <w:color w:val="auto"/>
          <w:sz w:val="24"/>
          <w:highlight w:val="none"/>
        </w:rPr>
      </w:pPr>
      <w:bookmarkStart w:id="24" w:name="_Toc194486380"/>
      <w:bookmarkStart w:id="25" w:name="_Toc13596"/>
      <w:bookmarkStart w:id="26" w:name="_Toc17449"/>
      <w:bookmarkStart w:id="27" w:name="_Toc29142"/>
      <w:bookmarkStart w:id="28" w:name="_Toc26906"/>
      <w:bookmarkStart w:id="29" w:name="_Toc468402713"/>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需严格按照合同工期施工进度计划进行分期、分批施工，不同区域开工时间以发包人书面通知为准，承包人需综合考虑分期、分批施工引起的材料设备、人工调差、窝工、停工、施工降效、赶工风险以及管理费用、措施费用、装修路线或装修范围内的成品保护费用增加风险等相关费用，施工过程中及结算等任何情况导致增加费用均不予调整或另行支付。</w:t>
      </w:r>
    </w:p>
    <w:p w14:paraId="514C35E2">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二、分部分项工程量清单计价说明</w:t>
      </w:r>
      <w:bookmarkEnd w:id="24"/>
      <w:bookmarkEnd w:id="25"/>
      <w:bookmarkEnd w:id="26"/>
      <w:bookmarkEnd w:id="27"/>
      <w:bookmarkEnd w:id="28"/>
      <w:bookmarkEnd w:id="29"/>
    </w:p>
    <w:p w14:paraId="73BBF0C5">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分部分项工程量清单报价：指根据招标文件、图纸、国家规范、技术文件标准等内容，采取综合单价包干计价的项目。综合单价是指完成工程量清单中规定计量单位项目全部工作内容所需的所有相关费用，包括人工费、材料费、机械费、管理费、利润、不可预见费等。综合单价包干的项目，除合同、招标文件另有约定和政府针对本项目的文件规定可以调整外，无论施工条件或施工图纸是否发生变化，在合同执行期内综合单价固定不变。投标人所报的材料及设备单价均为到工地结算价，即包含采购费、运杂费及运费损耗、仓储保管费、装卸费、吊装费、场内二次转运费等；材料、设备的质量标准须同时满足行政主管部门相关产品质量合格标准文件、招标文件中《主要材料设备品牌推荐表》的要求及发包人看样定板意见，项目实施过程中，中标人不得以报价低为由提供不符合上述质量标准的材料、设备。</w:t>
      </w:r>
    </w:p>
    <w:p w14:paraId="0C10B553">
      <w:pPr>
        <w:spacing w:line="360" w:lineRule="auto"/>
        <w:ind w:firstLine="560"/>
        <w:rPr>
          <w:rFonts w:hint="eastAsia" w:ascii="宋体" w:hAnsi="宋体" w:cs="宋体"/>
          <w:color w:val="auto"/>
          <w:sz w:val="24"/>
          <w:highlight w:val="none"/>
        </w:rPr>
      </w:pPr>
      <w:r>
        <w:rPr>
          <w:rFonts w:hint="eastAsia" w:ascii="宋体" w:hAnsi="宋体" w:cs="宋体"/>
          <w:snapToGrid w:val="0"/>
          <w:color w:val="auto"/>
          <w:spacing w:val="4"/>
          <w:kern w:val="0"/>
          <w:sz w:val="24"/>
          <w:highlight w:val="none"/>
        </w:rPr>
        <w:t>招标工程量清单为</w:t>
      </w:r>
      <w:r>
        <w:rPr>
          <w:rFonts w:hint="eastAsia" w:ascii="宋体" w:hAnsi="宋体" w:cs="宋体"/>
          <w:color w:val="auto"/>
          <w:sz w:val="24"/>
          <w:highlight w:val="none"/>
        </w:rPr>
        <w:t>指定清单，以招标图纸、招标文件约定的工作范围为准。投标人必须严格按发包人的指定清单进行报价，不得擅自进行修改。凡招标工程量清单中有漏项或工程量不准确或清单描述不准确的情况的，投标人须在招标文件约定的招标答疑时限内向发包人书面提出，逾期未提出的，</w:t>
      </w:r>
      <w:r>
        <w:rPr>
          <w:rFonts w:hint="eastAsia" w:ascii="宋体" w:hAnsi="宋体" w:cs="宋体"/>
          <w:snapToGrid w:val="0"/>
          <w:color w:val="auto"/>
          <w:spacing w:val="4"/>
          <w:kern w:val="0"/>
          <w:sz w:val="24"/>
          <w:highlight w:val="none"/>
        </w:rPr>
        <w:t>由此造成的一切责任和损失由投标人自担。</w:t>
      </w:r>
    </w:p>
    <w:p w14:paraId="7808D916">
      <w:pPr>
        <w:pStyle w:val="15"/>
        <w:ind w:firstLine="496"/>
        <w:rPr>
          <w:rFonts w:hint="eastAsia" w:ascii="宋体" w:hAnsi="宋体" w:cs="宋体"/>
          <w:color w:val="auto"/>
          <w:highlight w:val="none"/>
        </w:rPr>
      </w:pPr>
      <w:r>
        <w:rPr>
          <w:rFonts w:hint="eastAsia" w:ascii="宋体" w:hAnsi="宋体" w:cs="宋体"/>
          <w:color w:val="auto"/>
          <w:highlight w:val="none"/>
        </w:rPr>
        <w:t>各费用定义如下：</w:t>
      </w:r>
    </w:p>
    <w:p w14:paraId="067D1A15">
      <w:pPr>
        <w:pStyle w:val="15"/>
        <w:ind w:firstLine="496"/>
        <w:rPr>
          <w:rFonts w:hint="eastAsia" w:ascii="宋体" w:hAnsi="宋体" w:cs="宋体"/>
          <w:color w:val="auto"/>
          <w:highlight w:val="none"/>
        </w:rPr>
      </w:pPr>
      <w:r>
        <w:rPr>
          <w:rFonts w:hint="eastAsia" w:ascii="宋体" w:hAnsi="宋体" w:cs="宋体"/>
          <w:color w:val="auto"/>
          <w:highlight w:val="none"/>
        </w:rPr>
        <w:t>1、人工、材料、机械费和管理费的定义按《广东省建设工程计价依据（2018））》（粤建市【2019】6号）的规定执行。</w:t>
      </w:r>
    </w:p>
    <w:p w14:paraId="085E3920">
      <w:pPr>
        <w:pStyle w:val="15"/>
        <w:ind w:firstLine="496"/>
        <w:rPr>
          <w:rFonts w:hint="eastAsia" w:ascii="宋体" w:hAnsi="宋体" w:cs="宋体"/>
          <w:color w:val="auto"/>
          <w:highlight w:val="none"/>
        </w:rPr>
      </w:pPr>
      <w:r>
        <w:rPr>
          <w:rFonts w:hint="eastAsia" w:ascii="宋体" w:hAnsi="宋体" w:cs="宋体"/>
          <w:color w:val="auto"/>
          <w:highlight w:val="none"/>
        </w:rPr>
        <w:t>2、利润：指施工企业完成所承包工程获得的盈利。</w:t>
      </w:r>
    </w:p>
    <w:p w14:paraId="21C23B85">
      <w:pPr>
        <w:pStyle w:val="15"/>
        <w:ind w:firstLine="496"/>
        <w:rPr>
          <w:rFonts w:hint="eastAsia" w:ascii="宋体" w:hAnsi="宋体" w:cs="宋体"/>
          <w:color w:val="auto"/>
          <w:highlight w:val="none"/>
        </w:rPr>
      </w:pPr>
      <w:r>
        <w:rPr>
          <w:rFonts w:hint="eastAsia" w:ascii="宋体" w:hAnsi="宋体" w:cs="宋体"/>
          <w:color w:val="auto"/>
          <w:highlight w:val="none"/>
        </w:rPr>
        <w:t>3、不可预见费指市场物价的不稳定因素、政府部门颁发的各项调价文件、气候等自然条件的不利影响（不可抗力除外）、技术经济条件发生变化（如资源、劳力、交通条件等）、国家宏观经济调控政策的影响所产生的额外一切费用（本承包合同另有约定或政府专门针对本项目的文件规定除外）。</w:t>
      </w:r>
    </w:p>
    <w:p w14:paraId="33722E51">
      <w:pPr>
        <w:pStyle w:val="15"/>
        <w:ind w:firstLine="496"/>
        <w:rPr>
          <w:rFonts w:hint="eastAsia" w:ascii="宋体" w:hAnsi="宋体" w:cs="宋体"/>
          <w:color w:val="auto"/>
          <w:highlight w:val="none"/>
        </w:rPr>
      </w:pPr>
      <w:r>
        <w:rPr>
          <w:rFonts w:hint="eastAsia" w:ascii="宋体" w:hAnsi="宋体" w:cs="宋体"/>
          <w:color w:val="auto"/>
          <w:highlight w:val="none"/>
        </w:rPr>
        <w:t>4、投标人须负责本工程所需的所有设备、材料、工具等的采购、安装、验收以及在此过程中必须的各项检测、检验，报价中须包括相应费用（含因不符合相关主管部门及相关规范要求而导致的退货或重新采购等费用增加）。</w:t>
      </w:r>
    </w:p>
    <w:p w14:paraId="3E679A77">
      <w:pPr>
        <w:spacing w:line="360" w:lineRule="auto"/>
        <w:ind w:firstLine="600" w:firstLineChars="250"/>
        <w:rPr>
          <w:rFonts w:hint="eastAsia" w:ascii="宋体" w:hAnsi="宋体" w:cs="宋体"/>
          <w:color w:val="auto"/>
          <w:highlight w:val="none"/>
        </w:rPr>
      </w:pPr>
      <w:r>
        <w:rPr>
          <w:rFonts w:hint="eastAsia" w:ascii="宋体" w:hAnsi="宋体" w:cs="宋体"/>
          <w:bCs/>
          <w:color w:val="auto"/>
          <w:sz w:val="24"/>
          <w:highlight w:val="none"/>
        </w:rPr>
        <w:t>5、投标人</w:t>
      </w:r>
      <w:r>
        <w:rPr>
          <w:rFonts w:hint="eastAsia" w:ascii="宋体" w:hAnsi="宋体" w:cs="宋体"/>
          <w:color w:val="auto"/>
          <w:sz w:val="24"/>
          <w:highlight w:val="none"/>
        </w:rPr>
        <w:t>须自行负责在未移交甲方之前所有自身产品、材料、半成品、成品的保护，报价中须包括相应费用。</w:t>
      </w:r>
    </w:p>
    <w:p w14:paraId="46849481">
      <w:pPr>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6、除现有条件外，投标人须自行落实解决现场施工条件，包括足够的符合规范要求的施工操作面、施工临水临电的驳接以及现场设备材料运输的安全通道及符合规范要求日常维护的安全通道，报价中须包括确保施工需要的相应费用。</w:t>
      </w:r>
    </w:p>
    <w:p w14:paraId="12D53F27">
      <w:pPr>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7、建筑物超高人工、机具增加（包括人工、机具降效包括工人上下班降低工效、上下楼及自然休息增加的时间、垂直运输影响的时间以及由于人工降效引起的机具降效。装饰楼层的建筑物超高人工、机具增加。）土建工程在综合单价中综合考虑，安装工程高层施工增加费按项报价。</w:t>
      </w:r>
    </w:p>
    <w:p w14:paraId="634A9774">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三、措施项目清单计价说明</w:t>
      </w:r>
    </w:p>
    <w:p w14:paraId="3FA128D0">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措施项目清单报价：指根据招标文件、图纸、国家规范、技术文件标准等内容，完成本招标项目施工，发生于该招标项目承包期内非工程实体项目费用。</w:t>
      </w:r>
    </w:p>
    <w:p w14:paraId="24A78E14">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措施项目依据《广东省建设工程计价依据（2018））》（粤建市【2019】6号计列。措施项目的实施要求须满足《建筑施工安全检查标准》(JGJ59-2011)、《施工现场环境与卫生标准》(JGJ146-2004)、广东省建设厅转发建设部关于印发《建筑工程安全防护、文明施工措施费用及使用管理规定》的通知（粤建管字[2005]116号）、关于印发《广东省建设厅建筑工程安全防护、文明施工措施费用管理办法》的通知（粤建管字[2007]39号）、广州市建设委员会关于印发《广州市建筑工程安全生产措施费管理办法》的通知(穗建筑[2003]106号)、关于修订并重新印发《广州市建设工程现场文明施工管理办法》的通知(穗建质[2008]937号）、《广州市建委关于进一步规范建设工程施工现场围蔽的通知》（穗建质[2008]1008号）、《广州市建设工程文明施工管理规定》（广州市人民政府令第62号）、《广州市城乡建设委员会关于印发广州市建设工程施工围蔽管理提升实施技术要求和标准图集的通知》（穗建质[2014]1335号）及发包人制定的相关规定的要求。</w:t>
      </w:r>
    </w:p>
    <w:p w14:paraId="4B0258ED">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发包人提出的措施项目清单是根据一般情况所列，投标人可按发包人提供的指引项目报价。如发包人提供的指引项目中没有体现但投标人认为施工中必须发生或者为完成本工程项目将会发生的其他措施费用，投标人可在指引项目的基础上增加项目列项及报价，投标人没有计算或少计算的费用，视为已综合考虑在相关费用内。投标人在报价时不得删减招标清单中的指引项目，如果投标人认为不会发生或因相关费用已综合考虑在其他项目中而没有报价的指引项目，投标人应填报“0”，实际施工时如有发生该项费用的则不予计算。措施费为综合合价包干项目，工程结算时不予调整。措施费包括但不限于以下几点：</w:t>
      </w:r>
    </w:p>
    <w:p w14:paraId="341A56C3">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1、绿色施工安全防护措施费：</w:t>
      </w:r>
    </w:p>
    <w:p w14:paraId="717F486F">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是指按照国家现行的建筑施工安全、施工现场环境与卫生标准和有关规定，购置和更新施工安全防护用具及设施、保证和改善安全生产条件及作业环境（包括看楼通道）所需要的费用，绿色施工安全防护措施费作为非竞争性报价，不低于依据省市工程造价管理机构规定费率计算所需费用总额，所有投标人按发包人公布的固定金额填报。绿色施工安全防护措施费专款专用，要求在承包人财务管理中单独列出绿色施工安全防护措施费清单备查。在中标后，承包人须针对绿色施工安全防护向发包人提交详细的施工组织设计，绿色施工安全防护的实施以发包人批准的施工组织进行，但绿色施工安全防护措施费的总价不变。</w:t>
      </w:r>
    </w:p>
    <w:p w14:paraId="3B0AC31C">
      <w:pPr>
        <w:pStyle w:val="15"/>
        <w:ind w:firstLine="496"/>
        <w:rPr>
          <w:rFonts w:hint="eastAsia" w:ascii="宋体" w:hAnsi="宋体" w:cs="宋体"/>
          <w:color w:val="auto"/>
          <w:highlight w:val="none"/>
        </w:rPr>
      </w:pPr>
      <w:r>
        <w:rPr>
          <w:rFonts w:hint="eastAsia" w:ascii="宋体" w:hAnsi="宋体" w:cs="宋体"/>
          <w:color w:val="auto"/>
          <w:highlight w:val="none"/>
        </w:rPr>
        <w:t>（1）环境保护费：指施工现场为达到环保部门要求所需要的各项费用。包括：施工现场的各种粉尘、废气、废水、固定废弃物以及噪声、振动对环境的污染和危害的控制措施费用；噪声、振动的施工机械采取减轻噪声扰民的控制措施费用；除四害、预防传染性疾病的措施费用。该费用属合价包干项目，除合同另有约定外，结算时不作调整。</w:t>
      </w:r>
    </w:p>
    <w:p w14:paraId="26EBDB85">
      <w:pPr>
        <w:pStyle w:val="15"/>
        <w:ind w:firstLine="496"/>
        <w:rPr>
          <w:rFonts w:hint="eastAsia" w:ascii="宋体" w:hAnsi="宋体" w:cs="宋体"/>
          <w:color w:val="auto"/>
          <w:highlight w:val="none"/>
        </w:rPr>
      </w:pPr>
      <w:r>
        <w:rPr>
          <w:rFonts w:hint="eastAsia" w:ascii="宋体" w:hAnsi="宋体" w:cs="宋体"/>
          <w:color w:val="auto"/>
          <w:highlight w:val="none"/>
        </w:rPr>
        <w:t>（2）文明施工费：指施工现场为达到环保部门要求所需要的各项费用。包括：现场施工围栏、围挡、围墙的搭设、维修、拆除费或摊销费；经业主审批同意的外围墙美化、场容场貌、安全警示标志、人员岗位标卡、材料堆放、垃圾存置、现场防火、企业标志、五板一图、统一服装等的设置费用。该费用属合价包干项目，除合同另有约定外，结算时不作调整。</w:t>
      </w:r>
    </w:p>
    <w:p w14:paraId="415148B2">
      <w:pPr>
        <w:pStyle w:val="15"/>
        <w:ind w:firstLine="496"/>
        <w:rPr>
          <w:rFonts w:hint="eastAsia" w:ascii="宋体" w:hAnsi="宋体" w:cs="宋体"/>
          <w:color w:val="auto"/>
          <w:highlight w:val="none"/>
        </w:rPr>
      </w:pPr>
      <w:r>
        <w:rPr>
          <w:rFonts w:hint="eastAsia" w:ascii="宋体" w:hAnsi="宋体" w:cs="宋体"/>
          <w:color w:val="auto"/>
          <w:highlight w:val="none"/>
        </w:rPr>
        <w:t>场容场貌：依据最新相关文件要求结合施工招标图纸对施工场地进行硬化，并对现场堆放的土方进行维护、管理，以保证施工现场的场容场貌。</w:t>
      </w:r>
    </w:p>
    <w:p w14:paraId="665EA429">
      <w:pPr>
        <w:pStyle w:val="15"/>
        <w:ind w:firstLine="496"/>
        <w:rPr>
          <w:rFonts w:hint="eastAsia" w:ascii="宋体" w:hAnsi="宋体" w:cs="宋体"/>
          <w:color w:val="auto"/>
          <w:highlight w:val="none"/>
        </w:rPr>
      </w:pPr>
      <w:r>
        <w:rPr>
          <w:rFonts w:hint="eastAsia" w:ascii="宋体" w:hAnsi="宋体" w:cs="宋体"/>
          <w:color w:val="auto"/>
          <w:highlight w:val="none"/>
        </w:rPr>
        <w:t>该费用属合价包干项目，除合同另有约定外，结算时不作调整。</w:t>
      </w:r>
    </w:p>
    <w:p w14:paraId="57CCAE62">
      <w:pPr>
        <w:pStyle w:val="15"/>
        <w:ind w:firstLine="496"/>
        <w:rPr>
          <w:rFonts w:hint="eastAsia" w:ascii="宋体" w:hAnsi="宋体" w:cs="宋体"/>
          <w:color w:val="auto"/>
          <w:highlight w:val="none"/>
        </w:rPr>
      </w:pPr>
      <w:r>
        <w:rPr>
          <w:rFonts w:hint="eastAsia" w:ascii="宋体" w:hAnsi="宋体" w:cs="宋体"/>
          <w:color w:val="auto"/>
          <w:highlight w:val="none"/>
        </w:rPr>
        <w:t>（3）临时设施费：指投标人（承包人）为进行建筑工程施工所必须搭设的生活和生产用的临时建筑物、构筑物和其他临时设施费用等，包括：临时宿舍、文化福利及公用事业房屋与构筑物，仓库、办公室（含会议室及相应设备设施，实施前需报方案给监理人及发包人审批）、加工厂以及招标范围内水、电、管线等临时设施和小型临时设施。临时设施费用包括临时设施的搭设、维修、拆除和摊销费，还包括因场地的实际使用情况而发生的二次或多次搬迁搭拆费用及场地租赁费（含办理用地手续费的费用）。工程竣工后，除发包人通知需移交给发包人外，投标人（承包人）在接到发包人书面通知后的一星期内无条件拆除、恢复原状、清理场地并垃圾外运。</w:t>
      </w:r>
    </w:p>
    <w:p w14:paraId="624AB83F">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受条件限制，除项目红线内的场地外，区域内无法为本项目提供临设所需的场地，需承包人自行解决，所产生成本及费用由承包人充分考虑。</w:t>
      </w:r>
    </w:p>
    <w:p w14:paraId="678B3023">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本项目场地狭窄，室外场地须同时进行售楼部园林绿化施工，承包人不得在幼儿园场地范围内布置临时办公、住宿等临时设施，材料堆场、加工场设置不得影响售楼部园林绿化施工，不得以任何形式占用场地。</w:t>
      </w:r>
    </w:p>
    <w:p w14:paraId="61C29417">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本项目只能提供项目红线内场地供投标人（承包人）使用，投标人需根据场地条件充分考虑施工现场以外的场地租赁费（含办理用地手续费的费用），包括施工现场以外的临时办公生活设施、加工场、仓库等场地的租赁及成品、半成品运送至施工现场的二次运输等所有费用，投标人报价时应综合考虑工期、附近的租赁水平、折旧、回收摊销及发包人视需要留用设施的费用。该费用属合价包干项目，除合同另有约定外，结算时不作调整。</w:t>
      </w:r>
    </w:p>
    <w:p w14:paraId="00B82D59">
      <w:pPr>
        <w:pStyle w:val="15"/>
        <w:ind w:firstLine="496"/>
        <w:rPr>
          <w:rFonts w:hint="eastAsia" w:ascii="宋体" w:hAnsi="宋体" w:cs="宋体"/>
          <w:color w:val="auto"/>
          <w:highlight w:val="none"/>
        </w:rPr>
      </w:pPr>
      <w:r>
        <w:rPr>
          <w:rFonts w:hint="eastAsia" w:ascii="宋体" w:hAnsi="宋体" w:cs="宋体"/>
          <w:color w:val="auto"/>
          <w:highlight w:val="none"/>
        </w:rPr>
        <w:t>（4）安全施工费：指施工现场安全施工所需的各项费用。包括：临边、洞口、交叉、高处作业安全防护费用，保健急救措施费用；安全帽、安全带、安全网及安全设施的检测费用；施工机具防护费用；按省市有关文件规定对建设工程实行平安卡制度所发生的各项费用。该费用属合价包干项目，除合同另有约定外，结算时不作调整。</w:t>
      </w:r>
    </w:p>
    <w:p w14:paraId="34B04D87">
      <w:pPr>
        <w:pStyle w:val="15"/>
        <w:ind w:firstLine="496"/>
        <w:rPr>
          <w:rFonts w:hint="eastAsia" w:ascii="宋体" w:hAnsi="宋体" w:cs="宋体"/>
          <w:color w:val="auto"/>
          <w:highlight w:val="none"/>
        </w:rPr>
      </w:pPr>
      <w:r>
        <w:rPr>
          <w:rFonts w:hint="eastAsia" w:ascii="宋体" w:hAnsi="宋体" w:cs="宋体"/>
          <w:color w:val="auto"/>
          <w:highlight w:val="none"/>
        </w:rPr>
        <w:t>（5）绿色施工措施费：本项目施工需严格执行绿色施工标准，投标人（承包人）必须采取经、项目监理确认的有效措施确保绿色施工。该费用属合价包干项目，除合同另有约定外，结算时不作调整。</w:t>
      </w:r>
    </w:p>
    <w:p w14:paraId="6A9B1599">
      <w:pPr>
        <w:pStyle w:val="15"/>
        <w:ind w:firstLine="496"/>
        <w:rPr>
          <w:rFonts w:hint="eastAsia" w:ascii="宋体" w:hAnsi="宋体" w:cs="宋体"/>
          <w:color w:val="auto"/>
          <w:highlight w:val="none"/>
        </w:rPr>
      </w:pPr>
      <w:r>
        <w:rPr>
          <w:rFonts w:hint="eastAsia" w:ascii="宋体" w:hAnsi="宋体" w:cs="宋体"/>
          <w:color w:val="auto"/>
          <w:highlight w:val="none"/>
        </w:rPr>
        <w:t>（6）《广州市建设工程造价管理站关于建设工程扬尘污染防治措施和用工实名管理费用计价有关事项的通知》穗建造价[2018]64号。</w:t>
      </w:r>
    </w:p>
    <w:p w14:paraId="5A9886F4">
      <w:pPr>
        <w:pStyle w:val="15"/>
        <w:ind w:firstLine="496"/>
        <w:rPr>
          <w:rFonts w:hint="eastAsia" w:ascii="宋体" w:hAnsi="宋体" w:cs="宋体"/>
          <w:color w:val="auto"/>
          <w:highlight w:val="none"/>
        </w:rPr>
      </w:pPr>
      <w:r>
        <w:rPr>
          <w:rFonts w:hint="eastAsia" w:ascii="宋体" w:hAnsi="宋体" w:cs="宋体"/>
          <w:color w:val="auto"/>
          <w:highlight w:val="none"/>
        </w:rPr>
        <w:t>施工扬尘污染防治的费用：《广东省建设工程施工扬尘污染防治管理办法（试行）》（粤办函〔2017〕708号）和《广东省住房和城乡建设厅关于采取切实措施坚决遏制施工扬尘污染的紧急通知》（粤建电发〔2018〕20号）有关要求，建筑施工企业履行职责，建立相关制度，采取措施进行施工扬尘污染防治的费用。</w:t>
      </w:r>
    </w:p>
    <w:p w14:paraId="287E243F">
      <w:pPr>
        <w:pStyle w:val="15"/>
        <w:ind w:firstLine="496"/>
        <w:rPr>
          <w:rFonts w:hint="eastAsia" w:ascii="宋体" w:hAnsi="宋体" w:cs="宋体"/>
          <w:color w:val="auto"/>
          <w:highlight w:val="none"/>
        </w:rPr>
      </w:pPr>
      <w:r>
        <w:rPr>
          <w:rFonts w:hint="eastAsia" w:ascii="宋体" w:hAnsi="宋体" w:cs="宋体"/>
          <w:color w:val="auto"/>
          <w:highlight w:val="none"/>
        </w:rPr>
        <w:t>施工现场人员建立基本信息档案、实行实名管理：《广东省房屋建筑和市政基础设施工程用工实名管理暂行办法》（粤建规范〔2018〕1号）有关要求，建筑施工企业利用信息技术手段，对施工现场人员建立基本信息档案、实行实名管理的制度产生的相关费用。</w:t>
      </w:r>
    </w:p>
    <w:p w14:paraId="0A41440E">
      <w:pPr>
        <w:pStyle w:val="15"/>
        <w:ind w:firstLine="496"/>
        <w:rPr>
          <w:rFonts w:hint="eastAsia" w:ascii="宋体" w:hAnsi="宋体" w:cs="宋体"/>
          <w:color w:val="auto"/>
          <w:highlight w:val="none"/>
        </w:rPr>
      </w:pPr>
      <w:r>
        <w:rPr>
          <w:rFonts w:hint="eastAsia" w:ascii="宋体" w:hAnsi="宋体" w:cs="宋体"/>
          <w:color w:val="auto"/>
          <w:highlight w:val="none"/>
        </w:rPr>
        <w:t>2、赶工措施费：指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发包人审核同意，承包人必须依据合同工期严密组织，切实加大投入，精装修施工应充分考虑赶工所需的模板超常规周转摊销增加材料及相关费用。该费用属合价包干项目，除合同另有约定外，结算时不作调整。</w:t>
      </w:r>
    </w:p>
    <w:p w14:paraId="04DC8549">
      <w:pPr>
        <w:pStyle w:val="15"/>
        <w:ind w:firstLine="496"/>
        <w:rPr>
          <w:rFonts w:hint="eastAsia" w:ascii="宋体" w:hAnsi="宋体" w:cs="宋体"/>
          <w:color w:val="auto"/>
          <w:highlight w:val="none"/>
        </w:rPr>
      </w:pPr>
      <w:r>
        <w:rPr>
          <w:rFonts w:hint="eastAsia" w:ascii="宋体" w:hAnsi="宋体" w:cs="宋体"/>
          <w:color w:val="auto"/>
          <w:highlight w:val="none"/>
        </w:rPr>
        <w:t>3、大型机械设备进退场及安拆费：指机械整体或分体自停放场地运至施工现场或由一个施工地点运至另一个施工地点，所发生的机械进出场运输及转移费用及机械在施工现场进行安装、拆卸所需的人工费、材料费、机械费、试运转费和安装所需的辅助设施的费用，综合考虑吊装的规格、方式等。承包人须提前进入现场，做好施工准备工作，设备闲置费用已考虑在此措施费中。该费用属合价包干项目，除合同另有约定外，结算时不作调整。</w:t>
      </w:r>
    </w:p>
    <w:p w14:paraId="1AF1FDD7">
      <w:pPr>
        <w:pStyle w:val="15"/>
        <w:ind w:firstLine="496"/>
        <w:rPr>
          <w:rFonts w:hint="eastAsia" w:ascii="宋体" w:hAnsi="宋体" w:cs="宋体"/>
          <w:color w:val="auto"/>
          <w:highlight w:val="none"/>
        </w:rPr>
      </w:pPr>
      <w:r>
        <w:rPr>
          <w:rFonts w:hint="eastAsia" w:ascii="宋体" w:hAnsi="宋体" w:cs="宋体"/>
          <w:color w:val="auto"/>
          <w:highlight w:val="none"/>
        </w:rPr>
        <w:t>4、混凝土及钢筋混凝土模板及支架费：指混凝土及钢筋混凝土施工过程中需要的各种铝模板、钢模板、木模板、模壳密肋楼板模板、支架等的支、拆、运输费用及模板、支架的摊销（或租赁）及因防火需要为模板支架淋水的费用。</w:t>
      </w:r>
    </w:p>
    <w:p w14:paraId="50A3DD0C">
      <w:pPr>
        <w:pStyle w:val="15"/>
        <w:numPr>
          <w:ilvl w:val="0"/>
          <w:numId w:val="1"/>
        </w:numPr>
        <w:ind w:firstLine="496"/>
        <w:rPr>
          <w:rFonts w:hint="eastAsia" w:ascii="宋体" w:hAnsi="宋体" w:cs="宋体"/>
          <w:color w:val="auto"/>
          <w:highlight w:val="none"/>
        </w:rPr>
      </w:pPr>
      <w:r>
        <w:rPr>
          <w:rFonts w:hint="eastAsia" w:ascii="宋体" w:hAnsi="宋体" w:cs="宋体"/>
          <w:color w:val="auto"/>
          <w:highlight w:val="none"/>
        </w:rPr>
        <w:t>脚手架搭拆及摊销费：指施工（含拆除）需要的各种脚手架（包括但不限于常规脚手架、提升爬架等）搭、拆、运输费用，相关配套设施、辅材及脚手架的摊销（或租赁）费用（不含安全防护、文明施工措施项目中的脚手架费用）。另外，脚手架的搭设必须考虑到各专业工程施工的交叉协调，由于脚手架的搭设不当而影响其他专业正常施工时，承包人进行调整和修改及因防火需要为脚手架淋水费用不予增加。该费用属合价包干项目，除合同另有约定外，结算时不作调整。综合脚手架费用需包括为完成本项目工程的任何必要的脚手架（含爬升式）、安全挡板护栏、安全网、卸料平台、架空运输通道、二次改造脚手架等工程，以及水电安装工程，并须符合安全文明施工的要求，同时也包含提供现有的或技术标规定的脚手架供其他分包商使用的费用。脚手架方案需充分考虑各专项工程工作面需求，因施工标段划分或工序施工方便导致的二次搭设费用不予补偿。</w:t>
      </w:r>
    </w:p>
    <w:p w14:paraId="3963FB30">
      <w:pPr>
        <w:pStyle w:val="15"/>
        <w:ind w:firstLine="496"/>
        <w:rPr>
          <w:rFonts w:hint="eastAsia" w:ascii="宋体" w:hAnsi="宋体" w:cs="宋体"/>
          <w:color w:val="auto"/>
          <w:highlight w:val="none"/>
        </w:rPr>
      </w:pPr>
      <w:r>
        <w:rPr>
          <w:rFonts w:hint="eastAsia" w:ascii="宋体" w:hAnsi="宋体" w:cs="宋体"/>
          <w:color w:val="auto"/>
          <w:highlight w:val="none"/>
        </w:rPr>
        <w:t>6、为配合第三方检测所发生的费用：指承包人配合发包人委托第三方检测所发生的人工、辅材、送检材料样品、机械、提供检测工作条件等配合费用，以及由承包人按技术要求采用合格材料对检测造成的孔洞等进行修补恢复及其它费用。该费用属合价包干项目，除合同另有约定外，结算时不作调整。发包人委托第三方检测项目和内容以发包人另行发包为准。</w:t>
      </w:r>
    </w:p>
    <w:p w14:paraId="4BA83482">
      <w:pPr>
        <w:pStyle w:val="15"/>
        <w:ind w:firstLine="496"/>
        <w:rPr>
          <w:rFonts w:hint="eastAsia" w:ascii="宋体" w:hAnsi="宋体" w:cs="宋体"/>
          <w:color w:val="auto"/>
          <w:highlight w:val="none"/>
        </w:rPr>
      </w:pPr>
      <w:r>
        <w:rPr>
          <w:rFonts w:hint="eastAsia" w:ascii="宋体" w:hAnsi="宋体" w:cs="宋体"/>
          <w:color w:val="auto"/>
          <w:highlight w:val="none"/>
        </w:rPr>
        <w:t>发包人委托第三方检测费用不含在投标报价内，其检测费用由发包人另行支付给第三方检测单位。由发包人委托第三方检测的项目，若一次性检测合格，则相应检测费用由发包人承担；若无法一次性检测合格，则所发生的全部检测费用及相关费用（含第一次检测费用及由于检测不合格造成复检或扩大抽检所产生的费用）均由承包人承担，且检测不合格的工程项目须由承包人免费返工直至合格为止。</w:t>
      </w:r>
    </w:p>
    <w:p w14:paraId="0EF3316D">
      <w:pPr>
        <w:pStyle w:val="15"/>
        <w:ind w:firstLine="496"/>
        <w:rPr>
          <w:rFonts w:hint="eastAsia" w:ascii="宋体" w:hAnsi="宋体" w:cs="宋体"/>
          <w:color w:val="auto"/>
          <w:highlight w:val="none"/>
        </w:rPr>
      </w:pPr>
      <w:r>
        <w:rPr>
          <w:rFonts w:hint="eastAsia" w:ascii="宋体" w:hAnsi="宋体" w:cs="宋体"/>
          <w:color w:val="auto"/>
          <w:highlight w:val="none"/>
        </w:rPr>
        <w:t>7、施工排水、降水费用：是指因本工程承包范围内施工而产生的排水、降水、地下水治理及根据现场情况（包括不限于使用及维护临近单位已有的排水设施）发生的一切费用，不包含施工雨水、污水的排除费用（在预算包干费中已考虑）。该费用属合价包干项目，除合同另有约定外，结算时不作调整。</w:t>
      </w:r>
    </w:p>
    <w:p w14:paraId="22BBE00A">
      <w:pPr>
        <w:pStyle w:val="15"/>
        <w:ind w:firstLine="496"/>
        <w:rPr>
          <w:rFonts w:hint="eastAsia" w:ascii="宋体" w:hAnsi="宋体" w:cs="宋体"/>
          <w:color w:val="auto"/>
          <w:highlight w:val="none"/>
        </w:rPr>
      </w:pPr>
      <w:r>
        <w:rPr>
          <w:rFonts w:hint="eastAsia" w:ascii="宋体" w:hAnsi="宋体" w:cs="宋体"/>
          <w:color w:val="auto"/>
          <w:highlight w:val="none"/>
        </w:rPr>
        <w:t>8、施工便道、便桥费用：是指为本工程承包范围内现场施工要求所必须的及施工管理而发生的确保场内道路畅通，满足车辆、机械运输的正常需要，进行便道、便桥搭设的费用（含拆除费用）、维持正常运行的维护维修费用，包括必须修筑的施工便道、便桥及道路两旁满足施工要求的临时排水设施的铺设和维护、以及由于施工需要而发生临时占用道路、河道的租赁、恢复等全部费用。该费用属合价包干项目，除合同另有约定外，结算时不作调整。并按设计图纸并结合永久道路的要求进行施工和维护。</w:t>
      </w:r>
    </w:p>
    <w:p w14:paraId="6A49FD50">
      <w:pPr>
        <w:pStyle w:val="15"/>
        <w:ind w:firstLine="496"/>
        <w:rPr>
          <w:rFonts w:hint="eastAsia" w:ascii="宋体" w:hAnsi="宋体" w:cs="宋体"/>
          <w:color w:val="auto"/>
          <w:highlight w:val="none"/>
        </w:rPr>
      </w:pPr>
      <w:r>
        <w:rPr>
          <w:rFonts w:hint="eastAsia" w:ascii="宋体" w:hAnsi="宋体" w:cs="宋体"/>
          <w:color w:val="auto"/>
          <w:highlight w:val="none"/>
        </w:rPr>
        <w:t>9、地下管线保护及迁移费用（含地下管线探测、施工出入口位置的地下管线保护及迁移）：是指施工时遇到红线内外地下管线（含施工出入口位置的地下管线）所发生的管线探测、避让、保护、迁移和由此停工、降效而发生的损失等全部费用。因承包人原因造成地下管线被破坏的，由承包人负责进行修复，由此引起的一切相关费用由承包人承担。该费用属合价包干项目，除合同另有约定外，结算时不作调整。</w:t>
      </w:r>
    </w:p>
    <w:p w14:paraId="7DE2364C">
      <w:pPr>
        <w:pStyle w:val="15"/>
        <w:ind w:firstLine="496"/>
        <w:rPr>
          <w:rFonts w:hint="eastAsia" w:ascii="宋体" w:hAnsi="宋体" w:cs="宋体"/>
          <w:color w:val="auto"/>
          <w:highlight w:val="none"/>
        </w:rPr>
      </w:pPr>
      <w:r>
        <w:rPr>
          <w:rFonts w:hint="eastAsia" w:ascii="宋体" w:hAnsi="宋体" w:cs="宋体"/>
          <w:color w:val="auto"/>
          <w:highlight w:val="none"/>
        </w:rPr>
        <w:t>10、地下障碍物拆除费用：是指因施工需要拆除现有道路、地下障碍物、建筑物旧基础、工程桩、砼地面等构筑物所发生的人工（或机械）拆除、建筑垃圾清运、外运石方（运距综合考虑）、任何形式的爆破、爆破后大体积砼块的解小、爆破过程的各项安全措施及相关协调、报批、恢复接顺和钢材回收等费用。该费用属合价包干项目，除合同另有约定外，结算时不作调整。</w:t>
      </w:r>
    </w:p>
    <w:p w14:paraId="1C8EB760">
      <w:pPr>
        <w:pStyle w:val="15"/>
        <w:ind w:firstLine="496"/>
        <w:rPr>
          <w:rFonts w:hint="eastAsia" w:ascii="宋体" w:hAnsi="宋体" w:cs="宋体"/>
          <w:color w:val="auto"/>
          <w:szCs w:val="28"/>
          <w:highlight w:val="none"/>
        </w:rPr>
      </w:pPr>
      <w:r>
        <w:rPr>
          <w:rFonts w:hint="eastAsia" w:ascii="宋体" w:hAnsi="宋体" w:cs="宋体"/>
          <w:color w:val="auto"/>
          <w:highlight w:val="none"/>
        </w:rPr>
        <w:t>11、</w:t>
      </w:r>
      <w:r>
        <w:rPr>
          <w:rFonts w:hint="eastAsia" w:ascii="宋体" w:hAnsi="宋体" w:cs="宋体"/>
          <w:color w:val="auto"/>
          <w:szCs w:val="28"/>
          <w:highlight w:val="none"/>
        </w:rPr>
        <w:t>垂直运输费：指建（构）筑物施工中为了将施工物料、机具、人工等自地面运送至所需高度或自其它高度运送至地面而发生的费用，该费用综合考虑运输方式、运输途径、运输路线等，包括塔吊及其基础、塔吊与墙体等建（构）筑物间的拉结连接、吊机行走线路、卷扬机、外用电梯及配合机械费用和其它运输装置等。该费用属合价包干项目，除合同另有约定外，结算时不作调整。</w:t>
      </w:r>
    </w:p>
    <w:p w14:paraId="2A1DAC40">
      <w:pPr>
        <w:pStyle w:val="15"/>
        <w:ind w:firstLine="496"/>
        <w:rPr>
          <w:rFonts w:hint="eastAsia" w:ascii="宋体" w:hAnsi="宋体" w:cs="宋体"/>
          <w:color w:val="auto"/>
          <w:highlight w:val="none"/>
        </w:rPr>
      </w:pPr>
      <w:r>
        <w:rPr>
          <w:rFonts w:hint="eastAsia" w:ascii="宋体" w:hAnsi="宋体" w:cs="宋体"/>
          <w:color w:val="auto"/>
          <w:highlight w:val="none"/>
        </w:rPr>
        <w:t>12、夜间施工增加费：指因夜间施工所发生的夜班补助费、夜间施工降效、夜间施工照明设备摊销及照明用电等费用。该费用属合价包干项目，除合同另有约定外，结算时不作调整。</w:t>
      </w:r>
    </w:p>
    <w:p w14:paraId="2064C578">
      <w:pPr>
        <w:pStyle w:val="15"/>
        <w:ind w:firstLine="496"/>
        <w:rPr>
          <w:rFonts w:hint="eastAsia" w:ascii="仿宋" w:hAnsi="仿宋" w:eastAsia="仿宋" w:cs="HiddenHorzOCR"/>
          <w:color w:val="auto"/>
          <w:szCs w:val="21"/>
          <w:highlight w:val="none"/>
        </w:rPr>
      </w:pPr>
      <w:r>
        <w:rPr>
          <w:rFonts w:hint="eastAsia" w:ascii="宋体" w:hAnsi="宋体" w:cs="宋体"/>
          <w:color w:val="auto"/>
          <w:szCs w:val="28"/>
          <w:highlight w:val="none"/>
        </w:rPr>
        <w:t>13、用户培训费：包括对发包人人员的培训等全部费用。该费用需经招标人确认后支付，如不发生则不给予支付。</w:t>
      </w:r>
    </w:p>
    <w:p w14:paraId="143F9D4A">
      <w:pPr>
        <w:pStyle w:val="15"/>
        <w:ind w:firstLine="496"/>
        <w:rPr>
          <w:rFonts w:hint="eastAsia" w:ascii="宋体" w:hAnsi="宋体" w:cs="宋体"/>
          <w:color w:val="auto"/>
          <w:szCs w:val="28"/>
          <w:highlight w:val="none"/>
        </w:rPr>
      </w:pPr>
      <w:r>
        <w:rPr>
          <w:rFonts w:hint="eastAsia" w:ascii="宋体" w:hAnsi="宋体" w:cs="宋体"/>
          <w:color w:val="auto"/>
          <w:highlight w:val="none"/>
        </w:rPr>
        <w:t>14、</w:t>
      </w:r>
      <w:r>
        <w:rPr>
          <w:rFonts w:hint="eastAsia" w:ascii="宋体" w:hAnsi="宋体" w:cs="宋体"/>
          <w:color w:val="auto"/>
          <w:szCs w:val="28"/>
          <w:highlight w:val="none"/>
        </w:rPr>
        <w:t>成品保护：范围为本标段内已完成饰面及本标段施工区域中机电末端的已完成工程；时间为饰面及机电末端完成安装时开始至业主要求拆除该保护时结束。如过程中有保护材料出现损坏，需及时修补/更换。该费用属合价包干项目，除合同另有约定外，结算时不作调整。具体的成品保护部位及做法如下：</w:t>
      </w:r>
    </w:p>
    <w:p w14:paraId="6781DB26">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1）电梯门套用满足防火要求且厚度不低于5mm的板材全包；轿厢地面用满足防火要求且厚度不低于12mm的板材满铺；轿厢立面用满足防火要求且厚度不低于5mm的板材全包围，电梯门贴保护膜；电梯厅不锈钢饰面板临时粘结满足防火要求且厚度不低于5mm的板材，高度1.8m。</w:t>
      </w:r>
    </w:p>
    <w:p w14:paraId="7BC134A4">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（2）所有饰面板临时粘结位先贴不干胶纸后再粘贴胶合板，以免粘结胶污染饰面。</w:t>
      </w:r>
    </w:p>
    <w:p w14:paraId="3E0D70BD">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（3）所有防火材料需满足防火要求。</w:t>
      </w:r>
    </w:p>
    <w:p w14:paraId="24AAD190">
      <w:pPr>
        <w:pStyle w:val="15"/>
        <w:ind w:firstLine="496"/>
        <w:rPr>
          <w:rFonts w:hint="eastAsia" w:ascii="宋体" w:hAnsi="宋体" w:cs="宋体"/>
          <w:color w:val="auto"/>
          <w:highlight w:val="none"/>
        </w:rPr>
      </w:pPr>
      <w:r>
        <w:rPr>
          <w:rFonts w:hint="eastAsia" w:ascii="宋体" w:hAnsi="宋体" w:cs="宋体"/>
          <w:color w:val="auto"/>
          <w:szCs w:val="28"/>
          <w:highlight w:val="none"/>
        </w:rPr>
        <w:t>15、</w:t>
      </w:r>
      <w:r>
        <w:rPr>
          <w:rFonts w:hint="eastAsia" w:ascii="宋体" w:hAnsi="宋体" w:cs="宋体"/>
          <w:color w:val="auto"/>
          <w:highlight w:val="none"/>
        </w:rPr>
        <w:t>开荒保洁费：投标人（承包人）响应发包人（发包人）需求，对本标段内已完成饰面及本标段施工区域中机电末端的已完成工程进行开荒保洁及日常维护费用。该费用属合价包干项目，除合同另有约定外，结算时不作调整。具体的开荒及保洁标准如下：</w:t>
      </w:r>
    </w:p>
    <w:p w14:paraId="48363F0E">
      <w:pPr>
        <w:pStyle w:val="15"/>
        <w:ind w:firstLine="496"/>
        <w:rPr>
          <w:rFonts w:hint="eastAsia" w:ascii="宋体" w:hAnsi="宋体" w:cs="宋体"/>
          <w:color w:val="auto"/>
          <w:highlight w:val="none"/>
        </w:rPr>
      </w:pPr>
      <w:r>
        <w:rPr>
          <w:rFonts w:hint="eastAsia" w:ascii="宋体" w:hAnsi="宋体" w:cs="宋体"/>
          <w:color w:val="auto"/>
          <w:highlight w:val="none"/>
        </w:rPr>
        <w:t>1）无垃圾、积水、无积灰；</w:t>
      </w:r>
    </w:p>
    <w:p w14:paraId="641DC956">
      <w:pPr>
        <w:pStyle w:val="15"/>
        <w:ind w:firstLine="496"/>
        <w:rPr>
          <w:rFonts w:hint="eastAsia" w:ascii="宋体" w:hAnsi="宋体" w:cs="宋体"/>
          <w:color w:val="auto"/>
          <w:highlight w:val="none"/>
        </w:rPr>
      </w:pPr>
      <w:r>
        <w:rPr>
          <w:rFonts w:hint="eastAsia" w:ascii="宋体" w:hAnsi="宋体" w:cs="宋体"/>
          <w:color w:val="auto"/>
          <w:highlight w:val="none"/>
        </w:rPr>
        <w:t>2）无法搬离物料码放整齐；</w:t>
      </w:r>
    </w:p>
    <w:p w14:paraId="65C1CC7F">
      <w:pPr>
        <w:pStyle w:val="15"/>
        <w:ind w:firstLine="496"/>
        <w:rPr>
          <w:rFonts w:hint="eastAsia" w:ascii="宋体" w:hAnsi="宋体" w:cs="宋体"/>
          <w:color w:val="auto"/>
          <w:highlight w:val="none"/>
        </w:rPr>
      </w:pPr>
      <w:r>
        <w:rPr>
          <w:rFonts w:hint="eastAsia" w:ascii="宋体" w:hAnsi="宋体" w:cs="宋体"/>
          <w:color w:val="auto"/>
          <w:highlight w:val="none"/>
        </w:rPr>
        <w:t>3）饰面保护措施完成，保护材料边缘整齐；</w:t>
      </w:r>
    </w:p>
    <w:p w14:paraId="56CEFF53">
      <w:pPr>
        <w:pStyle w:val="15"/>
        <w:ind w:firstLine="496"/>
        <w:rPr>
          <w:rFonts w:hint="eastAsia" w:ascii="宋体" w:hAnsi="宋体" w:cs="宋体"/>
          <w:color w:val="auto"/>
          <w:highlight w:val="none"/>
        </w:rPr>
      </w:pPr>
      <w:r>
        <w:rPr>
          <w:rFonts w:hint="eastAsia" w:ascii="宋体" w:hAnsi="宋体" w:cs="宋体"/>
          <w:color w:val="auto"/>
          <w:highlight w:val="none"/>
        </w:rPr>
        <w:t>4）见光面无明显污渍；</w:t>
      </w:r>
    </w:p>
    <w:p w14:paraId="5E25EF2A">
      <w:pPr>
        <w:pStyle w:val="15"/>
        <w:ind w:firstLine="496"/>
        <w:rPr>
          <w:rFonts w:hint="eastAsia" w:ascii="宋体" w:hAnsi="宋体" w:cs="宋体"/>
          <w:color w:val="auto"/>
          <w:highlight w:val="none"/>
        </w:rPr>
      </w:pPr>
      <w:r>
        <w:rPr>
          <w:rFonts w:hint="eastAsia" w:ascii="宋体" w:hAnsi="宋体" w:cs="宋体"/>
          <w:color w:val="auto"/>
          <w:highlight w:val="none"/>
        </w:rPr>
        <w:t>5）移交前按照图纸要求对石材进行处理；</w:t>
      </w:r>
    </w:p>
    <w:p w14:paraId="7915FEE5">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14、其他措施费用：以上措施项目没有体现的，施工中又必须发生或者投标人认为为完成本工程项目将会发生的其他措施费用，相应工程内容及其报价由投标人自列，并附单价分析。该费用属合价包干项目，除合同另有约定外，结算时不作调整。</w:t>
      </w:r>
    </w:p>
    <w:p w14:paraId="070F2523">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四、其他项目清单计价说明</w:t>
      </w:r>
    </w:p>
    <w:p w14:paraId="6B106297">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其他项目清单报价除合同约定和政府针对本项目的文件规定可以调整的以外，合同执行期内固定不变。</w:t>
      </w:r>
    </w:p>
    <w:p w14:paraId="6EA32181">
      <w:pPr>
        <w:pStyle w:val="15"/>
        <w:numPr>
          <w:ilvl w:val="0"/>
          <w:numId w:val="2"/>
        </w:numPr>
        <w:ind w:firstLine="372" w:firstLineChars="150"/>
        <w:rPr>
          <w:rFonts w:hint="eastAsia" w:ascii="宋体" w:hAnsi="宋体" w:cs="宋体"/>
          <w:color w:val="auto"/>
          <w:highlight w:val="none"/>
        </w:rPr>
      </w:pPr>
      <w:r>
        <w:rPr>
          <w:rFonts w:hint="eastAsia" w:ascii="宋体" w:hAnsi="宋体" w:cs="宋体"/>
          <w:color w:val="auto"/>
          <w:highlight w:val="none"/>
        </w:rPr>
        <w:t>预算包干费：包括以下内容：施工雨水、污水的排除；因地形、施工组织影响等因素造成的二次运输（包括场内外料具的多次搬迁）；工程用水加压措施；场地清理及垃圾外运；施工材料堆放场地的整理；补洞工作及补洞工料费；工程半成品、成品保护费；施工中的临时停水停电；日间施工照明增加费；挖土方的塌方。场地清理及垃圾外运项若投标人未按规定及时进行清运则由发包人另行委托队伍进行清运，实际清运费用由投标人承担。若专业工程投标人产生的垃圾与总承包管理单位产生的垃圾责任划分不清且不按规定及时进行清运则由发包人另行委托队伍进行清运，实际清运费用按专业工程承包单位与总承包单位各自合同造价占总合同造价的比例分摊。补洞工作（含机电安装后及各时期各类设计变更引起的补洞）指孔洞的修补、塞洞补洞、塞缝和恢复等，补洞工料费（含机电安装后及各时期各类设计变更引起的补洞工料）指孔洞的修补、塞洞补洞、</w:t>
      </w:r>
      <w:bookmarkStart w:id="30" w:name="_Hlk82771395"/>
      <w:r>
        <w:rPr>
          <w:rFonts w:hint="eastAsia" w:ascii="宋体" w:hAnsi="宋体" w:cs="宋体"/>
          <w:color w:val="auto"/>
          <w:highlight w:val="none"/>
        </w:rPr>
        <w:t>防火封堵、</w:t>
      </w:r>
      <w:bookmarkEnd w:id="30"/>
      <w:r>
        <w:rPr>
          <w:rFonts w:hint="eastAsia" w:ascii="宋体" w:hAnsi="宋体" w:cs="宋体"/>
          <w:color w:val="auto"/>
          <w:highlight w:val="none"/>
        </w:rPr>
        <w:t>塞缝和恢复费用等。预算包干费属合价包干项目，除合同另有约定外，结算时不作调整。</w:t>
      </w:r>
    </w:p>
    <w:p w14:paraId="601917DD">
      <w:pPr>
        <w:pStyle w:val="15"/>
        <w:numPr>
          <w:ilvl w:val="0"/>
          <w:numId w:val="2"/>
        </w:numPr>
        <w:ind w:firstLine="372" w:firstLineChars="150"/>
        <w:rPr>
          <w:rFonts w:hint="eastAsia" w:ascii="宋体" w:hAnsi="宋体" w:cs="宋体"/>
          <w:color w:val="auto"/>
          <w:highlight w:val="none"/>
        </w:rPr>
      </w:pPr>
      <w:r>
        <w:rPr>
          <w:rFonts w:hint="eastAsia" w:ascii="宋体" w:hAnsi="宋体" w:eastAsia="宋体" w:cs="宋体"/>
          <w:b w:val="0"/>
          <w:snapToGrid/>
          <w:color w:val="auto"/>
          <w:highlight w:val="none"/>
        </w:rPr>
        <w:t>总承包服务费（总包管理协调配合费）：广花公路以东、雅瑶中路以南CA1207006、CA1207019地块项目的施工总承包单位为中建科技集团华南有限公司，相应施工总承包合同已约定除水电费外，施工总承包单位不得以任何形式向专业分包单位收取其他费用。实际实施时由投标人（承包人）自行与施工总承包单位协商并向其缴纳水电费用。</w:t>
      </w:r>
    </w:p>
    <w:p w14:paraId="03494C60">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五、税金计价说明</w:t>
      </w:r>
    </w:p>
    <w:p w14:paraId="2E03B1C1">
      <w:pPr>
        <w:pStyle w:val="15"/>
        <w:ind w:firstLine="496"/>
        <w:rPr>
          <w:rFonts w:hint="eastAsia" w:ascii="宋体" w:hAnsi="宋体" w:cs="宋体"/>
          <w:color w:val="auto"/>
          <w:highlight w:val="none"/>
        </w:rPr>
      </w:pPr>
      <w:r>
        <w:rPr>
          <w:rFonts w:hint="eastAsia" w:ascii="宋体" w:hAnsi="宋体" w:cs="宋体"/>
          <w:color w:val="auto"/>
          <w:highlight w:val="none"/>
        </w:rPr>
        <w:t>1、税金：按照《广东省住房和城乡建设厅关于调整广东省建设工程计价依据增值税率的通知》（粤建标函【2019】819号）的规定执行，采用一般计税法计取。</w:t>
      </w:r>
    </w:p>
    <w:p w14:paraId="5EC6F967">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六、其它说明</w:t>
      </w:r>
    </w:p>
    <w:p w14:paraId="72404152">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、招标控制价已按照《广州市建设工程造价管理站关于202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7</w:t>
      </w:r>
      <w:r>
        <w:rPr>
          <w:rFonts w:hint="eastAsia" w:ascii="宋体" w:hAnsi="宋体" w:cs="宋体"/>
          <w:color w:val="auto"/>
          <w:highlight w:val="none"/>
        </w:rPr>
        <w:t>月份广州市建设工程价格信息及有关计价办法的通知》（穗建造价（202</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111</w:t>
      </w:r>
      <w:r>
        <w:rPr>
          <w:rFonts w:hint="eastAsia" w:ascii="宋体" w:hAnsi="宋体" w:cs="宋体"/>
          <w:color w:val="auto"/>
          <w:highlight w:val="none"/>
        </w:rPr>
        <w:t>号文）考虑人工费调整系数。投标人综合考虑上述调整系数进行报价，后续人工费不再进行调整。</w:t>
      </w:r>
    </w:p>
    <w:p w14:paraId="3A603F89">
      <w:pPr>
        <w:pStyle w:val="16"/>
        <w:spacing w:before="120" w:after="120" w:line="360" w:lineRule="auto"/>
        <w:jc w:val="both"/>
        <w:outlineLvl w:val="0"/>
        <w:rPr>
          <w:rFonts w:hint="eastAsia" w:ascii="宋体" w:eastAsia="宋体" w:cs="宋体"/>
          <w:color w:val="auto"/>
          <w:highlight w:val="none"/>
        </w:rPr>
      </w:pPr>
      <w:bookmarkStart w:id="31" w:name="_Toc194486385"/>
      <w:bookmarkStart w:id="32" w:name="_Toc11098"/>
      <w:bookmarkStart w:id="33" w:name="_Toc17103"/>
      <w:bookmarkStart w:id="34" w:name="_Toc1140"/>
      <w:bookmarkStart w:id="35" w:name="_Toc28001"/>
      <w:bookmarkStart w:id="36" w:name="_Toc468402717"/>
    </w:p>
    <w:p w14:paraId="3B1F2010">
      <w:pPr>
        <w:pStyle w:val="16"/>
        <w:spacing w:before="120" w:after="120" w:line="360" w:lineRule="auto"/>
        <w:jc w:val="center"/>
        <w:outlineLvl w:val="0"/>
        <w:rPr>
          <w:rFonts w:hint="eastAsia" w:ascii="宋体" w:eastAsia="宋体" w:cs="宋体"/>
          <w:color w:val="auto"/>
          <w:highlight w:val="none"/>
        </w:rPr>
      </w:pPr>
      <w:r>
        <w:rPr>
          <w:rFonts w:hint="eastAsia" w:ascii="宋体" w:eastAsia="宋体" w:cs="宋体"/>
          <w:color w:val="auto"/>
          <w:highlight w:val="none"/>
        </w:rPr>
        <w:t>第二节工程量清单计价补充规定</w:t>
      </w:r>
      <w:bookmarkEnd w:id="31"/>
      <w:bookmarkEnd w:id="32"/>
      <w:bookmarkEnd w:id="33"/>
      <w:bookmarkEnd w:id="34"/>
      <w:bookmarkEnd w:id="35"/>
      <w:bookmarkEnd w:id="36"/>
    </w:p>
    <w:p w14:paraId="666A0DE5">
      <w:pPr>
        <w:pStyle w:val="16"/>
        <w:spacing w:before="120" w:after="120" w:line="360" w:lineRule="auto"/>
        <w:outlineLvl w:val="0"/>
        <w:rPr>
          <w:rFonts w:hint="eastAsia" w:ascii="宋体" w:eastAsia="宋体" w:cs="宋体"/>
          <w:color w:val="auto"/>
          <w:highlight w:val="none"/>
        </w:rPr>
      </w:pPr>
      <w:bookmarkStart w:id="37" w:name="_Toc28016"/>
      <w:bookmarkStart w:id="38" w:name="_Toc194486386"/>
      <w:bookmarkStart w:id="39" w:name="_Toc14759"/>
      <w:bookmarkStart w:id="40" w:name="_Toc468402718"/>
      <w:bookmarkStart w:id="41" w:name="_Toc20939"/>
      <w:bookmarkStart w:id="42" w:name="_Toc2916"/>
      <w:r>
        <w:rPr>
          <w:rFonts w:hint="eastAsia" w:ascii="宋体" w:eastAsia="宋体" w:cs="宋体"/>
          <w:b w:val="0"/>
          <w:color w:val="auto"/>
          <w:szCs w:val="28"/>
          <w:highlight w:val="none"/>
        </w:rPr>
        <w:t>一</w:t>
      </w:r>
      <w:r>
        <w:rPr>
          <w:rFonts w:hint="eastAsia" w:ascii="宋体" w:eastAsia="宋体" w:cs="宋体"/>
          <w:color w:val="auto"/>
          <w:highlight w:val="none"/>
        </w:rPr>
        <w:t>、通用项目</w:t>
      </w:r>
      <w:bookmarkEnd w:id="37"/>
      <w:bookmarkEnd w:id="38"/>
      <w:bookmarkEnd w:id="39"/>
      <w:bookmarkEnd w:id="40"/>
      <w:bookmarkEnd w:id="41"/>
      <w:bookmarkEnd w:id="42"/>
    </w:p>
    <w:p w14:paraId="0DA3F92A">
      <w:pPr>
        <w:pStyle w:val="15"/>
        <w:ind w:firstLine="372" w:firstLineChars="150"/>
        <w:rPr>
          <w:rFonts w:hint="eastAsia" w:ascii="宋体" w:hAnsi="宋体" w:cs="宋体"/>
          <w:color w:val="auto"/>
          <w:highlight w:val="none"/>
        </w:rPr>
      </w:pPr>
      <w:r>
        <w:rPr>
          <w:rFonts w:hint="eastAsia" w:ascii="宋体" w:hAnsi="宋体" w:cs="宋体"/>
          <w:color w:val="auto"/>
          <w:highlight w:val="none"/>
        </w:rPr>
        <w:t>请投标人做好现场踏勘及本项目（地质报告）的研读，本项目所有场地换填（加固）均综合考虑在相应单项工程综合单价中，现场不再另增加任何费用。</w:t>
      </w:r>
    </w:p>
    <w:p w14:paraId="6D78F3F9">
      <w:pPr>
        <w:pStyle w:val="16"/>
        <w:spacing w:before="120" w:after="120" w:line="360" w:lineRule="auto"/>
        <w:outlineLvl w:val="0"/>
        <w:rPr>
          <w:rFonts w:hint="eastAsia" w:ascii="宋体" w:eastAsia="宋体" w:cs="宋体"/>
          <w:color w:val="auto"/>
          <w:highlight w:val="none"/>
        </w:rPr>
      </w:pPr>
      <w:bookmarkStart w:id="43" w:name="_Toc194486388"/>
      <w:bookmarkStart w:id="44" w:name="_Toc7062"/>
      <w:bookmarkStart w:id="45" w:name="_Toc3390"/>
      <w:bookmarkStart w:id="46" w:name="_Toc8821"/>
      <w:bookmarkStart w:id="47" w:name="_Toc14666"/>
      <w:bookmarkStart w:id="48" w:name="_Toc468402721"/>
      <w:r>
        <w:rPr>
          <w:rFonts w:hint="eastAsia" w:ascii="宋体" w:eastAsia="宋体" w:cs="宋体"/>
          <w:color w:val="auto"/>
          <w:highlight w:val="none"/>
          <w:lang w:val="en-US" w:eastAsia="zh-CN"/>
        </w:rPr>
        <w:t>1</w:t>
      </w:r>
      <w:r>
        <w:rPr>
          <w:rFonts w:hint="eastAsia" w:ascii="宋体" w:eastAsia="宋体" w:cs="宋体"/>
          <w:color w:val="auto"/>
          <w:highlight w:val="none"/>
        </w:rPr>
        <w:t>、挖沟槽基坑土石方清单项目</w:t>
      </w:r>
      <w:bookmarkEnd w:id="43"/>
      <w:bookmarkEnd w:id="44"/>
      <w:bookmarkEnd w:id="45"/>
      <w:bookmarkEnd w:id="46"/>
      <w:bookmarkEnd w:id="47"/>
      <w:bookmarkEnd w:id="48"/>
    </w:p>
    <w:p w14:paraId="5434981C">
      <w:pPr>
        <w:pStyle w:val="15"/>
        <w:ind w:firstLine="496"/>
        <w:rPr>
          <w:rFonts w:hint="eastAsia" w:ascii="宋体" w:hAnsi="宋体" w:cs="宋体"/>
          <w:color w:val="auto"/>
          <w:highlight w:val="none"/>
        </w:rPr>
      </w:pPr>
      <w:r>
        <w:rPr>
          <w:rFonts w:hint="eastAsia" w:ascii="宋体" w:hAnsi="宋体" w:cs="宋体"/>
          <w:color w:val="auto"/>
          <w:highlight w:val="none"/>
        </w:rPr>
        <w:t>（1）挖运沟槽基坑土石方指基础梁、承台、电梯坑、排水管沟、挡土墙、集水井、建筑物基础、换填开挖沟槽基坑部位的土方。</w:t>
      </w:r>
    </w:p>
    <w:p w14:paraId="00BC3F5F">
      <w:pPr>
        <w:pStyle w:val="15"/>
        <w:ind w:firstLine="496"/>
        <w:rPr>
          <w:rFonts w:hint="eastAsia" w:ascii="宋体" w:hAnsi="宋体" w:cs="宋体"/>
          <w:color w:val="auto"/>
          <w:highlight w:val="none"/>
        </w:rPr>
      </w:pPr>
      <w:r>
        <w:rPr>
          <w:rFonts w:hint="eastAsia" w:ascii="宋体" w:hAnsi="宋体" w:cs="宋体"/>
          <w:color w:val="auto"/>
          <w:highlight w:val="none"/>
        </w:rPr>
        <w:t>（2）挖运沟槽基坑土石方计价综合考虑土质类别（含淤泥、混凝土垫层）、石方比例及类别、干湿程度、开挖方式、排障及迁移、垂直运土高度、运输方式、场内外运距、二次转运、土方的转堆、放坡及支护方式（挡土板）、桩间土方、沟槽基坑支护的变形监测、地下作业中的安全防护和监测费用等计算，包括将挖方运到可利用的地方及可能发生的翻挖、倒运、整修的费用、环保费用，为完成土方挖运所做的错台开挖、斜坡开挖、预留工作面、地面清表、排障（如清除废旧基础、树根等）、基底钎探（不含文物保护）、以及可能发生的塌方、沉降、在支撑或支护下挖土、防排水措施及为方便土方挖运而修筑的临时道路等费用。</w:t>
      </w:r>
    </w:p>
    <w:p w14:paraId="50D7C0C7">
      <w:pPr>
        <w:pStyle w:val="15"/>
        <w:ind w:firstLine="496"/>
        <w:rPr>
          <w:rFonts w:hint="eastAsia" w:ascii="宋体" w:hAnsi="宋体" w:cs="宋体"/>
          <w:color w:val="auto"/>
          <w:highlight w:val="none"/>
        </w:rPr>
      </w:pPr>
      <w:r>
        <w:rPr>
          <w:rFonts w:hint="eastAsia" w:ascii="宋体" w:hAnsi="宋体" w:cs="宋体"/>
          <w:color w:val="auto"/>
          <w:highlight w:val="none"/>
        </w:rPr>
        <w:t>（3）挖运沟槽基坑土石方计量按设计图示尺寸以基础垫层底面积乘以挖土深度，以立方米计算。设计明确的放坡和定额规定的工作面增加的工程量计入清单工程量中，因施工单位开挖措施发生的工作面和放坡增加的工程量及相应费用均包含在综合单价中。挖土深度按施工单位进场时的联测标高至设计垫层底标高计算。</w:t>
      </w:r>
    </w:p>
    <w:p w14:paraId="000B8503">
      <w:pPr>
        <w:pStyle w:val="16"/>
        <w:spacing w:before="120" w:after="120" w:line="360" w:lineRule="auto"/>
        <w:outlineLvl w:val="0"/>
        <w:rPr>
          <w:rFonts w:hint="eastAsia" w:ascii="宋体" w:eastAsia="宋体" w:cs="宋体"/>
          <w:color w:val="auto"/>
          <w:highlight w:val="none"/>
        </w:rPr>
      </w:pPr>
      <w:bookmarkStart w:id="49" w:name="_Toc248399707"/>
      <w:bookmarkStart w:id="50" w:name="_Toc468402723"/>
      <w:bookmarkStart w:id="51" w:name="_Toc13725"/>
      <w:bookmarkStart w:id="52" w:name="_Toc2878"/>
      <w:bookmarkStart w:id="53" w:name="_Toc14981"/>
      <w:bookmarkStart w:id="54" w:name="_Toc13194"/>
      <w:bookmarkStart w:id="55" w:name="_Toc194486392"/>
      <w:r>
        <w:rPr>
          <w:rFonts w:hint="eastAsia" w:ascii="宋体" w:eastAsia="宋体" w:cs="宋体"/>
          <w:color w:val="auto"/>
          <w:highlight w:val="none"/>
          <w:lang w:val="en-US" w:eastAsia="zh-CN"/>
        </w:rPr>
        <w:t>2</w:t>
      </w:r>
      <w:r>
        <w:rPr>
          <w:rFonts w:hint="eastAsia" w:ascii="宋体" w:eastAsia="宋体" w:cs="宋体"/>
          <w:color w:val="auto"/>
          <w:highlight w:val="none"/>
        </w:rPr>
        <w:t>、余泥渣土场外运输清单项目</w:t>
      </w:r>
      <w:bookmarkEnd w:id="49"/>
      <w:bookmarkEnd w:id="50"/>
      <w:bookmarkEnd w:id="51"/>
      <w:bookmarkEnd w:id="52"/>
      <w:bookmarkEnd w:id="53"/>
      <w:bookmarkEnd w:id="54"/>
    </w:p>
    <w:p w14:paraId="54FA868D">
      <w:pPr>
        <w:pStyle w:val="15"/>
        <w:ind w:firstLine="496"/>
        <w:rPr>
          <w:rFonts w:hint="eastAsia" w:ascii="宋体" w:hAnsi="宋体" w:cs="宋体"/>
          <w:color w:val="auto"/>
          <w:highlight w:val="none"/>
        </w:rPr>
      </w:pPr>
      <w:bookmarkStart w:id="56" w:name="_Toc488330387"/>
      <w:bookmarkStart w:id="57" w:name="_Toc5268"/>
      <w:bookmarkStart w:id="58" w:name="_Toc440446322"/>
      <w:bookmarkStart w:id="59" w:name="_Toc15777"/>
      <w:bookmarkStart w:id="60" w:name="_Toc3696"/>
      <w:bookmarkStart w:id="61" w:name="_Toc3799"/>
      <w:bookmarkStart w:id="62" w:name="_Toc1427"/>
      <w:bookmarkStart w:id="63" w:name="_Toc22014"/>
      <w:bookmarkStart w:id="64" w:name="_Toc271"/>
      <w:bookmarkStart w:id="65" w:name="_Toc468402728"/>
      <w:r>
        <w:rPr>
          <w:rFonts w:hint="eastAsia" w:ascii="宋体" w:hAnsi="宋体" w:cs="宋体"/>
          <w:color w:val="auto"/>
          <w:highlight w:val="none"/>
        </w:rPr>
        <w:t>（1）余泥渣土场外运输是指根据工程建设实际情况将场地内多余土石方外运所发生的运输费用。余泥渣土场外运输费用，在预算包干费、拆除项目及其它相关项目中已计取的不另计入，场地内土石方挖填、转堆、运输等不计取该费用。</w:t>
      </w:r>
    </w:p>
    <w:p w14:paraId="2A08AD7C">
      <w:pPr>
        <w:pStyle w:val="15"/>
        <w:ind w:firstLine="496"/>
        <w:rPr>
          <w:rFonts w:hint="eastAsia" w:ascii="宋体" w:hAnsi="宋体" w:cs="宋体"/>
          <w:color w:val="auto"/>
          <w:highlight w:val="none"/>
        </w:rPr>
      </w:pPr>
      <w:r>
        <w:rPr>
          <w:rFonts w:hint="eastAsia" w:ascii="宋体" w:hAnsi="宋体" w:cs="宋体"/>
          <w:color w:val="auto"/>
          <w:highlight w:val="none"/>
        </w:rPr>
        <w:t>（2）余泥渣土场外运输费用的计取规定</w:t>
      </w:r>
    </w:p>
    <w:p w14:paraId="29F4427E">
      <w:pPr>
        <w:pStyle w:val="15"/>
        <w:ind w:firstLine="496"/>
        <w:rPr>
          <w:rFonts w:hint="eastAsia" w:ascii="宋体" w:hAnsi="宋体" w:cs="宋体"/>
          <w:color w:val="auto"/>
          <w:highlight w:val="none"/>
        </w:rPr>
      </w:pPr>
      <w:r>
        <w:rPr>
          <w:rFonts w:hint="eastAsia" w:ascii="宋体" w:hAnsi="宋体" w:cs="宋体"/>
          <w:color w:val="auto"/>
          <w:highlight w:val="none"/>
        </w:rPr>
        <w:t>1）计价综合考虑土石比例、装卸方式、垂直运输、场外运输、场外道路等，工作内容包括但不限于土石方场外运输（含泥浆池内土方）、泥浆池砌筑及拆除、排障、协调等。</w:t>
      </w:r>
    </w:p>
    <w:p w14:paraId="1AA7AA73">
      <w:pPr>
        <w:pStyle w:val="15"/>
        <w:ind w:firstLine="496"/>
        <w:rPr>
          <w:rFonts w:hint="eastAsia" w:ascii="宋体" w:hAnsi="宋体" w:cs="宋体"/>
          <w:color w:val="auto"/>
          <w:highlight w:val="none"/>
        </w:rPr>
      </w:pPr>
      <w:r>
        <w:rPr>
          <w:rFonts w:hint="eastAsia" w:ascii="宋体" w:hAnsi="宋体" w:cs="宋体"/>
          <w:color w:val="auto"/>
          <w:highlight w:val="none"/>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p w14:paraId="4B86FE75">
      <w:pPr>
        <w:pStyle w:val="16"/>
        <w:spacing w:before="120" w:after="120" w:line="360" w:lineRule="auto"/>
        <w:outlineLvl w:val="0"/>
        <w:rPr>
          <w:rFonts w:hint="eastAsia" w:ascii="宋体" w:eastAsia="宋体" w:cs="宋体"/>
          <w:color w:val="auto"/>
          <w:highlight w:val="none"/>
        </w:rPr>
      </w:pPr>
      <w:r>
        <w:rPr>
          <w:rFonts w:hint="eastAsia" w:ascii="宋体" w:eastAsia="宋体" w:cs="宋体"/>
          <w:color w:val="auto"/>
          <w:highlight w:val="none"/>
          <w:lang w:val="en-US" w:eastAsia="zh-CN"/>
        </w:rPr>
        <w:t>3</w:t>
      </w:r>
      <w:r>
        <w:rPr>
          <w:rFonts w:hint="eastAsia" w:ascii="宋体" w:eastAsia="宋体" w:cs="宋体"/>
          <w:color w:val="auto"/>
          <w:highlight w:val="none"/>
        </w:rPr>
        <w:t>、回填</w:t>
      </w:r>
      <w:bookmarkEnd w:id="56"/>
      <w:bookmarkEnd w:id="57"/>
      <w:bookmarkEnd w:id="58"/>
      <w:bookmarkEnd w:id="59"/>
      <w:bookmarkEnd w:id="60"/>
      <w:r>
        <w:rPr>
          <w:rFonts w:hint="eastAsia" w:ascii="宋体" w:eastAsia="宋体" w:cs="宋体"/>
          <w:color w:val="auto"/>
          <w:highlight w:val="none"/>
        </w:rPr>
        <w:t>清单项目</w:t>
      </w:r>
    </w:p>
    <w:p w14:paraId="14DCA93F">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（1）土方回填时，综合考虑</w:t>
      </w:r>
      <w:bookmarkStart w:id="66" w:name="_Hlk84497445"/>
      <w:r>
        <w:rPr>
          <w:rFonts w:hint="eastAsia" w:ascii="宋体" w:eastAsia="宋体" w:cs="宋体"/>
          <w:b w:val="0"/>
          <w:bCs w:val="0"/>
          <w:color w:val="auto"/>
          <w:highlight w:val="none"/>
        </w:rPr>
        <w:t>土方</w:t>
      </w:r>
      <w:bookmarkEnd w:id="66"/>
      <w:r>
        <w:rPr>
          <w:rFonts w:hint="eastAsia" w:ascii="宋体" w:eastAsia="宋体" w:cs="宋体"/>
          <w:b w:val="0"/>
          <w:bCs w:val="0"/>
          <w:color w:val="auto"/>
          <w:highlight w:val="none"/>
        </w:rPr>
        <w:t>回填室外地坪、地下室、沟槽基坑土方、基础回填、房心回填、侧壁回填、顶板回填、</w:t>
      </w:r>
      <w:r>
        <w:rPr>
          <w:rFonts w:hint="eastAsia" w:ascii="宋体" w:eastAsia="宋体" w:cs="宋体"/>
          <w:b w:val="0"/>
          <w:color w:val="auto"/>
          <w:highlight w:val="none"/>
        </w:rPr>
        <w:t>综合场地回填</w:t>
      </w:r>
      <w:r>
        <w:rPr>
          <w:rFonts w:hint="eastAsia" w:ascii="宋体" w:eastAsia="宋体" w:cs="宋体"/>
          <w:b w:val="0"/>
          <w:bCs w:val="0"/>
          <w:color w:val="auto"/>
          <w:highlight w:val="none"/>
        </w:rPr>
        <w:t>清单项目。</w:t>
      </w:r>
    </w:p>
    <w:p w14:paraId="70558816">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（2）土方回填计价按综合考虑利用土（包括</w:t>
      </w:r>
      <w:bookmarkStart w:id="67" w:name="_Hlk83200605"/>
      <w:r>
        <w:rPr>
          <w:rFonts w:hint="eastAsia" w:ascii="宋体" w:eastAsia="宋体" w:cs="宋体"/>
          <w:b w:val="0"/>
          <w:bCs w:val="0"/>
          <w:color w:val="auto"/>
          <w:highlight w:val="none"/>
        </w:rPr>
        <w:t>项目内</w:t>
      </w:r>
      <w:bookmarkEnd w:id="67"/>
      <w:r>
        <w:rPr>
          <w:rFonts w:hint="eastAsia" w:ascii="宋体" w:eastAsia="宋体" w:cs="宋体"/>
          <w:b w:val="0"/>
          <w:bCs w:val="0"/>
          <w:color w:val="auto"/>
          <w:highlight w:val="none"/>
        </w:rPr>
        <w:t>土方调配、其他区域土方等）、各类土质、密实度、回填方式、可能发生的场内外二次转运等计算，包括将沟槽（坑）修整、回填、分层碾压及可能发生的翻挖、翻晒、倒运、整修等相关费用。</w:t>
      </w:r>
    </w:p>
    <w:p w14:paraId="1C52A8A8">
      <w:pPr>
        <w:pStyle w:val="15"/>
        <w:ind w:firstLine="496"/>
        <w:rPr>
          <w:rFonts w:hint="eastAsia" w:ascii="宋体" w:hAnsi="宋体" w:cs="宋体"/>
          <w:color w:val="auto"/>
          <w:highlight w:val="none"/>
        </w:rPr>
      </w:pPr>
      <w:r>
        <w:rPr>
          <w:rFonts w:hint="eastAsia" w:ascii="宋体" w:hAnsi="宋体" w:cs="宋体"/>
          <w:bCs/>
          <w:color w:val="auto"/>
          <w:highlight w:val="none"/>
        </w:rPr>
        <w:t>投标人须综合考虑项目土方回填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2A1D07D4">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3）地下室、沟槽基坑土方回填计量按设计基础垫层底面积乘以回填高度，扣减基础、构筑物等埋入体积，以立方米计算。沟槽基坑回填中设计明确的放坡、定额规定的工作面增加的回填量计入清单工程量中，施工措施产生的工作面、放坡增加的回填量均包含在综合单价中；地下室回填中定额规定的工作面增加的回填量计入清单工程量中。</w:t>
      </w:r>
    </w:p>
    <w:bookmarkEnd w:id="61"/>
    <w:bookmarkEnd w:id="62"/>
    <w:bookmarkEnd w:id="63"/>
    <w:bookmarkEnd w:id="64"/>
    <w:bookmarkEnd w:id="65"/>
    <w:p w14:paraId="36C21ED7">
      <w:pPr>
        <w:pStyle w:val="15"/>
        <w:ind w:firstLine="496"/>
        <w:rPr>
          <w:rFonts w:hint="eastAsia" w:ascii="宋体" w:hAnsi="宋体" w:cs="宋体"/>
          <w:color w:val="auto"/>
          <w:highlight w:val="none"/>
        </w:rPr>
      </w:pPr>
      <w:r>
        <w:rPr>
          <w:rFonts w:hint="eastAsia" w:ascii="宋体" w:hAnsi="宋体" w:cs="宋体"/>
          <w:color w:val="auto"/>
          <w:highlight w:val="none"/>
        </w:rPr>
        <w:t>（4）室外回填的工程量按五方联测标高至设计回填面标高，按立方米计量，以专业单位测量结果为准。</w:t>
      </w:r>
    </w:p>
    <w:bookmarkEnd w:id="55"/>
    <w:p w14:paraId="5025FB3E">
      <w:pPr>
        <w:pStyle w:val="16"/>
        <w:spacing w:before="120" w:after="120" w:line="360" w:lineRule="auto"/>
        <w:rPr>
          <w:rFonts w:hint="eastAsia" w:ascii="宋体" w:eastAsia="宋体" w:cs="宋体"/>
          <w:color w:val="auto"/>
          <w:highlight w:val="none"/>
        </w:rPr>
      </w:pPr>
      <w:bookmarkStart w:id="68" w:name="_Toc2390"/>
      <w:bookmarkStart w:id="69" w:name="_Toc194486397"/>
      <w:bookmarkStart w:id="70" w:name="_Toc17371"/>
      <w:bookmarkStart w:id="71" w:name="_Toc468402730"/>
      <w:bookmarkStart w:id="72" w:name="_Toc20912"/>
      <w:bookmarkStart w:id="73" w:name="_Toc12156"/>
      <w:r>
        <w:rPr>
          <w:rFonts w:hint="eastAsia" w:ascii="宋体" w:eastAsia="宋体" w:cs="宋体"/>
          <w:color w:val="auto"/>
          <w:highlight w:val="none"/>
          <w:lang w:val="en-US" w:eastAsia="zh-CN"/>
        </w:rPr>
        <w:t>4</w:t>
      </w:r>
      <w:r>
        <w:rPr>
          <w:rFonts w:hint="eastAsia" w:ascii="宋体" w:eastAsia="宋体" w:cs="宋体"/>
          <w:color w:val="auto"/>
          <w:highlight w:val="none"/>
        </w:rPr>
        <w:t>、</w:t>
      </w:r>
      <w:r>
        <w:rPr>
          <w:rFonts w:hint="eastAsia" w:ascii="宋体" w:eastAsia="宋体" w:cs="宋体"/>
          <w:color w:val="auto"/>
          <w:highlight w:val="none"/>
          <w:lang w:val="en-US" w:eastAsia="zh-CN"/>
        </w:rPr>
        <w:t>回填</w:t>
      </w:r>
      <w:r>
        <w:rPr>
          <w:rFonts w:hint="eastAsia" w:ascii="宋体" w:eastAsia="宋体" w:cs="宋体"/>
          <w:color w:val="auto"/>
          <w:highlight w:val="none"/>
        </w:rPr>
        <w:t>清单项目</w:t>
      </w:r>
      <w:bookmarkEnd w:id="68"/>
      <w:bookmarkEnd w:id="69"/>
      <w:bookmarkEnd w:id="70"/>
      <w:bookmarkEnd w:id="71"/>
      <w:bookmarkEnd w:id="72"/>
      <w:bookmarkEnd w:id="73"/>
    </w:p>
    <w:p w14:paraId="5C244AE5">
      <w:pPr>
        <w:pStyle w:val="15"/>
        <w:ind w:firstLine="496"/>
        <w:rPr>
          <w:rFonts w:hint="eastAsia" w:ascii="宋体" w:hAnsi="宋体" w:cs="宋体"/>
          <w:color w:val="auto"/>
          <w:highlight w:val="none"/>
        </w:rPr>
      </w:pPr>
      <w:r>
        <w:rPr>
          <w:rFonts w:hint="eastAsia" w:ascii="宋体" w:hAnsi="宋体" w:cs="宋体"/>
          <w:color w:val="auto"/>
          <w:highlight w:val="none"/>
        </w:rPr>
        <w:t>（1）计价综合考虑构件截面形式、尺寸、施工高度、铺筑厚度、方式、粒径、材料运距、材料来源、基层夯实等，包括拌和、铺筑、找平、材料运距及按图纸和规范而进行、完成和维护、因施工工艺需要掺外加剂、泵送混凝土增加费用、装配式工艺引起人工、机械降效率等相关费用。</w:t>
      </w:r>
    </w:p>
    <w:p w14:paraId="0164538A">
      <w:pPr>
        <w:pStyle w:val="15"/>
        <w:ind w:firstLine="496"/>
        <w:rPr>
          <w:rFonts w:hint="eastAsia" w:ascii="宋体" w:hAnsi="宋体" w:cs="宋体"/>
          <w:color w:val="auto"/>
          <w:highlight w:val="none"/>
        </w:rPr>
      </w:pPr>
      <w:r>
        <w:rPr>
          <w:rFonts w:hint="eastAsia" w:ascii="宋体" w:hAnsi="宋体" w:cs="宋体"/>
          <w:color w:val="auto"/>
          <w:highlight w:val="none"/>
        </w:rPr>
        <w:t>（2）计量按设计图示尺寸以立方米计算，须综合考虑场地土换填土（加固）费用。</w:t>
      </w:r>
      <w:bookmarkStart w:id="74" w:name="_Toc374629673"/>
    </w:p>
    <w:p w14:paraId="5655581D">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5.砌体清单项目</w:t>
      </w:r>
    </w:p>
    <w:p w14:paraId="25C9CD8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墙砌体计价综合考虑墙体类型（外墙、内墙、围墙、直形墙、弧形墙及墙柱等）、厚度、高度、勾缝、砌筑砂浆种类、配合比等，包括砂浆制作、砌块、勾缝、材料运输等相关费用。预埋木件及防腐、预留孔洞、砖过梁、门窗洞口的素砼垫块等不另行计量。</w:t>
      </w:r>
    </w:p>
    <w:p w14:paraId="51606E8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2）墙砌体计量分不同材料，按设计图示尺寸以立方米计算。砖砌风道及管道井均按砖墙计量。</w:t>
      </w:r>
    </w:p>
    <w:p w14:paraId="0B4CA30A">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3）当砌体材料发生变更时，只调整砌体材料的价差。</w:t>
      </w:r>
    </w:p>
    <w:p w14:paraId="653F2A1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4）砌体构造要求（砌体拉结筋等）及砌筑标准做法涉及的砼预制块应符合设计图纸、规范要求（如砌墙时顶梁砖斜砌、墙体根部水泥砖的排砖情况等），投标单位需在投标中综合考虑，不单独计取费用。</w:t>
      </w:r>
    </w:p>
    <w:p w14:paraId="1613253A">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7.混凝土及钢筋混凝土工程</w:t>
      </w:r>
    </w:p>
    <w:p w14:paraId="4875695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bookmarkStart w:id="75" w:name="_Toc20149"/>
      <w:bookmarkEnd w:id="75"/>
      <w:bookmarkStart w:id="76" w:name="_Toc21623"/>
      <w:bookmarkEnd w:id="76"/>
      <w:bookmarkStart w:id="77" w:name="_Toc16879"/>
      <w:bookmarkEnd w:id="77"/>
      <w:bookmarkStart w:id="78" w:name="_Toc188122915"/>
      <w:bookmarkEnd w:id="78"/>
      <w:bookmarkStart w:id="79" w:name="_Toc468402758"/>
      <w:bookmarkEnd w:id="79"/>
      <w:bookmarkStart w:id="80" w:name="_Toc19851"/>
      <w:bookmarkEnd w:id="80"/>
      <w:bookmarkStart w:id="81" w:name="_Toc188110589"/>
      <w:r>
        <w:rPr>
          <w:rFonts w:hint="eastAsia" w:ascii="宋体" w:hAnsi="宋体" w:eastAsia="宋体" w:cs="宋体"/>
          <w:b/>
          <w:bCs w:val="0"/>
          <w:snapToGrid/>
          <w:color w:val="auto"/>
          <w:spacing w:val="4"/>
          <w:kern w:val="0"/>
          <w:sz w:val="24"/>
          <w:szCs w:val="24"/>
          <w:highlight w:val="none"/>
          <w:lang w:val="en-US" w:eastAsia="zh-CN" w:bidi="ar"/>
        </w:rPr>
        <w:t>（1）共性问题的说明</w:t>
      </w:r>
      <w:bookmarkEnd w:id="81"/>
    </w:p>
    <w:p w14:paraId="22AD06B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计价综合考虑构件截面形式、尺寸、施工高度、混凝土拌和要求、骨料粒径及因施工工艺需要掺外加剂，包括混凝土全部作业（制作、运输、浇筑、振捣、养护等），以及可能发生的预留孔洞、凿毛、浇水泥浆、施工缝使用的橡胶止水带、或遇水膨胀止水条、不同标号混凝土之间的分隔处理及其他满足施工需要的措施等相关费用。</w:t>
      </w:r>
    </w:p>
    <w:p w14:paraId="56BF45B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混凝土计量分不同结构类型（包括垫层、基础、柱、梁、板、楼梯、电缆沟、地沟、零星构件等）及混凝土强度等级划分，按设计图示尺寸以立方米计算，不扣除构件内钢筋，预埋铁件、预留压浆孔道所占体积。不因措施项目影响图示工程量，如垫层因地下室底板砖模增加宽度，结算时按图示工程量不做调整。</w:t>
      </w:r>
    </w:p>
    <w:p w14:paraId="5348AC7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3）当混凝土强度等级发生变更时，只调整混凝土材料的价差。</w:t>
      </w:r>
    </w:p>
    <w:p w14:paraId="40CF717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4）各类混凝土构件内钢筋、预埋件另列清单项目计量。</w:t>
      </w:r>
    </w:p>
    <w:p w14:paraId="20E9347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5）各类现浇混凝土构件所需模板计入措施项目费内。</w:t>
      </w:r>
    </w:p>
    <w:p w14:paraId="47411D3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6）投标人在投标报价时须综合考虑植筋费用。</w:t>
      </w:r>
    </w:p>
    <w:p w14:paraId="0B20789F">
      <w:pPr>
        <w:pStyle w:val="8"/>
        <w:widowControl/>
        <w:spacing w:before="0" w:beforeAutospacing="0" w:after="0" w:afterAutospacing="0"/>
        <w:ind w:left="0" w:right="0" w:firstLine="480" w:firstLineChars="200"/>
        <w:jc w:val="left"/>
        <w:rPr>
          <w:rFonts w:hint="eastAsia" w:ascii="宋体" w:hAnsi="宋体" w:eastAsia="宋体" w:cs="宋体"/>
          <w:color w:val="auto"/>
          <w:kern w:val="0"/>
          <w:sz w:val="24"/>
          <w:szCs w:val="24"/>
          <w:highlight w:val="none"/>
        </w:rPr>
      </w:pPr>
      <w:bookmarkStart w:id="82" w:name="_Hlk82783018"/>
      <w:bookmarkEnd w:id="82"/>
      <w:r>
        <w:rPr>
          <w:rFonts w:hint="eastAsia" w:ascii="宋体" w:hAnsi="宋体" w:eastAsia="宋体" w:cs="宋体"/>
          <w:color w:val="auto"/>
          <w:kern w:val="0"/>
          <w:sz w:val="24"/>
          <w:szCs w:val="24"/>
          <w:highlight w:val="none"/>
          <w:lang w:val="en-US" w:eastAsia="zh-CN" w:bidi="ar"/>
        </w:rPr>
        <w:t>7）包含装配式后浇混凝土、钢筋以及因装配式工艺引起的人工、机械降效率费用。</w:t>
      </w:r>
    </w:p>
    <w:p w14:paraId="441663E1">
      <w:pPr>
        <w:pStyle w:val="8"/>
        <w:widowControl/>
        <w:spacing w:before="0" w:beforeAutospacing="0" w:after="0" w:afterAutospacing="1"/>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8）混凝土计价综合考虑不同强度的混凝土的撵接，包括不同强度交界处的钢丝网或其他措施进行阻断及高标号超打费用。</w:t>
      </w:r>
    </w:p>
    <w:p w14:paraId="6EB09DC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bookmarkStart w:id="83" w:name="_Toc6080"/>
      <w:bookmarkEnd w:id="83"/>
      <w:bookmarkStart w:id="84" w:name="_Toc188110590"/>
      <w:bookmarkEnd w:id="84"/>
      <w:bookmarkStart w:id="85" w:name="_Toc22161"/>
      <w:bookmarkEnd w:id="85"/>
      <w:bookmarkStart w:id="86" w:name="_Toc468402759"/>
      <w:bookmarkEnd w:id="86"/>
      <w:bookmarkStart w:id="87" w:name="_Toc188122916"/>
      <w:bookmarkEnd w:id="87"/>
      <w:bookmarkStart w:id="88" w:name="_Toc20309"/>
      <w:bookmarkEnd w:id="88"/>
      <w:bookmarkStart w:id="89" w:name="_Toc14367"/>
      <w:r>
        <w:rPr>
          <w:rFonts w:hint="eastAsia" w:ascii="宋体" w:hAnsi="宋体" w:eastAsia="宋体" w:cs="宋体"/>
          <w:b/>
          <w:bCs w:val="0"/>
          <w:snapToGrid/>
          <w:color w:val="auto"/>
          <w:spacing w:val="4"/>
          <w:kern w:val="0"/>
          <w:sz w:val="24"/>
          <w:szCs w:val="24"/>
          <w:highlight w:val="none"/>
          <w:lang w:val="en-US" w:eastAsia="zh-CN" w:bidi="ar"/>
        </w:rPr>
        <w:t>（2）主要钢筋混凝土构件清单项目</w:t>
      </w:r>
      <w:bookmarkEnd w:id="89"/>
    </w:p>
    <w:p w14:paraId="3C89C61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基础：综合考虑基础形式（如带形基础、独立基础、满堂基础、设备基础（含螺栓孔灌浆）、桩承台基础等），按设计图示尺寸以立方米计量。混凝土基础清单项目不包含垫层，垫层（或找坡层）另列清单项目计量。桩承台工程量不扣除浇入承台体积内的桩头所占体积。</w:t>
      </w:r>
    </w:p>
    <w:p w14:paraId="154BB7A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2）混凝土其他构件：综合考虑其他构件类型（压顶、扶手、花池、台阶、房上水池、飘窗侧板等其他混凝土小型构件），按设计图示尺寸以立方米计量。</w:t>
      </w:r>
    </w:p>
    <w:p w14:paraId="1390EB17">
      <w:pPr>
        <w:pStyle w:val="8"/>
        <w:keepNext w:val="0"/>
        <w:keepLines w:val="0"/>
        <w:widowControl w:val="0"/>
        <w:suppressLineNumbers w:val="0"/>
        <w:topLinePunct/>
        <w:adjustRightInd w:val="0"/>
        <w:snapToGrid w:val="0"/>
        <w:spacing w:before="120" w:beforeAutospacing="0" w:after="12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3）钢筋计价综合考虑砼浇筑方式、钢筋规格、连接方式、钢筋接头、安装部位等，包括钢筋制作、运输、损耗、绑扎、安装、焊接、</w:t>
      </w:r>
      <w:r>
        <w:rPr>
          <w:rFonts w:hint="eastAsia" w:ascii="宋体" w:hAnsi="宋体" w:eastAsia="宋体" w:cs="宋体"/>
          <w:color w:val="auto"/>
          <w:spacing w:val="4"/>
          <w:kern w:val="2"/>
          <w:sz w:val="24"/>
          <w:szCs w:val="24"/>
          <w:highlight w:val="none"/>
          <w:lang w:val="en-US" w:eastAsia="zh-CN" w:bidi="ar"/>
        </w:rPr>
        <w:t>钢筋接头（综合接头形式）</w:t>
      </w:r>
      <w:r>
        <w:rPr>
          <w:rFonts w:hint="eastAsia" w:ascii="宋体" w:hAnsi="宋体" w:eastAsia="宋体" w:cs="宋体"/>
          <w:color w:val="auto"/>
          <w:spacing w:val="4"/>
          <w:kern w:val="0"/>
          <w:sz w:val="24"/>
          <w:szCs w:val="24"/>
          <w:highlight w:val="none"/>
          <w:lang w:val="en-US" w:eastAsia="zh-CN" w:bidi="ar"/>
        </w:rPr>
        <w:t>、浇捣混凝土时钢筋维护等，可能发生的倒运、存放、吊装、连接等，以及现浇构件中固定位置的支撑钢筋、双层钢筋用的隔铁、预制构件的吊钩及因钢筋加工综合开料和钢筋出厂实尺长度所引起钢筋非设计接驳或搭接长度等相关费用。计量按钢筋等级划分的不同（包括Ⅰ级、Ⅱ级、Ⅲ级钢、抗震Ⅲ级钢）分别列项，按设计长度（包含设计搭接长度、弯钩长度支撑钢筋）乘以单位理论重量以吨计算。现浇构件中固定位置的支撑钢筋、双层钢筋用的相关措施筋，如“铁马筋、马镫筋、支撑筋”由投标人在投标报价中综合考虑，结算时不再另行计算。</w:t>
      </w:r>
      <w:bookmarkStart w:id="90" w:name="_Hlk82784112"/>
      <w:bookmarkEnd w:id="90"/>
    </w:p>
    <w:p w14:paraId="6856C1C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outlineLvl w:val="0"/>
        <w:rPr>
          <w:rFonts w:hint="eastAsia" w:ascii="宋体" w:hAnsi="宋体" w:eastAsia="宋体" w:cs="宋体"/>
          <w:color w:val="auto"/>
          <w:spacing w:val="4"/>
          <w:kern w:val="0"/>
          <w:sz w:val="24"/>
          <w:szCs w:val="24"/>
          <w:highlight w:val="none"/>
        </w:rPr>
      </w:pPr>
      <w:bookmarkStart w:id="91" w:name="_Toc468402760"/>
      <w:bookmarkEnd w:id="91"/>
      <w:bookmarkStart w:id="92" w:name="_Toc316924312"/>
      <w:bookmarkEnd w:id="92"/>
      <w:bookmarkStart w:id="93" w:name="_Toc21403"/>
      <w:bookmarkEnd w:id="93"/>
      <w:bookmarkStart w:id="94" w:name="_Toc30959"/>
      <w:bookmarkEnd w:id="94"/>
      <w:bookmarkStart w:id="95" w:name="_Toc4247"/>
      <w:bookmarkEnd w:id="95"/>
      <w:bookmarkStart w:id="96" w:name="_Toc25416"/>
      <w:bookmarkEnd w:id="96"/>
      <w:bookmarkStart w:id="97" w:name="_Toc317233929"/>
      <w:r>
        <w:rPr>
          <w:rFonts w:hint="eastAsia" w:ascii="宋体" w:hAnsi="宋体" w:eastAsia="宋体" w:cs="宋体"/>
          <w:color w:val="auto"/>
          <w:spacing w:val="4"/>
          <w:kern w:val="0"/>
          <w:sz w:val="24"/>
          <w:szCs w:val="24"/>
          <w:highlight w:val="none"/>
          <w:lang w:val="en-US" w:eastAsia="zh-CN" w:bidi="ar"/>
        </w:rPr>
        <w:t>4</w:t>
      </w:r>
      <w:bookmarkEnd w:id="97"/>
      <w:r>
        <w:rPr>
          <w:rFonts w:hint="eastAsia" w:ascii="宋体" w:hAnsi="宋体" w:eastAsia="宋体" w:cs="宋体"/>
          <w:color w:val="auto"/>
          <w:spacing w:val="4"/>
          <w:kern w:val="0"/>
          <w:sz w:val="24"/>
          <w:szCs w:val="24"/>
          <w:highlight w:val="none"/>
          <w:lang w:val="en-US" w:eastAsia="zh-CN" w:bidi="ar"/>
        </w:rPr>
        <w:t>）预埋铁件</w:t>
      </w:r>
    </w:p>
    <w:p w14:paraId="34DBDDFF">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①计价时综合考虑钢材类型、规格及制安、运输、刷防护材料、油漆等一切完成该工程项目所需所有施工工序的主要、次要等一切工作内容的相关费用。</w:t>
      </w:r>
    </w:p>
    <w:p w14:paraId="136A4B9A">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②计量按设计图示尺寸以理论重量吨计算。地下室墙体止水螺栓不计入预埋件费用中，应在措施项目费用模板单价内综合考虑。</w:t>
      </w:r>
    </w:p>
    <w:p w14:paraId="5DA47F59">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8.找平层、保护层清单项目</w:t>
      </w:r>
    </w:p>
    <w:p w14:paraId="0D886F1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1）找平层、保护层计价综合考虑平、立面，砂浆种类、厚度、配合比，包括清理基层、砂浆制作、运输、刷水泥浆、抹平压实等相关费用。</w:t>
      </w:r>
    </w:p>
    <w:p w14:paraId="5078B6A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2）找平层、保护层计量按设计图示尺寸分别以平方米计算。</w:t>
      </w:r>
    </w:p>
    <w:p w14:paraId="7FB2CFB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9.沟道盖板清单项目</w:t>
      </w:r>
    </w:p>
    <w:p w14:paraId="7A5234E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1）计价综合考虑材料种类、材料规格、制作、安装、骨架、规格、材质、运输等相关费用。</w:t>
      </w:r>
    </w:p>
    <w:p w14:paraId="0F128BDE">
      <w:pPr>
        <w:pStyle w:val="8"/>
        <w:keepNext w:val="0"/>
        <w:keepLines w:val="0"/>
        <w:widowControl w:val="0"/>
        <w:suppressLineNumbers w:val="0"/>
        <w:topLinePunct/>
        <w:adjustRightInd w:val="0"/>
        <w:snapToGrid w:val="0"/>
        <w:spacing w:before="0" w:beforeAutospacing="0" w:after="0" w:afterAutospacing="0" w:line="360" w:lineRule="auto"/>
        <w:ind w:left="0" w:right="0" w:firstLine="504" w:firstLineChars="200"/>
        <w:jc w:val="both"/>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bidi="ar"/>
        </w:rPr>
        <w:t>2）盖板计量分不同材质、规格、厚度按图示尺寸以米计算。</w:t>
      </w:r>
    </w:p>
    <w:p w14:paraId="5F7FDC33">
      <w:pPr>
        <w:pStyle w:val="8"/>
        <w:keepNext w:val="0"/>
        <w:keepLines w:val="0"/>
        <w:widowControl w:val="0"/>
        <w:suppressLineNumbers w:val="0"/>
        <w:topLinePunct/>
        <w:adjustRightInd w:val="0"/>
        <w:snapToGrid w:val="0"/>
        <w:spacing w:before="0" w:beforeAutospacing="0" w:after="0" w:afterAutospacing="0" w:line="360" w:lineRule="auto"/>
        <w:ind w:left="0" w:right="0" w:firstLine="504" w:firstLineChars="200"/>
        <w:jc w:val="both"/>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bidi="ar"/>
        </w:rPr>
        <w:t>3）当盖板材质发生变更时，只调整盖板材料的价差。</w:t>
      </w:r>
    </w:p>
    <w:p w14:paraId="2E907C0A">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506"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6"/>
          <w:kern w:val="0"/>
          <w:sz w:val="24"/>
          <w:szCs w:val="24"/>
          <w:highlight w:val="none"/>
          <w:lang w:val="en-US" w:eastAsia="zh-CN" w:bidi="ar"/>
        </w:rPr>
        <w:t>10.</w:t>
      </w:r>
      <w:r>
        <w:rPr>
          <w:rFonts w:hint="eastAsia" w:ascii="宋体" w:hAnsi="宋体" w:eastAsia="宋体" w:cs="宋体"/>
          <w:b/>
          <w:bCs w:val="0"/>
          <w:snapToGrid/>
          <w:color w:val="auto"/>
          <w:spacing w:val="4"/>
          <w:kern w:val="0"/>
          <w:sz w:val="24"/>
          <w:szCs w:val="24"/>
          <w:highlight w:val="none"/>
          <w:lang w:val="en-US" w:eastAsia="zh-CN" w:bidi="ar"/>
        </w:rPr>
        <w:t>一般抹灰清单项目</w:t>
      </w:r>
    </w:p>
    <w:p w14:paraId="139C2FB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（1）一般抹灰计价综合考虑砂浆种类、厚度、配合比、基底类型、楼梯台阶防滑条种类、规格，包括修整表面、基层处理、砂浆制作、运输、抹灰、找平、罩面、压光等相关费用。</w:t>
      </w:r>
    </w:p>
    <w:p w14:paraId="206FD9A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（2）一般抹灰计量分不同部位（如楼地面、墙柱面、天棚面等，梁面并入天棚面计算）按设计图示结构面以平方米计算。</w:t>
      </w:r>
    </w:p>
    <w:p w14:paraId="7D85030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楼地面抹灰按设计图示尺寸以面积计算。扣除凸出地面构筑物、设备基础、室内铁道、地沟等所占面积，不扣除间壁墙及≤0.3㎡以内的柱、跺、附墙烟囱及孔洞所占面积。门洞、空圈、暖气包槽、壁龛的开口部分不增加面积。</w:t>
      </w:r>
    </w:p>
    <w:p w14:paraId="3C2B49C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楼梯、台阶面层按设计图示尺寸以水平投影面积计算，楼梯包括踏步、休息平台以及楼梯井。</w:t>
      </w:r>
    </w:p>
    <w:p w14:paraId="57D37CAB">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墙面抹灰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14:paraId="1C2C7B96">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（5）结算时，如砂浆种类、厚度、配合比变化而增加的费用均不作调整。</w:t>
      </w:r>
    </w:p>
    <w:p w14:paraId="3A9137E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（6）因各类管线施工或其它任何原因致使抹灰厚度变化而增减的费用均不作调整。</w:t>
      </w:r>
    </w:p>
    <w:p w14:paraId="55919D3B">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（7）计价综合考虑因挂网产生的增加费用。</w:t>
      </w:r>
    </w:p>
    <w:p w14:paraId="0736930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bookmarkStart w:id="98" w:name="_Toc7136"/>
      <w:bookmarkEnd w:id="98"/>
      <w:bookmarkStart w:id="99" w:name="_Toc1827"/>
      <w:bookmarkEnd w:id="99"/>
      <w:bookmarkStart w:id="100" w:name="_Toc15507"/>
      <w:bookmarkEnd w:id="100"/>
      <w:bookmarkStart w:id="101" w:name="_Toc19199"/>
      <w:bookmarkEnd w:id="101"/>
      <w:bookmarkStart w:id="102" w:name="_Toc468402781"/>
      <w:r>
        <w:rPr>
          <w:rFonts w:hint="eastAsia" w:ascii="宋体" w:hAnsi="宋体" w:eastAsia="宋体" w:cs="宋体"/>
          <w:b/>
          <w:bCs w:val="0"/>
          <w:snapToGrid/>
          <w:color w:val="auto"/>
          <w:spacing w:val="4"/>
          <w:kern w:val="0"/>
          <w:sz w:val="24"/>
          <w:szCs w:val="24"/>
          <w:highlight w:val="none"/>
          <w:lang w:val="en-US" w:eastAsia="zh-CN" w:bidi="ar"/>
        </w:rPr>
        <w:t>11.</w:t>
      </w:r>
      <w:bookmarkEnd w:id="102"/>
      <w:r>
        <w:rPr>
          <w:rFonts w:hint="eastAsia" w:ascii="宋体" w:hAnsi="宋体" w:eastAsia="宋体" w:cs="宋体"/>
          <w:b/>
          <w:bCs w:val="0"/>
          <w:snapToGrid/>
          <w:color w:val="auto"/>
          <w:spacing w:val="4"/>
          <w:kern w:val="0"/>
          <w:sz w:val="24"/>
          <w:szCs w:val="24"/>
          <w:highlight w:val="none"/>
          <w:lang w:val="en-US" w:eastAsia="zh-CN" w:bidi="ar"/>
        </w:rPr>
        <w:t>楼地面混凝土整体面层清单项目</w:t>
      </w:r>
    </w:p>
    <w:p w14:paraId="56279F98">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（1）混凝土整体面层（混凝土面层、找坡层、刚性防水层）计价综合考虑基底类型。</w:t>
      </w:r>
    </w:p>
    <w:p w14:paraId="5E525F6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（2）计价包括基层处理、找平层、面层、混凝土制作、浇捣、养护、砂浆制作、摊铺、材料运输等相关费用。</w:t>
      </w:r>
    </w:p>
    <w:p w14:paraId="0C776B6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分砼等级、砼厚度、砂浆厚度按设计图示尺寸以面积计。扣除凸出地面构筑物、设备基础、室内铁道、地沟等所占面积，不扣除间壁墙及≤0.3㎡以内的柱、跺、附墙烟囱及孔洞所占面积。门洞、空圈、暖气包槽、壁龛的开口部分不增加面积。</w:t>
      </w:r>
    </w:p>
    <w:p w14:paraId="22B9CA8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（4）当砼等级、砼厚度发生变化时，调整面层材料的价差。</w:t>
      </w:r>
    </w:p>
    <w:p w14:paraId="65623C7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12.水泥砂浆楼地面</w:t>
      </w:r>
    </w:p>
    <w:p w14:paraId="24848A9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（1）计价综合考虑砂浆种类、配合比、厚度、基底类型。</w:t>
      </w:r>
    </w:p>
    <w:p w14:paraId="3EFD56F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（2）计价包括基层处理、找平层、面层、分格缝制作、嵌缝、材料运输等相关费用。</w:t>
      </w:r>
    </w:p>
    <w:p w14:paraId="44F6DCC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按设计图示尺寸以面积计算。扣除凸出地面构筑物、设备基础、室内铁道、地沟等所占面积，不扣除间壁墙及≤0.3㎡以内的柱、跺、附墙烟囱及孔洞所占面积。门洞、空圈、暖气包槽、壁龛的开口部分不增加面积。</w:t>
      </w:r>
    </w:p>
    <w:p w14:paraId="68E03206">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13.门窗工程（含铝合金门窗）清单项目</w:t>
      </w:r>
    </w:p>
    <w:p w14:paraId="0ECDF43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门窗工程中的铝合金门窗由投标人负责深化设计，</w:t>
      </w:r>
      <w:bookmarkStart w:id="103" w:name="_Hlk82787067"/>
      <w:r>
        <w:rPr>
          <w:rFonts w:hint="eastAsia" w:ascii="宋体" w:hAnsi="宋体" w:eastAsia="宋体" w:cs="宋体"/>
          <w:color w:val="auto"/>
          <w:spacing w:val="4"/>
          <w:kern w:val="0"/>
          <w:sz w:val="24"/>
          <w:szCs w:val="24"/>
          <w:highlight w:val="none"/>
          <w:lang w:val="en-US" w:eastAsia="zh-CN" w:bidi="ar"/>
        </w:rPr>
        <w:t>深化图纸需经过甲方确认后方可实施，</w:t>
      </w:r>
      <w:bookmarkEnd w:id="103"/>
      <w:r>
        <w:rPr>
          <w:rFonts w:hint="eastAsia" w:ascii="宋体" w:hAnsi="宋体" w:eastAsia="宋体" w:cs="宋体"/>
          <w:color w:val="auto"/>
          <w:spacing w:val="4"/>
          <w:kern w:val="0"/>
          <w:sz w:val="24"/>
          <w:szCs w:val="24"/>
          <w:highlight w:val="none"/>
          <w:lang w:val="en-US" w:eastAsia="zh-CN" w:bidi="ar"/>
        </w:rPr>
        <w:t>投标人在投标报价时须充分考虑深化设计费及由此引起的相关费用。实际实施时，不因由此引致的人工、主材设备、辅材及机械的消耗量变化等任何原因而增加任何费用，综合单价不予调整。</w:t>
      </w:r>
    </w:p>
    <w:p w14:paraId="45CFEA2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门、窗分不同类型、材质、玻璃种类及厚度、开启方式按设计图示尺寸以洞口面积计算。</w:t>
      </w:r>
    </w:p>
    <w:p w14:paraId="0C97E732">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门计价综合考虑门框（套）、门扇、亮子、玻璃、门锁、拉手、磁吸、闭门器、限位器、地弹簧、特殊五金、各种小五金配件、贴脸、盖口条、披水条、油漆、刷防腐油、塞口、填缝、运输等相关费用。钢材饰面计价综合考虑钢板的规格、安装方式，开孔、开槽等相关费用，包括钢材面层的加工、安装、开孔、开槽、粘接胶水、挂件、防污、运输等相关费用；石材饰面计价综合考虑石材的种类、规格、颜色、粘贴样式，开孔、磨边、抛光、开槽、等相关费用，包括石材面层粘贴、石材切角、磨边、开孔、开槽、粘接胶水、挂件、防潮、防污、防渗漏、防锈、刷养护液或保护液，石材的损耗、下脚料等相关费用。</w:t>
      </w:r>
    </w:p>
    <w:p w14:paraId="557F60F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lang w:val="en-US" w:eastAsia="zh-CN" w:bidi="ar"/>
        </w:rPr>
      </w:pPr>
      <w:r>
        <w:rPr>
          <w:rFonts w:hint="eastAsia" w:ascii="宋体" w:hAnsi="宋体" w:eastAsia="宋体" w:cs="宋体"/>
          <w:color w:val="auto"/>
          <w:spacing w:val="4"/>
          <w:kern w:val="0"/>
          <w:sz w:val="24"/>
          <w:szCs w:val="24"/>
          <w:highlight w:val="none"/>
          <w:lang w:val="en-US" w:eastAsia="zh-CN" w:bidi="ar"/>
        </w:rPr>
        <w:t>（2）窗的计价包括框扇、运输、安装、打胶、五金配件、限位器、周边塞缝防腐、防雷处理等相关费用。</w:t>
      </w:r>
    </w:p>
    <w:p w14:paraId="6DA10C8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13.</w:t>
      </w:r>
      <w:r>
        <w:rPr>
          <w:rFonts w:hint="eastAsia" w:cs="宋体"/>
          <w:b/>
          <w:bCs w:val="0"/>
          <w:snapToGrid/>
          <w:color w:val="auto"/>
          <w:spacing w:val="4"/>
          <w:kern w:val="0"/>
          <w:sz w:val="24"/>
          <w:szCs w:val="24"/>
          <w:highlight w:val="none"/>
          <w:lang w:val="en-US" w:eastAsia="zh-CN" w:bidi="ar"/>
        </w:rPr>
        <w:t>顶管</w:t>
      </w:r>
      <w:r>
        <w:rPr>
          <w:rFonts w:hint="eastAsia" w:ascii="宋体" w:hAnsi="宋体" w:eastAsia="宋体" w:cs="宋体"/>
          <w:b/>
          <w:bCs w:val="0"/>
          <w:snapToGrid/>
          <w:color w:val="auto"/>
          <w:spacing w:val="4"/>
          <w:kern w:val="0"/>
          <w:sz w:val="24"/>
          <w:szCs w:val="24"/>
          <w:highlight w:val="none"/>
          <w:lang w:val="en-US" w:eastAsia="zh-CN" w:bidi="ar"/>
        </w:rPr>
        <w:t>清单项目</w:t>
      </w:r>
    </w:p>
    <w:bookmarkEnd w:id="74"/>
    <w:p w14:paraId="54A94FE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bookmarkStart w:id="104" w:name="_Toc383586749"/>
      <w:bookmarkStart w:id="105" w:name="_Hlk83207402"/>
      <w:r>
        <w:rPr>
          <w:rFonts w:hint="eastAsia" w:ascii="宋体" w:hAnsi="宋体" w:eastAsia="宋体" w:cs="宋体"/>
          <w:color w:val="auto"/>
          <w:spacing w:val="4"/>
          <w:kern w:val="0"/>
          <w:sz w:val="24"/>
          <w:szCs w:val="24"/>
          <w:highlight w:val="none"/>
          <w:lang w:val="en-US" w:eastAsia="zh-CN" w:bidi="ar"/>
        </w:rPr>
        <w:t>（1）计价综合考虑砂浆种类、配合比、厚度、基底类型。</w:t>
      </w:r>
    </w:p>
    <w:p w14:paraId="641FCBF2">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w:t>
      </w:r>
      <w:r>
        <w:rPr>
          <w:rFonts w:hint="eastAsia" w:cs="宋体"/>
          <w:color w:val="auto"/>
          <w:spacing w:val="4"/>
          <w:kern w:val="0"/>
          <w:sz w:val="24"/>
          <w:szCs w:val="24"/>
          <w:highlight w:val="none"/>
          <w:lang w:val="en-US" w:eastAsia="zh-CN" w:bidi="ar"/>
        </w:rPr>
        <w:t>管道敷设安装</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顶进设备安装调试</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管节顶进及纠偏</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注浆、设备材料的运输</w:t>
      </w:r>
      <w:r>
        <w:rPr>
          <w:rFonts w:hint="eastAsia" w:ascii="宋体" w:hAnsi="宋体" w:eastAsia="宋体" w:cs="宋体"/>
          <w:color w:val="auto"/>
          <w:spacing w:val="4"/>
          <w:kern w:val="0"/>
          <w:sz w:val="24"/>
          <w:szCs w:val="24"/>
          <w:highlight w:val="none"/>
          <w:lang w:val="en-US" w:eastAsia="zh-CN" w:bidi="ar"/>
        </w:rPr>
        <w:t>等相关费用。</w:t>
      </w:r>
    </w:p>
    <w:p w14:paraId="3517A68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（3）计量按设计图示尺寸以</w:t>
      </w:r>
      <w:r>
        <w:rPr>
          <w:rFonts w:hint="eastAsia" w:cs="宋体"/>
          <w:color w:val="auto"/>
          <w:spacing w:val="4"/>
          <w:kern w:val="0"/>
          <w:sz w:val="24"/>
          <w:szCs w:val="24"/>
          <w:highlight w:val="none"/>
          <w:lang w:val="en-US" w:eastAsia="zh-CN" w:bidi="ar"/>
        </w:rPr>
        <w:t>长度</w:t>
      </w:r>
      <w:r>
        <w:rPr>
          <w:rFonts w:hint="eastAsia" w:ascii="宋体" w:hAnsi="宋体" w:eastAsia="宋体" w:cs="宋体"/>
          <w:color w:val="auto"/>
          <w:spacing w:val="4"/>
          <w:kern w:val="0"/>
          <w:sz w:val="24"/>
          <w:szCs w:val="24"/>
          <w:highlight w:val="none"/>
          <w:lang w:val="en-US" w:eastAsia="zh-CN" w:bidi="ar"/>
        </w:rPr>
        <w:t>计算。</w:t>
      </w:r>
    </w:p>
    <w:p w14:paraId="2C7FD3FC">
      <w:pPr>
        <w:pStyle w:val="16"/>
        <w:spacing w:before="120" w:after="120" w:line="360" w:lineRule="auto"/>
        <w:outlineLvl w:val="0"/>
        <w:rPr>
          <w:rFonts w:hint="eastAsia" w:ascii="宋体" w:eastAsia="宋体" w:cs="宋体"/>
          <w:color w:val="auto"/>
          <w:highlight w:val="none"/>
          <w:lang w:eastAsia="zh"/>
        </w:rPr>
      </w:pPr>
      <w:r>
        <w:rPr>
          <w:rFonts w:hint="eastAsia" w:ascii="宋体" w:eastAsia="宋体" w:cs="宋体"/>
          <w:color w:val="auto"/>
          <w:highlight w:val="none"/>
        </w:rPr>
        <w:t>二、机电安装工程</w:t>
      </w:r>
      <w:bookmarkEnd w:id="104"/>
    </w:p>
    <w:p w14:paraId="3EF43061">
      <w:pPr>
        <w:pStyle w:val="15"/>
        <w:ind w:firstLine="496"/>
        <w:rPr>
          <w:rFonts w:hint="eastAsia" w:ascii="宋体" w:hAnsi="宋体" w:cs="宋体"/>
          <w:color w:val="auto"/>
          <w:highlight w:val="none"/>
        </w:rPr>
      </w:pPr>
      <w:r>
        <w:rPr>
          <w:rFonts w:hint="eastAsia" w:ascii="宋体" w:hAnsi="宋体" w:cs="宋体"/>
          <w:color w:val="auto"/>
          <w:highlight w:val="none"/>
        </w:rPr>
        <w:t>所有工作内容项目均包含安装费与材料费两部分内容，材料费包括但不限于计价与未计价材料的所有材料费用，清单项目无特别描述说明的清单工程量参照定额计量规则执行。</w:t>
      </w:r>
    </w:p>
    <w:p w14:paraId="3B99AA09">
      <w:pPr>
        <w:spacing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永久用电</w:t>
      </w:r>
      <w:r>
        <w:rPr>
          <w:rFonts w:hint="eastAsia" w:ascii="宋体" w:hAnsi="宋体" w:cs="宋体"/>
          <w:b/>
          <w:color w:val="auto"/>
          <w:sz w:val="24"/>
          <w:highlight w:val="none"/>
        </w:rPr>
        <w:t>工程</w:t>
      </w:r>
    </w:p>
    <w:p w14:paraId="2540161D">
      <w:pPr>
        <w:pStyle w:val="15"/>
        <w:ind w:firstLine="496"/>
        <w:rPr>
          <w:rFonts w:hint="eastAsia" w:ascii="宋体" w:cs="宋体"/>
          <w:b/>
          <w:bCs/>
          <w:color w:val="auto"/>
          <w:highlight w:val="none"/>
          <w:lang w:val="en-US" w:eastAsia="zh-CN"/>
        </w:rPr>
      </w:pPr>
      <w:r>
        <w:rPr>
          <w:rFonts w:hint="eastAsia" w:ascii="宋体" w:eastAsia="宋体" w:cs="宋体"/>
          <w:b/>
          <w:bCs/>
          <w:color w:val="auto"/>
          <w:highlight w:val="none"/>
        </w:rPr>
        <w:t>（1）</w:t>
      </w:r>
      <w:bookmarkEnd w:id="105"/>
      <w:r>
        <w:rPr>
          <w:rFonts w:hint="eastAsia" w:ascii="宋体" w:cs="宋体"/>
          <w:b/>
          <w:bCs/>
          <w:color w:val="auto"/>
          <w:highlight w:val="none"/>
          <w:lang w:val="en-US" w:eastAsia="zh-CN"/>
        </w:rPr>
        <w:t>变压器</w:t>
      </w:r>
    </w:p>
    <w:p w14:paraId="56F18C21">
      <w:pPr>
        <w:pStyle w:val="15"/>
        <w:ind w:firstLine="496"/>
        <w:rPr>
          <w:rFonts w:hint="eastAsia" w:ascii="宋体" w:cs="宋体"/>
          <w:color w:val="auto"/>
          <w:highlight w:val="none"/>
          <w:lang w:val="en-US" w:eastAsia="zh-CN"/>
        </w:rPr>
      </w:pPr>
      <w:r>
        <w:rPr>
          <w:rFonts w:hint="eastAsia" w:ascii="宋体" w:cs="宋体"/>
          <w:color w:val="auto"/>
          <w:highlight w:val="none"/>
          <w:lang w:val="en-US" w:eastAsia="zh-CN"/>
        </w:rPr>
        <w:t>1）</w:t>
      </w:r>
      <w:r>
        <w:rPr>
          <w:rFonts w:hint="eastAsia" w:ascii="宋体" w:hAnsi="宋体" w:cs="宋体"/>
          <w:color w:val="auto"/>
          <w:highlight w:val="none"/>
        </w:rPr>
        <w:t>计量包括：按不同的用途及设计编号，不分安装方式，以“台”为</w:t>
      </w:r>
      <w:r>
        <w:rPr>
          <w:rFonts w:hint="eastAsia" w:ascii="宋体" w:hAnsi="宋体"/>
          <w:color w:val="auto"/>
          <w:highlight w:val="none"/>
        </w:rPr>
        <w:t>为计量单位计算</w:t>
      </w:r>
      <w:r>
        <w:rPr>
          <w:rFonts w:hint="eastAsia" w:ascii="宋体" w:hAnsi="宋体" w:cs="宋体"/>
          <w:color w:val="auto"/>
          <w:highlight w:val="none"/>
        </w:rPr>
        <w:t>。</w:t>
      </w:r>
    </w:p>
    <w:p w14:paraId="2BE962B8">
      <w:pPr>
        <w:pStyle w:val="15"/>
        <w:ind w:firstLine="496"/>
        <w:rPr>
          <w:rFonts w:hint="eastAsia" w:ascii="宋体" w:hAnsi="宋体" w:cs="宋体"/>
          <w:color w:val="auto"/>
          <w:highlight w:val="none"/>
        </w:rPr>
      </w:pPr>
      <w:r>
        <w:rPr>
          <w:rFonts w:hint="eastAsia" w:ascii="宋体" w:cs="宋体"/>
          <w:color w:val="auto"/>
          <w:highlight w:val="none"/>
          <w:lang w:val="en-US" w:eastAsia="zh-CN"/>
        </w:rPr>
        <w:t>2）</w:t>
      </w:r>
      <w:r>
        <w:rPr>
          <w:rFonts w:hint="eastAsia" w:ascii="宋体" w:hAnsi="宋体" w:cs="宋体"/>
          <w:color w:val="auto"/>
          <w:highlight w:val="none"/>
        </w:rPr>
        <w:t>计价包括：</w:t>
      </w:r>
      <w:r>
        <w:rPr>
          <w:rFonts w:hint="eastAsia" w:ascii="宋体" w:hAnsi="宋体" w:cs="宋体"/>
          <w:color w:val="auto"/>
          <w:highlight w:val="none"/>
          <w:lang w:val="en-US" w:eastAsia="zh-CN"/>
        </w:rPr>
        <w:t>本体安装、基础型钢制作、安装、</w:t>
      </w:r>
      <w:r>
        <w:rPr>
          <w:rFonts w:hint="eastAsia" w:ascii="宋体" w:hAnsi="宋体" w:cs="宋体"/>
          <w:color w:val="auto"/>
          <w:highlight w:val="none"/>
        </w:rPr>
        <w:t>减振垫、</w:t>
      </w:r>
      <w:r>
        <w:rPr>
          <w:rFonts w:hint="eastAsia" w:ascii="宋体" w:hAnsi="宋体" w:cs="宋体"/>
          <w:color w:val="auto"/>
          <w:highlight w:val="none"/>
          <w:lang w:val="en-US" w:eastAsia="zh-CN"/>
        </w:rPr>
        <w:t>温控箱安装、接地、补刷(喷)油漆</w:t>
      </w:r>
      <w:r>
        <w:rPr>
          <w:rFonts w:hint="eastAsia" w:ascii="宋体" w:hAnsi="宋体" w:cs="宋体"/>
          <w:color w:val="auto"/>
          <w:highlight w:val="none"/>
        </w:rPr>
        <w:t>等相关费用。</w:t>
      </w:r>
    </w:p>
    <w:p w14:paraId="14E22E1E">
      <w:pPr>
        <w:pStyle w:val="15"/>
        <w:ind w:firstLine="496"/>
        <w:rPr>
          <w:rFonts w:hint="default" w:ascii="宋体" w:eastAsia="宋体" w:cs="宋体"/>
          <w:b/>
          <w:bCs/>
          <w:color w:val="auto"/>
          <w:highlight w:val="none"/>
          <w:lang w:val="en-US" w:eastAsia="zh-CN"/>
        </w:rPr>
      </w:pPr>
      <w:r>
        <w:rPr>
          <w:rFonts w:hint="eastAsia" w:ascii="宋体" w:eastAsia="宋体" w:cs="宋体"/>
          <w:b/>
          <w:bCs/>
          <w:color w:val="auto"/>
          <w:highlight w:val="none"/>
        </w:rPr>
        <w:t>（</w:t>
      </w:r>
      <w:r>
        <w:rPr>
          <w:rFonts w:hint="eastAsia" w:ascii="宋体" w:cs="宋体"/>
          <w:b/>
          <w:bCs/>
          <w:color w:val="auto"/>
          <w:highlight w:val="none"/>
          <w:lang w:val="en-US" w:eastAsia="zh-CN"/>
        </w:rPr>
        <w:t>2</w:t>
      </w:r>
      <w:r>
        <w:rPr>
          <w:rFonts w:hint="eastAsia" w:ascii="宋体" w:eastAsia="宋体" w:cs="宋体"/>
          <w:b/>
          <w:bCs/>
          <w:color w:val="auto"/>
          <w:highlight w:val="none"/>
        </w:rPr>
        <w:t>）</w:t>
      </w:r>
      <w:r>
        <w:rPr>
          <w:rFonts w:hint="eastAsia" w:ascii="宋体" w:cs="宋体"/>
          <w:b/>
          <w:bCs/>
          <w:color w:val="auto"/>
          <w:highlight w:val="none"/>
          <w:lang w:val="en-US" w:eastAsia="zh-CN"/>
        </w:rPr>
        <w:t>高、低压柜、直流屏</w:t>
      </w:r>
    </w:p>
    <w:p w14:paraId="2D05DC0C">
      <w:pPr>
        <w:pStyle w:val="15"/>
        <w:ind w:firstLine="496"/>
        <w:rPr>
          <w:rFonts w:hint="eastAsia" w:ascii="宋体" w:cs="宋体"/>
          <w:color w:val="auto"/>
          <w:highlight w:val="none"/>
          <w:lang w:val="en-US" w:eastAsia="zh-CN"/>
        </w:rPr>
      </w:pPr>
      <w:r>
        <w:rPr>
          <w:rFonts w:hint="eastAsia" w:ascii="宋体" w:cs="宋体"/>
          <w:color w:val="auto"/>
          <w:highlight w:val="none"/>
          <w:lang w:val="en-US" w:eastAsia="zh-CN"/>
        </w:rPr>
        <w:t>1）</w:t>
      </w:r>
      <w:r>
        <w:rPr>
          <w:rFonts w:hint="eastAsia" w:ascii="宋体" w:hAnsi="宋体" w:cs="宋体"/>
          <w:color w:val="auto"/>
          <w:highlight w:val="none"/>
        </w:rPr>
        <w:t>计量包括：按不同的用途及设计编号，不分安装方式，以“台”为</w:t>
      </w:r>
      <w:r>
        <w:rPr>
          <w:rFonts w:hint="eastAsia" w:ascii="宋体" w:hAnsi="宋体"/>
          <w:color w:val="auto"/>
          <w:highlight w:val="none"/>
        </w:rPr>
        <w:t>为计量单位计算</w:t>
      </w:r>
      <w:r>
        <w:rPr>
          <w:rFonts w:hint="eastAsia" w:ascii="宋体" w:hAnsi="宋体" w:cs="宋体"/>
          <w:color w:val="auto"/>
          <w:highlight w:val="none"/>
        </w:rPr>
        <w:t>。</w:t>
      </w:r>
    </w:p>
    <w:p w14:paraId="4F00CB86">
      <w:pPr>
        <w:pStyle w:val="15"/>
        <w:ind w:firstLine="496"/>
        <w:rPr>
          <w:rFonts w:hint="eastAsia" w:ascii="宋体" w:hAnsi="宋体" w:cs="宋体"/>
          <w:color w:val="auto"/>
          <w:highlight w:val="none"/>
        </w:rPr>
      </w:pPr>
      <w:r>
        <w:rPr>
          <w:rFonts w:hint="eastAsia" w:ascii="宋体" w:cs="宋体"/>
          <w:color w:val="auto"/>
          <w:highlight w:val="none"/>
          <w:lang w:val="en-US" w:eastAsia="zh-CN"/>
        </w:rPr>
        <w:t>2）</w:t>
      </w:r>
      <w:r>
        <w:rPr>
          <w:rFonts w:hint="eastAsia" w:ascii="宋体" w:hAnsi="宋体" w:cs="宋体"/>
          <w:color w:val="auto"/>
          <w:highlight w:val="none"/>
        </w:rPr>
        <w:t>计价包括：</w:t>
      </w:r>
      <w:r>
        <w:rPr>
          <w:rFonts w:hint="eastAsia" w:ascii="宋体" w:hAnsi="宋体" w:cs="宋体"/>
          <w:color w:val="auto"/>
          <w:highlight w:val="none"/>
          <w:lang w:val="en-US" w:eastAsia="zh-CN"/>
        </w:rPr>
        <w:t>本体安装、基础型钢制作、安装、接地、补刷(喷)油漆</w:t>
      </w:r>
      <w:r>
        <w:rPr>
          <w:rFonts w:hint="eastAsia" w:ascii="宋体" w:hAnsi="宋体" w:cs="宋体"/>
          <w:color w:val="auto"/>
          <w:highlight w:val="none"/>
        </w:rPr>
        <w:t>等相关费用。</w:t>
      </w:r>
    </w:p>
    <w:p w14:paraId="3A7EEF24">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（3）控制箱，配电箱</w:t>
      </w:r>
    </w:p>
    <w:p w14:paraId="2BFE6F53">
      <w:pPr>
        <w:pStyle w:val="15"/>
        <w:ind w:firstLine="496"/>
        <w:rPr>
          <w:rFonts w:hint="eastAsia" w:ascii="宋体" w:hAnsi="宋体"/>
          <w:color w:val="auto"/>
          <w:highlight w:val="none"/>
        </w:rPr>
      </w:pPr>
      <w:r>
        <w:rPr>
          <w:rFonts w:hint="eastAsia" w:ascii="宋体" w:hAnsi="宋体"/>
          <w:color w:val="auto"/>
          <w:highlight w:val="none"/>
        </w:rPr>
        <w:t>1）包括照明配电箱、动力配电箱、动力控制箱、电源自动切换箱、端子箱、插接开关箱</w:t>
      </w:r>
      <w:r>
        <w:rPr>
          <w:rFonts w:hint="eastAsia" w:ascii="宋体" w:hAnsi="宋体"/>
          <w:color w:val="auto"/>
          <w:highlight w:val="none"/>
          <w:lang w:eastAsia="zh-CN"/>
        </w:rPr>
        <w:t>、</w:t>
      </w:r>
      <w:r>
        <w:rPr>
          <w:rFonts w:hint="eastAsia" w:ascii="宋体" w:hAnsi="宋体" w:cs="宋体"/>
          <w:bCs/>
          <w:color w:val="auto"/>
          <w:highlight w:val="none"/>
        </w:rPr>
        <w:t>母线终始箱</w:t>
      </w:r>
      <w:r>
        <w:rPr>
          <w:rFonts w:hint="eastAsia" w:ascii="宋体" w:hAnsi="宋体"/>
          <w:color w:val="auto"/>
          <w:highlight w:val="none"/>
        </w:rPr>
        <w:t>、</w:t>
      </w:r>
      <w:bookmarkStart w:id="106" w:name="_Hlk83205385"/>
      <w:r>
        <w:rPr>
          <w:rFonts w:hint="eastAsia" w:ascii="宋体" w:hAnsi="宋体"/>
          <w:color w:val="auto"/>
          <w:highlight w:val="none"/>
          <w:lang w:val="en-US" w:eastAsia="zh-CN"/>
        </w:rPr>
        <w:t>电表箱、电缆分接箱、发电车接入箱、集中器箱、通信箱</w:t>
      </w:r>
      <w:r>
        <w:rPr>
          <w:rFonts w:hint="eastAsia" w:ascii="宋体" w:hAnsi="宋体"/>
          <w:color w:val="auto"/>
          <w:highlight w:val="none"/>
        </w:rPr>
        <w:t>、T接箱</w:t>
      </w:r>
      <w:bookmarkEnd w:id="106"/>
      <w:r>
        <w:rPr>
          <w:rFonts w:hint="eastAsia" w:ascii="宋体" w:hAnsi="宋体"/>
          <w:color w:val="auto"/>
          <w:highlight w:val="none"/>
        </w:rPr>
        <w:t>等各类箱体。要求箱体应按设计图纸考虑及预留安装漏电报警模块、智能照明控制器及面板等的位置。</w:t>
      </w:r>
    </w:p>
    <w:p w14:paraId="75861EA7">
      <w:pPr>
        <w:pStyle w:val="15"/>
        <w:ind w:firstLine="496"/>
        <w:rPr>
          <w:rFonts w:hint="eastAsia" w:ascii="宋体" w:hAnsi="宋体"/>
          <w:color w:val="auto"/>
          <w:highlight w:val="none"/>
        </w:rPr>
      </w:pPr>
      <w:r>
        <w:rPr>
          <w:rFonts w:hint="eastAsia" w:ascii="宋体" w:hAnsi="宋体"/>
          <w:color w:val="auto"/>
          <w:highlight w:val="none"/>
        </w:rPr>
        <w:t>2）计量包括：按不同的用途及设计编号，不分安装方式，以“台”为计量单位计算。</w:t>
      </w:r>
    </w:p>
    <w:p w14:paraId="783BFBE8">
      <w:pPr>
        <w:pStyle w:val="15"/>
        <w:ind w:firstLine="496"/>
        <w:rPr>
          <w:rFonts w:hint="eastAsia" w:ascii="宋体" w:hAnsi="宋体"/>
          <w:color w:val="auto"/>
          <w:highlight w:val="none"/>
        </w:rPr>
      </w:pPr>
      <w:r>
        <w:rPr>
          <w:rFonts w:hint="eastAsia" w:ascii="宋体" w:hAnsi="宋体"/>
          <w:color w:val="auto"/>
          <w:highlight w:val="none"/>
        </w:rPr>
        <w:t>3）计价包括：基础型钢制作安装及其除锈、刷油、箱体安装、焊、压接线端子、接地、单体调试、接线等相关费用。</w:t>
      </w:r>
    </w:p>
    <w:p w14:paraId="445C1F02">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（4）母线槽</w:t>
      </w:r>
    </w:p>
    <w:p w14:paraId="53DF8307">
      <w:pPr>
        <w:pStyle w:val="15"/>
        <w:ind w:firstLine="496"/>
        <w:rPr>
          <w:rFonts w:hint="eastAsia"/>
          <w:color w:val="auto"/>
          <w:highlight w:val="none"/>
        </w:rPr>
      </w:pPr>
      <w:r>
        <w:rPr>
          <w:rFonts w:hint="eastAsia"/>
          <w:color w:val="auto"/>
          <w:highlight w:val="none"/>
        </w:rPr>
        <w:t xml:space="preserve">1）计量包括：母线槽 </w:t>
      </w:r>
      <w:r>
        <w:rPr>
          <w:color w:val="auto"/>
          <w:highlight w:val="none"/>
        </w:rPr>
        <w:t>(</w:t>
      </w:r>
      <w:r>
        <w:rPr>
          <w:rFonts w:hint="eastAsia"/>
          <w:color w:val="auto"/>
          <w:highlight w:val="none"/>
        </w:rPr>
        <w:t>包括水平弯通、垂直弯通、</w:t>
      </w:r>
      <w:r>
        <w:rPr>
          <w:color w:val="auto"/>
          <w:highlight w:val="none"/>
        </w:rPr>
        <w:t>T</w:t>
      </w:r>
      <w:r>
        <w:rPr>
          <w:rFonts w:hint="eastAsia"/>
          <w:color w:val="auto"/>
          <w:highlight w:val="none"/>
        </w:rPr>
        <w:t>接头、变径单元、始终端母线、膨胀接头</w:t>
      </w:r>
      <w:r>
        <w:rPr>
          <w:rFonts w:hint="eastAsia"/>
          <w:color w:val="auto"/>
          <w:highlight w:val="none"/>
          <w:lang w:val="en-US" w:eastAsia="zh-CN"/>
        </w:rPr>
        <w:t>、软接头、硬接头</w:t>
      </w:r>
      <w:r>
        <w:rPr>
          <w:rFonts w:hint="eastAsia"/>
          <w:color w:val="auto"/>
          <w:highlight w:val="none"/>
        </w:rPr>
        <w:t>等附件，与发电机等设备连接的还包括软（硬）连接等全部配件</w:t>
      </w:r>
      <w:r>
        <w:rPr>
          <w:color w:val="auto"/>
          <w:highlight w:val="none"/>
        </w:rPr>
        <w:t>)</w:t>
      </w:r>
      <w:r>
        <w:rPr>
          <w:rFonts w:hint="eastAsia"/>
          <w:color w:val="auto"/>
          <w:highlight w:val="none"/>
        </w:rPr>
        <w:t xml:space="preserve"> ，以“米”为计量单位计算。</w:t>
      </w:r>
    </w:p>
    <w:p w14:paraId="42A2C2F8">
      <w:pPr>
        <w:pStyle w:val="15"/>
        <w:ind w:firstLine="496"/>
        <w:rPr>
          <w:rFonts w:hint="eastAsia"/>
          <w:color w:val="auto"/>
          <w:highlight w:val="none"/>
        </w:rPr>
      </w:pPr>
      <w:r>
        <w:rPr>
          <w:rFonts w:hint="eastAsia"/>
          <w:color w:val="auto"/>
          <w:highlight w:val="none"/>
        </w:rPr>
        <w:t>2）计价包括：母线槽安装、接地、母线槽防护、</w:t>
      </w:r>
      <w:r>
        <w:rPr>
          <w:rFonts w:hint="eastAsia" w:ascii="宋体" w:hAnsi="宋体" w:cs="宋体"/>
          <w:bCs/>
          <w:color w:val="auto"/>
          <w:highlight w:val="none"/>
        </w:rPr>
        <w:t>除锈刷油</w:t>
      </w:r>
      <w:r>
        <w:rPr>
          <w:rFonts w:hint="eastAsia"/>
          <w:color w:val="auto"/>
          <w:highlight w:val="none"/>
        </w:rPr>
        <w:t>等相关费用。</w:t>
      </w:r>
    </w:p>
    <w:p w14:paraId="0AC88C85">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（5）照明开关、插座</w:t>
      </w:r>
    </w:p>
    <w:p w14:paraId="06025FE9">
      <w:pPr>
        <w:pStyle w:val="15"/>
        <w:ind w:firstLine="496"/>
        <w:rPr>
          <w:rFonts w:hint="eastAsia" w:ascii="宋体" w:hAnsi="宋体" w:cs="宋体"/>
          <w:color w:val="auto"/>
          <w:highlight w:val="none"/>
        </w:rPr>
      </w:pPr>
      <w:r>
        <w:rPr>
          <w:rFonts w:hint="eastAsia" w:ascii="宋体" w:hAnsi="宋体" w:cs="宋体"/>
          <w:color w:val="auto"/>
          <w:highlight w:val="none"/>
        </w:rPr>
        <w:t>1）计量包括：开关、插座面板及附件，分不同用途、类型、规格、型号，不分安装方式，以“个”为计量单位计算。</w:t>
      </w:r>
    </w:p>
    <w:p w14:paraId="7D7E1D80">
      <w:pPr>
        <w:pStyle w:val="15"/>
        <w:ind w:firstLine="496"/>
        <w:rPr>
          <w:rFonts w:hint="eastAsia" w:ascii="宋体" w:hAnsi="宋体" w:cs="宋体"/>
          <w:color w:val="auto"/>
          <w:highlight w:val="none"/>
        </w:rPr>
      </w:pPr>
      <w:r>
        <w:rPr>
          <w:rFonts w:hint="eastAsia" w:ascii="宋体" w:hAnsi="宋体" w:cs="宋体"/>
          <w:color w:val="auto"/>
          <w:highlight w:val="none"/>
        </w:rPr>
        <w:t>2）计价包括：本体安装，接线、接地，于砖墙或有找平层的地面</w:t>
      </w:r>
      <w:r>
        <w:rPr>
          <w:rFonts w:hint="eastAsia"/>
          <w:color w:val="auto"/>
          <w:highlight w:val="none"/>
        </w:rPr>
        <w:t>、装配式构件</w:t>
      </w:r>
      <w:r>
        <w:rPr>
          <w:rFonts w:hint="eastAsia" w:ascii="宋体" w:hAnsi="宋体" w:cs="宋体"/>
          <w:color w:val="auto"/>
          <w:highlight w:val="none"/>
        </w:rPr>
        <w:t>上的开刨槽、砖墙开孔、修补；焊、压接线端子</w:t>
      </w:r>
      <w:r>
        <w:rPr>
          <w:rFonts w:ascii="宋体" w:hAnsi="宋体" w:cs="宋体"/>
          <w:color w:val="auto"/>
          <w:highlight w:val="none"/>
        </w:rPr>
        <w:t>，接线底盒</w:t>
      </w:r>
      <w:r>
        <w:rPr>
          <w:rFonts w:hint="eastAsia" w:ascii="宋体" w:hAnsi="宋体" w:cs="宋体"/>
          <w:color w:val="auto"/>
          <w:highlight w:val="none"/>
        </w:rPr>
        <w:t>等相关费用。</w:t>
      </w:r>
    </w:p>
    <w:p w14:paraId="2D01248B">
      <w:pPr>
        <w:pStyle w:val="15"/>
        <w:ind w:firstLineChars="0"/>
        <w:rPr>
          <w:rFonts w:hint="eastAsia" w:ascii="宋体" w:hAnsi="宋体" w:cs="宋体"/>
          <w:color w:val="auto"/>
          <w:highlight w:val="none"/>
        </w:rPr>
      </w:pPr>
      <w:r>
        <w:rPr>
          <w:rFonts w:hint="eastAsia" w:ascii="宋体" w:hAnsi="宋体" w:cs="宋体"/>
          <w:color w:val="auto"/>
          <w:highlight w:val="none"/>
        </w:rPr>
        <w:t xml:space="preserve">  3）于大堂、电梯厅等有对称形状瓷片、石材装修的部位，开关、插座应安装于瓷片、石材中间位置，实际安装位置与招标图纸表示位置的差异引起的相关工程量(电线、线管)增加的费用已经含于本项目报价中。</w:t>
      </w:r>
    </w:p>
    <w:p w14:paraId="7E02A77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（6）电力电缆，控制电缆</w:t>
      </w:r>
    </w:p>
    <w:p w14:paraId="19C8A466">
      <w:pPr>
        <w:pStyle w:val="15"/>
        <w:ind w:firstLine="496"/>
        <w:rPr>
          <w:rFonts w:hint="eastAsia" w:ascii="宋体" w:hAnsi="宋体" w:cs="宋体"/>
          <w:color w:val="auto"/>
          <w:highlight w:val="none"/>
        </w:rPr>
      </w:pPr>
      <w:r>
        <w:rPr>
          <w:rFonts w:hint="eastAsia" w:ascii="宋体" w:hAnsi="宋体" w:cs="宋体"/>
          <w:color w:val="auto"/>
          <w:highlight w:val="none"/>
        </w:rPr>
        <w:t>1）计量包括：分电压等级、用途、材质、规格、型号，不分敷设方式，以“米”为计量单位计算。</w:t>
      </w:r>
    </w:p>
    <w:p w14:paraId="5837F384">
      <w:pPr>
        <w:pStyle w:val="15"/>
        <w:ind w:firstLine="496"/>
        <w:rPr>
          <w:rFonts w:hint="eastAsia" w:ascii="宋体" w:hAnsi="宋体" w:cs="宋体"/>
          <w:color w:val="auto"/>
          <w:highlight w:val="none"/>
        </w:rPr>
      </w:pPr>
      <w:r>
        <w:rPr>
          <w:rFonts w:hint="eastAsia" w:ascii="宋体" w:hAnsi="宋体" w:cs="宋体"/>
          <w:color w:val="auto"/>
          <w:highlight w:val="none"/>
        </w:rPr>
        <w:t>2）计价包括：揭（盖）盖板、电缆敷设、标识、连接体（含电缆穿刺线夹）、压铜端子、16mm2以下的电缆头、接地、试压、测试、电缆防护、电缆防火隔板、电缆防火涂料、单体调试等相关费用。</w:t>
      </w:r>
    </w:p>
    <w:p w14:paraId="63C4342A">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（7）电力电缆头</w:t>
      </w:r>
    </w:p>
    <w:p w14:paraId="7DE3C18D">
      <w:pPr>
        <w:pStyle w:val="15"/>
        <w:ind w:firstLine="496"/>
        <w:rPr>
          <w:rFonts w:hint="eastAsia" w:ascii="宋体" w:hAnsi="宋体" w:cs="宋体"/>
          <w:color w:val="auto"/>
          <w:highlight w:val="none"/>
        </w:rPr>
      </w:pPr>
      <w:r>
        <w:rPr>
          <w:rFonts w:hint="eastAsia" w:ascii="宋体" w:hAnsi="宋体" w:cs="宋体"/>
          <w:color w:val="auto"/>
          <w:highlight w:val="none"/>
        </w:rPr>
        <w:t>1）计量包括：分电压等级、用途、材质、规格、型号，不分敷设方式，以“个”为计量单位计算。</w:t>
      </w:r>
    </w:p>
    <w:p w14:paraId="0A75398F">
      <w:pPr>
        <w:pStyle w:val="15"/>
        <w:ind w:firstLine="496"/>
        <w:rPr>
          <w:rFonts w:hint="eastAsia" w:ascii="宋体" w:hAnsi="宋体" w:cs="宋体"/>
          <w:color w:val="auto"/>
          <w:highlight w:val="none"/>
        </w:rPr>
      </w:pPr>
      <w:r>
        <w:rPr>
          <w:rFonts w:hint="eastAsia" w:ascii="宋体" w:hAnsi="宋体" w:cs="宋体"/>
          <w:color w:val="auto"/>
          <w:highlight w:val="none"/>
        </w:rPr>
        <w:t>2）计价包括：16mm2及16mm2以上</w:t>
      </w:r>
      <w:r>
        <w:rPr>
          <w:color w:val="auto"/>
          <w:highlight w:val="none"/>
        </w:rPr>
        <w:t>电缆头(含中间接头)制作及安装、标识、定位、固定、剥铜护套、测绝缘、驱潮、终端密封、套热缩绝缘管、端子安装、接地等相关费用</w:t>
      </w:r>
      <w:r>
        <w:rPr>
          <w:rFonts w:hint="eastAsia" w:ascii="宋体" w:hAnsi="宋体" w:cs="宋体"/>
          <w:color w:val="auto"/>
          <w:highlight w:val="none"/>
        </w:rPr>
        <w:t>。</w:t>
      </w:r>
    </w:p>
    <w:p w14:paraId="56C8C403">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（8）配管</w:t>
      </w:r>
    </w:p>
    <w:p w14:paraId="5681820D">
      <w:pPr>
        <w:pStyle w:val="16"/>
        <w:spacing w:before="0" w:beforeLines="0" w:after="0" w:afterLines="0" w:line="360" w:lineRule="auto"/>
        <w:ind w:firstLine="496" w:firstLineChars="200"/>
        <w:jc w:val="both"/>
        <w:outlineLvl w:val="9"/>
        <w:rPr>
          <w:rFonts w:hint="eastAsia" w:ascii="Times New Roman" w:hAnsi="Times New Roman" w:eastAsia="宋体"/>
          <w:b w:val="0"/>
          <w:color w:val="auto"/>
          <w:highlight w:val="none"/>
        </w:rPr>
      </w:pPr>
      <w:r>
        <w:rPr>
          <w:rFonts w:hint="eastAsia" w:ascii="Times New Roman" w:hAnsi="Times New Roman" w:eastAsia="宋体"/>
          <w:b w:val="0"/>
          <w:color w:val="auto"/>
          <w:highlight w:val="none"/>
        </w:rPr>
        <w:t>1）包括镀锌钢管、镀锌电线管、可挠金属套管、PVC塑料电线管等电气管道、接线盒等。</w:t>
      </w:r>
    </w:p>
    <w:p w14:paraId="2E05E75B">
      <w:pPr>
        <w:pStyle w:val="15"/>
        <w:ind w:firstLine="496"/>
        <w:rPr>
          <w:rFonts w:hint="eastAsia"/>
          <w:color w:val="auto"/>
          <w:highlight w:val="none"/>
        </w:rPr>
      </w:pPr>
      <w:r>
        <w:rPr>
          <w:rFonts w:hint="eastAsia"/>
          <w:color w:val="auto"/>
          <w:highlight w:val="none"/>
        </w:rPr>
        <w:t>2）计量包括：分不同材质、不同规格，不分敷设方式，以“米”为计量单位计算。</w:t>
      </w:r>
    </w:p>
    <w:p w14:paraId="6B0F07A2">
      <w:pPr>
        <w:pStyle w:val="16"/>
        <w:spacing w:before="0" w:beforeLines="0" w:after="0" w:afterLines="0" w:line="360" w:lineRule="auto"/>
        <w:ind w:firstLine="496" w:firstLineChars="200"/>
        <w:jc w:val="both"/>
        <w:outlineLvl w:val="9"/>
        <w:rPr>
          <w:rFonts w:hint="eastAsia" w:ascii="Times New Roman" w:hAnsi="Times New Roman" w:eastAsia="宋体"/>
          <w:b w:val="0"/>
          <w:color w:val="auto"/>
          <w:highlight w:val="none"/>
        </w:rPr>
      </w:pPr>
      <w:r>
        <w:rPr>
          <w:rFonts w:hint="eastAsia" w:ascii="Times New Roman" w:hAnsi="Times New Roman" w:eastAsia="宋体"/>
          <w:b w:val="0"/>
          <w:color w:val="auto"/>
          <w:highlight w:val="none"/>
        </w:rPr>
        <w:t>3）计价包括：管道敷设、穿线用牵引铁线、砼结构内的管道预埋施工、于砖墙或有找平层的地面、装配式构件上的开刨槽、砖墙开孔、修补、配件管件及安装、支吊架制作安装、接线盒供应及安装、防腐油漆、标识、接地等相关费用。</w:t>
      </w:r>
    </w:p>
    <w:p w14:paraId="6A14BD66">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（9）线槽</w:t>
      </w:r>
    </w:p>
    <w:p w14:paraId="38FE042E">
      <w:pPr>
        <w:pStyle w:val="15"/>
        <w:ind w:firstLine="496"/>
        <w:rPr>
          <w:rFonts w:hint="eastAsia"/>
          <w:color w:val="auto"/>
          <w:highlight w:val="none"/>
        </w:rPr>
      </w:pPr>
      <w:r>
        <w:rPr>
          <w:rFonts w:hint="eastAsia"/>
          <w:color w:val="auto"/>
          <w:highlight w:val="none"/>
        </w:rPr>
        <w:t>1）计量包括：线槽（包括盖板、三通、弯头等附件以及接地扣片等配件），</w:t>
      </w:r>
      <w:r>
        <w:rPr>
          <w:rFonts w:hint="eastAsia" w:ascii="宋体" w:hAnsi="宋体" w:cs="宋体"/>
          <w:color w:val="auto"/>
          <w:highlight w:val="none"/>
        </w:rPr>
        <w:t>按不同材质</w:t>
      </w:r>
      <w:r>
        <w:rPr>
          <w:rFonts w:hint="eastAsia"/>
          <w:color w:val="auto"/>
          <w:highlight w:val="none"/>
        </w:rPr>
        <w:t>以截面半周长为步距，以“米”为计量单位计算。</w:t>
      </w:r>
    </w:p>
    <w:p w14:paraId="5E4AE92A">
      <w:pPr>
        <w:pStyle w:val="15"/>
        <w:ind w:firstLine="496"/>
        <w:rPr>
          <w:rFonts w:hint="eastAsia"/>
          <w:color w:val="auto"/>
          <w:highlight w:val="none"/>
          <w:lang w:val="en-US" w:eastAsia="zh-CN"/>
        </w:rPr>
      </w:pPr>
      <w:r>
        <w:rPr>
          <w:rFonts w:hint="eastAsia"/>
          <w:color w:val="auto"/>
          <w:highlight w:val="none"/>
          <w:lang w:val="en-US" w:eastAsia="zh-CN"/>
        </w:rPr>
        <w:t>2）计价包括：</w:t>
      </w:r>
      <w:bookmarkStart w:id="107" w:name="_Hlk83205584"/>
      <w:r>
        <w:rPr>
          <w:rFonts w:hint="eastAsia"/>
          <w:color w:val="auto"/>
          <w:highlight w:val="none"/>
          <w:lang w:val="en-US" w:eastAsia="zh-CN"/>
        </w:rPr>
        <w:t>本体运输、固定安装、接口修整安装附件安装（包括盖板、隔板、三通、弯头、支承件等附件以及软接头、接地铜排等全部配件）、电缆桥架及附件、配件安装、接地、伸缩软接头、于砖墙或有找平层的地面、装配式构件上的开刨槽、砖墙开孔、修补、穿墙、楼板处防火封堵，除锈刷漆，支架制作、安装、支架除锈刷漆等相关费用。</w:t>
      </w:r>
      <w:bookmarkEnd w:id="107"/>
    </w:p>
    <w:p w14:paraId="433AF49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（10）桥架</w:t>
      </w:r>
    </w:p>
    <w:p w14:paraId="4D3E1318">
      <w:pPr>
        <w:pStyle w:val="15"/>
        <w:ind w:firstLine="496"/>
        <w:rPr>
          <w:rFonts w:hint="eastAsia" w:ascii="宋体" w:hAnsi="宋体" w:cs="宋体"/>
          <w:color w:val="auto"/>
          <w:highlight w:val="none"/>
        </w:rPr>
      </w:pPr>
      <w:r>
        <w:rPr>
          <w:rFonts w:hint="eastAsia" w:ascii="宋体" w:hAnsi="宋体" w:cs="宋体"/>
          <w:color w:val="auto"/>
          <w:highlight w:val="none"/>
        </w:rPr>
        <w:t>1）计量包括：电缆桥架（包括盖板、隔板、三通、弯头、支承件等附件以及软接头、接地铜排等全部配件），按不同材质以截面半周长为步距，以“米”为计量单位计算。</w:t>
      </w:r>
    </w:p>
    <w:p w14:paraId="59145400">
      <w:pPr>
        <w:pStyle w:val="15"/>
        <w:ind w:firstLine="496"/>
        <w:rPr>
          <w:rFonts w:hint="eastAsia" w:ascii="宋体" w:hAnsi="宋体" w:cs="宋体"/>
          <w:color w:val="auto"/>
          <w:highlight w:val="none"/>
        </w:rPr>
      </w:pPr>
      <w:r>
        <w:rPr>
          <w:rFonts w:hint="eastAsia" w:ascii="宋体" w:hAnsi="宋体" w:cs="宋体"/>
          <w:color w:val="auto"/>
          <w:highlight w:val="none"/>
        </w:rPr>
        <w:t>2）计价包括：</w:t>
      </w:r>
      <w:bookmarkStart w:id="108" w:name="_Hlk83205612"/>
      <w:r>
        <w:rPr>
          <w:color w:val="auto"/>
          <w:highlight w:val="none"/>
        </w:rPr>
        <w:t>本体运输、固定安装、接口修整安装附件安装（包括盖板、隔板、三通、弯头、支承件等附件以及软接头、接地铜排等全部配件）、电缆桥架及附件、配件安装、接地、伸缩软接头、于砖墙或有找平层的地面</w:t>
      </w:r>
      <w:r>
        <w:rPr>
          <w:rFonts w:hint="eastAsia"/>
          <w:color w:val="auto"/>
          <w:highlight w:val="none"/>
        </w:rPr>
        <w:t>、装配式构件</w:t>
      </w:r>
      <w:r>
        <w:rPr>
          <w:color w:val="auto"/>
          <w:highlight w:val="none"/>
        </w:rPr>
        <w:t>上的开刨槽、砖墙开孔、修补</w:t>
      </w:r>
      <w:r>
        <w:rPr>
          <w:rFonts w:hint="eastAsia"/>
          <w:color w:val="auto"/>
          <w:highlight w:val="none"/>
        </w:rPr>
        <w:t>、</w:t>
      </w:r>
      <w:r>
        <w:rPr>
          <w:color w:val="auto"/>
          <w:highlight w:val="none"/>
        </w:rPr>
        <w:t>穿墙、楼板处防火封堵，除锈刷漆，支架制作、安装、支架除锈刷漆等相关费用</w:t>
      </w:r>
      <w:bookmarkEnd w:id="108"/>
      <w:r>
        <w:rPr>
          <w:rFonts w:hint="eastAsia" w:ascii="宋体" w:hAnsi="宋体" w:cs="宋体"/>
          <w:color w:val="auto"/>
          <w:highlight w:val="none"/>
        </w:rPr>
        <w:t>。</w:t>
      </w:r>
    </w:p>
    <w:p w14:paraId="11DD5ADE">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（11）配线</w:t>
      </w:r>
    </w:p>
    <w:p w14:paraId="693EF2FD">
      <w:pPr>
        <w:pStyle w:val="15"/>
        <w:ind w:firstLine="496"/>
        <w:rPr>
          <w:rFonts w:hint="eastAsia" w:ascii="宋体" w:hAnsi="宋体" w:cs="宋体"/>
          <w:b w:val="0"/>
          <w:bCs w:val="0"/>
          <w:color w:val="auto"/>
          <w:highlight w:val="none"/>
        </w:rPr>
      </w:pPr>
      <w:r>
        <w:rPr>
          <w:rFonts w:hint="eastAsia" w:ascii="宋体" w:hAnsi="宋体" w:cs="宋体"/>
          <w:color w:val="auto"/>
          <w:highlight w:val="none"/>
        </w:rPr>
        <w:t>1）计量包括：分电压等级、用途、材质、规格、型号，不分敷设方式，以“米”</w:t>
      </w:r>
      <w:r>
        <w:rPr>
          <w:rFonts w:hint="eastAsia" w:ascii="宋体" w:hAnsi="宋体" w:cs="宋体"/>
          <w:b w:val="0"/>
          <w:bCs w:val="0"/>
          <w:color w:val="auto"/>
          <w:highlight w:val="none"/>
        </w:rPr>
        <w:t>为计量单位计算。</w:t>
      </w:r>
    </w:p>
    <w:p w14:paraId="36F64E8F">
      <w:pPr>
        <w:pStyle w:val="15"/>
        <w:ind w:firstLine="496"/>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rPr>
        <w:t>2）计价包括：支持体（夹板、绝缘子、街码等）安装、配线、管内或槽内穿线、</w:t>
      </w:r>
      <w:r>
        <w:rPr>
          <w:rFonts w:hint="eastAsia" w:ascii="宋体" w:hAnsi="宋体" w:cs="宋体"/>
          <w:b w:val="0"/>
          <w:bCs w:val="0"/>
          <w:color w:val="auto"/>
          <w:highlight w:val="none"/>
          <w:lang w:val="en-US" w:eastAsia="zh-CN"/>
        </w:rPr>
        <w:t>焊、压接线端子等相关费用。</w:t>
      </w:r>
    </w:p>
    <w:p w14:paraId="53069F6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（12）普通灯具</w:t>
      </w:r>
    </w:p>
    <w:p w14:paraId="47013904">
      <w:pPr>
        <w:pStyle w:val="15"/>
        <w:ind w:firstLine="496"/>
        <w:rPr>
          <w:rFonts w:hint="eastAsia" w:ascii="宋体" w:hAnsi="宋体" w:cs="宋体"/>
          <w:color w:val="auto"/>
          <w:highlight w:val="none"/>
        </w:rPr>
      </w:pPr>
      <w:r>
        <w:rPr>
          <w:rFonts w:hint="eastAsia" w:ascii="宋体" w:hAnsi="宋体" w:cs="宋体"/>
          <w:color w:val="auto"/>
          <w:highlight w:val="none"/>
        </w:rPr>
        <w:t>1）计价包括：各类预埋件留设、灯具（含光源）及配件安装、金属软管、接线、接地、焊压接线端子、</w:t>
      </w:r>
      <w:r>
        <w:rPr>
          <w:rFonts w:ascii="宋体" w:hAnsi="宋体" w:cs="宋体"/>
          <w:color w:val="auto"/>
          <w:highlight w:val="none"/>
        </w:rPr>
        <w:t>接线盒、</w:t>
      </w:r>
      <w:r>
        <w:rPr>
          <w:rFonts w:hint="eastAsia" w:ascii="宋体" w:hAnsi="宋体" w:cs="宋体"/>
          <w:color w:val="auto"/>
          <w:highlight w:val="none"/>
        </w:rPr>
        <w:t>支架、调试等相关费用。</w:t>
      </w:r>
    </w:p>
    <w:p w14:paraId="3ABE4F5E">
      <w:pPr>
        <w:pStyle w:val="15"/>
        <w:ind w:firstLine="496"/>
        <w:rPr>
          <w:rFonts w:hint="eastAsia" w:ascii="宋体" w:hAnsi="宋体" w:cs="宋体"/>
          <w:color w:val="auto"/>
          <w:highlight w:val="none"/>
        </w:rPr>
      </w:pPr>
      <w:r>
        <w:rPr>
          <w:rFonts w:hint="eastAsia" w:ascii="宋体" w:hAnsi="宋体" w:cs="宋体"/>
          <w:color w:val="auto"/>
          <w:highlight w:val="none"/>
        </w:rPr>
        <w:t>2）计量包括：灯具（包括吊杆、吊链、吊钩、底座、光源、轨道等全部附件及配件）计量分不同用途、类型、规格、型号，不区分安装方式，以“套”为计量单位计算。</w:t>
      </w:r>
    </w:p>
    <w:p w14:paraId="62230C25">
      <w:pPr>
        <w:pStyle w:val="15"/>
        <w:ind w:firstLine="496"/>
        <w:rPr>
          <w:rFonts w:hint="eastAsia" w:ascii="宋体" w:hAnsi="宋体" w:cs="宋体"/>
          <w:color w:val="auto"/>
          <w:highlight w:val="none"/>
        </w:rPr>
      </w:pPr>
      <w:r>
        <w:rPr>
          <w:rFonts w:hint="eastAsia" w:ascii="宋体" w:hAnsi="宋体" w:cs="宋体"/>
          <w:color w:val="auto"/>
          <w:highlight w:val="none"/>
        </w:rPr>
        <w:t>3）当灯具于须吊顶安装时，应考虑带塑套金属软管和相应电线的工程量，相关费用已经含于本项目报价中。</w:t>
      </w:r>
    </w:p>
    <w:p w14:paraId="32B0DC8A">
      <w:pPr>
        <w:pStyle w:val="15"/>
        <w:ind w:firstLine="496"/>
        <w:rPr>
          <w:rFonts w:hint="eastAsia" w:ascii="宋体" w:hAnsi="宋体" w:cs="宋体"/>
          <w:color w:val="auto"/>
          <w:highlight w:val="none"/>
        </w:rPr>
      </w:pPr>
      <w:r>
        <w:rPr>
          <w:rFonts w:hint="eastAsia" w:ascii="宋体" w:hAnsi="宋体" w:cs="宋体"/>
          <w:color w:val="auto"/>
          <w:highlight w:val="none"/>
        </w:rPr>
        <w:t>4）当灯具采用吊链安装时，须考虑悬吊电线的工程量，相关费用已经含于本项目报价中。</w:t>
      </w:r>
    </w:p>
    <w:p w14:paraId="3AA9B569">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（13）防雷接地</w:t>
      </w:r>
    </w:p>
    <w:p w14:paraId="0D04686D">
      <w:pPr>
        <w:pStyle w:val="15"/>
        <w:ind w:firstLine="496"/>
        <w:rPr>
          <w:rFonts w:hint="eastAsia" w:ascii="宋体" w:hAnsi="宋体" w:cs="宋体"/>
          <w:color w:val="auto"/>
          <w:highlight w:val="none"/>
        </w:rPr>
      </w:pPr>
      <w:r>
        <w:rPr>
          <w:rFonts w:hint="eastAsia" w:ascii="宋体" w:hAnsi="宋体" w:cs="宋体"/>
          <w:color w:val="auto"/>
          <w:highlight w:val="none"/>
        </w:rPr>
        <w:t>防雷接地工程内容包括但不限于接地极(板)制安，接地母线敷设，接地网敷设，避雷引下线敷设，接地跨接线，金属构件、桩承台、铝合金门窗接地，等电位连接，防雷设施制安，均压环敷设，避雷带(网)的连接，接地电阻测试、桩承台接地、防雷接地系统调试及验收等</w:t>
      </w:r>
      <w:bookmarkStart w:id="109" w:name="_Hlk83205803"/>
      <w:r>
        <w:rPr>
          <w:rFonts w:hint="eastAsia" w:ascii="宋体" w:hAnsi="宋体" w:cs="宋体"/>
          <w:color w:val="auto"/>
          <w:highlight w:val="none"/>
        </w:rPr>
        <w:t>一切相关</w:t>
      </w:r>
      <w:bookmarkEnd w:id="109"/>
      <w:r>
        <w:rPr>
          <w:rFonts w:hint="eastAsia" w:ascii="宋体" w:hAnsi="宋体" w:cs="宋体"/>
          <w:color w:val="auto"/>
          <w:highlight w:val="none"/>
        </w:rPr>
        <w:t>费用。</w:t>
      </w:r>
      <w:bookmarkStart w:id="110" w:name="_Hlk83205827"/>
      <w:r>
        <w:rPr>
          <w:rFonts w:hint="eastAsia" w:ascii="宋体" w:hAnsi="宋体" w:cs="宋体"/>
          <w:color w:val="auto"/>
          <w:highlight w:val="none"/>
        </w:rPr>
        <w:t>防雷检测费用在本次招标范围内，该费用综合考虑在防雷综合报价中</w:t>
      </w:r>
      <w:bookmarkStart w:id="111" w:name="_Hlk84508595"/>
      <w:r>
        <w:rPr>
          <w:rFonts w:hint="eastAsia" w:ascii="宋体" w:hAnsi="宋体" w:cs="宋体"/>
          <w:color w:val="auto"/>
          <w:highlight w:val="none"/>
        </w:rPr>
        <w:t>，不予另行计算</w:t>
      </w:r>
      <w:bookmarkEnd w:id="111"/>
      <w:r>
        <w:rPr>
          <w:rFonts w:hint="eastAsia" w:ascii="宋体" w:hAnsi="宋体" w:cs="宋体"/>
          <w:color w:val="auto"/>
          <w:highlight w:val="none"/>
        </w:rPr>
        <w:t>。</w:t>
      </w:r>
    </w:p>
    <w:p w14:paraId="649910F4">
      <w:pPr>
        <w:pStyle w:val="15"/>
        <w:numPr>
          <w:ilvl w:val="0"/>
          <w:numId w:val="3"/>
        </w:numPr>
        <w:ind w:firstLine="496"/>
        <w:rPr>
          <w:rFonts w:hint="eastAsia" w:ascii="宋体" w:hAnsi="宋体" w:cs="宋体"/>
          <w:color w:val="auto"/>
          <w:highlight w:val="none"/>
        </w:rPr>
      </w:pPr>
      <w:r>
        <w:rPr>
          <w:rFonts w:hint="eastAsia" w:ascii="宋体" w:hAnsi="宋体" w:cs="宋体"/>
          <w:color w:val="auto"/>
          <w:highlight w:val="none"/>
        </w:rPr>
        <w:t>圆钢水平地极</w:t>
      </w:r>
      <w:r>
        <w:rPr>
          <w:rFonts w:hint="eastAsia" w:ascii="宋体" w:hAnsi="宋体" w:cs="宋体"/>
          <w:color w:val="auto"/>
          <w:highlight w:val="none"/>
          <w:lang w:eastAsia="zh-CN"/>
        </w:rPr>
        <w:t>、房内明装接地线、</w:t>
      </w:r>
      <w:r>
        <w:rPr>
          <w:rFonts w:hint="eastAsia" w:ascii="宋体" w:hAnsi="宋体" w:cs="宋体"/>
          <w:color w:val="auto"/>
          <w:highlight w:val="none"/>
          <w:lang w:val="en-US" w:eastAsia="zh-CN"/>
        </w:rPr>
        <w:t>接地母线</w:t>
      </w:r>
      <w:r>
        <w:rPr>
          <w:rFonts w:hint="eastAsia" w:ascii="宋体" w:hAnsi="宋体" w:cs="宋体"/>
          <w:color w:val="auto"/>
          <w:highlight w:val="none"/>
        </w:rPr>
        <w:br w:type="textWrapping"/>
      </w:r>
      <w:r>
        <w:rPr>
          <w:rFonts w:hint="eastAsia" w:ascii="宋体" w:hAnsi="宋体" w:cs="宋体"/>
          <w:color w:val="auto"/>
          <w:highlight w:val="none"/>
        </w:rPr>
        <w:t>计量包括：本体制作、安装，利用建筑物的钢筋混凝土基础作为接地极，以“米”为计量单位计算</w:t>
      </w:r>
      <w:r>
        <w:rPr>
          <w:rFonts w:hint="eastAsia" w:ascii="宋体" w:hAnsi="宋体" w:cs="宋体"/>
          <w:color w:val="auto"/>
          <w:highlight w:val="none"/>
          <w:lang w:eastAsia="zh-CN"/>
        </w:rPr>
        <w:t>。</w:t>
      </w:r>
      <w:r>
        <w:rPr>
          <w:rFonts w:hint="eastAsia" w:ascii="宋体" w:hAnsi="宋体" w:cs="宋体"/>
          <w:color w:val="auto"/>
          <w:highlight w:val="none"/>
        </w:rPr>
        <w:br w:type="textWrapping"/>
      </w:r>
      <w:r>
        <w:rPr>
          <w:rFonts w:hint="eastAsia" w:ascii="宋体" w:hAnsi="宋体" w:cs="宋体"/>
          <w:color w:val="auto"/>
          <w:highlight w:val="none"/>
        </w:rPr>
        <w:t>计价包括：圆钢水平地极</w:t>
      </w:r>
      <w:r>
        <w:rPr>
          <w:rFonts w:hint="eastAsia" w:ascii="宋体" w:hAnsi="宋体" w:cs="宋体"/>
          <w:color w:val="auto"/>
          <w:highlight w:val="none"/>
          <w:lang w:eastAsia="zh-CN"/>
        </w:rPr>
        <w:t>、房内明装接地线</w:t>
      </w:r>
      <w:r>
        <w:rPr>
          <w:rFonts w:hint="eastAsia" w:ascii="宋体" w:hAnsi="宋体" w:cs="宋体"/>
          <w:color w:val="auto"/>
          <w:highlight w:val="none"/>
        </w:rPr>
        <w:t>的制作、安装及其他相关费用。</w:t>
      </w:r>
    </w:p>
    <w:p w14:paraId="343C0BCE">
      <w:pPr>
        <w:pStyle w:val="15"/>
        <w:numPr>
          <w:ilvl w:val="0"/>
          <w:numId w:val="3"/>
        </w:numPr>
        <w:ind w:firstLine="496"/>
        <w:rPr>
          <w:rFonts w:hint="eastAsia" w:ascii="宋体" w:hAnsi="宋体" w:cs="宋体"/>
          <w:color w:val="auto"/>
          <w:highlight w:val="none"/>
        </w:rPr>
      </w:pPr>
      <w:r>
        <w:rPr>
          <w:rFonts w:hint="eastAsia" w:ascii="宋体" w:hAnsi="宋体" w:cs="宋体"/>
          <w:color w:val="auto"/>
          <w:highlight w:val="none"/>
        </w:rPr>
        <w:t>圆钢引出线</w:t>
      </w:r>
    </w:p>
    <w:p w14:paraId="3A08F03E">
      <w:pPr>
        <w:pStyle w:val="15"/>
        <w:numPr>
          <w:ilvl w:val="0"/>
          <w:numId w:val="0"/>
        </w:numPr>
        <w:rPr>
          <w:rFonts w:hint="eastAsia" w:ascii="宋体" w:hAnsi="宋体" w:cs="宋体"/>
          <w:color w:val="auto"/>
          <w:highlight w:val="none"/>
        </w:rPr>
      </w:pPr>
      <w:r>
        <w:rPr>
          <w:rFonts w:hint="eastAsia" w:ascii="宋体" w:hAnsi="宋体" w:cs="宋体"/>
          <w:color w:val="auto"/>
          <w:highlight w:val="none"/>
        </w:rPr>
        <w:t>计量包括：本体制作、安装，用热镀锌</w:t>
      </w:r>
      <w:r>
        <w:rPr>
          <w:rFonts w:hint="eastAsia" w:ascii="宋体" w:hAnsi="宋体" w:cs="宋体"/>
          <w:color w:val="auto"/>
          <w:highlight w:val="none"/>
          <w:lang w:val="en-US" w:eastAsia="zh-CN"/>
        </w:rPr>
        <w:t>圆钢</w:t>
      </w:r>
      <w:r>
        <w:rPr>
          <w:rFonts w:hint="eastAsia" w:ascii="宋体" w:hAnsi="宋体" w:cs="宋体"/>
          <w:color w:val="auto"/>
          <w:highlight w:val="none"/>
        </w:rPr>
        <w:t>将其与基础可靠焊接，分规格、型号，以“</w:t>
      </w:r>
      <w:r>
        <w:rPr>
          <w:rFonts w:hint="eastAsia" w:ascii="宋体" w:hAnsi="宋体" w:cs="宋体"/>
          <w:color w:val="auto"/>
          <w:highlight w:val="none"/>
          <w:lang w:val="en-US" w:eastAsia="zh-CN"/>
        </w:rPr>
        <w:t>条</w:t>
      </w:r>
      <w:r>
        <w:rPr>
          <w:rFonts w:hint="eastAsia" w:ascii="宋体" w:hAnsi="宋体" w:cs="宋体"/>
          <w:color w:val="auto"/>
          <w:highlight w:val="none"/>
        </w:rPr>
        <w:t>”为计量单位。</w:t>
      </w:r>
    </w:p>
    <w:p w14:paraId="43640304">
      <w:pPr>
        <w:pStyle w:val="15"/>
        <w:numPr>
          <w:ilvl w:val="0"/>
          <w:numId w:val="0"/>
        </w:numPr>
        <w:rPr>
          <w:rFonts w:hint="eastAsia" w:ascii="宋体" w:hAnsi="宋体" w:cs="宋体"/>
          <w:color w:val="auto"/>
          <w:highlight w:val="none"/>
        </w:rPr>
      </w:pPr>
      <w:r>
        <w:rPr>
          <w:rFonts w:hint="eastAsia" w:ascii="宋体" w:hAnsi="宋体" w:cs="宋体"/>
          <w:color w:val="auto"/>
          <w:highlight w:val="none"/>
        </w:rPr>
        <w:t>计价包括：圆钢</w:t>
      </w:r>
      <w:r>
        <w:rPr>
          <w:rFonts w:hint="eastAsia" w:ascii="宋体" w:hAnsi="宋体" w:cs="宋体"/>
          <w:color w:val="auto"/>
          <w:highlight w:val="none"/>
          <w:lang w:val="en-US" w:eastAsia="zh-CN"/>
        </w:rPr>
        <w:t>引出线</w:t>
      </w:r>
      <w:r>
        <w:rPr>
          <w:rFonts w:hint="eastAsia" w:ascii="宋体" w:hAnsi="宋体" w:cs="宋体"/>
          <w:color w:val="auto"/>
          <w:highlight w:val="none"/>
        </w:rPr>
        <w:t>的制作、安装及其他相关费用。</w:t>
      </w:r>
    </w:p>
    <w:p w14:paraId="78E31D24">
      <w:pPr>
        <w:pStyle w:val="15"/>
        <w:numPr>
          <w:ilvl w:val="0"/>
          <w:numId w:val="4"/>
        </w:numPr>
        <w:ind w:firstLine="496" w:firstLineChars="200"/>
        <w:rPr>
          <w:rFonts w:hint="eastAsia" w:ascii="宋体" w:hAnsi="宋体" w:cs="宋体"/>
          <w:color w:val="auto"/>
          <w:highlight w:val="none"/>
        </w:rPr>
      </w:pPr>
      <w:r>
        <w:rPr>
          <w:rFonts w:hint="eastAsia" w:ascii="宋体" w:hAnsi="宋体" w:cs="宋体"/>
          <w:color w:val="auto"/>
          <w:highlight w:val="none"/>
        </w:rPr>
        <w:t>接地装置</w:t>
      </w:r>
      <w:r>
        <w:rPr>
          <w:rFonts w:hint="eastAsia" w:ascii="宋体" w:hAnsi="宋体" w:cs="宋体"/>
          <w:color w:val="auto"/>
          <w:highlight w:val="none"/>
        </w:rPr>
        <w:br w:type="textWrapping"/>
      </w:r>
      <w:r>
        <w:rPr>
          <w:rFonts w:hint="eastAsia" w:ascii="宋体" w:hAnsi="宋体" w:cs="宋体"/>
          <w:color w:val="auto"/>
          <w:highlight w:val="none"/>
        </w:rPr>
        <w:t>计量包括：接地装置检查、调试、校对、测试，以“系统”为计量单位。</w:t>
      </w:r>
      <w:r>
        <w:rPr>
          <w:rFonts w:hint="eastAsia" w:ascii="宋体" w:hAnsi="宋体" w:cs="宋体"/>
          <w:color w:val="auto"/>
          <w:highlight w:val="none"/>
        </w:rPr>
        <w:br w:type="textWrapping"/>
      </w:r>
      <w:r>
        <w:rPr>
          <w:rFonts w:hint="eastAsia" w:ascii="宋体" w:hAnsi="宋体" w:cs="宋体"/>
          <w:color w:val="auto"/>
          <w:highlight w:val="none"/>
        </w:rPr>
        <w:t>计价包括：接地装置系统调试及其他相关费用。</w:t>
      </w:r>
    </w:p>
    <w:p w14:paraId="0E054C1D">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（14）系统调试</w:t>
      </w:r>
    </w:p>
    <w:p w14:paraId="7C707453">
      <w:pPr>
        <w:autoSpaceDE w:val="0"/>
        <w:autoSpaceDN w:val="0"/>
        <w:adjustRightInd w:val="0"/>
        <w:spacing w:line="360" w:lineRule="auto"/>
        <w:ind w:firstLine="585" w:firstLineChars="236"/>
        <w:rPr>
          <w:rFonts w:hint="eastAsia" w:ascii="宋体" w:hAnsi="宋体" w:eastAsia="宋体"/>
          <w:color w:val="auto"/>
          <w:highlight w:val="none"/>
          <w:lang w:eastAsia="zh-CN"/>
        </w:rPr>
      </w:pPr>
      <w:r>
        <w:rPr>
          <w:rFonts w:hint="eastAsia" w:ascii="宋体" w:hAnsi="宋体" w:eastAsia="宋体" w:cs="宋体"/>
          <w:color w:val="auto"/>
          <w:spacing w:val="4"/>
          <w:kern w:val="0"/>
          <w:sz w:val="24"/>
          <w:szCs w:val="24"/>
          <w:highlight w:val="none"/>
          <w:lang w:val="en-US" w:eastAsia="zh-CN" w:bidi="ar-SA"/>
        </w:rPr>
        <w:t>1）包括电力变压器系统、</w:t>
      </w:r>
      <w:r>
        <w:rPr>
          <w:rFonts w:hint="default" w:ascii="宋体" w:hAnsi="宋体" w:eastAsia="宋体" w:cs="宋体"/>
          <w:color w:val="auto"/>
          <w:spacing w:val="4"/>
          <w:kern w:val="0"/>
          <w:sz w:val="24"/>
          <w:szCs w:val="24"/>
          <w:highlight w:val="none"/>
          <w:lang w:val="en-US" w:eastAsia="zh-CN" w:bidi="ar-SA"/>
        </w:rPr>
        <w:t>10KV电缆耐压试验</w:t>
      </w:r>
      <w:r>
        <w:rPr>
          <w:rFonts w:hint="eastAsia" w:ascii="宋体" w:hAnsi="宋体" w:eastAsia="宋体" w:cs="宋体"/>
          <w:color w:val="auto"/>
          <w:spacing w:val="4"/>
          <w:kern w:val="0"/>
          <w:sz w:val="24"/>
          <w:szCs w:val="24"/>
          <w:highlight w:val="none"/>
          <w:lang w:val="en-US" w:eastAsia="zh-CN" w:bidi="ar-SA"/>
        </w:rPr>
        <w:t>、1KV、10KV送配电装置系统、母线调试、</w:t>
      </w:r>
      <w:r>
        <w:rPr>
          <w:rFonts w:hint="default" w:ascii="宋体" w:hAnsi="宋体" w:eastAsia="宋体" w:cs="宋体"/>
          <w:color w:val="auto"/>
          <w:spacing w:val="4"/>
          <w:kern w:val="0"/>
          <w:sz w:val="24"/>
          <w:szCs w:val="24"/>
          <w:highlight w:val="none"/>
          <w:lang w:val="en-US" w:eastAsia="zh-CN" w:bidi="ar-SA"/>
        </w:rPr>
        <w:t>自动化调试、接地网试验等相关试验。</w:t>
      </w:r>
    </w:p>
    <w:p w14:paraId="7FCF1F54">
      <w:pPr>
        <w:pStyle w:val="15"/>
        <w:ind w:firstLine="496"/>
        <w:rPr>
          <w:rFonts w:hint="eastAsia" w:ascii="宋体" w:hAnsi="宋体"/>
          <w:color w:val="auto"/>
          <w:highlight w:val="none"/>
        </w:rPr>
      </w:pPr>
      <w:r>
        <w:rPr>
          <w:rFonts w:hint="eastAsia" w:ascii="宋体" w:hAnsi="宋体"/>
          <w:color w:val="auto"/>
          <w:highlight w:val="none"/>
        </w:rPr>
        <w:t>2）计量包括：按不同的</w:t>
      </w:r>
      <w:r>
        <w:rPr>
          <w:rFonts w:hint="eastAsia" w:ascii="宋体" w:hAnsi="宋体"/>
          <w:color w:val="auto"/>
          <w:highlight w:val="none"/>
          <w:lang w:val="en-US" w:eastAsia="zh-CN"/>
        </w:rPr>
        <w:t>工作内容</w:t>
      </w:r>
      <w:r>
        <w:rPr>
          <w:rFonts w:hint="eastAsia" w:ascii="宋体" w:hAnsi="宋体"/>
          <w:color w:val="auto"/>
          <w:highlight w:val="none"/>
        </w:rPr>
        <w:t>，以“</w:t>
      </w:r>
      <w:r>
        <w:rPr>
          <w:rFonts w:hint="eastAsia" w:ascii="宋体" w:hAnsi="宋体"/>
          <w:color w:val="auto"/>
          <w:highlight w:val="none"/>
          <w:lang w:val="en-US" w:eastAsia="zh-CN"/>
        </w:rPr>
        <w:t>系统、根、段</w:t>
      </w:r>
      <w:r>
        <w:rPr>
          <w:rFonts w:hint="eastAsia" w:ascii="宋体" w:hAnsi="宋体"/>
          <w:color w:val="auto"/>
          <w:highlight w:val="none"/>
        </w:rPr>
        <w:t>”为计量单位计算。</w:t>
      </w:r>
    </w:p>
    <w:p w14:paraId="2E14381E">
      <w:pPr>
        <w:pStyle w:val="15"/>
        <w:ind w:firstLine="496"/>
        <w:rPr>
          <w:rFonts w:hint="eastAsia" w:ascii="宋体" w:hAnsi="宋体"/>
          <w:color w:val="auto"/>
          <w:highlight w:val="none"/>
        </w:rPr>
      </w:pPr>
      <w:r>
        <w:rPr>
          <w:rFonts w:hint="eastAsia" w:ascii="宋体" w:hAnsi="宋体"/>
          <w:color w:val="auto"/>
          <w:highlight w:val="none"/>
        </w:rPr>
        <w:t>3）计价包括：</w:t>
      </w:r>
      <w:r>
        <w:rPr>
          <w:rFonts w:hint="eastAsia" w:ascii="宋体" w:hAnsi="宋体" w:cs="宋体"/>
          <w:color w:val="auto"/>
          <w:highlight w:val="none"/>
        </w:rPr>
        <w:t>系统调试及其他相关费用</w:t>
      </w:r>
    </w:p>
    <w:p w14:paraId="4D657B2A">
      <w:pPr>
        <w:pStyle w:val="15"/>
        <w:ind w:firstLine="496"/>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（15）安健环</w:t>
      </w:r>
    </w:p>
    <w:p w14:paraId="7D5B4D8B">
      <w:pPr>
        <w:pStyle w:val="15"/>
        <w:ind w:firstLine="496"/>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1）包括警示牌、标志牌、防鼠板、绝缘地板胶等</w:t>
      </w:r>
    </w:p>
    <w:p w14:paraId="64827DFF">
      <w:pPr>
        <w:pStyle w:val="15"/>
        <w:ind w:firstLine="496"/>
        <w:rPr>
          <w:rFonts w:hint="eastAsia" w:ascii="宋体" w:hAnsi="宋体" w:eastAsia="宋体" w:cs="宋体"/>
          <w:b w:val="0"/>
          <w:bCs w:val="0"/>
          <w:color w:val="auto"/>
          <w:highlight w:val="none"/>
          <w:lang w:eastAsia="zh-CN"/>
        </w:rPr>
      </w:pPr>
      <w:r>
        <w:rPr>
          <w:rFonts w:hint="eastAsia" w:ascii="宋体" w:hAnsi="宋体" w:eastAsia="宋体" w:cs="宋体"/>
          <w:color w:val="auto"/>
          <w:spacing w:val="4"/>
          <w:kern w:val="0"/>
          <w:sz w:val="24"/>
          <w:szCs w:val="24"/>
          <w:highlight w:val="none"/>
          <w:lang w:val="en-US" w:eastAsia="zh-CN" w:bidi="ar-SA"/>
        </w:rPr>
        <w:t>1</w:t>
      </w:r>
      <w:r>
        <w:rPr>
          <w:rFonts w:hint="eastAsia" w:ascii="宋体" w:hAnsi="宋体"/>
          <w:color w:val="auto"/>
          <w:highlight w:val="none"/>
        </w:rPr>
        <w:t>）计量包括：</w:t>
      </w:r>
      <w:r>
        <w:rPr>
          <w:rFonts w:hint="eastAsia" w:ascii="宋体" w:hAnsi="宋体" w:cs="宋体"/>
          <w:color w:val="auto"/>
          <w:highlight w:val="none"/>
        </w:rPr>
        <w:t>分材质、规格、型号，不分敷设方式，以“</w:t>
      </w:r>
      <w:r>
        <w:rPr>
          <w:rFonts w:hint="eastAsia" w:ascii="宋体" w:hAnsi="宋体" w:cs="宋体"/>
          <w:color w:val="auto"/>
          <w:highlight w:val="none"/>
          <w:lang w:val="en-US" w:eastAsia="zh-CN"/>
        </w:rPr>
        <w:t>块、件</w:t>
      </w:r>
      <w:r>
        <w:rPr>
          <w:rFonts w:hint="eastAsia" w:ascii="宋体" w:hAnsi="宋体" w:cs="宋体"/>
          <w:color w:val="auto"/>
          <w:highlight w:val="none"/>
        </w:rPr>
        <w:t>”</w:t>
      </w:r>
      <w:r>
        <w:rPr>
          <w:rFonts w:hint="eastAsia" w:ascii="宋体" w:hAnsi="宋体" w:cs="宋体"/>
          <w:b w:val="0"/>
          <w:bCs w:val="0"/>
          <w:color w:val="auto"/>
          <w:highlight w:val="none"/>
        </w:rPr>
        <w:t>为计量单位计算</w:t>
      </w:r>
      <w:r>
        <w:rPr>
          <w:rFonts w:hint="eastAsia" w:ascii="宋体" w:hAnsi="宋体" w:cs="宋体"/>
          <w:b w:val="0"/>
          <w:bCs w:val="0"/>
          <w:color w:val="auto"/>
          <w:highlight w:val="none"/>
          <w:lang w:eastAsia="zh-CN"/>
        </w:rPr>
        <w:t>。</w:t>
      </w:r>
    </w:p>
    <w:p w14:paraId="13E7EA5A">
      <w:pPr>
        <w:pStyle w:val="15"/>
        <w:ind w:firstLine="496"/>
        <w:rPr>
          <w:rFonts w:hint="eastAsia" w:ascii="宋体" w:hAnsi="宋体" w:cs="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计价包括：</w:t>
      </w:r>
      <w:r>
        <w:rPr>
          <w:rFonts w:hint="eastAsia" w:ascii="宋体" w:hAnsi="宋体" w:cs="宋体"/>
          <w:color w:val="auto"/>
          <w:highlight w:val="none"/>
          <w:lang w:val="en-US" w:eastAsia="zh-CN"/>
        </w:rPr>
        <w:t>本体安装</w:t>
      </w:r>
      <w:r>
        <w:rPr>
          <w:rFonts w:hint="eastAsia" w:ascii="宋体" w:hAnsi="宋体" w:cs="宋体"/>
          <w:color w:val="auto"/>
          <w:highlight w:val="none"/>
        </w:rPr>
        <w:t>及其他相关费用</w:t>
      </w:r>
      <w:r>
        <w:rPr>
          <w:rFonts w:hint="eastAsia" w:ascii="宋体" w:hAnsi="宋体" w:cs="宋体"/>
          <w:color w:val="auto"/>
          <w:highlight w:val="none"/>
          <w:lang w:eastAsia="zh-CN"/>
        </w:rPr>
        <w:t>。</w:t>
      </w:r>
      <w:bookmarkEnd w:id="110"/>
    </w:p>
    <w:p w14:paraId="31DB229D">
      <w:pPr>
        <w:pStyle w:val="17"/>
        <w:spacing w:before="120" w:after="120" w:line="360" w:lineRule="auto"/>
        <w:rPr>
          <w:rFonts w:hint="eastAsia" w:ascii="宋体" w:hAnsi="宋体" w:eastAsia="宋体" w:cs="宋体"/>
          <w:color w:val="auto"/>
          <w:highlight w:val="none"/>
        </w:rPr>
      </w:pPr>
      <w:bookmarkStart w:id="112" w:name="_Toc243458109"/>
      <w:bookmarkStart w:id="113" w:name="_Toc243070783"/>
      <w:bookmarkStart w:id="114" w:name="_Toc294031077"/>
      <w:bookmarkStart w:id="115" w:name="_Toc25282"/>
      <w:bookmarkStart w:id="116" w:name="_Toc468403001"/>
      <w:bookmarkStart w:id="117" w:name="_Toc5854"/>
      <w:bookmarkStart w:id="118" w:name="_Toc30112"/>
      <w:bookmarkStart w:id="119" w:name="_Toc316916410"/>
      <w:bookmarkStart w:id="120" w:name="_Toc3891"/>
      <w:bookmarkStart w:id="121" w:name="_Toc314044190"/>
      <w:r>
        <w:rPr>
          <w:rFonts w:hint="eastAsia" w:ascii="宋体" w:hAnsi="宋体" w:eastAsia="宋体" w:cs="宋体"/>
          <w:color w:val="auto"/>
          <w:kern w:val="44"/>
          <w:highlight w:val="none"/>
        </w:rPr>
        <w:t>第二部分工程量清单</w:t>
      </w:r>
      <w:bookmarkEnd w:id="112"/>
      <w:bookmarkEnd w:id="113"/>
      <w:r>
        <w:rPr>
          <w:rFonts w:hint="eastAsia" w:ascii="宋体" w:hAnsi="宋体" w:eastAsia="宋体" w:cs="宋体"/>
          <w:color w:val="auto"/>
          <w:highlight w:val="none"/>
        </w:rPr>
        <w:t>填报须知</w:t>
      </w:r>
      <w:bookmarkEnd w:id="114"/>
      <w:bookmarkEnd w:id="115"/>
      <w:bookmarkEnd w:id="116"/>
      <w:bookmarkEnd w:id="117"/>
      <w:bookmarkEnd w:id="118"/>
      <w:bookmarkEnd w:id="119"/>
      <w:bookmarkEnd w:id="120"/>
      <w:bookmarkEnd w:id="121"/>
    </w:p>
    <w:p w14:paraId="3ECBBB2D">
      <w:pPr>
        <w:pStyle w:val="15"/>
        <w:ind w:firstLine="496"/>
        <w:rPr>
          <w:rFonts w:hint="eastAsia" w:ascii="宋体" w:hAnsi="宋体" w:cs="宋体"/>
          <w:color w:val="auto"/>
          <w:highlight w:val="none"/>
        </w:rPr>
      </w:pPr>
      <w:r>
        <w:rPr>
          <w:rFonts w:hint="eastAsia" w:ascii="宋体" w:hAnsi="宋体" w:cs="宋体"/>
          <w:color w:val="auto"/>
          <w:highlight w:val="none"/>
        </w:rPr>
        <w:t>一、表格组成如下：</w:t>
      </w:r>
    </w:p>
    <w:p w14:paraId="28D87488">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第1部分</w:t>
      </w:r>
    </w:p>
    <w:p w14:paraId="12FB4E51">
      <w:pPr>
        <w:pStyle w:val="15"/>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编制说明；</w:t>
      </w:r>
    </w:p>
    <w:p w14:paraId="4DF822C9">
      <w:pPr>
        <w:pStyle w:val="15"/>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建设项目投标报价汇总表</w:t>
      </w:r>
    </w:p>
    <w:p w14:paraId="435B5D0D">
      <w:pPr>
        <w:pStyle w:val="15"/>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单项工程投标报价汇总表</w:t>
      </w:r>
    </w:p>
    <w:p w14:paraId="230D8202">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第2部分</w:t>
      </w:r>
    </w:p>
    <w:p w14:paraId="584148BD">
      <w:pPr>
        <w:pStyle w:val="15"/>
        <w:ind w:firstLine="496"/>
        <w:rPr>
          <w:rFonts w:hint="eastAsia" w:ascii="宋体" w:hAnsi="宋体" w:cs="宋体"/>
          <w:color w:val="auto"/>
          <w:highlight w:val="none"/>
        </w:rPr>
      </w:pPr>
      <w:r>
        <w:rPr>
          <w:rFonts w:hint="eastAsia" w:ascii="宋体" w:hAnsi="宋体" w:cs="宋体"/>
          <w:color w:val="auto"/>
          <w:highlight w:val="none"/>
        </w:rPr>
        <w:t>1、单位工程投标报价汇总表</w:t>
      </w:r>
    </w:p>
    <w:p w14:paraId="5B905579">
      <w:pPr>
        <w:pStyle w:val="15"/>
        <w:ind w:firstLine="496"/>
        <w:rPr>
          <w:rFonts w:hint="eastAsia" w:ascii="宋体" w:hAnsi="宋体" w:cs="宋体"/>
          <w:color w:val="auto"/>
          <w:highlight w:val="none"/>
        </w:rPr>
      </w:pPr>
      <w:r>
        <w:rPr>
          <w:rFonts w:hint="eastAsia" w:ascii="宋体" w:hAnsi="宋体" w:cs="宋体"/>
          <w:color w:val="auto"/>
          <w:highlight w:val="none"/>
        </w:rPr>
        <w:t>2、分部分项工程和单价措施项目清单与计价表</w:t>
      </w:r>
    </w:p>
    <w:p w14:paraId="4B2BE27E">
      <w:pPr>
        <w:pStyle w:val="15"/>
        <w:ind w:firstLine="496"/>
        <w:rPr>
          <w:rFonts w:hint="eastAsia" w:ascii="宋体" w:hAnsi="宋体" w:cs="宋体"/>
          <w:color w:val="auto"/>
          <w:highlight w:val="none"/>
        </w:rPr>
      </w:pPr>
      <w:r>
        <w:rPr>
          <w:rFonts w:hint="eastAsia" w:ascii="宋体" w:hAnsi="宋体" w:cs="宋体"/>
          <w:color w:val="auto"/>
          <w:highlight w:val="none"/>
        </w:rPr>
        <w:t>3、总价措施项目清单与计价表</w:t>
      </w:r>
    </w:p>
    <w:p w14:paraId="6D9CC5F3">
      <w:pPr>
        <w:pStyle w:val="15"/>
        <w:ind w:firstLine="496"/>
        <w:rPr>
          <w:rFonts w:hint="eastAsia" w:ascii="宋体" w:hAnsi="宋体" w:cs="宋体"/>
          <w:color w:val="auto"/>
          <w:highlight w:val="none"/>
        </w:rPr>
      </w:pPr>
      <w:r>
        <w:rPr>
          <w:rFonts w:hint="eastAsia" w:ascii="宋体" w:hAnsi="宋体" w:cs="宋体"/>
          <w:color w:val="auto"/>
          <w:highlight w:val="none"/>
        </w:rPr>
        <w:t>4、其他项目清单与计价汇总表</w:t>
      </w:r>
    </w:p>
    <w:p w14:paraId="3262F4BD">
      <w:pPr>
        <w:pStyle w:val="15"/>
        <w:ind w:firstLine="496"/>
        <w:rPr>
          <w:rFonts w:hint="eastAsia" w:ascii="宋体" w:hAnsi="宋体" w:cs="宋体"/>
          <w:color w:val="auto"/>
          <w:highlight w:val="none"/>
        </w:rPr>
      </w:pPr>
      <w:r>
        <w:rPr>
          <w:rFonts w:hint="eastAsia" w:ascii="宋体" w:hAnsi="宋体" w:cs="宋体"/>
          <w:color w:val="auto"/>
          <w:highlight w:val="none"/>
        </w:rPr>
        <w:t>5、暂列金额表</w:t>
      </w:r>
    </w:p>
    <w:p w14:paraId="1953BB13">
      <w:pPr>
        <w:pStyle w:val="15"/>
        <w:ind w:firstLine="496"/>
        <w:rPr>
          <w:rFonts w:hint="eastAsia" w:ascii="宋体" w:hAnsi="宋体" w:cs="宋体"/>
          <w:color w:val="auto"/>
          <w:highlight w:val="none"/>
        </w:rPr>
      </w:pPr>
      <w:r>
        <w:rPr>
          <w:rFonts w:hint="eastAsia" w:ascii="宋体" w:hAnsi="宋体" w:cs="宋体"/>
          <w:color w:val="auto"/>
          <w:highlight w:val="none"/>
        </w:rPr>
        <w:t>6、规费、税金项目清单与计价表</w:t>
      </w:r>
    </w:p>
    <w:p w14:paraId="3C3C7529">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第3部分其他相关表格</w:t>
      </w:r>
    </w:p>
    <w:p w14:paraId="766774A4">
      <w:pPr>
        <w:pStyle w:val="15"/>
        <w:ind w:firstLine="538" w:firstLineChars="217"/>
        <w:rPr>
          <w:rFonts w:hint="eastAsia" w:ascii="宋体" w:hAnsi="宋体" w:cs="宋体"/>
          <w:color w:val="auto"/>
          <w:highlight w:val="none"/>
        </w:rPr>
      </w:pPr>
      <w:r>
        <w:rPr>
          <w:rFonts w:hint="eastAsia" w:ascii="宋体" w:hAnsi="宋体" w:cs="宋体"/>
          <w:color w:val="auto"/>
          <w:highlight w:val="none"/>
        </w:rPr>
        <w:t>1、综合单价分析表</w:t>
      </w:r>
    </w:p>
    <w:p w14:paraId="79F2B41B">
      <w:pPr>
        <w:pStyle w:val="15"/>
        <w:ind w:firstLine="538" w:firstLineChars="217"/>
        <w:rPr>
          <w:rFonts w:hint="eastAsia" w:ascii="宋体" w:hAnsi="宋体" w:cs="宋体"/>
          <w:color w:val="auto"/>
          <w:highlight w:val="none"/>
        </w:rPr>
      </w:pPr>
      <w:r>
        <w:rPr>
          <w:rFonts w:hint="eastAsia" w:ascii="宋体" w:hAnsi="宋体" w:cs="宋体"/>
          <w:color w:val="auto"/>
          <w:highlight w:val="none"/>
        </w:rPr>
        <w:t>2、投标人（承包人）提供主要材料和工程设备一览表</w:t>
      </w:r>
    </w:p>
    <w:p w14:paraId="6EF46BD0">
      <w:pPr>
        <w:pStyle w:val="15"/>
        <w:ind w:firstLine="538" w:firstLineChars="217"/>
        <w:rPr>
          <w:rFonts w:hint="eastAsia" w:ascii="宋体" w:hAnsi="宋体" w:cs="宋体"/>
          <w:color w:val="auto"/>
          <w:highlight w:val="none"/>
        </w:rPr>
      </w:pPr>
    </w:p>
    <w:p w14:paraId="31D8FC14">
      <w:pPr>
        <w:pStyle w:val="15"/>
        <w:ind w:firstLine="496"/>
        <w:rPr>
          <w:rFonts w:hint="eastAsia" w:ascii="宋体" w:hAnsi="宋体" w:cs="宋体"/>
          <w:color w:val="auto"/>
          <w:highlight w:val="none"/>
        </w:rPr>
      </w:pPr>
      <w:r>
        <w:rPr>
          <w:rFonts w:hint="eastAsia" w:ascii="宋体" w:hAnsi="宋体" w:cs="宋体"/>
          <w:color w:val="auto"/>
          <w:highlight w:val="none"/>
        </w:rPr>
        <w:t>二、清单表格第1项，参照广州市造价管理站发布的格式编制，也可投标人自行拟定；</w:t>
      </w:r>
    </w:p>
    <w:p w14:paraId="6C4B6C4C">
      <w:pPr>
        <w:pStyle w:val="15"/>
        <w:ind w:firstLine="496"/>
        <w:rPr>
          <w:rFonts w:hint="eastAsia" w:ascii="宋体" w:hAnsi="宋体" w:cs="宋体"/>
          <w:color w:val="auto"/>
          <w:highlight w:val="none"/>
        </w:rPr>
      </w:pPr>
      <w:r>
        <w:rPr>
          <w:rFonts w:hint="eastAsia" w:ascii="宋体" w:hAnsi="宋体" w:cs="宋体"/>
          <w:color w:val="auto"/>
          <w:highlight w:val="none"/>
        </w:rPr>
        <w:t>三、投标报价各表格中的金额应相互对应一致，如有不一致，按就低不就高的原则进行调整。</w:t>
      </w:r>
    </w:p>
    <w:p w14:paraId="24868211">
      <w:pPr>
        <w:pStyle w:val="15"/>
        <w:ind w:firstLine="496"/>
        <w:rPr>
          <w:rFonts w:hint="eastAsia" w:ascii="宋体" w:hAnsi="宋体" w:cs="宋体"/>
          <w:color w:val="auto"/>
          <w:highlight w:val="none"/>
          <w:u w:val="single"/>
        </w:rPr>
      </w:pPr>
      <w:r>
        <w:rPr>
          <w:rFonts w:hint="eastAsia" w:ascii="宋体" w:hAnsi="宋体" w:cs="宋体"/>
          <w:color w:val="auto"/>
          <w:highlight w:val="none"/>
        </w:rPr>
        <w:t>四、分部分项工程和单价措施项目清单与计价表中的综合单价必须与综合单（合）价分析表中的单价对应一致。</w:t>
      </w:r>
      <w:r>
        <w:rPr>
          <w:rFonts w:hint="eastAsia" w:ascii="宋体" w:hAnsi="宋体" w:cs="宋体"/>
          <w:color w:val="auto"/>
          <w:highlight w:val="none"/>
          <w:u w:val="single"/>
        </w:rPr>
        <w:t>相同清单项目</w:t>
      </w:r>
      <w:r>
        <w:rPr>
          <w:rFonts w:hint="eastAsia" w:ascii="宋体" w:hAnsi="宋体" w:cs="宋体"/>
          <w:color w:val="auto"/>
          <w:highlight w:val="none"/>
        </w:rPr>
        <w:t>（指专业类别、清单项目名称、项目特征、工作内容、施工部位（如同为地下工程、地上工程）</w:t>
      </w:r>
      <w:r>
        <w:rPr>
          <w:rFonts w:hint="eastAsia" w:ascii="宋体" w:hAnsi="宋体" w:cs="宋体"/>
          <w:color w:val="auto"/>
          <w:highlight w:val="none"/>
          <w:u w:val="single"/>
        </w:rPr>
        <w:t>只需填报一个综合单价分析表。</w:t>
      </w:r>
    </w:p>
    <w:p w14:paraId="573893BA">
      <w:pPr>
        <w:pStyle w:val="15"/>
        <w:ind w:firstLine="496"/>
        <w:rPr>
          <w:rFonts w:hint="eastAsia" w:ascii="宋体" w:hAnsi="宋体" w:cs="宋体"/>
          <w:color w:val="auto"/>
          <w:highlight w:val="none"/>
          <w:u w:val="single"/>
        </w:rPr>
      </w:pPr>
    </w:p>
    <w:p w14:paraId="30882056">
      <w:pPr>
        <w:pStyle w:val="15"/>
        <w:ind w:firstLine="538" w:firstLineChars="217"/>
        <w:rPr>
          <w:rFonts w:hint="eastAsia" w:ascii="宋体" w:hAnsi="宋体" w:cs="宋体"/>
          <w:color w:val="auto"/>
          <w:highlight w:val="none"/>
        </w:rPr>
      </w:pPr>
    </w:p>
    <w:p w14:paraId="714D4DF1">
      <w:pPr>
        <w:pStyle w:val="15"/>
        <w:ind w:firstLine="538" w:firstLineChars="217"/>
        <w:rPr>
          <w:rFonts w:hint="eastAsia" w:ascii="宋体" w:hAnsi="宋体" w:cs="宋体"/>
          <w:color w:val="auto"/>
          <w:highlight w:val="none"/>
        </w:rPr>
      </w:pPr>
    </w:p>
    <w:p w14:paraId="3E66AB26">
      <w:pPr>
        <w:pStyle w:val="15"/>
        <w:ind w:firstLine="538" w:firstLineChars="217"/>
        <w:rPr>
          <w:rFonts w:hint="eastAsia" w:ascii="宋体" w:hAnsi="宋体" w:cs="宋体"/>
          <w:color w:val="auto"/>
          <w:highlight w:val="none"/>
        </w:rPr>
      </w:pPr>
    </w:p>
    <w:p w14:paraId="02714764">
      <w:pPr>
        <w:pStyle w:val="15"/>
        <w:ind w:firstLine="538" w:firstLineChars="217"/>
        <w:rPr>
          <w:rFonts w:hint="eastAsia" w:ascii="宋体" w:hAnsi="宋体" w:cs="宋体"/>
          <w:color w:val="auto"/>
          <w:highlight w:val="none"/>
        </w:rPr>
      </w:pPr>
    </w:p>
    <w:p w14:paraId="3DB41A6D">
      <w:pPr>
        <w:pStyle w:val="17"/>
        <w:spacing w:before="120" w:after="120" w:line="360" w:lineRule="auto"/>
        <w:ind w:firstLine="2021" w:firstLineChars="547"/>
        <w:jc w:val="both"/>
        <w:rPr>
          <w:rFonts w:hint="eastAsia" w:ascii="宋体" w:hAnsi="宋体" w:eastAsia="宋体" w:cs="宋体"/>
          <w:color w:val="auto"/>
          <w:highlight w:val="none"/>
        </w:rPr>
      </w:pPr>
      <w:bookmarkStart w:id="122" w:name="_Toc314044191"/>
      <w:bookmarkStart w:id="123" w:name="_Toc294031078"/>
      <w:bookmarkStart w:id="124" w:name="_Toc316916412"/>
      <w:bookmarkStart w:id="125" w:name="_Toc468403002"/>
      <w:bookmarkStart w:id="126" w:name="_Toc23783"/>
      <w:bookmarkStart w:id="127" w:name="_Toc9371"/>
      <w:bookmarkStart w:id="128" w:name="_Toc18695"/>
      <w:bookmarkStart w:id="129" w:name="_Toc25755"/>
      <w:r>
        <w:rPr>
          <w:rFonts w:hint="eastAsia" w:ascii="宋体" w:hAnsi="宋体" w:eastAsia="宋体" w:cs="宋体"/>
          <w:color w:val="auto"/>
          <w:kern w:val="44"/>
          <w:highlight w:val="none"/>
        </w:rPr>
        <w:t>第三部分工程量清单</w:t>
      </w:r>
      <w:bookmarkEnd w:id="122"/>
      <w:bookmarkEnd w:id="123"/>
      <w:bookmarkEnd w:id="124"/>
      <w:r>
        <w:rPr>
          <w:rFonts w:hint="eastAsia" w:ascii="宋体" w:hAnsi="宋体" w:eastAsia="宋体" w:cs="宋体"/>
          <w:color w:val="auto"/>
          <w:highlight w:val="none"/>
        </w:rPr>
        <w:t>详见附表。</w:t>
      </w:r>
      <w:bookmarkEnd w:id="125"/>
      <w:bookmarkEnd w:id="126"/>
      <w:bookmarkEnd w:id="127"/>
      <w:bookmarkEnd w:id="128"/>
      <w:bookmarkEnd w:id="129"/>
    </w:p>
    <w:p w14:paraId="41669573">
      <w:pPr>
        <w:spacing w:line="360" w:lineRule="auto"/>
        <w:rPr>
          <w:rFonts w:hint="eastAsia" w:ascii="宋体" w:hAnsi="宋体" w:cs="宋体"/>
          <w:color w:val="auto"/>
          <w:highlight w:val="none"/>
        </w:rPr>
      </w:pPr>
      <w:bookmarkStart w:id="130" w:name="_GoBack"/>
      <w:bookmarkEnd w:id="130"/>
    </w:p>
    <w:sectPr>
      <w:headerReference r:id="rId3" w:type="default"/>
      <w:footerReference r:id="rId4" w:type="default"/>
      <w:pgSz w:w="11907" w:h="16840"/>
      <w:pgMar w:top="1418" w:right="1418" w:bottom="1361" w:left="1418" w:header="851" w:footer="851" w:gutter="0"/>
      <w:pgNumType w:start="1"/>
      <w:cols w:space="720"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8874">
    <w:pPr>
      <w:pStyle w:val="6"/>
      <w:jc w:val="cen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30CC">
    <w:pPr>
      <w:pStyle w:val="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8D889"/>
    <w:multiLevelType w:val="singleLevel"/>
    <w:tmpl w:val="84B8D889"/>
    <w:lvl w:ilvl="0" w:tentative="0">
      <w:start w:val="1"/>
      <w:numFmt w:val="decimal"/>
      <w:suff w:val="nothing"/>
      <w:lvlText w:val="%1、"/>
      <w:lvlJc w:val="left"/>
    </w:lvl>
  </w:abstractNum>
  <w:abstractNum w:abstractNumId="1">
    <w:nsid w:val="EF67AB71"/>
    <w:multiLevelType w:val="singleLevel"/>
    <w:tmpl w:val="EF67AB71"/>
    <w:lvl w:ilvl="0" w:tentative="0">
      <w:start w:val="5"/>
      <w:numFmt w:val="decimal"/>
      <w:suff w:val="nothing"/>
      <w:lvlText w:val="%1、"/>
      <w:lvlJc w:val="left"/>
    </w:lvl>
  </w:abstractNum>
  <w:abstractNum w:abstractNumId="2">
    <w:nsid w:val="F64BB71B"/>
    <w:multiLevelType w:val="singleLevel"/>
    <w:tmpl w:val="F64BB71B"/>
    <w:lvl w:ilvl="0" w:tentative="0">
      <w:start w:val="1"/>
      <w:numFmt w:val="decimal"/>
      <w:lvlText w:val="%1)"/>
      <w:lvlJc w:val="left"/>
      <w:pPr>
        <w:tabs>
          <w:tab w:val="left" w:pos="312"/>
        </w:tabs>
      </w:pPr>
    </w:lvl>
  </w:abstractNum>
  <w:abstractNum w:abstractNumId="3">
    <w:nsid w:val="1DB14185"/>
    <w:multiLevelType w:val="multilevel"/>
    <w:tmpl w:val="1DB14185"/>
    <w:lvl w:ilvl="0" w:tentative="0">
      <w:start w:val="1"/>
      <w:numFmt w:val="decimal"/>
      <w:lvlText w:val="%1、"/>
      <w:lvlJc w:val="left"/>
      <w:pPr>
        <w:tabs>
          <w:tab w:val="left" w:pos="0"/>
        </w:tabs>
        <w:ind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4">
    <w:nsid w:val="3B56B135"/>
    <w:multiLevelType w:val="singleLevel"/>
    <w:tmpl w:val="3B56B135"/>
    <w:lvl w:ilvl="0" w:tentative="0">
      <w:start w:val="3"/>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OTI1Mzk3NzM2ZjczZGViMTA4Mzk2MGNlYTE3MzMifQ=="/>
  </w:docVars>
  <w:rsids>
    <w:rsidRoot w:val="00172A27"/>
    <w:rsid w:val="00000662"/>
    <w:rsid w:val="00000B2A"/>
    <w:rsid w:val="0000132F"/>
    <w:rsid w:val="0000163A"/>
    <w:rsid w:val="00001789"/>
    <w:rsid w:val="00001830"/>
    <w:rsid w:val="00005907"/>
    <w:rsid w:val="00007457"/>
    <w:rsid w:val="00010867"/>
    <w:rsid w:val="00014C47"/>
    <w:rsid w:val="000156FA"/>
    <w:rsid w:val="00015914"/>
    <w:rsid w:val="000221C5"/>
    <w:rsid w:val="00023580"/>
    <w:rsid w:val="00024C2F"/>
    <w:rsid w:val="000263B9"/>
    <w:rsid w:val="000264E4"/>
    <w:rsid w:val="000377CC"/>
    <w:rsid w:val="00037E6B"/>
    <w:rsid w:val="00042A49"/>
    <w:rsid w:val="0004311F"/>
    <w:rsid w:val="000432A7"/>
    <w:rsid w:val="00047751"/>
    <w:rsid w:val="00052E4A"/>
    <w:rsid w:val="00052E68"/>
    <w:rsid w:val="000576C5"/>
    <w:rsid w:val="00064EE1"/>
    <w:rsid w:val="00066138"/>
    <w:rsid w:val="000667C2"/>
    <w:rsid w:val="00070BC0"/>
    <w:rsid w:val="000723AD"/>
    <w:rsid w:val="00072BA0"/>
    <w:rsid w:val="00072D4B"/>
    <w:rsid w:val="000873F2"/>
    <w:rsid w:val="000878E6"/>
    <w:rsid w:val="000919F4"/>
    <w:rsid w:val="00091EAC"/>
    <w:rsid w:val="00093B3B"/>
    <w:rsid w:val="000949C3"/>
    <w:rsid w:val="000968F8"/>
    <w:rsid w:val="00096C56"/>
    <w:rsid w:val="000A3CBC"/>
    <w:rsid w:val="000A45C9"/>
    <w:rsid w:val="000A5F0E"/>
    <w:rsid w:val="000A70A8"/>
    <w:rsid w:val="000A7F19"/>
    <w:rsid w:val="000B10DD"/>
    <w:rsid w:val="000B2EB7"/>
    <w:rsid w:val="000B4733"/>
    <w:rsid w:val="000B4797"/>
    <w:rsid w:val="000B53FA"/>
    <w:rsid w:val="000C226A"/>
    <w:rsid w:val="000C237B"/>
    <w:rsid w:val="000C2842"/>
    <w:rsid w:val="000C29EB"/>
    <w:rsid w:val="000C4321"/>
    <w:rsid w:val="000C51F0"/>
    <w:rsid w:val="000C61D2"/>
    <w:rsid w:val="000D1422"/>
    <w:rsid w:val="000D25CC"/>
    <w:rsid w:val="000D2CF3"/>
    <w:rsid w:val="000D304F"/>
    <w:rsid w:val="000D470F"/>
    <w:rsid w:val="000D5691"/>
    <w:rsid w:val="000D7DDF"/>
    <w:rsid w:val="000E1C03"/>
    <w:rsid w:val="000E75F8"/>
    <w:rsid w:val="000F1D89"/>
    <w:rsid w:val="000F40AB"/>
    <w:rsid w:val="000F526E"/>
    <w:rsid w:val="00101D5D"/>
    <w:rsid w:val="001024C8"/>
    <w:rsid w:val="00104C0E"/>
    <w:rsid w:val="00107644"/>
    <w:rsid w:val="001111EC"/>
    <w:rsid w:val="001138C5"/>
    <w:rsid w:val="00113A6B"/>
    <w:rsid w:val="00115D8F"/>
    <w:rsid w:val="00116F41"/>
    <w:rsid w:val="00121687"/>
    <w:rsid w:val="00121CCA"/>
    <w:rsid w:val="001228A4"/>
    <w:rsid w:val="00124BFF"/>
    <w:rsid w:val="00130227"/>
    <w:rsid w:val="0013210B"/>
    <w:rsid w:val="0013286F"/>
    <w:rsid w:val="0013476C"/>
    <w:rsid w:val="00135A4C"/>
    <w:rsid w:val="0013636C"/>
    <w:rsid w:val="00140E04"/>
    <w:rsid w:val="00141857"/>
    <w:rsid w:val="00141998"/>
    <w:rsid w:val="00141A44"/>
    <w:rsid w:val="0014209B"/>
    <w:rsid w:val="001438D9"/>
    <w:rsid w:val="0014528A"/>
    <w:rsid w:val="001522ED"/>
    <w:rsid w:val="0015255C"/>
    <w:rsid w:val="001563A6"/>
    <w:rsid w:val="00160469"/>
    <w:rsid w:val="00161E3A"/>
    <w:rsid w:val="00162D83"/>
    <w:rsid w:val="00167BFD"/>
    <w:rsid w:val="00170759"/>
    <w:rsid w:val="00171E28"/>
    <w:rsid w:val="00172A27"/>
    <w:rsid w:val="00172FA0"/>
    <w:rsid w:val="00173229"/>
    <w:rsid w:val="001743BF"/>
    <w:rsid w:val="00174B9B"/>
    <w:rsid w:val="001760CF"/>
    <w:rsid w:val="0017632B"/>
    <w:rsid w:val="00176B61"/>
    <w:rsid w:val="00177D5A"/>
    <w:rsid w:val="001808E0"/>
    <w:rsid w:val="00180B97"/>
    <w:rsid w:val="00182BAD"/>
    <w:rsid w:val="00191DEE"/>
    <w:rsid w:val="00192438"/>
    <w:rsid w:val="00192E10"/>
    <w:rsid w:val="00196803"/>
    <w:rsid w:val="001A1858"/>
    <w:rsid w:val="001A50FD"/>
    <w:rsid w:val="001A5B1B"/>
    <w:rsid w:val="001A669E"/>
    <w:rsid w:val="001A70BF"/>
    <w:rsid w:val="001A76D6"/>
    <w:rsid w:val="001B26B5"/>
    <w:rsid w:val="001B3237"/>
    <w:rsid w:val="001B5204"/>
    <w:rsid w:val="001B6BB8"/>
    <w:rsid w:val="001C0247"/>
    <w:rsid w:val="001C06BC"/>
    <w:rsid w:val="001C0A37"/>
    <w:rsid w:val="001C0EB7"/>
    <w:rsid w:val="001C1FA3"/>
    <w:rsid w:val="001C29AF"/>
    <w:rsid w:val="001C30EB"/>
    <w:rsid w:val="001C3BE4"/>
    <w:rsid w:val="001C519F"/>
    <w:rsid w:val="001C67AD"/>
    <w:rsid w:val="001C7AC3"/>
    <w:rsid w:val="001D2BD2"/>
    <w:rsid w:val="001D2E66"/>
    <w:rsid w:val="001D2EBF"/>
    <w:rsid w:val="001D3C42"/>
    <w:rsid w:val="001D41B3"/>
    <w:rsid w:val="001D537F"/>
    <w:rsid w:val="001D59DB"/>
    <w:rsid w:val="001D712F"/>
    <w:rsid w:val="001E0645"/>
    <w:rsid w:val="001E1FA4"/>
    <w:rsid w:val="001E36CF"/>
    <w:rsid w:val="001E62C9"/>
    <w:rsid w:val="001E6CEA"/>
    <w:rsid w:val="001E7C12"/>
    <w:rsid w:val="001F05B8"/>
    <w:rsid w:val="001F211C"/>
    <w:rsid w:val="001F2C82"/>
    <w:rsid w:val="001F52FD"/>
    <w:rsid w:val="001F7DF8"/>
    <w:rsid w:val="00200D30"/>
    <w:rsid w:val="002010C2"/>
    <w:rsid w:val="00201869"/>
    <w:rsid w:val="0020401C"/>
    <w:rsid w:val="00204130"/>
    <w:rsid w:val="002044C8"/>
    <w:rsid w:val="00204CE2"/>
    <w:rsid w:val="00205FDF"/>
    <w:rsid w:val="00207789"/>
    <w:rsid w:val="00211684"/>
    <w:rsid w:val="00212471"/>
    <w:rsid w:val="00212B8D"/>
    <w:rsid w:val="0021387F"/>
    <w:rsid w:val="00214C6E"/>
    <w:rsid w:val="00215629"/>
    <w:rsid w:val="00215ADB"/>
    <w:rsid w:val="0022031F"/>
    <w:rsid w:val="00221EBB"/>
    <w:rsid w:val="00225814"/>
    <w:rsid w:val="00226779"/>
    <w:rsid w:val="0022752B"/>
    <w:rsid w:val="00231935"/>
    <w:rsid w:val="00233CD1"/>
    <w:rsid w:val="00234D93"/>
    <w:rsid w:val="002355B0"/>
    <w:rsid w:val="00235F4B"/>
    <w:rsid w:val="00237310"/>
    <w:rsid w:val="00237F6C"/>
    <w:rsid w:val="002404B6"/>
    <w:rsid w:val="002423AD"/>
    <w:rsid w:val="00242584"/>
    <w:rsid w:val="00251383"/>
    <w:rsid w:val="00255D6F"/>
    <w:rsid w:val="00256008"/>
    <w:rsid w:val="0025708C"/>
    <w:rsid w:val="00257F08"/>
    <w:rsid w:val="002601EC"/>
    <w:rsid w:val="00262617"/>
    <w:rsid w:val="002632F7"/>
    <w:rsid w:val="0026428B"/>
    <w:rsid w:val="00265098"/>
    <w:rsid w:val="00266846"/>
    <w:rsid w:val="002704CF"/>
    <w:rsid w:val="00271914"/>
    <w:rsid w:val="002722C4"/>
    <w:rsid w:val="002756B8"/>
    <w:rsid w:val="002934CD"/>
    <w:rsid w:val="002941E2"/>
    <w:rsid w:val="00294BE8"/>
    <w:rsid w:val="00296A0E"/>
    <w:rsid w:val="002A1593"/>
    <w:rsid w:val="002A2598"/>
    <w:rsid w:val="002A446F"/>
    <w:rsid w:val="002A4CCC"/>
    <w:rsid w:val="002A7698"/>
    <w:rsid w:val="002A7F4D"/>
    <w:rsid w:val="002B30FB"/>
    <w:rsid w:val="002C1A62"/>
    <w:rsid w:val="002C2C81"/>
    <w:rsid w:val="002C2EEF"/>
    <w:rsid w:val="002C5D41"/>
    <w:rsid w:val="002D16D4"/>
    <w:rsid w:val="002D1E63"/>
    <w:rsid w:val="002D3192"/>
    <w:rsid w:val="002D42F5"/>
    <w:rsid w:val="002D4871"/>
    <w:rsid w:val="002D5520"/>
    <w:rsid w:val="002D67EE"/>
    <w:rsid w:val="002D73AE"/>
    <w:rsid w:val="002E1DC8"/>
    <w:rsid w:val="002E39AB"/>
    <w:rsid w:val="002E4616"/>
    <w:rsid w:val="002E47B5"/>
    <w:rsid w:val="002E4C80"/>
    <w:rsid w:val="002E6BC7"/>
    <w:rsid w:val="002F0F23"/>
    <w:rsid w:val="002F6946"/>
    <w:rsid w:val="003002D6"/>
    <w:rsid w:val="00301EEA"/>
    <w:rsid w:val="003031FC"/>
    <w:rsid w:val="0030324A"/>
    <w:rsid w:val="003035E5"/>
    <w:rsid w:val="003077DC"/>
    <w:rsid w:val="00313206"/>
    <w:rsid w:val="003136AB"/>
    <w:rsid w:val="00316E98"/>
    <w:rsid w:val="00316EB9"/>
    <w:rsid w:val="0031732F"/>
    <w:rsid w:val="003200F9"/>
    <w:rsid w:val="00322836"/>
    <w:rsid w:val="003238E7"/>
    <w:rsid w:val="0032392F"/>
    <w:rsid w:val="003248A6"/>
    <w:rsid w:val="003252CC"/>
    <w:rsid w:val="00330F46"/>
    <w:rsid w:val="00331F98"/>
    <w:rsid w:val="00334C8A"/>
    <w:rsid w:val="0033722C"/>
    <w:rsid w:val="003377D4"/>
    <w:rsid w:val="00337C3B"/>
    <w:rsid w:val="00341C05"/>
    <w:rsid w:val="00343693"/>
    <w:rsid w:val="00345EB6"/>
    <w:rsid w:val="00350D87"/>
    <w:rsid w:val="0035265E"/>
    <w:rsid w:val="00352917"/>
    <w:rsid w:val="003536EB"/>
    <w:rsid w:val="00356024"/>
    <w:rsid w:val="00357D37"/>
    <w:rsid w:val="0036083A"/>
    <w:rsid w:val="003625DC"/>
    <w:rsid w:val="00364B58"/>
    <w:rsid w:val="00364C2F"/>
    <w:rsid w:val="00364CA5"/>
    <w:rsid w:val="00365289"/>
    <w:rsid w:val="00366F1B"/>
    <w:rsid w:val="00367F52"/>
    <w:rsid w:val="0037080C"/>
    <w:rsid w:val="00370861"/>
    <w:rsid w:val="003735BB"/>
    <w:rsid w:val="003748AB"/>
    <w:rsid w:val="003759D0"/>
    <w:rsid w:val="00377F40"/>
    <w:rsid w:val="00380FE7"/>
    <w:rsid w:val="00381615"/>
    <w:rsid w:val="00383BC5"/>
    <w:rsid w:val="00384F39"/>
    <w:rsid w:val="00385F40"/>
    <w:rsid w:val="00385F72"/>
    <w:rsid w:val="00386B91"/>
    <w:rsid w:val="00386EB8"/>
    <w:rsid w:val="00390BB1"/>
    <w:rsid w:val="00396155"/>
    <w:rsid w:val="003973E1"/>
    <w:rsid w:val="003A21CF"/>
    <w:rsid w:val="003A3364"/>
    <w:rsid w:val="003A4019"/>
    <w:rsid w:val="003A5EEF"/>
    <w:rsid w:val="003B069F"/>
    <w:rsid w:val="003B09AA"/>
    <w:rsid w:val="003B3EB7"/>
    <w:rsid w:val="003B4DC5"/>
    <w:rsid w:val="003B5063"/>
    <w:rsid w:val="003B66C1"/>
    <w:rsid w:val="003C1C40"/>
    <w:rsid w:val="003D0F43"/>
    <w:rsid w:val="003D3A9B"/>
    <w:rsid w:val="003D5BA4"/>
    <w:rsid w:val="003D76C5"/>
    <w:rsid w:val="003D7892"/>
    <w:rsid w:val="003F58C2"/>
    <w:rsid w:val="003F6E3B"/>
    <w:rsid w:val="003F7F1A"/>
    <w:rsid w:val="0040016A"/>
    <w:rsid w:val="00400D28"/>
    <w:rsid w:val="00402064"/>
    <w:rsid w:val="00410FF2"/>
    <w:rsid w:val="00413203"/>
    <w:rsid w:val="00413A91"/>
    <w:rsid w:val="004154CF"/>
    <w:rsid w:val="004170B0"/>
    <w:rsid w:val="004177DF"/>
    <w:rsid w:val="00417964"/>
    <w:rsid w:val="00420106"/>
    <w:rsid w:val="004201B5"/>
    <w:rsid w:val="004206FD"/>
    <w:rsid w:val="00420D71"/>
    <w:rsid w:val="0042218E"/>
    <w:rsid w:val="00423608"/>
    <w:rsid w:val="004264DC"/>
    <w:rsid w:val="00426C03"/>
    <w:rsid w:val="0042719C"/>
    <w:rsid w:val="00432F5F"/>
    <w:rsid w:val="00433595"/>
    <w:rsid w:val="00436731"/>
    <w:rsid w:val="00441783"/>
    <w:rsid w:val="00452505"/>
    <w:rsid w:val="0046194F"/>
    <w:rsid w:val="004636CE"/>
    <w:rsid w:val="00464EBA"/>
    <w:rsid w:val="00465156"/>
    <w:rsid w:val="00465C9C"/>
    <w:rsid w:val="0047059D"/>
    <w:rsid w:val="004755BA"/>
    <w:rsid w:val="00476B0E"/>
    <w:rsid w:val="00480780"/>
    <w:rsid w:val="00484F00"/>
    <w:rsid w:val="00485DB1"/>
    <w:rsid w:val="00486D71"/>
    <w:rsid w:val="0049209B"/>
    <w:rsid w:val="004939EF"/>
    <w:rsid w:val="00493CE0"/>
    <w:rsid w:val="00496287"/>
    <w:rsid w:val="0049781F"/>
    <w:rsid w:val="004A1F29"/>
    <w:rsid w:val="004A2B4A"/>
    <w:rsid w:val="004B02BE"/>
    <w:rsid w:val="004B128E"/>
    <w:rsid w:val="004B3544"/>
    <w:rsid w:val="004B3CE7"/>
    <w:rsid w:val="004B4277"/>
    <w:rsid w:val="004B6ACB"/>
    <w:rsid w:val="004C00B4"/>
    <w:rsid w:val="004C0696"/>
    <w:rsid w:val="004C549B"/>
    <w:rsid w:val="004C7062"/>
    <w:rsid w:val="004D1B82"/>
    <w:rsid w:val="004D71F9"/>
    <w:rsid w:val="004D7751"/>
    <w:rsid w:val="004E0850"/>
    <w:rsid w:val="004E0D3C"/>
    <w:rsid w:val="004E2957"/>
    <w:rsid w:val="004E295E"/>
    <w:rsid w:val="004E3223"/>
    <w:rsid w:val="004E3D1D"/>
    <w:rsid w:val="004E5A89"/>
    <w:rsid w:val="004F13C3"/>
    <w:rsid w:val="004F246F"/>
    <w:rsid w:val="004F2B34"/>
    <w:rsid w:val="004F3972"/>
    <w:rsid w:val="004F43F9"/>
    <w:rsid w:val="004F5321"/>
    <w:rsid w:val="004F53C1"/>
    <w:rsid w:val="004F5A14"/>
    <w:rsid w:val="004F6CC4"/>
    <w:rsid w:val="005004A5"/>
    <w:rsid w:val="005017C7"/>
    <w:rsid w:val="005039DC"/>
    <w:rsid w:val="00505E01"/>
    <w:rsid w:val="0051258B"/>
    <w:rsid w:val="005133E8"/>
    <w:rsid w:val="005248AD"/>
    <w:rsid w:val="00524BB0"/>
    <w:rsid w:val="00525556"/>
    <w:rsid w:val="00525F0B"/>
    <w:rsid w:val="00531A39"/>
    <w:rsid w:val="00531DD5"/>
    <w:rsid w:val="00533027"/>
    <w:rsid w:val="0053343C"/>
    <w:rsid w:val="00534494"/>
    <w:rsid w:val="00537B9E"/>
    <w:rsid w:val="00541C9A"/>
    <w:rsid w:val="00541F5C"/>
    <w:rsid w:val="00544753"/>
    <w:rsid w:val="00545834"/>
    <w:rsid w:val="00545F20"/>
    <w:rsid w:val="00547F35"/>
    <w:rsid w:val="00550358"/>
    <w:rsid w:val="005536F4"/>
    <w:rsid w:val="0055448A"/>
    <w:rsid w:val="0055500A"/>
    <w:rsid w:val="00556D17"/>
    <w:rsid w:val="00561711"/>
    <w:rsid w:val="00561ED5"/>
    <w:rsid w:val="00562B07"/>
    <w:rsid w:val="005634AB"/>
    <w:rsid w:val="00565236"/>
    <w:rsid w:val="005674DC"/>
    <w:rsid w:val="005678A2"/>
    <w:rsid w:val="0057007F"/>
    <w:rsid w:val="00573978"/>
    <w:rsid w:val="005746CF"/>
    <w:rsid w:val="00580559"/>
    <w:rsid w:val="00581789"/>
    <w:rsid w:val="00582B42"/>
    <w:rsid w:val="005830FE"/>
    <w:rsid w:val="00583589"/>
    <w:rsid w:val="00586E26"/>
    <w:rsid w:val="00587726"/>
    <w:rsid w:val="005A27FB"/>
    <w:rsid w:val="005A313A"/>
    <w:rsid w:val="005A3631"/>
    <w:rsid w:val="005A3ED4"/>
    <w:rsid w:val="005A520A"/>
    <w:rsid w:val="005A55FC"/>
    <w:rsid w:val="005A5F83"/>
    <w:rsid w:val="005A6CD6"/>
    <w:rsid w:val="005A73F5"/>
    <w:rsid w:val="005B2F83"/>
    <w:rsid w:val="005B3476"/>
    <w:rsid w:val="005B4F15"/>
    <w:rsid w:val="005C00FA"/>
    <w:rsid w:val="005C025D"/>
    <w:rsid w:val="005C1928"/>
    <w:rsid w:val="005C1B2A"/>
    <w:rsid w:val="005C1FEE"/>
    <w:rsid w:val="005C572C"/>
    <w:rsid w:val="005D042D"/>
    <w:rsid w:val="005D08AC"/>
    <w:rsid w:val="005D1EB0"/>
    <w:rsid w:val="005D2457"/>
    <w:rsid w:val="005D3E1F"/>
    <w:rsid w:val="005D4AB2"/>
    <w:rsid w:val="005D6C71"/>
    <w:rsid w:val="005E08F6"/>
    <w:rsid w:val="005E2239"/>
    <w:rsid w:val="005E444F"/>
    <w:rsid w:val="005E4BF7"/>
    <w:rsid w:val="005F0380"/>
    <w:rsid w:val="005F3E8F"/>
    <w:rsid w:val="005F4303"/>
    <w:rsid w:val="005F5EC7"/>
    <w:rsid w:val="00600C64"/>
    <w:rsid w:val="00605AEE"/>
    <w:rsid w:val="0060762D"/>
    <w:rsid w:val="0061161B"/>
    <w:rsid w:val="006124E2"/>
    <w:rsid w:val="00615D2E"/>
    <w:rsid w:val="0061685F"/>
    <w:rsid w:val="00617335"/>
    <w:rsid w:val="00617F66"/>
    <w:rsid w:val="0062077C"/>
    <w:rsid w:val="00621FB0"/>
    <w:rsid w:val="00625DD1"/>
    <w:rsid w:val="006264E8"/>
    <w:rsid w:val="00636BF9"/>
    <w:rsid w:val="00637376"/>
    <w:rsid w:val="00642090"/>
    <w:rsid w:val="006420A9"/>
    <w:rsid w:val="006440ED"/>
    <w:rsid w:val="00645095"/>
    <w:rsid w:val="00645511"/>
    <w:rsid w:val="00647024"/>
    <w:rsid w:val="00647F8D"/>
    <w:rsid w:val="00650934"/>
    <w:rsid w:val="006515CE"/>
    <w:rsid w:val="00655E7C"/>
    <w:rsid w:val="00655FAB"/>
    <w:rsid w:val="006565C6"/>
    <w:rsid w:val="006575DB"/>
    <w:rsid w:val="006578C7"/>
    <w:rsid w:val="00661B1A"/>
    <w:rsid w:val="00661F1D"/>
    <w:rsid w:val="00661F6C"/>
    <w:rsid w:val="00665154"/>
    <w:rsid w:val="006826ED"/>
    <w:rsid w:val="00686197"/>
    <w:rsid w:val="00687613"/>
    <w:rsid w:val="00687E3B"/>
    <w:rsid w:val="0069004E"/>
    <w:rsid w:val="00691C77"/>
    <w:rsid w:val="00695C80"/>
    <w:rsid w:val="00697611"/>
    <w:rsid w:val="0069771C"/>
    <w:rsid w:val="00697BC5"/>
    <w:rsid w:val="006A18A5"/>
    <w:rsid w:val="006A249C"/>
    <w:rsid w:val="006A403B"/>
    <w:rsid w:val="006B25A1"/>
    <w:rsid w:val="006B3512"/>
    <w:rsid w:val="006B4375"/>
    <w:rsid w:val="006B7CAE"/>
    <w:rsid w:val="006C00B4"/>
    <w:rsid w:val="006C2AF0"/>
    <w:rsid w:val="006C2FC2"/>
    <w:rsid w:val="006C331E"/>
    <w:rsid w:val="006C33F2"/>
    <w:rsid w:val="006D024E"/>
    <w:rsid w:val="006D16E4"/>
    <w:rsid w:val="006D63E1"/>
    <w:rsid w:val="006D6AFE"/>
    <w:rsid w:val="006D770D"/>
    <w:rsid w:val="006D7C3E"/>
    <w:rsid w:val="006E0EC3"/>
    <w:rsid w:val="006E357B"/>
    <w:rsid w:val="006E4962"/>
    <w:rsid w:val="006E4F35"/>
    <w:rsid w:val="006E58A0"/>
    <w:rsid w:val="006F568B"/>
    <w:rsid w:val="006F7F6C"/>
    <w:rsid w:val="007004C1"/>
    <w:rsid w:val="007059D5"/>
    <w:rsid w:val="00707201"/>
    <w:rsid w:val="0070735D"/>
    <w:rsid w:val="007109D5"/>
    <w:rsid w:val="0071319B"/>
    <w:rsid w:val="00716DD6"/>
    <w:rsid w:val="00717094"/>
    <w:rsid w:val="00717341"/>
    <w:rsid w:val="00717B81"/>
    <w:rsid w:val="00720470"/>
    <w:rsid w:val="00721189"/>
    <w:rsid w:val="00724B83"/>
    <w:rsid w:val="007311D0"/>
    <w:rsid w:val="00732400"/>
    <w:rsid w:val="0073452A"/>
    <w:rsid w:val="00735939"/>
    <w:rsid w:val="0073652C"/>
    <w:rsid w:val="00737523"/>
    <w:rsid w:val="007375B7"/>
    <w:rsid w:val="00740159"/>
    <w:rsid w:val="00740BE7"/>
    <w:rsid w:val="00742A50"/>
    <w:rsid w:val="0074426F"/>
    <w:rsid w:val="007476E8"/>
    <w:rsid w:val="007502DB"/>
    <w:rsid w:val="00752970"/>
    <w:rsid w:val="0075353E"/>
    <w:rsid w:val="0075403B"/>
    <w:rsid w:val="0075717C"/>
    <w:rsid w:val="00765249"/>
    <w:rsid w:val="00765259"/>
    <w:rsid w:val="0076543B"/>
    <w:rsid w:val="0077241F"/>
    <w:rsid w:val="00773341"/>
    <w:rsid w:val="00774DC4"/>
    <w:rsid w:val="007754B1"/>
    <w:rsid w:val="007808CF"/>
    <w:rsid w:val="0078239C"/>
    <w:rsid w:val="00784642"/>
    <w:rsid w:val="00786527"/>
    <w:rsid w:val="00787CA0"/>
    <w:rsid w:val="007928C2"/>
    <w:rsid w:val="007A069D"/>
    <w:rsid w:val="007A0C1A"/>
    <w:rsid w:val="007A37C4"/>
    <w:rsid w:val="007A762D"/>
    <w:rsid w:val="007B1A2F"/>
    <w:rsid w:val="007B2F5D"/>
    <w:rsid w:val="007B3182"/>
    <w:rsid w:val="007C2A59"/>
    <w:rsid w:val="007C57E5"/>
    <w:rsid w:val="007C778C"/>
    <w:rsid w:val="007C7F5D"/>
    <w:rsid w:val="007D153C"/>
    <w:rsid w:val="007D1B33"/>
    <w:rsid w:val="007D1F58"/>
    <w:rsid w:val="007D4F99"/>
    <w:rsid w:val="007D56E5"/>
    <w:rsid w:val="007E15B0"/>
    <w:rsid w:val="007E2436"/>
    <w:rsid w:val="007E2E40"/>
    <w:rsid w:val="007E7243"/>
    <w:rsid w:val="007E77E4"/>
    <w:rsid w:val="007F03CC"/>
    <w:rsid w:val="007F7E0F"/>
    <w:rsid w:val="0080050D"/>
    <w:rsid w:val="008008A2"/>
    <w:rsid w:val="00804D4B"/>
    <w:rsid w:val="008067AB"/>
    <w:rsid w:val="008073DF"/>
    <w:rsid w:val="00807CDC"/>
    <w:rsid w:val="00810DA5"/>
    <w:rsid w:val="00810E09"/>
    <w:rsid w:val="00810EE8"/>
    <w:rsid w:val="00811AA5"/>
    <w:rsid w:val="00814D0B"/>
    <w:rsid w:val="00817A1D"/>
    <w:rsid w:val="0082014B"/>
    <w:rsid w:val="0082315D"/>
    <w:rsid w:val="0082519F"/>
    <w:rsid w:val="00826013"/>
    <w:rsid w:val="008261AE"/>
    <w:rsid w:val="00826C34"/>
    <w:rsid w:val="008305DE"/>
    <w:rsid w:val="00831FC0"/>
    <w:rsid w:val="00833950"/>
    <w:rsid w:val="0083496D"/>
    <w:rsid w:val="00834C53"/>
    <w:rsid w:val="00836249"/>
    <w:rsid w:val="00837273"/>
    <w:rsid w:val="00840F7C"/>
    <w:rsid w:val="0084190C"/>
    <w:rsid w:val="00842AFB"/>
    <w:rsid w:val="008438E8"/>
    <w:rsid w:val="00844E36"/>
    <w:rsid w:val="00846725"/>
    <w:rsid w:val="00846C74"/>
    <w:rsid w:val="00847900"/>
    <w:rsid w:val="008566A2"/>
    <w:rsid w:val="00860024"/>
    <w:rsid w:val="00864293"/>
    <w:rsid w:val="008645C3"/>
    <w:rsid w:val="008664A1"/>
    <w:rsid w:val="00866E0A"/>
    <w:rsid w:val="008712FB"/>
    <w:rsid w:val="00871633"/>
    <w:rsid w:val="0087662E"/>
    <w:rsid w:val="00881381"/>
    <w:rsid w:val="00884AAA"/>
    <w:rsid w:val="00884D2C"/>
    <w:rsid w:val="00884F0D"/>
    <w:rsid w:val="00890C32"/>
    <w:rsid w:val="00892302"/>
    <w:rsid w:val="008928D7"/>
    <w:rsid w:val="00892A08"/>
    <w:rsid w:val="00894909"/>
    <w:rsid w:val="00895372"/>
    <w:rsid w:val="008958BE"/>
    <w:rsid w:val="00896070"/>
    <w:rsid w:val="00896302"/>
    <w:rsid w:val="008973BF"/>
    <w:rsid w:val="0089799E"/>
    <w:rsid w:val="008A1C50"/>
    <w:rsid w:val="008A6474"/>
    <w:rsid w:val="008B12CE"/>
    <w:rsid w:val="008B526D"/>
    <w:rsid w:val="008B6940"/>
    <w:rsid w:val="008B7C2B"/>
    <w:rsid w:val="008C5E0B"/>
    <w:rsid w:val="008C72DE"/>
    <w:rsid w:val="008D0551"/>
    <w:rsid w:val="008D22A2"/>
    <w:rsid w:val="008D5645"/>
    <w:rsid w:val="008D7713"/>
    <w:rsid w:val="008E1A2B"/>
    <w:rsid w:val="008E2E53"/>
    <w:rsid w:val="008E4A5A"/>
    <w:rsid w:val="008E70DA"/>
    <w:rsid w:val="008E75C6"/>
    <w:rsid w:val="008F341D"/>
    <w:rsid w:val="008F3727"/>
    <w:rsid w:val="008F427C"/>
    <w:rsid w:val="008F7466"/>
    <w:rsid w:val="008F750E"/>
    <w:rsid w:val="008F78C8"/>
    <w:rsid w:val="009009B5"/>
    <w:rsid w:val="00900F00"/>
    <w:rsid w:val="00902290"/>
    <w:rsid w:val="00902CF0"/>
    <w:rsid w:val="00903DF7"/>
    <w:rsid w:val="009041B4"/>
    <w:rsid w:val="00907494"/>
    <w:rsid w:val="009111C2"/>
    <w:rsid w:val="0091147F"/>
    <w:rsid w:val="00911DD6"/>
    <w:rsid w:val="0091402B"/>
    <w:rsid w:val="00914BF0"/>
    <w:rsid w:val="00915A31"/>
    <w:rsid w:val="00915CB2"/>
    <w:rsid w:val="00921532"/>
    <w:rsid w:val="00926C04"/>
    <w:rsid w:val="00927358"/>
    <w:rsid w:val="00932656"/>
    <w:rsid w:val="00936007"/>
    <w:rsid w:val="00936A93"/>
    <w:rsid w:val="00937290"/>
    <w:rsid w:val="00937BFF"/>
    <w:rsid w:val="00941D73"/>
    <w:rsid w:val="00941E78"/>
    <w:rsid w:val="009429BD"/>
    <w:rsid w:val="00943B9C"/>
    <w:rsid w:val="00944669"/>
    <w:rsid w:val="00944D4C"/>
    <w:rsid w:val="009460D8"/>
    <w:rsid w:val="0094656F"/>
    <w:rsid w:val="009473AE"/>
    <w:rsid w:val="00947487"/>
    <w:rsid w:val="00955C6A"/>
    <w:rsid w:val="00956924"/>
    <w:rsid w:val="00957628"/>
    <w:rsid w:val="00962423"/>
    <w:rsid w:val="0096375B"/>
    <w:rsid w:val="00963DB6"/>
    <w:rsid w:val="00972FA9"/>
    <w:rsid w:val="0097439D"/>
    <w:rsid w:val="00974D20"/>
    <w:rsid w:val="009777C1"/>
    <w:rsid w:val="00977B3E"/>
    <w:rsid w:val="0098086F"/>
    <w:rsid w:val="00981936"/>
    <w:rsid w:val="00982157"/>
    <w:rsid w:val="00983185"/>
    <w:rsid w:val="00983ED8"/>
    <w:rsid w:val="0098514F"/>
    <w:rsid w:val="0098626E"/>
    <w:rsid w:val="00994531"/>
    <w:rsid w:val="00994A3F"/>
    <w:rsid w:val="009A4F30"/>
    <w:rsid w:val="009A57DD"/>
    <w:rsid w:val="009A6E4E"/>
    <w:rsid w:val="009B1082"/>
    <w:rsid w:val="009B24CA"/>
    <w:rsid w:val="009B4643"/>
    <w:rsid w:val="009B5043"/>
    <w:rsid w:val="009C144D"/>
    <w:rsid w:val="009C1A2B"/>
    <w:rsid w:val="009C2AAE"/>
    <w:rsid w:val="009C4885"/>
    <w:rsid w:val="009C4B11"/>
    <w:rsid w:val="009C51F1"/>
    <w:rsid w:val="009C5754"/>
    <w:rsid w:val="009C5952"/>
    <w:rsid w:val="009D01BC"/>
    <w:rsid w:val="009D2910"/>
    <w:rsid w:val="009D3A53"/>
    <w:rsid w:val="009D4E5C"/>
    <w:rsid w:val="009D5636"/>
    <w:rsid w:val="009E03D7"/>
    <w:rsid w:val="009E0924"/>
    <w:rsid w:val="009E2C39"/>
    <w:rsid w:val="009E3BEC"/>
    <w:rsid w:val="009E6EB4"/>
    <w:rsid w:val="009E7CEA"/>
    <w:rsid w:val="009F0045"/>
    <w:rsid w:val="009F0AC8"/>
    <w:rsid w:val="009F0B87"/>
    <w:rsid w:val="009F7F0B"/>
    <w:rsid w:val="00A02724"/>
    <w:rsid w:val="00A03210"/>
    <w:rsid w:val="00A03E69"/>
    <w:rsid w:val="00A0540E"/>
    <w:rsid w:val="00A0558B"/>
    <w:rsid w:val="00A10566"/>
    <w:rsid w:val="00A12123"/>
    <w:rsid w:val="00A1266C"/>
    <w:rsid w:val="00A14F44"/>
    <w:rsid w:val="00A1524F"/>
    <w:rsid w:val="00A15300"/>
    <w:rsid w:val="00A166AF"/>
    <w:rsid w:val="00A16AFD"/>
    <w:rsid w:val="00A21170"/>
    <w:rsid w:val="00A21415"/>
    <w:rsid w:val="00A239BC"/>
    <w:rsid w:val="00A30620"/>
    <w:rsid w:val="00A32EB6"/>
    <w:rsid w:val="00A37BA7"/>
    <w:rsid w:val="00A405FA"/>
    <w:rsid w:val="00A42BA8"/>
    <w:rsid w:val="00A43A26"/>
    <w:rsid w:val="00A4486E"/>
    <w:rsid w:val="00A459A6"/>
    <w:rsid w:val="00A45C6F"/>
    <w:rsid w:val="00A55811"/>
    <w:rsid w:val="00A572F6"/>
    <w:rsid w:val="00A61CF4"/>
    <w:rsid w:val="00A63E3E"/>
    <w:rsid w:val="00A7328B"/>
    <w:rsid w:val="00A75F33"/>
    <w:rsid w:val="00A77A53"/>
    <w:rsid w:val="00A80393"/>
    <w:rsid w:val="00A826A7"/>
    <w:rsid w:val="00A83EDE"/>
    <w:rsid w:val="00A84C14"/>
    <w:rsid w:val="00A8663D"/>
    <w:rsid w:val="00A91411"/>
    <w:rsid w:val="00A940C0"/>
    <w:rsid w:val="00A961E6"/>
    <w:rsid w:val="00A96E4B"/>
    <w:rsid w:val="00AA36B8"/>
    <w:rsid w:val="00AA519C"/>
    <w:rsid w:val="00AB2CD1"/>
    <w:rsid w:val="00AB446C"/>
    <w:rsid w:val="00AB4A67"/>
    <w:rsid w:val="00AC3340"/>
    <w:rsid w:val="00AC4B4D"/>
    <w:rsid w:val="00AC5048"/>
    <w:rsid w:val="00AD36A6"/>
    <w:rsid w:val="00AD4DF3"/>
    <w:rsid w:val="00AD7A26"/>
    <w:rsid w:val="00AE24A8"/>
    <w:rsid w:val="00AE40EA"/>
    <w:rsid w:val="00AE6A50"/>
    <w:rsid w:val="00AE79AD"/>
    <w:rsid w:val="00AF0EC3"/>
    <w:rsid w:val="00AF17D0"/>
    <w:rsid w:val="00AF1A2D"/>
    <w:rsid w:val="00AF263C"/>
    <w:rsid w:val="00AF33F5"/>
    <w:rsid w:val="00AF6060"/>
    <w:rsid w:val="00AF70FA"/>
    <w:rsid w:val="00AF7FBA"/>
    <w:rsid w:val="00B014FC"/>
    <w:rsid w:val="00B01DFF"/>
    <w:rsid w:val="00B0420B"/>
    <w:rsid w:val="00B101A3"/>
    <w:rsid w:val="00B103C5"/>
    <w:rsid w:val="00B1547E"/>
    <w:rsid w:val="00B15982"/>
    <w:rsid w:val="00B15F3A"/>
    <w:rsid w:val="00B16685"/>
    <w:rsid w:val="00B16B42"/>
    <w:rsid w:val="00B21486"/>
    <w:rsid w:val="00B244A8"/>
    <w:rsid w:val="00B25976"/>
    <w:rsid w:val="00B26A51"/>
    <w:rsid w:val="00B276AD"/>
    <w:rsid w:val="00B31459"/>
    <w:rsid w:val="00B36AF8"/>
    <w:rsid w:val="00B4040C"/>
    <w:rsid w:val="00B4069B"/>
    <w:rsid w:val="00B41310"/>
    <w:rsid w:val="00B418AD"/>
    <w:rsid w:val="00B43BC8"/>
    <w:rsid w:val="00B47EFC"/>
    <w:rsid w:val="00B501F2"/>
    <w:rsid w:val="00B51D81"/>
    <w:rsid w:val="00B560D4"/>
    <w:rsid w:val="00B61BDC"/>
    <w:rsid w:val="00B620C6"/>
    <w:rsid w:val="00B67F90"/>
    <w:rsid w:val="00B746AB"/>
    <w:rsid w:val="00B76452"/>
    <w:rsid w:val="00B772C5"/>
    <w:rsid w:val="00B81D38"/>
    <w:rsid w:val="00B84ADF"/>
    <w:rsid w:val="00B8579D"/>
    <w:rsid w:val="00B85D98"/>
    <w:rsid w:val="00B85F94"/>
    <w:rsid w:val="00B87D19"/>
    <w:rsid w:val="00B916D2"/>
    <w:rsid w:val="00B91864"/>
    <w:rsid w:val="00B92695"/>
    <w:rsid w:val="00B966CF"/>
    <w:rsid w:val="00BA48FA"/>
    <w:rsid w:val="00BA566C"/>
    <w:rsid w:val="00BA5EFA"/>
    <w:rsid w:val="00BA690E"/>
    <w:rsid w:val="00BA6CC2"/>
    <w:rsid w:val="00BB3685"/>
    <w:rsid w:val="00BB755A"/>
    <w:rsid w:val="00BC1869"/>
    <w:rsid w:val="00BC2EB1"/>
    <w:rsid w:val="00BC3544"/>
    <w:rsid w:val="00BC4BCC"/>
    <w:rsid w:val="00BC6A87"/>
    <w:rsid w:val="00BC7B25"/>
    <w:rsid w:val="00BC7C60"/>
    <w:rsid w:val="00BD1E3B"/>
    <w:rsid w:val="00BD36C2"/>
    <w:rsid w:val="00BD4A66"/>
    <w:rsid w:val="00BD55D5"/>
    <w:rsid w:val="00BE00CC"/>
    <w:rsid w:val="00BE5511"/>
    <w:rsid w:val="00BE5B6B"/>
    <w:rsid w:val="00BE5EA6"/>
    <w:rsid w:val="00BE7041"/>
    <w:rsid w:val="00BF3F8C"/>
    <w:rsid w:val="00BF7AAD"/>
    <w:rsid w:val="00C00DDE"/>
    <w:rsid w:val="00C036AD"/>
    <w:rsid w:val="00C03F31"/>
    <w:rsid w:val="00C0554B"/>
    <w:rsid w:val="00C065F4"/>
    <w:rsid w:val="00C12BD3"/>
    <w:rsid w:val="00C1467F"/>
    <w:rsid w:val="00C154AF"/>
    <w:rsid w:val="00C16381"/>
    <w:rsid w:val="00C2081C"/>
    <w:rsid w:val="00C22B38"/>
    <w:rsid w:val="00C22DCE"/>
    <w:rsid w:val="00C25ED5"/>
    <w:rsid w:val="00C273A7"/>
    <w:rsid w:val="00C30DCA"/>
    <w:rsid w:val="00C33053"/>
    <w:rsid w:val="00C355CD"/>
    <w:rsid w:val="00C37145"/>
    <w:rsid w:val="00C372F9"/>
    <w:rsid w:val="00C374B7"/>
    <w:rsid w:val="00C40279"/>
    <w:rsid w:val="00C45901"/>
    <w:rsid w:val="00C540BB"/>
    <w:rsid w:val="00C54332"/>
    <w:rsid w:val="00C55357"/>
    <w:rsid w:val="00C60BB1"/>
    <w:rsid w:val="00C63F30"/>
    <w:rsid w:val="00C64133"/>
    <w:rsid w:val="00C6647A"/>
    <w:rsid w:val="00C72294"/>
    <w:rsid w:val="00C73E9D"/>
    <w:rsid w:val="00C77971"/>
    <w:rsid w:val="00C77C3F"/>
    <w:rsid w:val="00C80471"/>
    <w:rsid w:val="00C809ED"/>
    <w:rsid w:val="00C820FF"/>
    <w:rsid w:val="00C835C3"/>
    <w:rsid w:val="00C913FB"/>
    <w:rsid w:val="00C9253F"/>
    <w:rsid w:val="00C92B96"/>
    <w:rsid w:val="00C92E54"/>
    <w:rsid w:val="00C92EB5"/>
    <w:rsid w:val="00C937B9"/>
    <w:rsid w:val="00C93FA7"/>
    <w:rsid w:val="00C949B4"/>
    <w:rsid w:val="00C94DDB"/>
    <w:rsid w:val="00CA2FC2"/>
    <w:rsid w:val="00CA443A"/>
    <w:rsid w:val="00CA4CB6"/>
    <w:rsid w:val="00CB0CB2"/>
    <w:rsid w:val="00CB2E97"/>
    <w:rsid w:val="00CB334E"/>
    <w:rsid w:val="00CB63B5"/>
    <w:rsid w:val="00CB71EB"/>
    <w:rsid w:val="00CC1D24"/>
    <w:rsid w:val="00CC2C10"/>
    <w:rsid w:val="00CC34F9"/>
    <w:rsid w:val="00CC62F3"/>
    <w:rsid w:val="00CC6527"/>
    <w:rsid w:val="00CD07C2"/>
    <w:rsid w:val="00CD3337"/>
    <w:rsid w:val="00CD3D74"/>
    <w:rsid w:val="00CD6863"/>
    <w:rsid w:val="00CD75A4"/>
    <w:rsid w:val="00CD7BFA"/>
    <w:rsid w:val="00CD7EC0"/>
    <w:rsid w:val="00CE1017"/>
    <w:rsid w:val="00CE11AD"/>
    <w:rsid w:val="00CE346D"/>
    <w:rsid w:val="00CE3A9E"/>
    <w:rsid w:val="00CE449F"/>
    <w:rsid w:val="00CF01FA"/>
    <w:rsid w:val="00CF0E7A"/>
    <w:rsid w:val="00CF117A"/>
    <w:rsid w:val="00CF2379"/>
    <w:rsid w:val="00CF74F2"/>
    <w:rsid w:val="00CF75BA"/>
    <w:rsid w:val="00D00DF7"/>
    <w:rsid w:val="00D05094"/>
    <w:rsid w:val="00D052BE"/>
    <w:rsid w:val="00D0536C"/>
    <w:rsid w:val="00D0567C"/>
    <w:rsid w:val="00D0656C"/>
    <w:rsid w:val="00D11AC1"/>
    <w:rsid w:val="00D12638"/>
    <w:rsid w:val="00D147AF"/>
    <w:rsid w:val="00D15F75"/>
    <w:rsid w:val="00D20677"/>
    <w:rsid w:val="00D210C3"/>
    <w:rsid w:val="00D252EA"/>
    <w:rsid w:val="00D25F1E"/>
    <w:rsid w:val="00D26E75"/>
    <w:rsid w:val="00D277D5"/>
    <w:rsid w:val="00D27B0B"/>
    <w:rsid w:val="00D3147F"/>
    <w:rsid w:val="00D328D0"/>
    <w:rsid w:val="00D33CC8"/>
    <w:rsid w:val="00D3436D"/>
    <w:rsid w:val="00D35903"/>
    <w:rsid w:val="00D3657E"/>
    <w:rsid w:val="00D407E8"/>
    <w:rsid w:val="00D416AD"/>
    <w:rsid w:val="00D4278F"/>
    <w:rsid w:val="00D44E85"/>
    <w:rsid w:val="00D458B3"/>
    <w:rsid w:val="00D45B6E"/>
    <w:rsid w:val="00D45C60"/>
    <w:rsid w:val="00D51EFB"/>
    <w:rsid w:val="00D5351A"/>
    <w:rsid w:val="00D54A71"/>
    <w:rsid w:val="00D57E08"/>
    <w:rsid w:val="00D61BF9"/>
    <w:rsid w:val="00D633E6"/>
    <w:rsid w:val="00D65DAB"/>
    <w:rsid w:val="00D6771E"/>
    <w:rsid w:val="00D73ECB"/>
    <w:rsid w:val="00D741E5"/>
    <w:rsid w:val="00D807C8"/>
    <w:rsid w:val="00D8510F"/>
    <w:rsid w:val="00D8654C"/>
    <w:rsid w:val="00DA2CD8"/>
    <w:rsid w:val="00DA4A62"/>
    <w:rsid w:val="00DA62E5"/>
    <w:rsid w:val="00DA639E"/>
    <w:rsid w:val="00DB301C"/>
    <w:rsid w:val="00DB6EB3"/>
    <w:rsid w:val="00DC1BD5"/>
    <w:rsid w:val="00DC1F81"/>
    <w:rsid w:val="00DC1FCF"/>
    <w:rsid w:val="00DC2229"/>
    <w:rsid w:val="00DC291A"/>
    <w:rsid w:val="00DC5E77"/>
    <w:rsid w:val="00DC642A"/>
    <w:rsid w:val="00DC6789"/>
    <w:rsid w:val="00DC7DB9"/>
    <w:rsid w:val="00DD05F3"/>
    <w:rsid w:val="00DD1EC2"/>
    <w:rsid w:val="00DE09EB"/>
    <w:rsid w:val="00DE112A"/>
    <w:rsid w:val="00DF12EF"/>
    <w:rsid w:val="00DF3ED7"/>
    <w:rsid w:val="00DF4FB9"/>
    <w:rsid w:val="00DF540D"/>
    <w:rsid w:val="00DF548A"/>
    <w:rsid w:val="00DF56F8"/>
    <w:rsid w:val="00DF7506"/>
    <w:rsid w:val="00E03569"/>
    <w:rsid w:val="00E0390D"/>
    <w:rsid w:val="00E05639"/>
    <w:rsid w:val="00E0573B"/>
    <w:rsid w:val="00E111A3"/>
    <w:rsid w:val="00E11D29"/>
    <w:rsid w:val="00E14D1C"/>
    <w:rsid w:val="00E14FE4"/>
    <w:rsid w:val="00E16563"/>
    <w:rsid w:val="00E21A1E"/>
    <w:rsid w:val="00E25AB1"/>
    <w:rsid w:val="00E27919"/>
    <w:rsid w:val="00E27F18"/>
    <w:rsid w:val="00E356F3"/>
    <w:rsid w:val="00E361A8"/>
    <w:rsid w:val="00E37419"/>
    <w:rsid w:val="00E40223"/>
    <w:rsid w:val="00E4102C"/>
    <w:rsid w:val="00E41414"/>
    <w:rsid w:val="00E41843"/>
    <w:rsid w:val="00E4231A"/>
    <w:rsid w:val="00E528F0"/>
    <w:rsid w:val="00E53125"/>
    <w:rsid w:val="00E55B9E"/>
    <w:rsid w:val="00E55FE6"/>
    <w:rsid w:val="00E60F64"/>
    <w:rsid w:val="00E61E49"/>
    <w:rsid w:val="00E61E69"/>
    <w:rsid w:val="00E65047"/>
    <w:rsid w:val="00E659DB"/>
    <w:rsid w:val="00E704C8"/>
    <w:rsid w:val="00E707D6"/>
    <w:rsid w:val="00E72682"/>
    <w:rsid w:val="00E73BCE"/>
    <w:rsid w:val="00E80585"/>
    <w:rsid w:val="00E80B58"/>
    <w:rsid w:val="00E81293"/>
    <w:rsid w:val="00E82CB3"/>
    <w:rsid w:val="00E83D12"/>
    <w:rsid w:val="00E85ED8"/>
    <w:rsid w:val="00E8666F"/>
    <w:rsid w:val="00E87B16"/>
    <w:rsid w:val="00E93EAC"/>
    <w:rsid w:val="00E94D0C"/>
    <w:rsid w:val="00E96D2C"/>
    <w:rsid w:val="00EA1A51"/>
    <w:rsid w:val="00EA2DC5"/>
    <w:rsid w:val="00EA54FD"/>
    <w:rsid w:val="00EA7180"/>
    <w:rsid w:val="00EA7F1D"/>
    <w:rsid w:val="00EB1E35"/>
    <w:rsid w:val="00EB25FF"/>
    <w:rsid w:val="00EB44FB"/>
    <w:rsid w:val="00EC48E3"/>
    <w:rsid w:val="00EC629B"/>
    <w:rsid w:val="00EC7D5F"/>
    <w:rsid w:val="00ED2404"/>
    <w:rsid w:val="00ED337C"/>
    <w:rsid w:val="00ED37DA"/>
    <w:rsid w:val="00ED3ACC"/>
    <w:rsid w:val="00ED3F0D"/>
    <w:rsid w:val="00ED408C"/>
    <w:rsid w:val="00ED56C8"/>
    <w:rsid w:val="00ED6DAF"/>
    <w:rsid w:val="00EE18CE"/>
    <w:rsid w:val="00EE1A06"/>
    <w:rsid w:val="00EE584F"/>
    <w:rsid w:val="00EE761F"/>
    <w:rsid w:val="00EF1EDA"/>
    <w:rsid w:val="00EF333A"/>
    <w:rsid w:val="00EF371F"/>
    <w:rsid w:val="00EF3BC2"/>
    <w:rsid w:val="00EF40E5"/>
    <w:rsid w:val="00EF4B4D"/>
    <w:rsid w:val="00EF6710"/>
    <w:rsid w:val="00F00194"/>
    <w:rsid w:val="00F01C19"/>
    <w:rsid w:val="00F02B8A"/>
    <w:rsid w:val="00F03AFB"/>
    <w:rsid w:val="00F05228"/>
    <w:rsid w:val="00F052B2"/>
    <w:rsid w:val="00F070FE"/>
    <w:rsid w:val="00F0794C"/>
    <w:rsid w:val="00F106DC"/>
    <w:rsid w:val="00F1082A"/>
    <w:rsid w:val="00F10C33"/>
    <w:rsid w:val="00F15C4A"/>
    <w:rsid w:val="00F16028"/>
    <w:rsid w:val="00F213FC"/>
    <w:rsid w:val="00F23D64"/>
    <w:rsid w:val="00F27CD0"/>
    <w:rsid w:val="00F27D14"/>
    <w:rsid w:val="00F27F23"/>
    <w:rsid w:val="00F314C7"/>
    <w:rsid w:val="00F314FA"/>
    <w:rsid w:val="00F31864"/>
    <w:rsid w:val="00F33311"/>
    <w:rsid w:val="00F33968"/>
    <w:rsid w:val="00F33F9D"/>
    <w:rsid w:val="00F34688"/>
    <w:rsid w:val="00F35297"/>
    <w:rsid w:val="00F365D8"/>
    <w:rsid w:val="00F45076"/>
    <w:rsid w:val="00F45BE1"/>
    <w:rsid w:val="00F46996"/>
    <w:rsid w:val="00F50503"/>
    <w:rsid w:val="00F51350"/>
    <w:rsid w:val="00F51B75"/>
    <w:rsid w:val="00F57436"/>
    <w:rsid w:val="00F603DD"/>
    <w:rsid w:val="00F629EA"/>
    <w:rsid w:val="00F73103"/>
    <w:rsid w:val="00F74147"/>
    <w:rsid w:val="00F74D10"/>
    <w:rsid w:val="00F765DD"/>
    <w:rsid w:val="00F81DA7"/>
    <w:rsid w:val="00F84ADA"/>
    <w:rsid w:val="00F86A95"/>
    <w:rsid w:val="00F91E2F"/>
    <w:rsid w:val="00F94BE8"/>
    <w:rsid w:val="00F9529F"/>
    <w:rsid w:val="00F96C2D"/>
    <w:rsid w:val="00FA1ED7"/>
    <w:rsid w:val="00FA2C95"/>
    <w:rsid w:val="00FA618D"/>
    <w:rsid w:val="00FA6625"/>
    <w:rsid w:val="00FA76ED"/>
    <w:rsid w:val="00FA790B"/>
    <w:rsid w:val="00FB096E"/>
    <w:rsid w:val="00FB2701"/>
    <w:rsid w:val="00FB4D41"/>
    <w:rsid w:val="00FB5468"/>
    <w:rsid w:val="00FB7F1E"/>
    <w:rsid w:val="00FC4EC5"/>
    <w:rsid w:val="00FC4FD7"/>
    <w:rsid w:val="00FC554D"/>
    <w:rsid w:val="00FD13E6"/>
    <w:rsid w:val="00FD4761"/>
    <w:rsid w:val="00FD48AC"/>
    <w:rsid w:val="00FD48CB"/>
    <w:rsid w:val="00FD49EF"/>
    <w:rsid w:val="00FD6129"/>
    <w:rsid w:val="00FE494B"/>
    <w:rsid w:val="00FE5D90"/>
    <w:rsid w:val="00FE71D8"/>
    <w:rsid w:val="00FE795A"/>
    <w:rsid w:val="00FF4829"/>
    <w:rsid w:val="00FF7316"/>
    <w:rsid w:val="013F585D"/>
    <w:rsid w:val="014829DF"/>
    <w:rsid w:val="01D962C2"/>
    <w:rsid w:val="02283016"/>
    <w:rsid w:val="024F4C6F"/>
    <w:rsid w:val="027728F5"/>
    <w:rsid w:val="029B48DB"/>
    <w:rsid w:val="02F54FC6"/>
    <w:rsid w:val="02FF5E45"/>
    <w:rsid w:val="03391357"/>
    <w:rsid w:val="0360740B"/>
    <w:rsid w:val="037F7170"/>
    <w:rsid w:val="03B2323B"/>
    <w:rsid w:val="03B60EB7"/>
    <w:rsid w:val="046C59DA"/>
    <w:rsid w:val="048D195A"/>
    <w:rsid w:val="04D3013E"/>
    <w:rsid w:val="04F25AD3"/>
    <w:rsid w:val="05F022F9"/>
    <w:rsid w:val="063A6D9E"/>
    <w:rsid w:val="067B45BF"/>
    <w:rsid w:val="06B014B6"/>
    <w:rsid w:val="06BE5FDA"/>
    <w:rsid w:val="0728573D"/>
    <w:rsid w:val="085034FC"/>
    <w:rsid w:val="085F1031"/>
    <w:rsid w:val="08B23F03"/>
    <w:rsid w:val="08E756F4"/>
    <w:rsid w:val="091F68E7"/>
    <w:rsid w:val="095A2D1D"/>
    <w:rsid w:val="0973422C"/>
    <w:rsid w:val="09AE2E96"/>
    <w:rsid w:val="0A475BB2"/>
    <w:rsid w:val="0AE434F4"/>
    <w:rsid w:val="0AFE215D"/>
    <w:rsid w:val="0B195FA1"/>
    <w:rsid w:val="0BE81545"/>
    <w:rsid w:val="0C1D6688"/>
    <w:rsid w:val="0C767B67"/>
    <w:rsid w:val="0E9260E9"/>
    <w:rsid w:val="0ED24306"/>
    <w:rsid w:val="0F135152"/>
    <w:rsid w:val="0F4133E6"/>
    <w:rsid w:val="0FE132B6"/>
    <w:rsid w:val="104D6934"/>
    <w:rsid w:val="106766A1"/>
    <w:rsid w:val="11363E73"/>
    <w:rsid w:val="11D20C64"/>
    <w:rsid w:val="11DE5D80"/>
    <w:rsid w:val="11F272A1"/>
    <w:rsid w:val="121106D2"/>
    <w:rsid w:val="127E68E3"/>
    <w:rsid w:val="13295ABF"/>
    <w:rsid w:val="13317629"/>
    <w:rsid w:val="13585D2B"/>
    <w:rsid w:val="137974AE"/>
    <w:rsid w:val="13AA5AD0"/>
    <w:rsid w:val="13DC7075"/>
    <w:rsid w:val="14115286"/>
    <w:rsid w:val="14863A16"/>
    <w:rsid w:val="15141552"/>
    <w:rsid w:val="158C70DD"/>
    <w:rsid w:val="15F34710"/>
    <w:rsid w:val="168F3420"/>
    <w:rsid w:val="16B616DE"/>
    <w:rsid w:val="16B83284"/>
    <w:rsid w:val="176C7B20"/>
    <w:rsid w:val="17B60D7A"/>
    <w:rsid w:val="18404221"/>
    <w:rsid w:val="187F5B35"/>
    <w:rsid w:val="18DD7086"/>
    <w:rsid w:val="19373848"/>
    <w:rsid w:val="1A5163AA"/>
    <w:rsid w:val="1BC97435"/>
    <w:rsid w:val="1BFB395E"/>
    <w:rsid w:val="1C8A650A"/>
    <w:rsid w:val="1C943CE1"/>
    <w:rsid w:val="1D036ED7"/>
    <w:rsid w:val="1D572944"/>
    <w:rsid w:val="1D6B2AB2"/>
    <w:rsid w:val="1E124827"/>
    <w:rsid w:val="1E323CBE"/>
    <w:rsid w:val="1E5F79FD"/>
    <w:rsid w:val="1E7F6618"/>
    <w:rsid w:val="1F1A1BE5"/>
    <w:rsid w:val="1F272E1D"/>
    <w:rsid w:val="1F9658B5"/>
    <w:rsid w:val="1FDBAF47"/>
    <w:rsid w:val="206E2ACA"/>
    <w:rsid w:val="206E4AA4"/>
    <w:rsid w:val="209D2ACD"/>
    <w:rsid w:val="212B64F1"/>
    <w:rsid w:val="218830F4"/>
    <w:rsid w:val="2197727E"/>
    <w:rsid w:val="219B00A5"/>
    <w:rsid w:val="21E93ACE"/>
    <w:rsid w:val="21EC225D"/>
    <w:rsid w:val="23204294"/>
    <w:rsid w:val="236A76EF"/>
    <w:rsid w:val="23951C8D"/>
    <w:rsid w:val="23AE0B4E"/>
    <w:rsid w:val="24365A8C"/>
    <w:rsid w:val="249244EE"/>
    <w:rsid w:val="24AE0A64"/>
    <w:rsid w:val="24AF092E"/>
    <w:rsid w:val="24B34437"/>
    <w:rsid w:val="25583467"/>
    <w:rsid w:val="25C24D84"/>
    <w:rsid w:val="25CD362B"/>
    <w:rsid w:val="260521E0"/>
    <w:rsid w:val="26393210"/>
    <w:rsid w:val="263E60D9"/>
    <w:rsid w:val="265C0746"/>
    <w:rsid w:val="270D1CD9"/>
    <w:rsid w:val="27205106"/>
    <w:rsid w:val="276D61FD"/>
    <w:rsid w:val="27B96656"/>
    <w:rsid w:val="282571EC"/>
    <w:rsid w:val="28276427"/>
    <w:rsid w:val="28D34714"/>
    <w:rsid w:val="296A1F53"/>
    <w:rsid w:val="298E38FB"/>
    <w:rsid w:val="29DD3CF4"/>
    <w:rsid w:val="2AEB33FF"/>
    <w:rsid w:val="2B26670B"/>
    <w:rsid w:val="2B343F05"/>
    <w:rsid w:val="2BC40CAE"/>
    <w:rsid w:val="2C5306E6"/>
    <w:rsid w:val="2CC16E41"/>
    <w:rsid w:val="2D2458C1"/>
    <w:rsid w:val="2DC52F1C"/>
    <w:rsid w:val="2DDB5F7B"/>
    <w:rsid w:val="2DE71E43"/>
    <w:rsid w:val="2E0C6102"/>
    <w:rsid w:val="2E2F0FB6"/>
    <w:rsid w:val="2E345C8B"/>
    <w:rsid w:val="2E440D78"/>
    <w:rsid w:val="30773C36"/>
    <w:rsid w:val="307C47A4"/>
    <w:rsid w:val="30A75080"/>
    <w:rsid w:val="30E26DB4"/>
    <w:rsid w:val="32915115"/>
    <w:rsid w:val="32987311"/>
    <w:rsid w:val="32BA750F"/>
    <w:rsid w:val="32D230AE"/>
    <w:rsid w:val="33551C07"/>
    <w:rsid w:val="3406614C"/>
    <w:rsid w:val="34425A0E"/>
    <w:rsid w:val="353056FF"/>
    <w:rsid w:val="353A317A"/>
    <w:rsid w:val="357F7FBC"/>
    <w:rsid w:val="35A46579"/>
    <w:rsid w:val="35B15CAF"/>
    <w:rsid w:val="35F965A0"/>
    <w:rsid w:val="361B6516"/>
    <w:rsid w:val="3644066A"/>
    <w:rsid w:val="366C6385"/>
    <w:rsid w:val="368D6DB2"/>
    <w:rsid w:val="36B6424F"/>
    <w:rsid w:val="379A79B8"/>
    <w:rsid w:val="38444770"/>
    <w:rsid w:val="385A2EA3"/>
    <w:rsid w:val="38E04A76"/>
    <w:rsid w:val="392A6995"/>
    <w:rsid w:val="39394FB4"/>
    <w:rsid w:val="396755EB"/>
    <w:rsid w:val="3A182DB9"/>
    <w:rsid w:val="3A3A01A3"/>
    <w:rsid w:val="3B0E5C42"/>
    <w:rsid w:val="3B1D12A1"/>
    <w:rsid w:val="3B3C62A9"/>
    <w:rsid w:val="3B6D348F"/>
    <w:rsid w:val="3C0D1170"/>
    <w:rsid w:val="3C9743A1"/>
    <w:rsid w:val="3D913C2B"/>
    <w:rsid w:val="3DDBF2DC"/>
    <w:rsid w:val="3E7BB899"/>
    <w:rsid w:val="3EDD652A"/>
    <w:rsid w:val="3EDF2B13"/>
    <w:rsid w:val="3EE75DCB"/>
    <w:rsid w:val="3F19457C"/>
    <w:rsid w:val="3F3618F4"/>
    <w:rsid w:val="3FC52EB8"/>
    <w:rsid w:val="3FE5694E"/>
    <w:rsid w:val="401007B9"/>
    <w:rsid w:val="40371CEF"/>
    <w:rsid w:val="40396925"/>
    <w:rsid w:val="40FF1845"/>
    <w:rsid w:val="410F433B"/>
    <w:rsid w:val="417A4E61"/>
    <w:rsid w:val="418708EC"/>
    <w:rsid w:val="427C2EBE"/>
    <w:rsid w:val="44A62E3B"/>
    <w:rsid w:val="44DA32A4"/>
    <w:rsid w:val="44DD0F9F"/>
    <w:rsid w:val="453749EF"/>
    <w:rsid w:val="45A71B75"/>
    <w:rsid w:val="45EF490C"/>
    <w:rsid w:val="462307B2"/>
    <w:rsid w:val="471C76BB"/>
    <w:rsid w:val="47820B39"/>
    <w:rsid w:val="4795242A"/>
    <w:rsid w:val="47EF7F8D"/>
    <w:rsid w:val="48460933"/>
    <w:rsid w:val="48606CF0"/>
    <w:rsid w:val="487879D1"/>
    <w:rsid w:val="48970BDD"/>
    <w:rsid w:val="48F5051C"/>
    <w:rsid w:val="496A65CC"/>
    <w:rsid w:val="49BE4FCD"/>
    <w:rsid w:val="49F3382E"/>
    <w:rsid w:val="49F65270"/>
    <w:rsid w:val="49F934AC"/>
    <w:rsid w:val="4A1D701D"/>
    <w:rsid w:val="4AA07D2A"/>
    <w:rsid w:val="4AD6596B"/>
    <w:rsid w:val="4AF0410A"/>
    <w:rsid w:val="4B9216EC"/>
    <w:rsid w:val="4BC05E52"/>
    <w:rsid w:val="4C131138"/>
    <w:rsid w:val="4C1F5333"/>
    <w:rsid w:val="4C463CFF"/>
    <w:rsid w:val="4C9278B2"/>
    <w:rsid w:val="4CB20E67"/>
    <w:rsid w:val="4D7D0477"/>
    <w:rsid w:val="4D7E2798"/>
    <w:rsid w:val="4D996D55"/>
    <w:rsid w:val="4DD54D99"/>
    <w:rsid w:val="4E37050A"/>
    <w:rsid w:val="4E426748"/>
    <w:rsid w:val="4E5E462B"/>
    <w:rsid w:val="4E74636C"/>
    <w:rsid w:val="4ED32457"/>
    <w:rsid w:val="4F2E6DD5"/>
    <w:rsid w:val="4F3F73B4"/>
    <w:rsid w:val="4FB109A3"/>
    <w:rsid w:val="4FB45236"/>
    <w:rsid w:val="50800386"/>
    <w:rsid w:val="50A8054F"/>
    <w:rsid w:val="50ED0495"/>
    <w:rsid w:val="513C382A"/>
    <w:rsid w:val="516D3D49"/>
    <w:rsid w:val="51894DEE"/>
    <w:rsid w:val="51A726BE"/>
    <w:rsid w:val="51AE1500"/>
    <w:rsid w:val="51CE66DB"/>
    <w:rsid w:val="520904A6"/>
    <w:rsid w:val="52813C2E"/>
    <w:rsid w:val="52A44009"/>
    <w:rsid w:val="52C6505E"/>
    <w:rsid w:val="534A1FF2"/>
    <w:rsid w:val="536575AB"/>
    <w:rsid w:val="53904D45"/>
    <w:rsid w:val="53B317DF"/>
    <w:rsid w:val="547217D4"/>
    <w:rsid w:val="547F7E9D"/>
    <w:rsid w:val="54830621"/>
    <w:rsid w:val="54A64E09"/>
    <w:rsid w:val="564535A3"/>
    <w:rsid w:val="564B747E"/>
    <w:rsid w:val="57770C7B"/>
    <w:rsid w:val="57CF5904"/>
    <w:rsid w:val="58C55F39"/>
    <w:rsid w:val="58FA1674"/>
    <w:rsid w:val="594A2130"/>
    <w:rsid w:val="59A922A0"/>
    <w:rsid w:val="59FA13F6"/>
    <w:rsid w:val="5A373FE2"/>
    <w:rsid w:val="5ACD39D4"/>
    <w:rsid w:val="5B1C34C6"/>
    <w:rsid w:val="5B925FF1"/>
    <w:rsid w:val="5BFF604E"/>
    <w:rsid w:val="5C665E52"/>
    <w:rsid w:val="5CA70254"/>
    <w:rsid w:val="5CE25792"/>
    <w:rsid w:val="5D2521D5"/>
    <w:rsid w:val="5D26038F"/>
    <w:rsid w:val="5D863C48"/>
    <w:rsid w:val="5DD01716"/>
    <w:rsid w:val="5E7A5A0B"/>
    <w:rsid w:val="5ECC5731"/>
    <w:rsid w:val="5F076A00"/>
    <w:rsid w:val="5F1A0663"/>
    <w:rsid w:val="5F751696"/>
    <w:rsid w:val="5FFF3010"/>
    <w:rsid w:val="600F72B1"/>
    <w:rsid w:val="606F387B"/>
    <w:rsid w:val="60876999"/>
    <w:rsid w:val="60A26D69"/>
    <w:rsid w:val="60E92D99"/>
    <w:rsid w:val="61EC7551"/>
    <w:rsid w:val="61EF0415"/>
    <w:rsid w:val="62A939A4"/>
    <w:rsid w:val="63486EDA"/>
    <w:rsid w:val="63672EE1"/>
    <w:rsid w:val="636C54E7"/>
    <w:rsid w:val="63B75EC6"/>
    <w:rsid w:val="64581919"/>
    <w:rsid w:val="64754EBF"/>
    <w:rsid w:val="647B77BD"/>
    <w:rsid w:val="647E74A7"/>
    <w:rsid w:val="64813D94"/>
    <w:rsid w:val="64B80A49"/>
    <w:rsid w:val="65081264"/>
    <w:rsid w:val="650860EC"/>
    <w:rsid w:val="650A13A7"/>
    <w:rsid w:val="656211AF"/>
    <w:rsid w:val="659F6FC6"/>
    <w:rsid w:val="66030EA2"/>
    <w:rsid w:val="66C63F3E"/>
    <w:rsid w:val="66FD26F2"/>
    <w:rsid w:val="6783296E"/>
    <w:rsid w:val="67F6A239"/>
    <w:rsid w:val="68B37DDB"/>
    <w:rsid w:val="68D949CA"/>
    <w:rsid w:val="69764F34"/>
    <w:rsid w:val="6A1C5709"/>
    <w:rsid w:val="6A514BE4"/>
    <w:rsid w:val="6A731776"/>
    <w:rsid w:val="6A994F1F"/>
    <w:rsid w:val="6B741C4A"/>
    <w:rsid w:val="6C3B6F93"/>
    <w:rsid w:val="6C6F48E4"/>
    <w:rsid w:val="6C911F2A"/>
    <w:rsid w:val="6D292778"/>
    <w:rsid w:val="6DB62F49"/>
    <w:rsid w:val="6DD22ABE"/>
    <w:rsid w:val="6E1E09B6"/>
    <w:rsid w:val="6E777524"/>
    <w:rsid w:val="6EEF1D13"/>
    <w:rsid w:val="6F339619"/>
    <w:rsid w:val="6F635146"/>
    <w:rsid w:val="6F67731E"/>
    <w:rsid w:val="6FA07D15"/>
    <w:rsid w:val="6FFB2BD0"/>
    <w:rsid w:val="70134132"/>
    <w:rsid w:val="70374546"/>
    <w:rsid w:val="70776600"/>
    <w:rsid w:val="708E2E66"/>
    <w:rsid w:val="713E4EAD"/>
    <w:rsid w:val="71FA7A2F"/>
    <w:rsid w:val="720A6E64"/>
    <w:rsid w:val="720D59FE"/>
    <w:rsid w:val="72815209"/>
    <w:rsid w:val="72A15538"/>
    <w:rsid w:val="72BB4377"/>
    <w:rsid w:val="735E0013"/>
    <w:rsid w:val="73974727"/>
    <w:rsid w:val="741555D7"/>
    <w:rsid w:val="743334E5"/>
    <w:rsid w:val="744D3235"/>
    <w:rsid w:val="74564364"/>
    <w:rsid w:val="74E12DCE"/>
    <w:rsid w:val="7522379D"/>
    <w:rsid w:val="760A7432"/>
    <w:rsid w:val="763D5292"/>
    <w:rsid w:val="7758605D"/>
    <w:rsid w:val="777059BB"/>
    <w:rsid w:val="77F92B10"/>
    <w:rsid w:val="78145277"/>
    <w:rsid w:val="788A2E38"/>
    <w:rsid w:val="79156BEE"/>
    <w:rsid w:val="79E44065"/>
    <w:rsid w:val="7A8E373B"/>
    <w:rsid w:val="7ABE28A6"/>
    <w:rsid w:val="7ACD582F"/>
    <w:rsid w:val="7B930C15"/>
    <w:rsid w:val="7BDA38B4"/>
    <w:rsid w:val="7C1A0203"/>
    <w:rsid w:val="7C326DDD"/>
    <w:rsid w:val="7D5262E5"/>
    <w:rsid w:val="7D6708F6"/>
    <w:rsid w:val="7DAB4226"/>
    <w:rsid w:val="7DFAA4B0"/>
    <w:rsid w:val="7E3E670A"/>
    <w:rsid w:val="7E781D45"/>
    <w:rsid w:val="7E9D5D25"/>
    <w:rsid w:val="7EFE7085"/>
    <w:rsid w:val="7F9EF8CD"/>
    <w:rsid w:val="7FD99A81"/>
    <w:rsid w:val="BB856BDF"/>
    <w:rsid w:val="BBFF7162"/>
    <w:rsid w:val="BDBEF1C1"/>
    <w:rsid w:val="BDDF498C"/>
    <w:rsid w:val="D4B7B302"/>
    <w:rsid w:val="DCB8B1F2"/>
    <w:rsid w:val="EB7F84BB"/>
    <w:rsid w:val="EBAFC188"/>
    <w:rsid w:val="ED37CEA4"/>
    <w:rsid w:val="EDB970D3"/>
    <w:rsid w:val="EDEBD288"/>
    <w:rsid w:val="EFB93375"/>
    <w:rsid w:val="F773C315"/>
    <w:rsid w:val="F7A5FA95"/>
    <w:rsid w:val="F7FB16E9"/>
    <w:rsid w:val="F9FBD694"/>
    <w:rsid w:val="FB7D76D7"/>
    <w:rsid w:val="FB9DA3E5"/>
    <w:rsid w:val="FE7FB14B"/>
    <w:rsid w:val="FF77FA27"/>
    <w:rsid w:val="FFB6F5FF"/>
    <w:rsid w:val="FFDB70D2"/>
    <w:rsid w:val="FFF3B7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locked/>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line="360" w:lineRule="auto"/>
      <w:ind w:left="-360" w:firstLine="360"/>
    </w:pPr>
    <w:rPr>
      <w:rFonts w:ascii="宋体" w:hAnsi="宋体"/>
      <w:sz w:val="24"/>
    </w:rPr>
  </w:style>
  <w:style w:type="paragraph" w:styleId="5">
    <w:name w:val="Balloon Text"/>
    <w:basedOn w:val="1"/>
    <w:link w:val="18"/>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rFonts w:ascii="Calibri" w:hAnsi="Calibri" w:cs="Calibri"/>
      <w:kern w:val="0"/>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6"/>
    <w:qFormat/>
    <w:locked/>
    <w:uiPriority w:val="99"/>
    <w:rPr>
      <w:sz w:val="18"/>
      <w:szCs w:val="18"/>
    </w:rPr>
  </w:style>
  <w:style w:type="character" w:customStyle="1" w:styleId="13">
    <w:name w:val="页眉 字符"/>
    <w:link w:val="7"/>
    <w:qFormat/>
    <w:locked/>
    <w:uiPriority w:val="99"/>
    <w:rPr>
      <w:sz w:val="18"/>
      <w:szCs w:val="18"/>
    </w:rPr>
  </w:style>
  <w:style w:type="character" w:customStyle="1" w:styleId="14">
    <w:name w:val="文一 Char"/>
    <w:link w:val="15"/>
    <w:qFormat/>
    <w:locked/>
    <w:uiPriority w:val="0"/>
    <w:rPr>
      <w:rFonts w:eastAsia="宋体"/>
      <w:snapToGrid w:val="0"/>
      <w:spacing w:val="4"/>
      <w:sz w:val="24"/>
      <w:szCs w:val="24"/>
    </w:rPr>
  </w:style>
  <w:style w:type="paragraph" w:customStyle="1" w:styleId="15">
    <w:name w:val="文一"/>
    <w:basedOn w:val="1"/>
    <w:link w:val="14"/>
    <w:qFormat/>
    <w:uiPriority w:val="0"/>
    <w:pPr>
      <w:topLinePunct/>
      <w:adjustRightInd w:val="0"/>
      <w:snapToGrid w:val="0"/>
      <w:spacing w:line="360" w:lineRule="auto"/>
      <w:ind w:firstLine="200" w:firstLineChars="200"/>
    </w:pPr>
    <w:rPr>
      <w:rFonts w:ascii="Calibri" w:hAnsi="Calibri" w:cs="Calibri"/>
      <w:spacing w:val="4"/>
      <w:kern w:val="0"/>
      <w:sz w:val="24"/>
      <w:szCs w:val="24"/>
    </w:rPr>
  </w:style>
  <w:style w:type="paragraph" w:customStyle="1" w:styleId="16">
    <w:name w:val="章节三"/>
    <w:basedOn w:val="15"/>
    <w:next w:val="15"/>
    <w:qFormat/>
    <w:uiPriority w:val="0"/>
    <w:pPr>
      <w:spacing w:beforeLines="50" w:afterLines="50" w:line="240" w:lineRule="auto"/>
      <w:ind w:firstLine="0" w:firstLineChars="0"/>
      <w:jc w:val="left"/>
      <w:outlineLvl w:val="2"/>
    </w:pPr>
    <w:rPr>
      <w:rFonts w:ascii="黑体" w:hAnsi="宋体" w:eastAsia="黑体" w:cs="黑体"/>
      <w:b/>
      <w:bCs/>
    </w:rPr>
  </w:style>
  <w:style w:type="paragraph" w:customStyle="1" w:styleId="17">
    <w:name w:val="章节一"/>
    <w:basedOn w:val="15"/>
    <w:next w:val="15"/>
    <w:qFormat/>
    <w:uiPriority w:val="99"/>
    <w:pPr>
      <w:spacing w:beforeLines="50" w:afterLines="50" w:line="240" w:lineRule="auto"/>
      <w:ind w:firstLine="0" w:firstLineChars="0"/>
      <w:jc w:val="center"/>
      <w:outlineLvl w:val="0"/>
    </w:pPr>
    <w:rPr>
      <w:rFonts w:eastAsia="黑体"/>
      <w:b/>
      <w:bCs/>
      <w:sz w:val="36"/>
      <w:szCs w:val="36"/>
    </w:rPr>
  </w:style>
  <w:style w:type="character" w:customStyle="1" w:styleId="18">
    <w:name w:val="批注框文本 字符"/>
    <w:link w:val="5"/>
    <w:semiHidden/>
    <w:qFormat/>
    <w:uiPriority w:val="99"/>
    <w:rPr>
      <w:rFonts w:ascii="Times New Roman" w:hAnsi="Times New Roman"/>
      <w:kern w:val="2"/>
      <w:sz w:val="18"/>
      <w:szCs w:val="18"/>
    </w:rPr>
  </w:style>
  <w:style w:type="paragraph" w:styleId="19">
    <w:name w:val="List Paragraph"/>
    <w:basedOn w:val="1"/>
    <w:unhideWhenUsed/>
    <w:qFormat/>
    <w:uiPriority w:val="99"/>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Company>
  <Pages>25</Pages>
  <Words>19964</Words>
  <Characters>20360</Characters>
  <Lines>1</Lines>
  <Paragraphs>1</Paragraphs>
  <TotalTime>1</TotalTime>
  <ScaleCrop>false</ScaleCrop>
  <LinksUpToDate>false</LinksUpToDate>
  <CharactersWithSpaces>20370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2024-11-25T12:09:00Z</dcterms:created>
  <dc:creator>张爽</dc:creator>
  <cp:lastModifiedBy>0829</cp:lastModifiedBy>
  <cp:lastPrinted>2024-09-26T22:53:00Z</cp:lastPrinted>
  <dcterms:modified xsi:type="dcterms:W3CDTF">2025-09-02T01:51:16Z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256D84410BA84B1D9C16D18ED5A70424_13</vt:lpwstr>
  </property>
  <property fmtid="{D5CDD505-2E9C-101B-9397-08002B2CF9AE}" pid="4" name="KSOTemplateDocerSaveRecord">
    <vt:lpwstr>eyJoZGlkIjoiODJhMDM5NzU5MGMxZWJkYTZiYmYwZDA5NGNhYmIwZmUiLCJ1c2VySWQiOiIxNTU1MTIwNjQ5In0=</vt:lpwstr>
  </property>
</Properties>
</file>