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4A8BE">
      <w:pPr>
        <w:spacing w:line="240" w:lineRule="auto"/>
        <w:jc w:val="center"/>
        <w:rPr>
          <w:rFonts w:hint="eastAsia" w:ascii="宋体" w:hAnsi="宋体" w:eastAsia="宋体"/>
          <w:color w:val="auto"/>
          <w:sz w:val="44"/>
          <w:szCs w:val="44"/>
          <w:highlight w:val="none"/>
          <w:u w:val="single"/>
          <w:lang w:eastAsia="zh-CN"/>
        </w:rPr>
      </w:pPr>
      <w:bookmarkStart w:id="0" w:name="OLE_LINK94"/>
      <w:bookmarkStart w:id="1" w:name="_Toc6636"/>
      <w:bookmarkStart w:id="2" w:name="_Toc4310"/>
      <w:r>
        <w:rPr>
          <w:rFonts w:hint="eastAsia" w:ascii="宋体" w:hAnsi="宋体"/>
          <w:color w:val="auto"/>
          <w:sz w:val="44"/>
          <w:szCs w:val="44"/>
          <w:highlight w:val="none"/>
          <w:lang w:eastAsia="zh-CN"/>
        </w:rPr>
        <w:t>扶胥运河连通工程（二期）扶胥古运河南湾段代建</w:t>
      </w:r>
    </w:p>
    <w:p w14:paraId="15F6C4BF">
      <w:pPr>
        <w:spacing w:line="240" w:lineRule="auto"/>
        <w:jc w:val="center"/>
        <w:rPr>
          <w:rFonts w:ascii="宋体" w:hAnsi="宋体"/>
          <w:color w:val="auto"/>
          <w:sz w:val="44"/>
          <w:szCs w:val="44"/>
          <w:highlight w:val="none"/>
        </w:rPr>
      </w:pPr>
    </w:p>
    <w:p w14:paraId="48347A06">
      <w:pPr>
        <w:spacing w:line="240" w:lineRule="auto"/>
        <w:rPr>
          <w:rFonts w:ascii="宋体" w:hAnsi="宋体"/>
          <w:color w:val="auto"/>
          <w:sz w:val="36"/>
          <w:szCs w:val="36"/>
          <w:highlight w:val="none"/>
        </w:rPr>
      </w:pPr>
    </w:p>
    <w:p w14:paraId="504C49F3">
      <w:pPr>
        <w:spacing w:line="240" w:lineRule="auto"/>
        <w:rPr>
          <w:rFonts w:ascii="宋体" w:hAnsi="宋体"/>
          <w:b/>
          <w:color w:val="auto"/>
          <w:sz w:val="84"/>
          <w:szCs w:val="20"/>
          <w:highlight w:val="none"/>
        </w:rPr>
      </w:pPr>
    </w:p>
    <w:p w14:paraId="769A9D01">
      <w:pPr>
        <w:spacing w:line="240" w:lineRule="auto"/>
        <w:rPr>
          <w:rFonts w:ascii="宋体" w:hAnsi="宋体"/>
          <w:b/>
          <w:color w:val="auto"/>
          <w:sz w:val="84"/>
          <w:szCs w:val="20"/>
          <w:highlight w:val="none"/>
        </w:rPr>
      </w:pPr>
    </w:p>
    <w:p w14:paraId="340F900C">
      <w:pPr>
        <w:spacing w:line="240" w:lineRule="auto"/>
        <w:jc w:val="center"/>
        <w:rPr>
          <w:rFonts w:ascii="宋体" w:hAnsi="宋体"/>
          <w:color w:val="auto"/>
          <w:szCs w:val="24"/>
          <w:highlight w:val="none"/>
        </w:rPr>
      </w:pPr>
      <w:r>
        <w:rPr>
          <w:rFonts w:hint="eastAsia" w:ascii="宋体" w:hAnsi="宋体"/>
          <w:b/>
          <w:color w:val="auto"/>
          <w:sz w:val="84"/>
          <w:szCs w:val="24"/>
          <w:highlight w:val="none"/>
        </w:rPr>
        <w:t>招</w:t>
      </w:r>
      <w:r>
        <w:rPr>
          <w:rFonts w:hint="eastAsia" w:ascii="宋体" w:hAnsi="宋体"/>
          <w:b/>
          <w:color w:val="auto"/>
          <w:sz w:val="52"/>
          <w:szCs w:val="24"/>
          <w:highlight w:val="none"/>
        </w:rPr>
        <w:t>　</w:t>
      </w:r>
      <w:r>
        <w:rPr>
          <w:rFonts w:hint="eastAsia" w:ascii="宋体" w:hAnsi="宋体"/>
          <w:b/>
          <w:color w:val="auto"/>
          <w:sz w:val="84"/>
          <w:szCs w:val="24"/>
          <w:highlight w:val="none"/>
        </w:rPr>
        <w:t>标</w:t>
      </w:r>
      <w:r>
        <w:rPr>
          <w:rFonts w:hint="eastAsia" w:ascii="宋体" w:hAnsi="宋体"/>
          <w:b/>
          <w:color w:val="auto"/>
          <w:sz w:val="52"/>
          <w:szCs w:val="24"/>
          <w:highlight w:val="none"/>
        </w:rPr>
        <w:t>　</w:t>
      </w:r>
      <w:r>
        <w:rPr>
          <w:rFonts w:hint="eastAsia" w:ascii="宋体" w:hAnsi="宋体"/>
          <w:b/>
          <w:color w:val="auto"/>
          <w:sz w:val="84"/>
          <w:szCs w:val="24"/>
          <w:highlight w:val="none"/>
        </w:rPr>
        <w:t>公 告</w:t>
      </w:r>
    </w:p>
    <w:p w14:paraId="1216A369">
      <w:pPr>
        <w:spacing w:line="240" w:lineRule="auto"/>
        <w:rPr>
          <w:rFonts w:ascii="宋体" w:hAnsi="宋体"/>
          <w:b/>
          <w:color w:val="auto"/>
          <w:sz w:val="32"/>
          <w:szCs w:val="24"/>
          <w:highlight w:val="none"/>
        </w:rPr>
      </w:pPr>
    </w:p>
    <w:p w14:paraId="5F9021B6">
      <w:pPr>
        <w:spacing w:line="240" w:lineRule="auto"/>
        <w:rPr>
          <w:rFonts w:ascii="宋体" w:hAnsi="宋体"/>
          <w:b/>
          <w:color w:val="auto"/>
          <w:sz w:val="32"/>
          <w:szCs w:val="24"/>
          <w:highlight w:val="none"/>
        </w:rPr>
      </w:pPr>
    </w:p>
    <w:p w14:paraId="49CB3ED3">
      <w:pPr>
        <w:spacing w:line="240" w:lineRule="auto"/>
        <w:rPr>
          <w:rFonts w:ascii="宋体" w:hAnsi="宋体"/>
          <w:b/>
          <w:color w:val="auto"/>
          <w:sz w:val="32"/>
          <w:szCs w:val="24"/>
          <w:highlight w:val="none"/>
        </w:rPr>
      </w:pPr>
    </w:p>
    <w:p w14:paraId="07F2A029">
      <w:pPr>
        <w:spacing w:line="240" w:lineRule="auto"/>
        <w:rPr>
          <w:rFonts w:ascii="宋体" w:hAnsi="宋体"/>
          <w:b/>
          <w:color w:val="auto"/>
          <w:sz w:val="32"/>
          <w:szCs w:val="24"/>
          <w:highlight w:val="none"/>
        </w:rPr>
      </w:pPr>
    </w:p>
    <w:p w14:paraId="5EB43F6D">
      <w:pPr>
        <w:spacing w:line="360" w:lineRule="auto"/>
        <w:rPr>
          <w:rFonts w:ascii="宋体" w:hAnsi="宋体"/>
          <w:b/>
          <w:color w:val="auto"/>
          <w:sz w:val="28"/>
          <w:szCs w:val="24"/>
          <w:highlight w:val="none"/>
        </w:rPr>
      </w:pPr>
    </w:p>
    <w:p w14:paraId="66F46CD5">
      <w:pPr>
        <w:spacing w:line="360" w:lineRule="auto"/>
        <w:rPr>
          <w:rFonts w:ascii="宋体" w:hAnsi="宋体"/>
          <w:b/>
          <w:color w:val="auto"/>
          <w:sz w:val="28"/>
          <w:szCs w:val="24"/>
          <w:highlight w:val="none"/>
        </w:rPr>
      </w:pPr>
    </w:p>
    <w:p w14:paraId="1C15B192">
      <w:pPr>
        <w:spacing w:line="360" w:lineRule="auto"/>
        <w:rPr>
          <w:rFonts w:ascii="宋体" w:hAnsi="宋体"/>
          <w:b/>
          <w:color w:val="auto"/>
          <w:sz w:val="28"/>
          <w:szCs w:val="24"/>
          <w:highlight w:val="none"/>
        </w:rPr>
      </w:pPr>
    </w:p>
    <w:p w14:paraId="5154EF92">
      <w:pPr>
        <w:spacing w:line="360" w:lineRule="auto"/>
        <w:rPr>
          <w:rFonts w:ascii="宋体" w:hAnsi="宋体"/>
          <w:b/>
          <w:color w:val="auto"/>
          <w:sz w:val="28"/>
          <w:szCs w:val="24"/>
          <w:highlight w:val="none"/>
        </w:rPr>
      </w:pPr>
    </w:p>
    <w:p w14:paraId="4666110A">
      <w:pPr>
        <w:spacing w:line="360" w:lineRule="auto"/>
        <w:rPr>
          <w:rFonts w:ascii="宋体" w:hAnsi="宋体"/>
          <w:b/>
          <w:color w:val="auto"/>
          <w:sz w:val="28"/>
          <w:szCs w:val="24"/>
          <w:highlight w:val="none"/>
        </w:rPr>
      </w:pPr>
    </w:p>
    <w:p w14:paraId="4D317E68">
      <w:pPr>
        <w:spacing w:line="360" w:lineRule="auto"/>
        <w:jc w:val="center"/>
        <w:rPr>
          <w:rFonts w:ascii="宋体" w:hAnsi="宋体"/>
          <w:b/>
          <w:color w:val="auto"/>
          <w:sz w:val="28"/>
          <w:szCs w:val="24"/>
          <w:highlight w:val="none"/>
          <w:u w:val="single"/>
        </w:rPr>
      </w:pPr>
      <w:r>
        <w:rPr>
          <w:rFonts w:hint="eastAsia" w:ascii="宋体" w:hAnsi="宋体"/>
          <w:b/>
          <w:color w:val="auto"/>
          <w:sz w:val="28"/>
          <w:szCs w:val="24"/>
          <w:highlight w:val="none"/>
        </w:rPr>
        <w:t xml:space="preserve">  招标人：</w:t>
      </w:r>
      <w:r>
        <w:rPr>
          <w:rFonts w:hint="eastAsia" w:ascii="宋体" w:hAnsi="宋体"/>
          <w:b/>
          <w:color w:val="auto"/>
          <w:sz w:val="28"/>
          <w:szCs w:val="24"/>
          <w:highlight w:val="none"/>
          <w:u w:val="single"/>
        </w:rPr>
        <w:t>广州开发区财政投资建设项目管理中心</w:t>
      </w:r>
      <w:r>
        <w:rPr>
          <w:rFonts w:hint="eastAsia" w:ascii="宋体" w:hAnsi="宋体"/>
          <w:b/>
          <w:color w:val="auto"/>
          <w:sz w:val="28"/>
          <w:szCs w:val="24"/>
          <w:highlight w:val="none"/>
        </w:rPr>
        <w:t>（盖单位章）</w:t>
      </w:r>
    </w:p>
    <w:p w14:paraId="5EECC726">
      <w:pPr>
        <w:spacing w:line="360" w:lineRule="auto"/>
        <w:jc w:val="center"/>
        <w:rPr>
          <w:rFonts w:ascii="宋体" w:hAnsi="宋体"/>
          <w:b/>
          <w:color w:val="auto"/>
          <w:sz w:val="28"/>
          <w:szCs w:val="24"/>
          <w:highlight w:val="none"/>
        </w:rPr>
      </w:pPr>
      <w:r>
        <w:rPr>
          <w:rFonts w:hint="eastAsia" w:ascii="宋体" w:hAnsi="宋体"/>
          <w:b/>
          <w:color w:val="auto"/>
          <w:sz w:val="28"/>
          <w:szCs w:val="24"/>
          <w:highlight w:val="none"/>
        </w:rPr>
        <w:t>招标代理机构：</w:t>
      </w:r>
      <w:r>
        <w:rPr>
          <w:rFonts w:hint="eastAsia" w:ascii="宋体" w:hAnsi="宋体"/>
          <w:b/>
          <w:color w:val="auto"/>
          <w:sz w:val="28"/>
          <w:szCs w:val="24"/>
          <w:highlight w:val="none"/>
          <w:u w:val="single"/>
          <w:lang w:eastAsia="zh-CN"/>
        </w:rPr>
        <w:t>广州筑正工程建设管理有限公司</w:t>
      </w:r>
      <w:r>
        <w:rPr>
          <w:rFonts w:hint="eastAsia" w:ascii="宋体" w:hAnsi="宋体"/>
          <w:b/>
          <w:color w:val="auto"/>
          <w:sz w:val="28"/>
          <w:szCs w:val="24"/>
          <w:highlight w:val="none"/>
        </w:rPr>
        <w:t>（盖单位章）</w:t>
      </w:r>
    </w:p>
    <w:p w14:paraId="51F497D6">
      <w:pPr>
        <w:spacing w:line="360" w:lineRule="auto"/>
        <w:jc w:val="center"/>
        <w:rPr>
          <w:rFonts w:ascii="宋体" w:hAnsi="宋体" w:cs="宋体"/>
          <w:b/>
          <w:color w:val="auto"/>
          <w:sz w:val="36"/>
          <w:szCs w:val="36"/>
          <w:highlight w:val="none"/>
        </w:rPr>
      </w:pPr>
      <w:r>
        <w:rPr>
          <w:rFonts w:hint="eastAsia" w:ascii="宋体" w:hAnsi="宋体"/>
          <w:b/>
          <w:color w:val="auto"/>
          <w:sz w:val="28"/>
          <w:szCs w:val="24"/>
          <w:highlight w:val="none"/>
        </w:rPr>
        <w:t>2025年</w:t>
      </w:r>
      <w:r>
        <w:rPr>
          <w:rFonts w:hint="eastAsia" w:ascii="宋体" w:hAnsi="宋体"/>
          <w:b/>
          <w:color w:val="auto"/>
          <w:sz w:val="28"/>
          <w:szCs w:val="24"/>
          <w:highlight w:val="none"/>
          <w:u w:val="single"/>
          <w:lang w:val="en-US" w:eastAsia="zh-CN"/>
        </w:rPr>
        <w:t>9</w:t>
      </w:r>
      <w:bookmarkStart w:id="58" w:name="_GoBack"/>
      <w:bookmarkEnd w:id="58"/>
      <w:r>
        <w:rPr>
          <w:rFonts w:hint="eastAsia" w:ascii="宋体" w:hAnsi="宋体"/>
          <w:b/>
          <w:color w:val="auto"/>
          <w:sz w:val="28"/>
          <w:szCs w:val="24"/>
          <w:highlight w:val="none"/>
        </w:rPr>
        <w:t>月</w:t>
      </w:r>
    </w:p>
    <w:p w14:paraId="1D0AF49A">
      <w:pPr>
        <w:spacing w:line="360" w:lineRule="auto"/>
        <w:jc w:val="center"/>
        <w:rPr>
          <w:rFonts w:ascii="宋体" w:hAnsi="宋体" w:cs="宋体"/>
          <w:b/>
          <w:color w:val="auto"/>
          <w:sz w:val="36"/>
          <w:szCs w:val="36"/>
          <w:highlight w:val="none"/>
        </w:rPr>
      </w:pPr>
    </w:p>
    <w:p w14:paraId="58313E8A">
      <w:pPr>
        <w:spacing w:line="360" w:lineRule="auto"/>
        <w:jc w:val="center"/>
        <w:rPr>
          <w:rFonts w:ascii="宋体" w:hAnsi="宋体" w:cs="宋体"/>
          <w:b/>
          <w:color w:val="auto"/>
          <w:sz w:val="36"/>
          <w:szCs w:val="36"/>
          <w:highlight w:val="none"/>
        </w:rPr>
      </w:pPr>
    </w:p>
    <w:bookmarkEnd w:id="0"/>
    <w:p w14:paraId="3BBE626A">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扶胥运河连通工程（二期）扶胥古运河南湾段代建</w:t>
      </w:r>
    </w:p>
    <w:p w14:paraId="6340DCCB">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招标公告</w:t>
      </w:r>
    </w:p>
    <w:p w14:paraId="03502753">
      <w:pPr>
        <w:spacing w:line="360" w:lineRule="auto"/>
        <w:outlineLvl w:val="1"/>
        <w:rPr>
          <w:rFonts w:ascii="宋体" w:hAnsi="宋体" w:cs="宋体"/>
          <w:b/>
          <w:color w:val="auto"/>
          <w:sz w:val="32"/>
          <w:szCs w:val="24"/>
          <w:highlight w:val="none"/>
        </w:rPr>
      </w:pPr>
      <w:r>
        <w:rPr>
          <w:rFonts w:hint="eastAsia" w:ascii="宋体" w:hAnsi="宋体" w:cs="宋体"/>
          <w:b/>
          <w:color w:val="auto"/>
          <w:sz w:val="32"/>
          <w:szCs w:val="24"/>
          <w:highlight w:val="none"/>
        </w:rPr>
        <w:t>1. 招标条件</w:t>
      </w:r>
    </w:p>
    <w:p w14:paraId="1240D62F">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黄埔区扶胥运河连通工程（二期）项目</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《黄埔区发展改革局 广州开发区发展改革局关于黄埔区扶胥运河连通工程（二期）项目可行性研究报告的复函复》（穗埔发改投批〔2023〕118 号）</w:t>
      </w:r>
      <w:r>
        <w:rPr>
          <w:rFonts w:hint="eastAsia" w:ascii="宋体" w:hAnsi="宋体" w:cs="宋体"/>
          <w:color w:val="auto"/>
          <w:sz w:val="24"/>
          <w:szCs w:val="24"/>
          <w:highlight w:val="none"/>
        </w:rPr>
        <w:t>批准建设，建设业主为</w:t>
      </w:r>
      <w:r>
        <w:rPr>
          <w:rFonts w:hint="eastAsia" w:ascii="宋体" w:hAnsi="宋体" w:cs="宋体"/>
          <w:color w:val="auto"/>
          <w:sz w:val="24"/>
          <w:szCs w:val="24"/>
          <w:highlight w:val="none"/>
          <w:u w:val="single"/>
        </w:rPr>
        <w:t>广州开发区财政投资建设项目管理中心</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区财政资金</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lang w:val="en-US" w:eastAsia="zh-CN"/>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广州开发区财政投资建设项目管理中心</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代建</w:t>
      </w:r>
      <w:r>
        <w:rPr>
          <w:rFonts w:hint="eastAsia" w:ascii="宋体" w:hAnsi="宋体" w:cs="宋体"/>
          <w:color w:val="auto"/>
          <w:sz w:val="24"/>
          <w:szCs w:val="24"/>
          <w:highlight w:val="none"/>
        </w:rPr>
        <w:t>进行公开招标。</w:t>
      </w:r>
    </w:p>
    <w:p w14:paraId="40259CC1">
      <w:pPr>
        <w:spacing w:line="360" w:lineRule="auto"/>
        <w:ind w:firstLine="480" w:firstLineChars="200"/>
        <w:rPr>
          <w:rFonts w:ascii="宋体" w:hAnsi="宋体" w:cs="宋体"/>
          <w:color w:val="auto"/>
          <w:sz w:val="24"/>
          <w:szCs w:val="24"/>
          <w:highlight w:val="none"/>
          <w:u w:val="single"/>
        </w:rPr>
      </w:pPr>
    </w:p>
    <w:p w14:paraId="4B26F8F4">
      <w:pPr>
        <w:spacing w:line="360" w:lineRule="auto"/>
        <w:outlineLvl w:val="1"/>
        <w:rPr>
          <w:rFonts w:ascii="宋体" w:hAnsi="宋体" w:cs="宋体"/>
          <w:b/>
          <w:color w:val="auto"/>
          <w:sz w:val="32"/>
          <w:szCs w:val="24"/>
          <w:highlight w:val="none"/>
        </w:rPr>
      </w:pPr>
      <w:bookmarkStart w:id="3" w:name="_Toc515033011"/>
      <w:bookmarkStart w:id="4" w:name="_Toc511557026"/>
      <w:r>
        <w:rPr>
          <w:rFonts w:hint="eastAsia" w:ascii="宋体" w:hAnsi="宋体" w:cs="宋体"/>
          <w:b/>
          <w:color w:val="auto"/>
          <w:sz w:val="32"/>
          <w:szCs w:val="24"/>
          <w:highlight w:val="none"/>
        </w:rPr>
        <w:t>2. 项目概况与招标范围</w:t>
      </w:r>
      <w:bookmarkEnd w:id="3"/>
      <w:bookmarkEnd w:id="4"/>
    </w:p>
    <w:p w14:paraId="10B13E30">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2.1招标项目概况</w:t>
      </w:r>
    </w:p>
    <w:p w14:paraId="7C548C58">
      <w:pPr>
        <w:tabs>
          <w:tab w:val="left" w:pos="7513"/>
        </w:tabs>
        <w:spacing w:line="360" w:lineRule="auto"/>
        <w:ind w:firstLine="424" w:firstLineChars="177"/>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扶胥运河连通工程（二期）扶胥古运河南湾段代建</w:t>
      </w:r>
    </w:p>
    <w:p w14:paraId="63D259E3">
      <w:pPr>
        <w:tabs>
          <w:tab w:val="left" w:pos="7513"/>
        </w:tabs>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rPr>
        <w:t>2.1.2工程建设规模：</w:t>
      </w:r>
      <w:r>
        <w:rPr>
          <w:rFonts w:hint="eastAsia" w:ascii="宋体" w:hAnsi="宋体" w:cs="宋体"/>
          <w:color w:val="auto"/>
          <w:sz w:val="24"/>
          <w:szCs w:val="24"/>
          <w:highlight w:val="none"/>
          <w:u w:val="single"/>
        </w:rPr>
        <w:t>1、 整治扶胥运河南湾支涌段河堤长度约 1475 米（双侧计算），其中新建河道长度约 840 米；改造长度约 640 米。新建 2 座人行桥。沿线水岸环境提升面积约 24200 平方米。新建驿站 3 座；2、 新建排涝泵站 2 座；3、改造庙头支涌 2 号闸（水陂），以及新建照明、标识、城市家具、临时桥梁等配套设施。该段匡算总投资约为 6549.80 万元，其中工程费用 5941.10 万元。</w:t>
      </w:r>
    </w:p>
    <w:p w14:paraId="49CDE129">
      <w:pPr>
        <w:tabs>
          <w:tab w:val="left" w:pos="7513"/>
        </w:tabs>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rPr>
        <w:t>2.1.3工程建设地点：</w:t>
      </w:r>
      <w:r>
        <w:rPr>
          <w:rFonts w:hint="eastAsia" w:ascii="宋体" w:hAnsi="宋体" w:cs="宋体"/>
          <w:color w:val="auto"/>
          <w:sz w:val="24"/>
          <w:szCs w:val="24"/>
          <w:highlight w:val="none"/>
          <w:u w:val="single"/>
        </w:rPr>
        <w:t>广州市黄埔区</w:t>
      </w:r>
    </w:p>
    <w:p w14:paraId="384539F1">
      <w:pPr>
        <w:shd w:val="clear" w:color="auto" w:fill="FFFFFF"/>
        <w:spacing w:line="360" w:lineRule="auto"/>
        <w:ind w:firstLine="424" w:firstLineChars="177"/>
        <w:rPr>
          <w:rFonts w:ascii="宋体" w:hAnsi="宋体" w:cs="宋体"/>
          <w:color w:val="auto"/>
          <w:szCs w:val="21"/>
          <w:highlight w:val="none"/>
          <w:u w:val="single"/>
        </w:rPr>
      </w:pPr>
      <w:r>
        <w:rPr>
          <w:rFonts w:hint="eastAsia" w:ascii="宋体" w:hAnsi="宋体" w:cs="宋体"/>
          <w:color w:val="auto"/>
          <w:sz w:val="24"/>
          <w:szCs w:val="24"/>
          <w:highlight w:val="none"/>
        </w:rPr>
        <w:t>2.1.4工程投资额：</w:t>
      </w:r>
      <w:bookmarkStart w:id="5" w:name="OLE_LINK31"/>
      <w:bookmarkStart w:id="6" w:name="OLE_LINK32"/>
      <w:r>
        <w:rPr>
          <w:rFonts w:hint="eastAsia" w:ascii="宋体" w:hAnsi="宋体" w:cs="宋体"/>
          <w:color w:val="auto"/>
          <w:sz w:val="24"/>
          <w:szCs w:val="24"/>
          <w:highlight w:val="none"/>
        </w:rPr>
        <w:t>项目估算总投资</w:t>
      </w:r>
      <w:r>
        <w:rPr>
          <w:rFonts w:hint="eastAsia" w:ascii="宋体" w:hAnsi="宋体" w:cs="宋体"/>
          <w:color w:val="auto"/>
          <w:sz w:val="24"/>
          <w:szCs w:val="24"/>
          <w:highlight w:val="none"/>
          <w:u w:val="single"/>
        </w:rPr>
        <w:t>6549.80</w:t>
      </w:r>
      <w:r>
        <w:rPr>
          <w:rFonts w:hint="eastAsia" w:ascii="宋体" w:hAnsi="宋体" w:cs="宋体"/>
          <w:color w:val="auto"/>
          <w:sz w:val="24"/>
          <w:szCs w:val="24"/>
          <w:highlight w:val="none"/>
        </w:rPr>
        <w:t>万元，其中工程费</w:t>
      </w:r>
      <w:r>
        <w:rPr>
          <w:rFonts w:hint="eastAsia" w:ascii="宋体" w:hAnsi="宋体" w:cs="宋体"/>
          <w:color w:val="auto"/>
          <w:sz w:val="24"/>
          <w:szCs w:val="24"/>
          <w:highlight w:val="none"/>
          <w:u w:val="single"/>
        </w:rPr>
        <w:t>5941.10</w:t>
      </w:r>
      <w:r>
        <w:rPr>
          <w:rFonts w:hint="eastAsia" w:ascii="宋体" w:hAnsi="宋体" w:cs="宋体"/>
          <w:color w:val="auto"/>
          <w:sz w:val="24"/>
          <w:szCs w:val="24"/>
          <w:highlight w:val="none"/>
        </w:rPr>
        <w:t>万元</w:t>
      </w:r>
      <w:bookmarkEnd w:id="5"/>
      <w:bookmarkEnd w:id="6"/>
      <w:r>
        <w:rPr>
          <w:rFonts w:hint="eastAsia" w:ascii="宋体" w:hAnsi="宋体" w:cs="宋体"/>
          <w:color w:val="auto"/>
          <w:sz w:val="24"/>
          <w:szCs w:val="24"/>
          <w:highlight w:val="none"/>
        </w:rPr>
        <w:t>。</w:t>
      </w:r>
    </w:p>
    <w:p w14:paraId="19045DA9">
      <w:pPr>
        <w:tabs>
          <w:tab w:val="left" w:pos="7513"/>
        </w:tabs>
        <w:spacing w:line="360" w:lineRule="auto"/>
        <w:ind w:firstLine="424" w:firstLineChars="177"/>
        <w:rPr>
          <w:rFonts w:ascii="宋体" w:hAnsi="宋体" w:cs="宋体"/>
          <w:color w:val="auto"/>
          <w:sz w:val="24"/>
          <w:szCs w:val="24"/>
          <w:highlight w:val="none"/>
        </w:rPr>
      </w:pPr>
      <w:bookmarkStart w:id="7" w:name="_Toc515033012"/>
      <w:bookmarkStart w:id="8" w:name="_Toc511557027"/>
      <w:r>
        <w:rPr>
          <w:rFonts w:hint="eastAsia" w:ascii="宋体" w:hAnsi="宋体" w:cs="宋体"/>
          <w:color w:val="auto"/>
          <w:sz w:val="24"/>
          <w:szCs w:val="24"/>
          <w:highlight w:val="none"/>
        </w:rPr>
        <w:t>2.2招标范围</w:t>
      </w:r>
    </w:p>
    <w:p w14:paraId="493F5F15">
      <w:pPr>
        <w:shd w:val="clear" w:color="auto" w:fill="FFFFFF"/>
        <w:spacing w:line="360" w:lineRule="auto"/>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2.2.1标段划分：本项目分为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p>
    <w:p w14:paraId="4EC54F0A">
      <w:pPr>
        <w:shd w:val="clear" w:color="auto" w:fill="FFFFFF"/>
        <w:spacing w:line="360" w:lineRule="auto"/>
        <w:ind w:firstLine="424" w:firstLineChars="177"/>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2.2.2招标工作范围：</w:t>
      </w:r>
      <w:bookmarkStart w:id="9" w:name="OLE_LINK35"/>
      <w:bookmarkStart w:id="10" w:name="OLE_LINK54"/>
      <w:bookmarkStart w:id="11" w:name="OLE_LINK53"/>
      <w:r>
        <w:rPr>
          <w:rFonts w:hint="eastAsia" w:ascii="宋体" w:hAnsi="宋体" w:cs="宋体"/>
          <w:color w:val="auto"/>
          <w:sz w:val="24"/>
          <w:szCs w:val="24"/>
          <w:highlight w:val="none"/>
          <w:u w:val="single"/>
        </w:rPr>
        <w:t>对项目建设的全过程进行总体管理（含驻场服务），直到项目竣工验收、竣工决算、移交和保修期满的建设全过程代建管理服务工作。包括勘察设计、规划报建、监理、施工、设备材料、招标投标等实施过程中建设管理工作及各种手续的报审管理工作，并对项目的工期进度、投资、质量安全等进行有效的管理和控制</w:t>
      </w:r>
      <w:bookmarkEnd w:id="9"/>
      <w:r>
        <w:rPr>
          <w:rFonts w:hint="eastAsia" w:ascii="宋体" w:hAnsi="宋体" w:cs="宋体"/>
          <w:color w:val="auto"/>
          <w:sz w:val="24"/>
          <w:szCs w:val="24"/>
          <w:highlight w:val="none"/>
          <w:u w:val="single"/>
        </w:rPr>
        <w:t>。</w:t>
      </w:r>
      <w:bookmarkEnd w:id="10"/>
      <w:bookmarkEnd w:id="11"/>
    </w:p>
    <w:p w14:paraId="14A4E585">
      <w:pPr>
        <w:tabs>
          <w:tab w:val="left" w:pos="7513"/>
        </w:tabs>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rPr>
        <w:t>2.2.3服务期限：</w:t>
      </w:r>
      <w:bookmarkStart w:id="12" w:name="OLE_LINK36"/>
      <w:bookmarkStart w:id="13" w:name="OLE_LINK37"/>
      <w:bookmarkStart w:id="14" w:name="OLE_LINK55"/>
      <w:bookmarkStart w:id="15" w:name="OLE_LINK58"/>
      <w:r>
        <w:rPr>
          <w:rFonts w:hint="eastAsia" w:ascii="宋体" w:hAnsi="宋体" w:cs="宋体"/>
          <w:color w:val="auto"/>
          <w:sz w:val="24"/>
          <w:szCs w:val="24"/>
          <w:highlight w:val="none"/>
          <w:u w:val="single"/>
        </w:rPr>
        <w:t>从中标人收到中标通知书开始起算，至该工程竣工验收、竣工结算、财务决算、资产移交、质量保修期届满等完成，并完成所有约定义务止</w:t>
      </w:r>
      <w:bookmarkEnd w:id="12"/>
      <w:bookmarkEnd w:id="13"/>
      <w:r>
        <w:rPr>
          <w:rFonts w:hint="eastAsia" w:ascii="宋体" w:hAnsi="宋体" w:cs="宋体"/>
          <w:color w:val="auto"/>
          <w:sz w:val="24"/>
          <w:szCs w:val="24"/>
          <w:highlight w:val="none"/>
          <w:u w:val="single"/>
        </w:rPr>
        <w:t>。</w:t>
      </w:r>
      <w:bookmarkEnd w:id="14"/>
      <w:bookmarkEnd w:id="15"/>
    </w:p>
    <w:p w14:paraId="6F1A62B3">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w:t>
      </w:r>
      <w:r>
        <w:rPr>
          <w:rFonts w:ascii="宋体" w:hAnsi="宋体" w:cs="宋体"/>
          <w:color w:val="auto"/>
          <w:sz w:val="24"/>
          <w:szCs w:val="24"/>
          <w:highlight w:val="none"/>
        </w:rPr>
        <w:t>4</w:t>
      </w:r>
      <w:bookmarkStart w:id="16" w:name="OLE_LINK34"/>
      <w:r>
        <w:rPr>
          <w:rFonts w:hint="eastAsia" w:ascii="宋体" w:hAnsi="宋体" w:cs="宋体"/>
          <w:color w:val="auto"/>
          <w:sz w:val="24"/>
          <w:szCs w:val="24"/>
          <w:highlight w:val="none"/>
        </w:rPr>
        <w:t>最高投标限价：人民币</w:t>
      </w:r>
      <w:r>
        <w:rPr>
          <w:rFonts w:hint="eastAsia" w:ascii="宋体" w:hAnsi="宋体" w:cs="宋体"/>
          <w:color w:val="auto"/>
          <w:sz w:val="24"/>
          <w:szCs w:val="24"/>
          <w:highlight w:val="none"/>
          <w:u w:val="single"/>
          <w:lang w:eastAsia="zh-CN"/>
        </w:rPr>
        <w:t>83.80796</w:t>
      </w:r>
      <w:r>
        <w:rPr>
          <w:rFonts w:hint="eastAsia" w:ascii="宋体" w:hAnsi="宋体" w:cs="宋体"/>
          <w:color w:val="auto"/>
          <w:sz w:val="24"/>
          <w:szCs w:val="24"/>
          <w:highlight w:val="none"/>
        </w:rPr>
        <w:t>万元</w:t>
      </w:r>
      <w:bookmarkEnd w:id="16"/>
      <w:r>
        <w:rPr>
          <w:rFonts w:hint="eastAsia" w:ascii="宋体" w:hAnsi="宋体" w:cs="宋体"/>
          <w:color w:val="auto"/>
          <w:sz w:val="24"/>
          <w:szCs w:val="24"/>
          <w:highlight w:val="none"/>
        </w:rPr>
        <w:t>。</w:t>
      </w:r>
    </w:p>
    <w:p w14:paraId="5D5BE767">
      <w:pPr>
        <w:spacing w:line="360" w:lineRule="auto"/>
        <w:rPr>
          <w:rFonts w:ascii="宋体" w:hAnsi="宋体" w:cs="宋体"/>
          <w:color w:val="auto"/>
          <w:highlight w:val="none"/>
        </w:rPr>
      </w:pPr>
    </w:p>
    <w:p w14:paraId="2C987705">
      <w:pPr>
        <w:spacing w:line="360" w:lineRule="auto"/>
        <w:outlineLvl w:val="1"/>
        <w:rPr>
          <w:rFonts w:ascii="宋体" w:hAnsi="宋体" w:cs="宋体"/>
          <w:b/>
          <w:color w:val="auto"/>
          <w:sz w:val="32"/>
          <w:szCs w:val="24"/>
          <w:highlight w:val="none"/>
        </w:rPr>
      </w:pPr>
      <w:r>
        <w:rPr>
          <w:rFonts w:hint="eastAsia" w:ascii="宋体" w:hAnsi="宋体" w:cs="宋体"/>
          <w:b/>
          <w:color w:val="auto"/>
          <w:sz w:val="32"/>
          <w:szCs w:val="24"/>
          <w:highlight w:val="none"/>
        </w:rPr>
        <w:t>3. 投标人资格要求</w:t>
      </w:r>
      <w:bookmarkEnd w:id="7"/>
      <w:bookmarkEnd w:id="8"/>
    </w:p>
    <w:p w14:paraId="536880EC">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3.1</w:t>
      </w:r>
      <w:bookmarkStart w:id="17" w:name="OLE_LINK38"/>
      <w:bookmarkStart w:id="18" w:name="OLE_LINK39"/>
      <w:r>
        <w:rPr>
          <w:rFonts w:hint="eastAsia" w:ascii="宋体" w:hAnsi="宋体" w:cs="宋体"/>
          <w:color w:val="auto"/>
          <w:sz w:val="24"/>
          <w:szCs w:val="24"/>
          <w:highlight w:val="none"/>
        </w:rPr>
        <w:t>投标人参加投标的意思表达清楚，企业法定代表人证明书、法定代表人授权委托书有效（仅限于非法定代表人参加投标活动时提供,还应提供授权委托人的</w:t>
      </w:r>
      <w:bookmarkStart w:id="19" w:name="OLE_LINK1"/>
      <w:r>
        <w:rPr>
          <w:rFonts w:hint="eastAsia" w:ascii="宋体" w:hAnsi="宋体" w:cs="宋体"/>
          <w:color w:val="auto"/>
          <w:sz w:val="24"/>
          <w:szCs w:val="24"/>
          <w:highlight w:val="none"/>
        </w:rPr>
        <w:t>近1个月（2025年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月或</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月）在本单位缴纳的社保证明文件</w:t>
      </w:r>
      <w:bookmarkEnd w:id="19"/>
      <w:r>
        <w:rPr>
          <w:rFonts w:hint="eastAsia" w:ascii="宋体" w:hAnsi="宋体" w:cs="宋体"/>
          <w:color w:val="auto"/>
          <w:sz w:val="24"/>
          <w:szCs w:val="24"/>
          <w:highlight w:val="none"/>
        </w:rPr>
        <w:t>）</w:t>
      </w:r>
      <w:bookmarkEnd w:id="17"/>
      <w:bookmarkEnd w:id="18"/>
      <w:r>
        <w:rPr>
          <w:rFonts w:hint="eastAsia" w:ascii="宋体" w:hAnsi="宋体" w:cs="宋体"/>
          <w:color w:val="auto"/>
          <w:sz w:val="24"/>
          <w:szCs w:val="24"/>
          <w:highlight w:val="none"/>
        </w:rPr>
        <w:t>。</w:t>
      </w:r>
    </w:p>
    <w:p w14:paraId="7D56448D">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bookmarkStart w:id="20" w:name="OLE_LINK16"/>
      <w:r>
        <w:rPr>
          <w:rFonts w:hint="eastAsia" w:ascii="宋体" w:hAnsi="宋体" w:cs="宋体"/>
          <w:color w:val="auto"/>
          <w:sz w:val="24"/>
          <w:szCs w:val="24"/>
          <w:highlight w:val="none"/>
        </w:rPr>
        <w:t>.2</w:t>
      </w:r>
      <w:bookmarkEnd w:id="20"/>
      <w:r>
        <w:rPr>
          <w:rFonts w:hint="eastAsia" w:ascii="宋体" w:hAnsi="宋体" w:cs="宋体"/>
          <w:color w:val="auto"/>
          <w:sz w:val="24"/>
          <w:szCs w:val="24"/>
          <w:highlight w:val="none"/>
        </w:rPr>
        <w:t>投标人均具有独立法人资格，持有市场监管部门（工商行政管理部门）核发的有效法人营业执照或事业单位登记管理部门核发的事业单位法人证书，且在有效期限内。</w:t>
      </w:r>
    </w:p>
    <w:p w14:paraId="73373B88">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3.3本次招标</w:t>
      </w:r>
      <w:r>
        <w:rPr>
          <w:rFonts w:hint="eastAsia" w:ascii="宋体" w:hAnsi="宋体" w:cs="宋体"/>
          <w:b/>
          <w:color w:val="auto"/>
          <w:sz w:val="24"/>
          <w:szCs w:val="24"/>
          <w:highlight w:val="none"/>
          <w:u w:val="single"/>
        </w:rPr>
        <w:t>不接受</w:t>
      </w:r>
      <w:r>
        <w:rPr>
          <w:rFonts w:hint="eastAsia" w:ascii="宋体" w:hAnsi="宋体" w:cs="宋体"/>
          <w:color w:val="auto"/>
          <w:sz w:val="24"/>
          <w:szCs w:val="24"/>
          <w:highlight w:val="none"/>
        </w:rPr>
        <w:t>联合体投标。</w:t>
      </w:r>
    </w:p>
    <w:p w14:paraId="02E5E2AA">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bookmarkStart w:id="21" w:name="OLE_LINK51"/>
      <w:bookmarkStart w:id="22" w:name="OLE_LINK52"/>
      <w:r>
        <w:rPr>
          <w:rFonts w:hint="eastAsia" w:ascii="宋体" w:hAnsi="宋体" w:cs="宋体"/>
          <w:color w:val="auto"/>
          <w:sz w:val="24"/>
          <w:szCs w:val="24"/>
          <w:highlight w:val="none"/>
        </w:rPr>
        <w:t>4投标登记前，投标人已在广州交易集团有限公司（广州公共资源交易中心）办理企业信息登记</w:t>
      </w:r>
      <w:bookmarkEnd w:id="21"/>
      <w:bookmarkEnd w:id="22"/>
      <w:r>
        <w:rPr>
          <w:rFonts w:hint="eastAsia" w:ascii="宋体" w:hAnsi="宋体" w:cs="宋体"/>
          <w:color w:val="auto"/>
          <w:sz w:val="24"/>
          <w:szCs w:val="24"/>
          <w:highlight w:val="none"/>
        </w:rPr>
        <w:t>。</w:t>
      </w:r>
    </w:p>
    <w:p w14:paraId="15A2F5CB">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3.5投标人出具按照招标文件要求的格式签署盖章的《投标申请人声明》（格式见招标文件第六章）。</w:t>
      </w:r>
    </w:p>
    <w:p w14:paraId="6BDB60B0">
      <w:pPr>
        <w:topLinePunct/>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6未被列入拖欠农民工工资失信联合惩戒对象名单</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失信被执行人。（投标人无需提供资料，按广州交易集团有限公司（广州公共资源交易中心）的交易系统比对的结果进行评审。）</w:t>
      </w:r>
    </w:p>
    <w:p w14:paraId="01C81472">
      <w:pPr>
        <w:topLinePunct/>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投标人未在《被招标人拒绝投标的企业名单》的限制投标期限内（见附件）。</w:t>
      </w:r>
    </w:p>
    <w:p w14:paraId="12482AD2">
      <w:pPr>
        <w:topLinePunct/>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注：①未在招标公告第3条单列的投标人资格要求条件，不作为资审不合格的依据。</w:t>
      </w:r>
    </w:p>
    <w:p w14:paraId="2B429197">
      <w:pPr>
        <w:wordWrap w:val="0"/>
        <w:topLinePunct/>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u w:val="singl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4F24E961">
      <w:pPr>
        <w:topLinePunct/>
        <w:spacing w:line="360" w:lineRule="auto"/>
        <w:ind w:firstLine="480" w:firstLineChars="200"/>
        <w:rPr>
          <w:rFonts w:ascii="宋体" w:hAnsi="宋体" w:cs="宋体"/>
          <w:color w:val="auto"/>
          <w:sz w:val="24"/>
          <w:szCs w:val="24"/>
          <w:highlight w:val="none"/>
        </w:rPr>
      </w:pPr>
    </w:p>
    <w:p w14:paraId="4C5E0698">
      <w:pPr>
        <w:spacing w:line="360" w:lineRule="auto"/>
        <w:outlineLvl w:val="1"/>
        <w:rPr>
          <w:rFonts w:ascii="宋体" w:hAnsi="宋体" w:cs="宋体"/>
          <w:b/>
          <w:color w:val="auto"/>
          <w:sz w:val="32"/>
          <w:szCs w:val="24"/>
          <w:highlight w:val="none"/>
        </w:rPr>
      </w:pPr>
      <w:bookmarkStart w:id="23" w:name="_Toc511557028"/>
      <w:bookmarkStart w:id="24" w:name="_Toc515033013"/>
      <w:r>
        <w:rPr>
          <w:rFonts w:hint="eastAsia" w:ascii="宋体" w:hAnsi="宋体" w:cs="宋体"/>
          <w:b/>
          <w:color w:val="auto"/>
          <w:sz w:val="32"/>
          <w:szCs w:val="24"/>
          <w:highlight w:val="none"/>
        </w:rPr>
        <w:t>4. 招标文件的获取</w:t>
      </w:r>
    </w:p>
    <w:p w14:paraId="036923E9">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4.1本项目招标文件随招标公告一并在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发布。招标文件一经在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下载电子招标文件。</w:t>
      </w:r>
    </w:p>
    <w:p w14:paraId="267EAF97">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4.2本项目采用资格后审方式。</w:t>
      </w:r>
    </w:p>
    <w:p w14:paraId="3BB37B67">
      <w:pPr>
        <w:spacing w:line="360" w:lineRule="auto"/>
        <w:rPr>
          <w:rFonts w:ascii="宋体" w:hAnsi="宋体" w:cs="宋体"/>
          <w:color w:val="auto"/>
          <w:highlight w:val="none"/>
        </w:rPr>
      </w:pPr>
    </w:p>
    <w:p w14:paraId="3189B6D1">
      <w:pPr>
        <w:spacing w:line="360" w:lineRule="auto"/>
        <w:outlineLvl w:val="1"/>
        <w:rPr>
          <w:rFonts w:ascii="宋体" w:hAnsi="宋体" w:cs="宋体"/>
          <w:b/>
          <w:color w:val="auto"/>
          <w:sz w:val="32"/>
          <w:szCs w:val="24"/>
          <w:highlight w:val="none"/>
        </w:rPr>
      </w:pPr>
      <w:r>
        <w:rPr>
          <w:rFonts w:hint="eastAsia" w:ascii="宋体" w:hAnsi="宋体" w:cs="宋体"/>
          <w:b/>
          <w:color w:val="auto"/>
          <w:sz w:val="32"/>
          <w:szCs w:val="24"/>
          <w:highlight w:val="none"/>
        </w:rPr>
        <w:t>5. 发布招标公告、递交投标文件时间、开标时间</w:t>
      </w:r>
    </w:p>
    <w:p w14:paraId="00F378D6">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5.1发布招标公告时间（含本日）：</w:t>
      </w:r>
      <w:r>
        <w:rPr>
          <w:rFonts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2AA34943">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14:paraId="75E56387">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5.2递交电子投标文件起始时间：</w:t>
      </w:r>
      <w:r>
        <w:rPr>
          <w:rFonts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246D3838">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14:paraId="30C1CDBF">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交易平台办理投标登记手续。按照交易平台关于全流程电子化项目的相关指南进行操作。详见：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广州交易集团有限公司（广州公共资源交易中心）最新指引。</w:t>
      </w:r>
    </w:p>
    <w:p w14:paraId="6F8D0AA0">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5.3递交备用投标文件电子光盘时间为：</w:t>
      </w:r>
      <w:r>
        <w:rPr>
          <w:rFonts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分；地点：广州交易集团有限公司（广州公共资源交易中心）第开标室（黄埔交易部）。（电子光盘需按规定封装。投标人在将数据刻录到光盘之后，投标前自行检查文件是否可以读取）。</w:t>
      </w:r>
    </w:p>
    <w:p w14:paraId="24801DA1">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5.4逾期送达的投标文件，电子招标投标交易平台将予以拒收。逾期未上传成功的电子投标文件，招标人拒绝接收。逾期或未在指定地点递交投标文件光盘的,招标人拒绝接收其投标文件光盘。</w:t>
      </w:r>
    </w:p>
    <w:p w14:paraId="7169464E">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5.5开标时间：</w:t>
      </w:r>
      <w:r>
        <w:rPr>
          <w:rFonts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分。地点：广州交易集团有限公司（广州公共资源交易中心）第开标室（黄埔交易部）。</w:t>
      </w:r>
    </w:p>
    <w:p w14:paraId="48374272">
      <w:pPr>
        <w:spacing w:line="360" w:lineRule="auto"/>
        <w:rPr>
          <w:rFonts w:ascii="宋体" w:hAnsi="宋体" w:cs="宋体"/>
          <w:b/>
          <w:color w:val="auto"/>
          <w:sz w:val="32"/>
          <w:szCs w:val="24"/>
          <w:highlight w:val="none"/>
        </w:rPr>
      </w:pPr>
    </w:p>
    <w:bookmarkEnd w:id="23"/>
    <w:bookmarkEnd w:id="24"/>
    <w:p w14:paraId="66747C65">
      <w:pPr>
        <w:spacing w:line="360" w:lineRule="auto"/>
        <w:outlineLvl w:val="1"/>
        <w:rPr>
          <w:rFonts w:ascii="宋体" w:hAnsi="宋体" w:cs="宋体"/>
          <w:b/>
          <w:color w:val="auto"/>
          <w:sz w:val="32"/>
          <w:szCs w:val="24"/>
          <w:highlight w:val="none"/>
        </w:rPr>
      </w:pPr>
      <w:bookmarkStart w:id="25" w:name="_Toc515033015"/>
      <w:bookmarkStart w:id="26" w:name="_Toc511557030"/>
      <w:r>
        <w:rPr>
          <w:rFonts w:hint="eastAsia" w:ascii="宋体" w:hAnsi="宋体" w:cs="宋体"/>
          <w:b/>
          <w:color w:val="auto"/>
          <w:sz w:val="32"/>
          <w:szCs w:val="24"/>
          <w:highlight w:val="none"/>
        </w:rPr>
        <w:t>6. 发布公告的媒介</w:t>
      </w:r>
      <w:bookmarkEnd w:id="25"/>
      <w:bookmarkEnd w:id="26"/>
    </w:p>
    <w:p w14:paraId="3A5C6A0D">
      <w:pPr>
        <w:spacing w:line="360" w:lineRule="auto"/>
        <w:ind w:firstLine="424" w:firstLineChars="177"/>
        <w:rPr>
          <w:rFonts w:ascii="宋体" w:hAnsi="宋体" w:cs="宋体"/>
          <w:color w:val="auto"/>
          <w:sz w:val="24"/>
          <w:szCs w:val="24"/>
          <w:highlight w:val="none"/>
        </w:rPr>
      </w:pPr>
      <w:bookmarkStart w:id="27" w:name="_Toc515033016"/>
      <w:bookmarkStart w:id="28" w:name="_Toc511557031"/>
      <w:r>
        <w:rPr>
          <w:rFonts w:hint="eastAsia" w:ascii="宋体" w:hAnsi="宋体" w:cs="宋体"/>
          <w:color w:val="auto"/>
          <w:sz w:val="24"/>
          <w:szCs w:val="24"/>
          <w:highlight w:val="none"/>
          <w:u w:val="single"/>
        </w:rPr>
        <w:t>本次招标公告同时在广州交易集团有限公司（广州公共资源交易中心）网站（网址：http://www.gzggzy.cn</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广东省招标投标监管网（网址：https://zbtb.gd.gov.cn/）和中国招标投标公共服务平台（网址：http://www.cebpubservice.com/）发布，本公告的修改、补充，在广州交易集团有限公司（广州公共资源交易中心）网站、广东省招标投标监管网上发布。</w:t>
      </w:r>
    </w:p>
    <w:p w14:paraId="3CC04A42">
      <w:pPr>
        <w:spacing w:line="360" w:lineRule="auto"/>
        <w:rPr>
          <w:rFonts w:ascii="宋体" w:hAnsi="宋体" w:cs="宋体"/>
          <w:color w:val="auto"/>
          <w:highlight w:val="none"/>
        </w:rPr>
      </w:pPr>
    </w:p>
    <w:p w14:paraId="01D24423">
      <w:pPr>
        <w:spacing w:line="360" w:lineRule="auto"/>
        <w:outlineLvl w:val="1"/>
        <w:rPr>
          <w:rFonts w:ascii="宋体" w:hAnsi="宋体" w:cs="宋体"/>
          <w:b/>
          <w:color w:val="auto"/>
          <w:sz w:val="32"/>
          <w:szCs w:val="24"/>
          <w:highlight w:val="none"/>
        </w:rPr>
      </w:pPr>
      <w:r>
        <w:rPr>
          <w:rFonts w:hint="eastAsia" w:ascii="宋体" w:hAnsi="宋体" w:cs="宋体"/>
          <w:b/>
          <w:color w:val="auto"/>
          <w:sz w:val="32"/>
          <w:szCs w:val="24"/>
          <w:highlight w:val="none"/>
        </w:rPr>
        <w:t>7. 联系方式</w:t>
      </w:r>
      <w:bookmarkEnd w:id="27"/>
      <w:bookmarkEnd w:id="28"/>
    </w:p>
    <w:p w14:paraId="6F066026">
      <w:pPr>
        <w:spacing w:line="360" w:lineRule="auto"/>
        <w:rPr>
          <w:rFonts w:ascii="宋体" w:hAnsi="宋体" w:cs="宋体"/>
          <w:color w:val="auto"/>
          <w:sz w:val="24"/>
          <w:szCs w:val="24"/>
          <w:highlight w:val="none"/>
        </w:rPr>
      </w:pPr>
      <w:bookmarkStart w:id="29" w:name="_Toc247527536"/>
      <w:bookmarkEnd w:id="29"/>
      <w:bookmarkStart w:id="30" w:name="_Toc10785"/>
      <w:bookmarkEnd w:id="30"/>
      <w:bookmarkStart w:id="31" w:name="_Toc17972"/>
      <w:bookmarkEnd w:id="31"/>
      <w:bookmarkStart w:id="32" w:name="_Toc247527535"/>
      <w:bookmarkEnd w:id="32"/>
      <w:bookmarkStart w:id="33" w:name="_Toc352691453"/>
      <w:bookmarkEnd w:id="33"/>
      <w:bookmarkStart w:id="34" w:name="_Toc361508560"/>
      <w:bookmarkEnd w:id="34"/>
      <w:bookmarkStart w:id="35" w:name="_Toc30817"/>
      <w:bookmarkEnd w:id="35"/>
      <w:bookmarkStart w:id="36" w:name="_Toc369531495"/>
      <w:bookmarkEnd w:id="36"/>
      <w:bookmarkStart w:id="37" w:name="_Toc369531498"/>
      <w:bookmarkEnd w:id="37"/>
      <w:bookmarkStart w:id="38" w:name="_Toc144974480"/>
      <w:bookmarkEnd w:id="38"/>
      <w:bookmarkStart w:id="39" w:name="_Toc361508562"/>
      <w:bookmarkEnd w:id="39"/>
      <w:bookmarkStart w:id="40" w:name="_Toc369531497"/>
      <w:bookmarkEnd w:id="40"/>
      <w:bookmarkStart w:id="41" w:name="_Toc152045513"/>
      <w:bookmarkEnd w:id="41"/>
      <w:bookmarkStart w:id="42" w:name="_Toc300834927"/>
      <w:bookmarkEnd w:id="42"/>
      <w:bookmarkStart w:id="43" w:name="_Toc352691456"/>
      <w:bookmarkEnd w:id="43"/>
      <w:bookmarkStart w:id="44" w:name="_Toc384308188"/>
      <w:bookmarkEnd w:id="44"/>
      <w:bookmarkStart w:id="45" w:name="_Toc352691455"/>
      <w:bookmarkEnd w:id="45"/>
      <w:bookmarkStart w:id="46" w:name="_Toc361508563"/>
      <w:bookmarkEnd w:id="46"/>
      <w:bookmarkStart w:id="47" w:name="_Toc152045512"/>
      <w:bookmarkEnd w:id="47"/>
      <w:bookmarkStart w:id="48" w:name="_Toc247513935"/>
      <w:bookmarkEnd w:id="48"/>
      <w:bookmarkStart w:id="49" w:name="_Toc247513934"/>
      <w:bookmarkEnd w:id="49"/>
      <w:bookmarkStart w:id="50" w:name="_Toc144974481"/>
      <w:bookmarkEnd w:id="50"/>
      <w:bookmarkStart w:id="51" w:name="_Toc384308187"/>
      <w:bookmarkEnd w:id="51"/>
      <w:bookmarkStart w:id="52" w:name="_Toc152042288"/>
      <w:bookmarkEnd w:id="52"/>
      <w:bookmarkStart w:id="53" w:name="_Toc300834929"/>
      <w:bookmarkEnd w:id="53"/>
      <w:bookmarkStart w:id="54" w:name="_Toc384308185"/>
      <w:bookmarkEnd w:id="54"/>
      <w:bookmarkStart w:id="55" w:name="_Toc300834930"/>
      <w:bookmarkEnd w:id="55"/>
      <w:bookmarkStart w:id="56" w:name="_Toc152042289"/>
      <w:bookmarkEnd w:id="56"/>
      <w:r>
        <w:rPr>
          <w:rFonts w:hint="eastAsia" w:ascii="宋体" w:hAnsi="宋体" w:cs="宋体"/>
          <w:color w:val="auto"/>
          <w:sz w:val="24"/>
          <w:szCs w:val="24"/>
          <w:highlight w:val="none"/>
        </w:rPr>
        <w:t>招 标 人：</w:t>
      </w:r>
      <w:r>
        <w:rPr>
          <w:rFonts w:hint="eastAsia" w:ascii="宋体" w:hAnsi="宋体" w:cs="宋体"/>
          <w:color w:val="auto"/>
          <w:sz w:val="24"/>
          <w:szCs w:val="24"/>
          <w:highlight w:val="none"/>
          <w:u w:val="single"/>
        </w:rPr>
        <w:t>广州开发区财政投资建设项目管理中心</w:t>
      </w:r>
    </w:p>
    <w:p w14:paraId="62E67CB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highlight w:val="none"/>
          <w:u w:val="single"/>
        </w:rPr>
        <w:t>广州市科学城创意大厦B2主楼三楼</w:t>
      </w:r>
    </w:p>
    <w:p w14:paraId="78BB977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rPr>
        <w:t>林工</w:t>
      </w:r>
      <w:r>
        <w:rPr>
          <w:rFonts w:hint="eastAsia" w:ascii="宋体" w:hAnsi="宋体" w:cs="宋体"/>
          <w:color w:val="auto"/>
          <w:sz w:val="24"/>
          <w:szCs w:val="24"/>
          <w:highlight w:val="none"/>
        </w:rPr>
        <w:t xml:space="preserve">    电    话：</w:t>
      </w:r>
      <w:bookmarkStart w:id="57" w:name="OLE_LINK61"/>
      <w:r>
        <w:rPr>
          <w:rFonts w:hint="eastAsia" w:ascii="宋体" w:hAnsi="宋体" w:cs="宋体"/>
          <w:color w:val="auto"/>
          <w:sz w:val="24"/>
          <w:szCs w:val="24"/>
          <w:highlight w:val="none"/>
          <w:u w:val="single"/>
        </w:rPr>
        <w:t>020-28068853</w:t>
      </w:r>
      <w:bookmarkEnd w:id="57"/>
    </w:p>
    <w:p w14:paraId="370AF9DF">
      <w:pPr>
        <w:spacing w:line="360" w:lineRule="auto"/>
        <w:rPr>
          <w:rFonts w:ascii="宋体" w:hAnsi="宋体" w:cs="宋体"/>
          <w:color w:val="auto"/>
          <w:sz w:val="24"/>
          <w:szCs w:val="24"/>
          <w:highlight w:val="none"/>
        </w:rPr>
      </w:pPr>
    </w:p>
    <w:p w14:paraId="523A1ED9">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广州筑正工程建设管理有限公司</w:t>
      </w:r>
    </w:p>
    <w:p w14:paraId="45E153E3">
      <w:pPr>
        <w:spacing w:line="360"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eastAsia="zh-CN"/>
        </w:rPr>
        <w:t>广州市黄埔区水西路197号敏捷广场D3栋1801-1820</w:t>
      </w:r>
    </w:p>
    <w:p w14:paraId="64D8F398">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rPr>
        <w:t>余工</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020-8</w:t>
      </w:r>
      <w:r>
        <w:rPr>
          <w:rFonts w:hint="eastAsia" w:ascii="宋体" w:hAnsi="宋体" w:cs="宋体"/>
          <w:color w:val="auto"/>
          <w:sz w:val="24"/>
          <w:szCs w:val="24"/>
          <w:highlight w:val="none"/>
          <w:u w:val="single"/>
          <w:lang w:val="en-US" w:eastAsia="zh-CN"/>
        </w:rPr>
        <w:t>2165699</w:t>
      </w:r>
    </w:p>
    <w:p w14:paraId="229C5F2F">
      <w:pPr>
        <w:spacing w:line="360" w:lineRule="auto"/>
        <w:rPr>
          <w:rFonts w:ascii="宋体" w:hAnsi="宋体" w:cs="宋体"/>
          <w:color w:val="auto"/>
          <w:sz w:val="24"/>
          <w:szCs w:val="24"/>
          <w:highlight w:val="none"/>
        </w:rPr>
      </w:pPr>
    </w:p>
    <w:p w14:paraId="526B2475">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广州开发区财政投资建设项目管理中心</w:t>
      </w:r>
    </w:p>
    <w:p w14:paraId="396CE1E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highlight w:val="none"/>
          <w:u w:val="single"/>
        </w:rPr>
        <w:t>广州市科学城创意大厦B2主楼三楼</w:t>
      </w:r>
    </w:p>
    <w:p w14:paraId="6B46A98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rPr>
        <w:t>林工</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020-28068853</w:t>
      </w:r>
    </w:p>
    <w:p w14:paraId="04C1D6D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98973C6">
      <w:pPr>
        <w:spacing w:line="360" w:lineRule="auto"/>
        <w:rPr>
          <w:rFonts w:ascii="宋体" w:hAnsi="宋体" w:cs="宋体"/>
          <w:color w:val="auto"/>
          <w:sz w:val="24"/>
          <w:szCs w:val="24"/>
          <w:highlight w:val="none"/>
        </w:rPr>
      </w:pPr>
    </w:p>
    <w:p w14:paraId="6792A76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广州开发区财政投资建设项目管理中心</w:t>
      </w:r>
    </w:p>
    <w:p w14:paraId="5D79A9A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highlight w:val="none"/>
          <w:u w:val="single"/>
        </w:rPr>
        <w:t>广州市科学城创意大厦B2主楼三楼</w:t>
      </w:r>
    </w:p>
    <w:p w14:paraId="105ED3E7">
      <w:pPr>
        <w:spacing w:line="360" w:lineRule="auto"/>
        <w:rPr>
          <w:rFonts w:ascii="宋体" w:hAnsi="宋体" w:cs="宋体"/>
          <w:color w:val="auto"/>
          <w:highlight w:val="non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rPr>
        <w:t>020-28068853</w:t>
      </w:r>
    </w:p>
    <w:p w14:paraId="1B5C8C56">
      <w:pPr>
        <w:spacing w:line="360" w:lineRule="auto"/>
        <w:ind w:left="7168" w:leftChars="32" w:right="360" w:hanging="7101" w:hangingChars="2959"/>
        <w:jc w:val="left"/>
        <w:rPr>
          <w:rFonts w:ascii="宋体" w:hAnsi="宋体" w:cs="宋体"/>
          <w:color w:val="auto"/>
          <w:sz w:val="24"/>
          <w:szCs w:val="24"/>
          <w:highlight w:val="none"/>
        </w:rPr>
      </w:pPr>
    </w:p>
    <w:p w14:paraId="10F20F7E">
      <w:pPr>
        <w:spacing w:line="360" w:lineRule="auto"/>
        <w:ind w:left="7168" w:leftChars="32" w:right="360" w:hanging="7101" w:hangingChars="2959"/>
        <w:jc w:val="left"/>
        <w:rPr>
          <w:rFonts w:ascii="宋体" w:hAnsi="宋体" w:cs="宋体"/>
          <w:color w:val="auto"/>
          <w:sz w:val="24"/>
          <w:szCs w:val="24"/>
          <w:highlight w:val="none"/>
        </w:rPr>
      </w:pPr>
    </w:p>
    <w:p w14:paraId="0B43426C">
      <w:pPr>
        <w:topLinePunct/>
        <w:spacing w:line="360" w:lineRule="auto"/>
        <w:ind w:left="239" w:leftChars="114" w:right="240" w:firstLine="1800" w:firstLineChars="750"/>
        <w:jc w:val="left"/>
        <w:rPr>
          <w:rFonts w:ascii="宋体" w:hAnsi="宋体" w:cs="宋体"/>
          <w:color w:val="auto"/>
          <w:sz w:val="24"/>
          <w:szCs w:val="24"/>
          <w:highlight w:val="none"/>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rPr>
        <w:t>广州开发区财政投资建设项目管理中心</w:t>
      </w:r>
    </w:p>
    <w:p w14:paraId="5C2D05BD">
      <w:pPr>
        <w:topLinePunct/>
        <w:spacing w:line="360" w:lineRule="auto"/>
        <w:ind w:left="239" w:leftChars="114" w:right="240" w:firstLine="1560" w:firstLineChars="65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招标代理机构：</w:t>
      </w:r>
      <w:r>
        <w:rPr>
          <w:rFonts w:hint="eastAsia" w:ascii="宋体" w:hAnsi="宋体" w:cs="宋体"/>
          <w:color w:val="auto"/>
          <w:sz w:val="24"/>
          <w:szCs w:val="24"/>
          <w:highlight w:val="none"/>
          <w:u w:val="single"/>
          <w:lang w:eastAsia="zh-CN"/>
        </w:rPr>
        <w:t>广州筑正工程建设管理有限公司</w:t>
      </w:r>
    </w:p>
    <w:p w14:paraId="346268D7">
      <w:pPr>
        <w:topLinePunct/>
        <w:spacing w:line="360" w:lineRule="auto"/>
        <w:ind w:left="120" w:right="240" w:hanging="120" w:hangingChars="5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日期：</w:t>
      </w:r>
      <w:r>
        <w:rPr>
          <w:rFonts w:ascii="宋体" w:hAnsi="宋体" w:cs="宋体"/>
          <w:color w:val="auto"/>
          <w:sz w:val="24"/>
          <w:szCs w:val="24"/>
          <w:highlight w:val="none"/>
          <w:u w:val="single"/>
        </w:rPr>
        <w:t>2025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日</w:t>
      </w:r>
      <w:bookmarkEnd w:id="1"/>
      <w:bookmarkEnd w:id="2"/>
    </w:p>
    <w:p w14:paraId="7ECE174E">
      <w:pPr>
        <w:topLinePunct/>
        <w:spacing w:line="360" w:lineRule="auto"/>
        <w:ind w:left="120" w:right="240" w:hanging="120" w:hangingChars="50"/>
        <w:jc w:val="left"/>
        <w:rPr>
          <w:rFonts w:ascii="宋体" w:hAnsi="宋体" w:cs="宋体"/>
          <w:color w:val="auto"/>
          <w:sz w:val="24"/>
          <w:szCs w:val="24"/>
          <w:highlight w:val="none"/>
          <w:u w:val="single"/>
        </w:rPr>
      </w:pPr>
    </w:p>
    <w:p w14:paraId="08B01E7B">
      <w:pPr>
        <w:widowControl/>
        <w:spacing w:line="240" w:lineRule="auto"/>
        <w:jc w:val="left"/>
        <w:rPr>
          <w:rFonts w:ascii="宋体" w:hAnsi="宋体" w:cs="宋体"/>
          <w:color w:val="auto"/>
          <w:sz w:val="24"/>
          <w:szCs w:val="24"/>
          <w:highlight w:val="none"/>
        </w:rPr>
      </w:pPr>
    </w:p>
    <w:p w14:paraId="70C3B312">
      <w:pPr>
        <w:widowControl/>
        <w:spacing w:line="240" w:lineRule="auto"/>
        <w:jc w:val="left"/>
        <w:rPr>
          <w:rFonts w:ascii="宋体" w:hAnsi="宋体" w:cs="宋体"/>
          <w:color w:val="auto"/>
          <w:sz w:val="24"/>
          <w:szCs w:val="24"/>
          <w:highlight w:val="none"/>
        </w:rPr>
      </w:pPr>
      <w:r>
        <w:rPr>
          <w:rFonts w:ascii="宋体" w:hAnsi="宋体" w:cs="宋体"/>
          <w:color w:val="auto"/>
          <w:sz w:val="24"/>
          <w:szCs w:val="24"/>
          <w:highlight w:val="none"/>
        </w:rPr>
        <w:br w:type="page"/>
      </w:r>
    </w:p>
    <w:p w14:paraId="0DFCFCC6">
      <w:pPr>
        <w:topLinePunct/>
        <w:spacing w:line="360" w:lineRule="auto"/>
        <w:ind w:right="240"/>
        <w:jc w:val="left"/>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71BAEBF6">
      <w:pPr>
        <w:topLinePunct/>
        <w:spacing w:line="360" w:lineRule="auto"/>
        <w:ind w:left="181" w:right="240" w:hanging="181" w:hangingChars="50"/>
        <w:jc w:val="center"/>
        <w:rPr>
          <w:b/>
          <w:color w:val="auto"/>
          <w:sz w:val="36"/>
          <w:szCs w:val="36"/>
          <w:highlight w:val="none"/>
        </w:rPr>
      </w:pPr>
      <w:r>
        <w:rPr>
          <w:rFonts w:hint="eastAsia"/>
          <w:b/>
          <w:color w:val="auto"/>
          <w:sz w:val="36"/>
          <w:szCs w:val="36"/>
          <w:highlight w:val="none"/>
        </w:rPr>
        <w:t>被招标人拒绝投标的企业名单</w:t>
      </w:r>
    </w:p>
    <w:tbl>
      <w:tblPr>
        <w:tblStyle w:val="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622"/>
        <w:gridCol w:w="5090"/>
      </w:tblGrid>
      <w:tr w14:paraId="51FC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20" w:type="dxa"/>
            <w:vAlign w:val="center"/>
          </w:tcPr>
          <w:p w14:paraId="2AD3E476">
            <w:pPr>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3622" w:type="dxa"/>
            <w:tcBorders>
              <w:left w:val="nil"/>
            </w:tcBorders>
            <w:vAlign w:val="center"/>
          </w:tcPr>
          <w:p w14:paraId="0708D54A">
            <w:pPr>
              <w:jc w:val="center"/>
              <w:rPr>
                <w:rFonts w:ascii="宋体" w:cs="宋体"/>
                <w:b/>
                <w:color w:val="auto"/>
                <w:sz w:val="24"/>
                <w:szCs w:val="24"/>
                <w:highlight w:val="none"/>
              </w:rPr>
            </w:pPr>
            <w:r>
              <w:rPr>
                <w:rFonts w:hint="eastAsia" w:ascii="宋体" w:hAnsi="宋体" w:cs="宋体"/>
                <w:b/>
                <w:color w:val="auto"/>
                <w:sz w:val="24"/>
                <w:szCs w:val="24"/>
                <w:highlight w:val="none"/>
              </w:rPr>
              <w:t>企业名称</w:t>
            </w:r>
          </w:p>
        </w:tc>
        <w:tc>
          <w:tcPr>
            <w:tcW w:w="5090" w:type="dxa"/>
            <w:tcBorders>
              <w:left w:val="nil"/>
            </w:tcBorders>
            <w:vAlign w:val="center"/>
          </w:tcPr>
          <w:p w14:paraId="5D19ADD4">
            <w:pPr>
              <w:jc w:val="center"/>
              <w:rPr>
                <w:rFonts w:ascii="宋体" w:hAnsi="宋体" w:cs="宋体"/>
                <w:b/>
                <w:color w:val="auto"/>
                <w:sz w:val="24"/>
                <w:szCs w:val="24"/>
                <w:highlight w:val="none"/>
              </w:rPr>
            </w:pPr>
            <w:r>
              <w:rPr>
                <w:rFonts w:hint="eastAsia" w:ascii="宋体" w:hAnsi="宋体" w:cs="宋体"/>
                <w:b/>
                <w:color w:val="auto"/>
                <w:sz w:val="24"/>
                <w:szCs w:val="24"/>
                <w:highlight w:val="none"/>
              </w:rPr>
              <w:t>限制投标期限</w:t>
            </w:r>
          </w:p>
        </w:tc>
      </w:tr>
      <w:tr w14:paraId="2F2D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20" w:type="dxa"/>
            <w:vAlign w:val="center"/>
          </w:tcPr>
          <w:p w14:paraId="05F5F206">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622" w:type="dxa"/>
            <w:tcBorders>
              <w:left w:val="nil"/>
            </w:tcBorders>
            <w:vAlign w:val="center"/>
          </w:tcPr>
          <w:p w14:paraId="2B6C1AE4">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广东华隧建设集团股份有限公司</w:t>
            </w:r>
          </w:p>
        </w:tc>
        <w:tc>
          <w:tcPr>
            <w:tcW w:w="5090" w:type="dxa"/>
            <w:tcBorders>
              <w:left w:val="nil"/>
            </w:tcBorders>
            <w:vAlign w:val="center"/>
          </w:tcPr>
          <w:p w14:paraId="01623275">
            <w:pPr>
              <w:tabs>
                <w:tab w:val="left" w:pos="4200"/>
              </w:tabs>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自2025年7月2日起至2025年10月1日</w:t>
            </w:r>
          </w:p>
        </w:tc>
      </w:tr>
    </w:tbl>
    <w:p w14:paraId="378674C8">
      <w:pPr>
        <w:widowControl/>
        <w:jc w:val="left"/>
        <w:rPr>
          <w:color w:val="auto"/>
          <w:szCs w:val="21"/>
          <w:highlight w:val="none"/>
        </w:rPr>
      </w:pPr>
      <w:r>
        <w:rPr>
          <w:rFonts w:hint="eastAsia"/>
          <w:color w:val="auto"/>
          <w:sz w:val="24"/>
          <w:szCs w:val="24"/>
          <w:highlight w:val="none"/>
        </w:rPr>
        <w:t>注：以上限制投标时间期限以截标时间为准。</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557582"/>
      <w:docPartObj>
        <w:docPartGallery w:val="autotext"/>
      </w:docPartObj>
    </w:sdtPr>
    <w:sdtContent>
      <w:p w14:paraId="236D159A">
        <w:pPr>
          <w:pStyle w:val="5"/>
          <w:jc w:val="center"/>
        </w:pPr>
        <w:r>
          <w:fldChar w:fldCharType="begin"/>
        </w:r>
        <w:r>
          <w:instrText xml:space="preserve">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7684F"/>
    <w:rsid w:val="00000DBA"/>
    <w:rsid w:val="00006D15"/>
    <w:rsid w:val="0001412C"/>
    <w:rsid w:val="00014AD2"/>
    <w:rsid w:val="000234CB"/>
    <w:rsid w:val="00051DB4"/>
    <w:rsid w:val="00053CF2"/>
    <w:rsid w:val="00060BBB"/>
    <w:rsid w:val="000750D9"/>
    <w:rsid w:val="00090B6C"/>
    <w:rsid w:val="00091DA4"/>
    <w:rsid w:val="00093AB4"/>
    <w:rsid w:val="000A4F07"/>
    <w:rsid w:val="000A5249"/>
    <w:rsid w:val="000A5B17"/>
    <w:rsid w:val="000B6347"/>
    <w:rsid w:val="000D61B4"/>
    <w:rsid w:val="000E4C90"/>
    <w:rsid w:val="000E65BF"/>
    <w:rsid w:val="000E7C1E"/>
    <w:rsid w:val="000F31C7"/>
    <w:rsid w:val="000F7317"/>
    <w:rsid w:val="00147E8E"/>
    <w:rsid w:val="00161670"/>
    <w:rsid w:val="00165128"/>
    <w:rsid w:val="00194727"/>
    <w:rsid w:val="001B3DD9"/>
    <w:rsid w:val="001C053C"/>
    <w:rsid w:val="001C3F4B"/>
    <w:rsid w:val="001C6096"/>
    <w:rsid w:val="001D6D71"/>
    <w:rsid w:val="001F1C02"/>
    <w:rsid w:val="001F7152"/>
    <w:rsid w:val="001F7255"/>
    <w:rsid w:val="002009B8"/>
    <w:rsid w:val="00201183"/>
    <w:rsid w:val="0020290E"/>
    <w:rsid w:val="002041AA"/>
    <w:rsid w:val="00217B96"/>
    <w:rsid w:val="00223285"/>
    <w:rsid w:val="002258EB"/>
    <w:rsid w:val="00250CD8"/>
    <w:rsid w:val="002542E7"/>
    <w:rsid w:val="00254685"/>
    <w:rsid w:val="0026060C"/>
    <w:rsid w:val="002B5DAA"/>
    <w:rsid w:val="002D5129"/>
    <w:rsid w:val="002D54A0"/>
    <w:rsid w:val="002D5CE6"/>
    <w:rsid w:val="002E4139"/>
    <w:rsid w:val="002E4E73"/>
    <w:rsid w:val="002E6644"/>
    <w:rsid w:val="00304858"/>
    <w:rsid w:val="00324B30"/>
    <w:rsid w:val="00341A8E"/>
    <w:rsid w:val="0035348A"/>
    <w:rsid w:val="00353B7D"/>
    <w:rsid w:val="00374DCE"/>
    <w:rsid w:val="00391146"/>
    <w:rsid w:val="00393618"/>
    <w:rsid w:val="00397D7B"/>
    <w:rsid w:val="003A14D2"/>
    <w:rsid w:val="003A7971"/>
    <w:rsid w:val="003C0F37"/>
    <w:rsid w:val="003C37FF"/>
    <w:rsid w:val="003E7DE7"/>
    <w:rsid w:val="003F4B2E"/>
    <w:rsid w:val="003F72AE"/>
    <w:rsid w:val="0041209E"/>
    <w:rsid w:val="00416F4F"/>
    <w:rsid w:val="00434CD1"/>
    <w:rsid w:val="00436B99"/>
    <w:rsid w:val="00463B59"/>
    <w:rsid w:val="00471B4D"/>
    <w:rsid w:val="00481550"/>
    <w:rsid w:val="00484DC6"/>
    <w:rsid w:val="004A0E94"/>
    <w:rsid w:val="004A46EA"/>
    <w:rsid w:val="004A6C50"/>
    <w:rsid w:val="004B2D93"/>
    <w:rsid w:val="004B6BD3"/>
    <w:rsid w:val="004C0015"/>
    <w:rsid w:val="004D2CC6"/>
    <w:rsid w:val="004E2BA2"/>
    <w:rsid w:val="005000EC"/>
    <w:rsid w:val="005023E5"/>
    <w:rsid w:val="00520B0D"/>
    <w:rsid w:val="005515B1"/>
    <w:rsid w:val="00552758"/>
    <w:rsid w:val="0055487B"/>
    <w:rsid w:val="005635AB"/>
    <w:rsid w:val="005757D7"/>
    <w:rsid w:val="005857FA"/>
    <w:rsid w:val="00586F8F"/>
    <w:rsid w:val="0059280F"/>
    <w:rsid w:val="005C3F69"/>
    <w:rsid w:val="005D0096"/>
    <w:rsid w:val="005D1CA2"/>
    <w:rsid w:val="005E4635"/>
    <w:rsid w:val="005E522F"/>
    <w:rsid w:val="005E79FA"/>
    <w:rsid w:val="005F2D6F"/>
    <w:rsid w:val="0060051A"/>
    <w:rsid w:val="0060591C"/>
    <w:rsid w:val="006101FB"/>
    <w:rsid w:val="00613CB5"/>
    <w:rsid w:val="00620E2F"/>
    <w:rsid w:val="00626370"/>
    <w:rsid w:val="006374FA"/>
    <w:rsid w:val="00640CA7"/>
    <w:rsid w:val="00644949"/>
    <w:rsid w:val="006462E4"/>
    <w:rsid w:val="00655E9E"/>
    <w:rsid w:val="0066515D"/>
    <w:rsid w:val="006708BC"/>
    <w:rsid w:val="006834F3"/>
    <w:rsid w:val="00685BFC"/>
    <w:rsid w:val="00686876"/>
    <w:rsid w:val="006A0D81"/>
    <w:rsid w:val="006A57EF"/>
    <w:rsid w:val="006A7EE5"/>
    <w:rsid w:val="006B6161"/>
    <w:rsid w:val="006C6317"/>
    <w:rsid w:val="006C7A59"/>
    <w:rsid w:val="006C7DC6"/>
    <w:rsid w:val="006E40E9"/>
    <w:rsid w:val="0071462C"/>
    <w:rsid w:val="00721822"/>
    <w:rsid w:val="00724603"/>
    <w:rsid w:val="0074000B"/>
    <w:rsid w:val="0075603D"/>
    <w:rsid w:val="00761748"/>
    <w:rsid w:val="00776364"/>
    <w:rsid w:val="007969D9"/>
    <w:rsid w:val="007A3237"/>
    <w:rsid w:val="007B7AE7"/>
    <w:rsid w:val="007D27C1"/>
    <w:rsid w:val="007E0344"/>
    <w:rsid w:val="007E2C23"/>
    <w:rsid w:val="007E5037"/>
    <w:rsid w:val="007F00D5"/>
    <w:rsid w:val="007F02D4"/>
    <w:rsid w:val="007F2908"/>
    <w:rsid w:val="007F2D75"/>
    <w:rsid w:val="00803452"/>
    <w:rsid w:val="0080542F"/>
    <w:rsid w:val="0081215E"/>
    <w:rsid w:val="00815F01"/>
    <w:rsid w:val="0083133A"/>
    <w:rsid w:val="008334A0"/>
    <w:rsid w:val="00837E84"/>
    <w:rsid w:val="00862E01"/>
    <w:rsid w:val="00870CBC"/>
    <w:rsid w:val="00875C1B"/>
    <w:rsid w:val="0088655B"/>
    <w:rsid w:val="00886969"/>
    <w:rsid w:val="00893EE5"/>
    <w:rsid w:val="00894E54"/>
    <w:rsid w:val="008A6D33"/>
    <w:rsid w:val="008B1EF3"/>
    <w:rsid w:val="008D2125"/>
    <w:rsid w:val="008E0841"/>
    <w:rsid w:val="008E36A3"/>
    <w:rsid w:val="008E71D8"/>
    <w:rsid w:val="008F2779"/>
    <w:rsid w:val="00902F1D"/>
    <w:rsid w:val="009034CC"/>
    <w:rsid w:val="00912A6F"/>
    <w:rsid w:val="00917C04"/>
    <w:rsid w:val="00931C83"/>
    <w:rsid w:val="00932191"/>
    <w:rsid w:val="0093765C"/>
    <w:rsid w:val="0094609A"/>
    <w:rsid w:val="00947016"/>
    <w:rsid w:val="00954DA8"/>
    <w:rsid w:val="00963A65"/>
    <w:rsid w:val="00984587"/>
    <w:rsid w:val="009A47D4"/>
    <w:rsid w:val="009A4BFD"/>
    <w:rsid w:val="009C4C9A"/>
    <w:rsid w:val="009D7B4F"/>
    <w:rsid w:val="009E2BE0"/>
    <w:rsid w:val="009F78E0"/>
    <w:rsid w:val="00A05F0E"/>
    <w:rsid w:val="00A149AA"/>
    <w:rsid w:val="00A154FF"/>
    <w:rsid w:val="00A16428"/>
    <w:rsid w:val="00A17491"/>
    <w:rsid w:val="00A20573"/>
    <w:rsid w:val="00A25085"/>
    <w:rsid w:val="00A63914"/>
    <w:rsid w:val="00AA18CF"/>
    <w:rsid w:val="00AA3C7A"/>
    <w:rsid w:val="00AB1277"/>
    <w:rsid w:val="00AC25D3"/>
    <w:rsid w:val="00AD1F4B"/>
    <w:rsid w:val="00AD7B48"/>
    <w:rsid w:val="00AE0AB0"/>
    <w:rsid w:val="00AE5CB9"/>
    <w:rsid w:val="00B03B35"/>
    <w:rsid w:val="00B13A24"/>
    <w:rsid w:val="00B1691D"/>
    <w:rsid w:val="00B1796C"/>
    <w:rsid w:val="00B2063C"/>
    <w:rsid w:val="00B22D6C"/>
    <w:rsid w:val="00B3049D"/>
    <w:rsid w:val="00B374AF"/>
    <w:rsid w:val="00B439F4"/>
    <w:rsid w:val="00B57481"/>
    <w:rsid w:val="00B65D18"/>
    <w:rsid w:val="00B76CD6"/>
    <w:rsid w:val="00B85D54"/>
    <w:rsid w:val="00B9502C"/>
    <w:rsid w:val="00B95F3D"/>
    <w:rsid w:val="00BA15E5"/>
    <w:rsid w:val="00BA25B7"/>
    <w:rsid w:val="00BA5604"/>
    <w:rsid w:val="00BA5C3C"/>
    <w:rsid w:val="00BB0D5B"/>
    <w:rsid w:val="00BC2E47"/>
    <w:rsid w:val="00BC5521"/>
    <w:rsid w:val="00BD732B"/>
    <w:rsid w:val="00BE23C2"/>
    <w:rsid w:val="00BE3F9A"/>
    <w:rsid w:val="00BE73FE"/>
    <w:rsid w:val="00C0228D"/>
    <w:rsid w:val="00C16FDA"/>
    <w:rsid w:val="00C511C9"/>
    <w:rsid w:val="00C6000F"/>
    <w:rsid w:val="00C659A1"/>
    <w:rsid w:val="00C77E34"/>
    <w:rsid w:val="00C82212"/>
    <w:rsid w:val="00C841A1"/>
    <w:rsid w:val="00C863C7"/>
    <w:rsid w:val="00C94FFC"/>
    <w:rsid w:val="00CA08A5"/>
    <w:rsid w:val="00CA1AF4"/>
    <w:rsid w:val="00CB21FD"/>
    <w:rsid w:val="00CB7D6C"/>
    <w:rsid w:val="00CD10FE"/>
    <w:rsid w:val="00D02D7F"/>
    <w:rsid w:val="00D071B7"/>
    <w:rsid w:val="00D15B32"/>
    <w:rsid w:val="00D47464"/>
    <w:rsid w:val="00D60713"/>
    <w:rsid w:val="00D63FA0"/>
    <w:rsid w:val="00D755FD"/>
    <w:rsid w:val="00D97AA0"/>
    <w:rsid w:val="00DA1AB3"/>
    <w:rsid w:val="00DA21D4"/>
    <w:rsid w:val="00DB6295"/>
    <w:rsid w:val="00DB63AF"/>
    <w:rsid w:val="00DC1384"/>
    <w:rsid w:val="00DF5AE8"/>
    <w:rsid w:val="00DF6B8D"/>
    <w:rsid w:val="00E2313D"/>
    <w:rsid w:val="00E254BD"/>
    <w:rsid w:val="00E346BE"/>
    <w:rsid w:val="00E35169"/>
    <w:rsid w:val="00E35576"/>
    <w:rsid w:val="00E416BF"/>
    <w:rsid w:val="00E452F2"/>
    <w:rsid w:val="00E53D8D"/>
    <w:rsid w:val="00E72656"/>
    <w:rsid w:val="00E74535"/>
    <w:rsid w:val="00E7684F"/>
    <w:rsid w:val="00E820CF"/>
    <w:rsid w:val="00E82742"/>
    <w:rsid w:val="00EC6584"/>
    <w:rsid w:val="00ED3F11"/>
    <w:rsid w:val="00ED5D83"/>
    <w:rsid w:val="00EE07ED"/>
    <w:rsid w:val="00EE1C79"/>
    <w:rsid w:val="00EE2344"/>
    <w:rsid w:val="00EF3011"/>
    <w:rsid w:val="00EF492E"/>
    <w:rsid w:val="00F11884"/>
    <w:rsid w:val="00F226A0"/>
    <w:rsid w:val="00F372C4"/>
    <w:rsid w:val="00F54274"/>
    <w:rsid w:val="00F545EB"/>
    <w:rsid w:val="00F56138"/>
    <w:rsid w:val="00F7467E"/>
    <w:rsid w:val="00F76C6C"/>
    <w:rsid w:val="00F812A2"/>
    <w:rsid w:val="00F81761"/>
    <w:rsid w:val="00F848C3"/>
    <w:rsid w:val="00F97D12"/>
    <w:rsid w:val="00FA06F7"/>
    <w:rsid w:val="00FA1776"/>
    <w:rsid w:val="00FD18FA"/>
    <w:rsid w:val="00FD5F28"/>
    <w:rsid w:val="00FE27E0"/>
    <w:rsid w:val="00FE7734"/>
    <w:rsid w:val="29C64DFB"/>
    <w:rsid w:val="2E843007"/>
    <w:rsid w:val="389B7C63"/>
    <w:rsid w:val="4C392162"/>
    <w:rsid w:val="575E11BE"/>
    <w:rsid w:val="605258E7"/>
    <w:rsid w:val="778B5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脚 Char"/>
    <w:basedOn w:val="10"/>
    <w:link w:val="5"/>
    <w:qFormat/>
    <w:uiPriority w:val="99"/>
    <w:rPr>
      <w:rFonts w:ascii="Calibri" w:hAnsi="Calibri" w:eastAsia="宋体" w:cs="Times New Roman"/>
      <w:sz w:val="18"/>
      <w:szCs w:val="18"/>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批注框文本 Char"/>
    <w:basedOn w:val="10"/>
    <w:link w:val="4"/>
    <w:semiHidden/>
    <w:qFormat/>
    <w:uiPriority w:val="99"/>
    <w:rPr>
      <w:rFonts w:ascii="Calibri" w:hAnsi="Calibri" w:eastAsia="宋体" w:cs="Times New Roman"/>
      <w:sz w:val="18"/>
      <w:szCs w:val="18"/>
    </w:rPr>
  </w:style>
  <w:style w:type="paragraph" w:customStyle="1" w:styleId="15">
    <w:name w:val="修订1"/>
    <w:hidden/>
    <w:semiHidden/>
    <w:qFormat/>
    <w:uiPriority w:val="99"/>
    <w:rPr>
      <w:rFonts w:ascii="Calibri" w:hAnsi="Calibri" w:eastAsia="宋体" w:cs="Times New Roman"/>
      <w:kern w:val="2"/>
      <w:sz w:val="21"/>
      <w:szCs w:val="22"/>
      <w:lang w:val="en-US" w:eastAsia="zh-CN" w:bidi="ar-SA"/>
    </w:rPr>
  </w:style>
  <w:style w:type="character" w:customStyle="1" w:styleId="16">
    <w:name w:val="日期 Char"/>
    <w:basedOn w:val="10"/>
    <w:link w:val="3"/>
    <w:semiHidden/>
    <w:qFormat/>
    <w:uiPriority w:val="99"/>
    <w:rPr>
      <w:rFonts w:ascii="Calibri" w:hAnsi="Calibri" w:eastAsia="宋体" w:cs="Times New Roman"/>
    </w:rPr>
  </w:style>
  <w:style w:type="character" w:customStyle="1" w:styleId="17">
    <w:name w:val="批注文字 Char"/>
    <w:basedOn w:val="10"/>
    <w:link w:val="2"/>
    <w:semiHidden/>
    <w:qFormat/>
    <w:uiPriority w:val="99"/>
    <w:rPr>
      <w:rFonts w:ascii="Calibri" w:hAnsi="Calibri" w:eastAsia="宋体" w:cs="Times New Roman"/>
    </w:rPr>
  </w:style>
  <w:style w:type="character" w:customStyle="1" w:styleId="18">
    <w:name w:val="批注主题 Char"/>
    <w:basedOn w:val="17"/>
    <w:link w:val="7"/>
    <w:semiHidden/>
    <w:qFormat/>
    <w:uiPriority w:val="99"/>
    <w:rPr>
      <w:rFonts w:ascii="Calibri" w:hAnsi="Calibri" w:eastAsia="宋体" w:cs="Times New Roman"/>
      <w:b/>
      <w:bCs/>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2621</Words>
  <Characters>2992</Characters>
  <Lines>22</Lines>
  <Paragraphs>6</Paragraphs>
  <TotalTime>0</TotalTime>
  <ScaleCrop>false</ScaleCrop>
  <LinksUpToDate>false</LinksUpToDate>
  <CharactersWithSpaces>3156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2025-06-07T12:38:00Z</dcterms:created>
  <dc:creator>djf</dc:creator>
  <cp:lastModifiedBy>Y</cp:lastModifiedBy>
  <cp:lastPrinted>2025-07-04T02:50:00Z</cp:lastPrinted>
  <dcterms:modified xsi:type="dcterms:W3CDTF">2025-09-01T08:44:00Z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FA6C5397DC03483EB5D8D165B7B58989_13</vt:lpwstr>
  </property>
  <property fmtid="{D5CDD505-2E9C-101B-9397-08002B2CF9AE}" pid="4" name="KSOTemplateDocerSaveRecord">
    <vt:lpwstr>eyJoZGlkIjoiYjE3N2VhZTA2OWIwNjliNTc2OGM5MzY4NWRlZDQ4NjAiLCJ1c2VySWQiOiIzNDA4NjUyMjAifQ==</vt:lpwstr>
  </property>
</Properties>
</file>