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3BDBB">
      <w:pPr>
        <w:spacing w:after="120" w:afterLines="50" w:line="560" w:lineRule="exact"/>
        <w:jc w:val="center"/>
        <w:rPr>
          <w:rFonts w:hint="eastAsia" w:ascii="宋体" w:hAnsi="宋体" w:eastAsia="宋体"/>
          <w:b/>
          <w:color w:val="auto"/>
          <w:sz w:val="36"/>
          <w:szCs w:val="36"/>
          <w:highlight w:val="none"/>
          <w:lang w:eastAsia="zh-CN"/>
        </w:rPr>
      </w:pPr>
      <w:r>
        <w:rPr>
          <w:rFonts w:hint="eastAsia" w:ascii="宋体" w:hAnsi="宋体" w:eastAsia="宋体"/>
          <w:b/>
          <w:color w:val="auto"/>
          <w:sz w:val="36"/>
          <w:szCs w:val="36"/>
          <w:highlight w:val="none"/>
          <w:lang w:eastAsia="zh-CN"/>
        </w:rPr>
        <w:drawing>
          <wp:anchor distT="0" distB="0" distL="114300" distR="114300" simplePos="0" relativeHeight="251659264" behindDoc="0" locked="0" layoutInCell="1" allowOverlap="1">
            <wp:simplePos x="0" y="0"/>
            <wp:positionH relativeFrom="column">
              <wp:posOffset>-875665</wp:posOffset>
            </wp:positionH>
            <wp:positionV relativeFrom="paragraph">
              <wp:posOffset>-874395</wp:posOffset>
            </wp:positionV>
            <wp:extent cx="7598410" cy="10747375"/>
            <wp:effectExtent l="0" t="0" r="2540" b="15875"/>
            <wp:wrapNone/>
            <wp:docPr id="7" name="图片 7" descr="用地报批招文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用地报批招文封面_01"/>
                    <pic:cNvPicPr>
                      <a:picLocks noChangeAspect="1"/>
                    </pic:cNvPicPr>
                  </pic:nvPicPr>
                  <pic:blipFill>
                    <a:blip r:embed="rId15"/>
                    <a:stretch>
                      <a:fillRect/>
                    </a:stretch>
                  </pic:blipFill>
                  <pic:spPr>
                    <a:xfrm>
                      <a:off x="0" y="0"/>
                      <a:ext cx="7598410" cy="10747375"/>
                    </a:xfrm>
                    <a:prstGeom prst="rect">
                      <a:avLst/>
                    </a:prstGeom>
                  </pic:spPr>
                </pic:pic>
              </a:graphicData>
            </a:graphic>
          </wp:anchor>
        </w:drawing>
      </w:r>
    </w:p>
    <w:p w14:paraId="0F7E86BF">
      <w:pPr>
        <w:spacing w:after="120" w:afterLines="50" w:line="560" w:lineRule="exact"/>
        <w:jc w:val="center"/>
        <w:rPr>
          <w:rFonts w:hint="eastAsia" w:ascii="宋体" w:hAnsi="宋体"/>
          <w:b/>
          <w:color w:val="auto"/>
          <w:sz w:val="36"/>
          <w:szCs w:val="36"/>
          <w:highlight w:val="none"/>
        </w:rPr>
      </w:pPr>
    </w:p>
    <w:p w14:paraId="5AFA8247">
      <w:pPr>
        <w:spacing w:after="120" w:afterLines="50" w:line="560" w:lineRule="exact"/>
        <w:jc w:val="center"/>
        <w:rPr>
          <w:rFonts w:ascii="宋体" w:hAnsi="宋体"/>
          <w:b/>
          <w:bCs/>
          <w:color w:val="auto"/>
          <w:sz w:val="36"/>
          <w:szCs w:val="36"/>
          <w:highlight w:val="none"/>
        </w:rPr>
      </w:pPr>
      <w:r>
        <w:rPr>
          <w:rFonts w:hint="eastAsia" w:ascii="宋体" w:hAnsi="宋体"/>
          <w:b/>
          <w:color w:val="auto"/>
          <w:sz w:val="36"/>
          <w:szCs w:val="36"/>
          <w:highlight w:val="none"/>
          <w:lang w:eastAsia="zh-CN"/>
        </w:rPr>
        <w:t>阳江水资源配置工程(一期)临时用地土地报批服务</w:t>
      </w:r>
      <w:r>
        <w:rPr>
          <w:rFonts w:hint="eastAsia" w:ascii="宋体" w:hAnsi="宋体"/>
          <w:b/>
          <w:color w:val="auto"/>
          <w:sz w:val="44"/>
          <w:szCs w:val="44"/>
          <w:highlight w:val="none"/>
        </w:rPr>
        <w:cr/>
      </w:r>
    </w:p>
    <w:p w14:paraId="195C6ED9">
      <w:pPr>
        <w:pStyle w:val="3"/>
        <w:spacing w:line="264" w:lineRule="auto"/>
        <w:rPr>
          <w:rFonts w:hint="eastAsia" w:ascii="宋体" w:hAnsi="宋体"/>
          <w:b w:val="0"/>
          <w:bCs w:val="0"/>
          <w:color w:val="auto"/>
          <w:highlight w:val="none"/>
        </w:rPr>
      </w:pPr>
    </w:p>
    <w:p w14:paraId="69EB8BDA">
      <w:pPr>
        <w:pStyle w:val="3"/>
        <w:spacing w:line="264" w:lineRule="auto"/>
        <w:rPr>
          <w:rFonts w:ascii="宋体" w:hAnsi="宋体"/>
          <w:b w:val="0"/>
          <w:bCs w:val="0"/>
          <w:color w:val="auto"/>
          <w:highlight w:val="none"/>
        </w:rPr>
      </w:pPr>
    </w:p>
    <w:p w14:paraId="110D22EF">
      <w:pPr>
        <w:pStyle w:val="3"/>
        <w:spacing w:line="264" w:lineRule="auto"/>
        <w:rPr>
          <w:rFonts w:ascii="宋体" w:hAnsi="宋体"/>
          <w:b w:val="0"/>
          <w:bCs w:val="0"/>
          <w:color w:val="auto"/>
          <w:highlight w:val="none"/>
        </w:rPr>
      </w:pPr>
    </w:p>
    <w:p w14:paraId="56C7A433">
      <w:pPr>
        <w:pStyle w:val="3"/>
        <w:spacing w:line="264" w:lineRule="auto"/>
        <w:rPr>
          <w:rFonts w:ascii="宋体" w:hAnsi="宋体"/>
          <w:bCs w:val="0"/>
          <w:color w:val="auto"/>
          <w:sz w:val="84"/>
          <w:szCs w:val="84"/>
          <w:highlight w:val="none"/>
        </w:rPr>
      </w:pPr>
      <w:r>
        <w:rPr>
          <w:rFonts w:hint="eastAsia" w:ascii="宋体" w:hAnsi="宋体"/>
          <w:bCs w:val="0"/>
          <w:color w:val="auto"/>
          <w:sz w:val="84"/>
          <w:szCs w:val="84"/>
          <w:highlight w:val="none"/>
        </w:rPr>
        <w:t>招标</w:t>
      </w:r>
      <w:r>
        <w:rPr>
          <w:rFonts w:hint="eastAsia" w:ascii="宋体" w:hAnsi="宋体"/>
          <w:bCs w:val="0"/>
          <w:color w:val="auto"/>
          <w:sz w:val="84"/>
          <w:szCs w:val="84"/>
          <w:highlight w:val="none"/>
          <w:lang w:val="en-US" w:eastAsia="zh-CN"/>
        </w:rPr>
        <w:tab/>
      </w:r>
      <w:r>
        <w:rPr>
          <w:rFonts w:hint="eastAsia" w:ascii="宋体" w:hAnsi="宋体"/>
          <w:bCs w:val="0"/>
          <w:color w:val="auto"/>
          <w:sz w:val="84"/>
          <w:szCs w:val="84"/>
          <w:highlight w:val="none"/>
        </w:rPr>
        <w:t>文件</w:t>
      </w:r>
    </w:p>
    <w:p w14:paraId="77488EC1">
      <w:pPr>
        <w:spacing w:line="264" w:lineRule="auto"/>
        <w:rPr>
          <w:rFonts w:ascii="宋体" w:hAnsi="宋体"/>
          <w:color w:val="auto"/>
          <w:highlight w:val="none"/>
        </w:rPr>
      </w:pPr>
    </w:p>
    <w:p w14:paraId="36CE76EF">
      <w:pPr>
        <w:spacing w:line="264" w:lineRule="auto"/>
        <w:rPr>
          <w:rFonts w:ascii="宋体" w:hAnsi="宋体"/>
          <w:color w:val="auto"/>
          <w:highlight w:val="none"/>
        </w:rPr>
      </w:pPr>
    </w:p>
    <w:p w14:paraId="1981E6EC">
      <w:pPr>
        <w:wordWrap/>
        <w:jc w:val="center"/>
        <w:rPr>
          <w:rFonts w:hint="default" w:eastAsia="宋体"/>
          <w:color w:val="auto"/>
          <w:sz w:val="28"/>
          <w:szCs w:val="28"/>
          <w:highlight w:val="none"/>
          <w:u w:val="single"/>
          <w:lang w:val="en-US" w:eastAsia="zh-CN"/>
        </w:rPr>
      </w:pPr>
      <w:r>
        <w:rPr>
          <w:rFonts w:hint="eastAsia"/>
          <w:color w:val="auto"/>
          <w:sz w:val="36"/>
          <w:szCs w:val="36"/>
          <w:highlight w:val="none"/>
          <w:lang w:val="en-US" w:eastAsia="zh-CN"/>
        </w:rPr>
        <w:t>招标工程编号：</w:t>
      </w:r>
      <w:r>
        <w:rPr>
          <w:rFonts w:hint="eastAsia"/>
          <w:color w:val="auto"/>
          <w:sz w:val="36"/>
          <w:szCs w:val="36"/>
          <w:highlight w:val="none"/>
          <w:u w:val="single"/>
          <w:lang w:val="en-US" w:eastAsia="zh-CN"/>
        </w:rPr>
        <w:t>YJSL2025第4号</w:t>
      </w:r>
    </w:p>
    <w:p w14:paraId="689C3E20">
      <w:pPr>
        <w:spacing w:line="264" w:lineRule="auto"/>
        <w:rPr>
          <w:rFonts w:ascii="宋体" w:hAnsi="宋体"/>
          <w:color w:val="auto"/>
          <w:highlight w:val="none"/>
        </w:rPr>
      </w:pPr>
    </w:p>
    <w:p w14:paraId="027EECD5">
      <w:pPr>
        <w:spacing w:line="264" w:lineRule="auto"/>
        <w:rPr>
          <w:rFonts w:ascii="宋体" w:hAnsi="宋体"/>
          <w:color w:val="auto"/>
          <w:highlight w:val="none"/>
        </w:rPr>
      </w:pPr>
    </w:p>
    <w:p w14:paraId="572B678F">
      <w:pPr>
        <w:spacing w:line="264" w:lineRule="auto"/>
        <w:rPr>
          <w:rFonts w:ascii="宋体" w:hAnsi="宋体"/>
          <w:color w:val="auto"/>
          <w:highlight w:val="none"/>
        </w:rPr>
      </w:pPr>
    </w:p>
    <w:p w14:paraId="17BAE10C">
      <w:pPr>
        <w:spacing w:line="264" w:lineRule="auto"/>
        <w:rPr>
          <w:rFonts w:hint="eastAsia" w:ascii="宋体" w:hAnsi="宋体"/>
          <w:b/>
          <w:color w:val="auto"/>
          <w:sz w:val="32"/>
          <w:highlight w:val="none"/>
        </w:rPr>
      </w:pPr>
    </w:p>
    <w:p w14:paraId="310B284E">
      <w:pPr>
        <w:spacing w:line="264" w:lineRule="auto"/>
        <w:rPr>
          <w:rFonts w:hint="eastAsia" w:ascii="宋体" w:hAnsi="宋体"/>
          <w:b/>
          <w:color w:val="auto"/>
          <w:sz w:val="32"/>
          <w:highlight w:val="none"/>
        </w:rPr>
      </w:pPr>
    </w:p>
    <w:p w14:paraId="0C912547">
      <w:pPr>
        <w:spacing w:line="264" w:lineRule="auto"/>
        <w:rPr>
          <w:rFonts w:ascii="宋体" w:hAnsi="宋体"/>
          <w:b/>
          <w:color w:val="auto"/>
          <w:sz w:val="32"/>
          <w:highlight w:val="none"/>
        </w:rPr>
      </w:pPr>
    </w:p>
    <w:p w14:paraId="4DBE2108">
      <w:pPr>
        <w:spacing w:line="264" w:lineRule="auto"/>
        <w:rPr>
          <w:rFonts w:ascii="宋体" w:hAnsi="宋体"/>
          <w:b/>
          <w:color w:val="auto"/>
          <w:sz w:val="32"/>
          <w:highlight w:val="none"/>
        </w:rPr>
      </w:pPr>
    </w:p>
    <w:p w14:paraId="23B8E67D">
      <w:pPr>
        <w:spacing w:line="264" w:lineRule="auto"/>
        <w:rPr>
          <w:rFonts w:hint="eastAsia" w:ascii="宋体" w:hAnsi="宋体"/>
          <w:b/>
          <w:color w:val="auto"/>
          <w:sz w:val="32"/>
          <w:highlight w:val="none"/>
        </w:rPr>
      </w:pPr>
    </w:p>
    <w:p w14:paraId="598F78CB">
      <w:pPr>
        <w:spacing w:line="264" w:lineRule="auto"/>
        <w:rPr>
          <w:rFonts w:hint="eastAsia" w:ascii="宋体" w:hAnsi="宋体"/>
          <w:b/>
          <w:color w:val="auto"/>
          <w:sz w:val="32"/>
          <w:highlight w:val="none"/>
        </w:rPr>
      </w:pPr>
    </w:p>
    <w:p w14:paraId="53F5B6BE">
      <w:pPr>
        <w:spacing w:line="264" w:lineRule="auto"/>
        <w:rPr>
          <w:rFonts w:ascii="宋体" w:hAnsi="宋体"/>
          <w:b/>
          <w:color w:val="auto"/>
          <w:sz w:val="32"/>
          <w:highlight w:val="none"/>
        </w:rPr>
      </w:pPr>
    </w:p>
    <w:p w14:paraId="29783F2B">
      <w:pPr>
        <w:spacing w:line="360" w:lineRule="auto"/>
        <w:ind w:firstLine="1285" w:firstLineChars="400"/>
        <w:rPr>
          <w:rFonts w:hint="eastAsia" w:ascii="宋体" w:hAnsi="宋体" w:eastAsia="宋体"/>
          <w:b/>
          <w:color w:val="auto"/>
          <w:sz w:val="32"/>
          <w:highlight w:val="none"/>
          <w:lang w:eastAsia="zh-CN"/>
        </w:rPr>
      </w:pPr>
      <w:r>
        <w:rPr>
          <w:rFonts w:hint="eastAsia" w:ascii="宋体" w:hAnsi="宋体"/>
          <w:b/>
          <w:color w:val="auto"/>
          <w:sz w:val="32"/>
          <w:highlight w:val="none"/>
        </w:rPr>
        <w:t>招标人：</w:t>
      </w:r>
      <w:r>
        <w:rPr>
          <w:rFonts w:hint="eastAsia" w:ascii="宋体" w:hAnsi="宋体"/>
          <w:b/>
          <w:color w:val="auto"/>
          <w:sz w:val="32"/>
          <w:highlight w:val="none"/>
          <w:lang w:eastAsia="zh-CN"/>
        </w:rPr>
        <w:t>阳江市碧源水资源开发有限公司</w:t>
      </w:r>
    </w:p>
    <w:p w14:paraId="7297536F">
      <w:pPr>
        <w:spacing w:line="360" w:lineRule="auto"/>
        <w:ind w:firstLine="1285" w:firstLineChars="400"/>
        <w:rPr>
          <w:rFonts w:hint="eastAsia" w:ascii="宋体" w:hAnsi="宋体" w:eastAsia="宋体"/>
          <w:b/>
          <w:color w:val="auto"/>
          <w:sz w:val="32"/>
          <w:highlight w:val="none"/>
          <w:u w:val="single"/>
          <w:lang w:eastAsia="zh-CN"/>
        </w:rPr>
      </w:pPr>
      <w:r>
        <w:rPr>
          <w:rFonts w:hint="eastAsia" w:ascii="宋体" w:hAnsi="宋体"/>
          <w:b/>
          <w:color w:val="auto"/>
          <w:sz w:val="32"/>
          <w:highlight w:val="none"/>
        </w:rPr>
        <w:t>招标代理机构：</w:t>
      </w:r>
      <w:r>
        <w:rPr>
          <w:rFonts w:hint="eastAsia" w:ascii="宋体" w:hAnsi="宋体"/>
          <w:b/>
          <w:color w:val="auto"/>
          <w:sz w:val="32"/>
          <w:highlight w:val="none"/>
          <w:lang w:eastAsia="zh-CN"/>
        </w:rPr>
        <w:t>广州珠江监理咨询集团有限公司</w:t>
      </w:r>
      <w:bookmarkStart w:id="85" w:name="_GoBack"/>
      <w:bookmarkEnd w:id="85"/>
    </w:p>
    <w:p w14:paraId="7F18F074">
      <w:pPr>
        <w:spacing w:line="264" w:lineRule="auto"/>
        <w:jc w:val="center"/>
        <w:rPr>
          <w:rFonts w:ascii="宋体" w:hAnsi="宋体"/>
          <w:b/>
          <w:color w:val="auto"/>
          <w:sz w:val="32"/>
          <w:highlight w:val="none"/>
        </w:rPr>
      </w:pPr>
      <w:r>
        <w:rPr>
          <w:rFonts w:hint="eastAsia" w:ascii="宋体" w:hAnsi="宋体"/>
          <w:b/>
          <w:color w:val="auto"/>
          <w:sz w:val="32"/>
          <w:highlight w:val="none"/>
          <w:lang w:val="en-US" w:eastAsia="zh-CN"/>
        </w:rPr>
        <w:t>2025年8月</w:t>
      </w:r>
    </w:p>
    <w:p w14:paraId="22044134">
      <w:pPr>
        <w:spacing w:line="264" w:lineRule="auto"/>
        <w:jc w:val="both"/>
        <w:rPr>
          <w:rFonts w:ascii="宋体" w:hAnsi="宋体"/>
          <w:b/>
          <w:color w:val="auto"/>
          <w:sz w:val="36"/>
          <w:szCs w:val="36"/>
          <w:highlight w:val="none"/>
        </w:rPr>
      </w:pPr>
    </w:p>
    <w:p w14:paraId="3F553AE3">
      <w:pPr>
        <w:spacing w:before="120" w:beforeLines="50" w:line="360" w:lineRule="auto"/>
        <w:rPr>
          <w:rFonts w:ascii="宋体" w:hAnsi="宋体"/>
          <w:color w:val="auto"/>
          <w:sz w:val="24"/>
          <w:highlight w:val="none"/>
        </w:rPr>
      </w:pPr>
    </w:p>
    <w:p w14:paraId="6FBF0F00">
      <w:pPr>
        <w:spacing w:line="264" w:lineRule="auto"/>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目</w:t>
      </w:r>
      <w:r>
        <w:rPr>
          <w:rFonts w:hint="eastAsia" w:ascii="宋体" w:hAnsi="宋体" w:eastAsia="宋体" w:cs="Times New Roman"/>
          <w:b/>
          <w:color w:val="auto"/>
          <w:sz w:val="36"/>
          <w:szCs w:val="36"/>
          <w:highlight w:val="none"/>
          <w:lang w:val="en-US" w:eastAsia="zh-CN"/>
        </w:rPr>
        <w:t xml:space="preserve">  </w:t>
      </w:r>
      <w:r>
        <w:rPr>
          <w:rFonts w:hint="eastAsia" w:ascii="宋体" w:hAnsi="宋体" w:eastAsia="宋体" w:cs="Times New Roman"/>
          <w:b/>
          <w:color w:val="auto"/>
          <w:sz w:val="36"/>
          <w:szCs w:val="36"/>
          <w:highlight w:val="none"/>
        </w:rPr>
        <w:t>录</w:t>
      </w:r>
    </w:p>
    <w:p w14:paraId="768B27E4">
      <w:pPr>
        <w:pStyle w:val="3"/>
        <w:rPr>
          <w:rFonts w:hint="eastAsia" w:ascii="宋体" w:hAnsi="宋体" w:eastAsia="宋体" w:cs="宋体"/>
          <w:color w:val="auto"/>
          <w:sz w:val="28"/>
          <w:szCs w:val="28"/>
          <w:highlight w:val="none"/>
        </w:rPr>
      </w:pPr>
    </w:p>
    <w:p w14:paraId="17201246">
      <w:pPr>
        <w:pStyle w:val="23"/>
        <w:tabs>
          <w:tab w:val="right" w:leader="dot" w:pos="9128"/>
          <w:tab w:val="clear" w:pos="1050"/>
          <w:tab w:val="clear" w:pos="9401"/>
        </w:tabs>
        <w:spacing w:line="48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招标公告</w:t>
      </w:r>
    </w:p>
    <w:p w14:paraId="73C16182">
      <w:pPr>
        <w:pStyle w:val="23"/>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第一章 投标须知及前附表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_Toc25402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74DD63">
      <w:pPr>
        <w:pStyle w:val="23"/>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_Toc8188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_Toc8188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E1F693">
      <w:pPr>
        <w:pStyle w:val="23"/>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FB2FC2">
      <w:pPr>
        <w:pStyle w:val="23"/>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66191C">
      <w:pPr>
        <w:pStyle w:val="23"/>
        <w:tabs>
          <w:tab w:val="right" w:leader="dot" w:pos="9128"/>
          <w:tab w:val="clear" w:pos="1050"/>
          <w:tab w:val="clear" w:pos="9401"/>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技术资料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DCB34B">
      <w:pPr>
        <w:bidi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454D10EA">
      <w:pPr>
        <w:pStyle w:val="3"/>
        <w:rPr>
          <w:rFonts w:hint="eastAsia" w:ascii="宋体" w:hAnsi="宋体" w:eastAsia="宋体" w:cs="宋体"/>
          <w:color w:val="auto"/>
          <w:sz w:val="28"/>
          <w:szCs w:val="28"/>
          <w:highlight w:val="none"/>
        </w:rPr>
        <w:sectPr>
          <w:headerReference r:id="rId4" w:type="first"/>
          <w:footerReference r:id="rId6" w:type="first"/>
          <w:headerReference r:id="rId3" w:type="default"/>
          <w:footerReference r:id="rId5" w:type="default"/>
          <w:pgSz w:w="11906" w:h="16838"/>
          <w:pgMar w:top="1418" w:right="1389" w:bottom="1418" w:left="1389" w:header="851" w:footer="567" w:gutter="0"/>
          <w:pgNumType w:start="0"/>
          <w:cols w:space="720" w:num="1"/>
          <w:titlePg/>
          <w:docGrid w:linePitch="286" w:charSpace="0"/>
        </w:sectPr>
      </w:pPr>
    </w:p>
    <w:p w14:paraId="2050AA4C">
      <w:pPr>
        <w:bidi w:val="0"/>
        <w:rPr>
          <w:rFonts w:hint="eastAsia"/>
          <w:color w:val="auto"/>
          <w:highlight w:val="none"/>
          <w:lang w:eastAsia="zh-CN"/>
        </w:rPr>
      </w:pPr>
    </w:p>
    <w:p w14:paraId="121B0B81">
      <w:pPr>
        <w:spacing w:line="360" w:lineRule="auto"/>
        <w:jc w:val="center"/>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阳江水资源配置工程(一期)临时用地土地报批服务</w:t>
      </w:r>
    </w:p>
    <w:p w14:paraId="2A23EB2F">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招标公告</w:t>
      </w:r>
    </w:p>
    <w:p w14:paraId="41165326">
      <w:pPr>
        <w:spacing w:line="240" w:lineRule="auto"/>
        <w:rPr>
          <w:rFonts w:hint="eastAsia"/>
          <w:color w:val="auto"/>
          <w:highlight w:val="none"/>
        </w:rPr>
      </w:pPr>
      <w:r>
        <w:rPr>
          <w:rFonts w:hint="eastAsia"/>
          <w:color w:val="auto"/>
          <w:highlight w:val="none"/>
        </w:rPr>
        <w:t xml:space="preserve">    </w:t>
      </w:r>
    </w:p>
    <w:p w14:paraId="7E4CAC78">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lang w:eastAsia="zh-CN"/>
        </w:rPr>
        <w:t>阳江水资源配置工程（一期）</w:t>
      </w:r>
      <w:r>
        <w:rPr>
          <w:rFonts w:hint="eastAsia" w:ascii="宋体" w:hAnsi="宋体" w:eastAsia="宋体" w:cs="宋体"/>
          <w:color w:val="auto"/>
          <w:kern w:val="0"/>
          <w:sz w:val="21"/>
          <w:szCs w:val="21"/>
          <w:highlight w:val="none"/>
        </w:rPr>
        <w:t>已由</w:t>
      </w:r>
      <w:r>
        <w:rPr>
          <w:rFonts w:hint="eastAsia" w:ascii="宋体" w:hAnsi="宋体" w:eastAsia="宋体" w:cs="宋体"/>
          <w:color w:val="auto"/>
          <w:sz w:val="21"/>
          <w:szCs w:val="21"/>
          <w:highlight w:val="none"/>
          <w:u w:val="single"/>
          <w:lang w:val="en-US" w:eastAsia="zh-CN"/>
        </w:rPr>
        <w:t>阳江市发展和改革委员会</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lang w:val="en-US" w:eastAsia="zh-CN"/>
        </w:rPr>
        <w:t>阳发改投审[2024]4号</w:t>
      </w:r>
      <w:r>
        <w:rPr>
          <w:rFonts w:hint="eastAsia" w:ascii="宋体" w:hAnsi="宋体" w:eastAsia="宋体" w:cs="宋体"/>
          <w:color w:val="auto"/>
          <w:kern w:val="0"/>
          <w:sz w:val="21"/>
          <w:szCs w:val="21"/>
          <w:highlight w:val="none"/>
        </w:rPr>
        <w:t>文</w:t>
      </w:r>
      <w:r>
        <w:rPr>
          <w:rFonts w:hint="eastAsia" w:ascii="宋体" w:hAnsi="宋体" w:eastAsia="宋体" w:cs="宋体"/>
          <w:color w:val="auto"/>
          <w:sz w:val="21"/>
          <w:szCs w:val="21"/>
          <w:highlight w:val="none"/>
        </w:rPr>
        <w:t>批</w:t>
      </w:r>
      <w:r>
        <w:rPr>
          <w:rFonts w:hint="eastAsia" w:ascii="宋体" w:hAnsi="宋体" w:eastAsia="宋体" w:cs="宋体"/>
          <w:color w:val="auto"/>
          <w:kern w:val="0"/>
          <w:sz w:val="21"/>
          <w:szCs w:val="21"/>
          <w:highlight w:val="none"/>
        </w:rPr>
        <w:t>准建设，</w:t>
      </w:r>
      <w:r>
        <w:rPr>
          <w:rFonts w:ascii="宋体" w:hAnsi="宋体"/>
          <w:color w:val="auto"/>
          <w:sz w:val="21"/>
          <w:szCs w:val="21"/>
          <w:highlight w:val="none"/>
        </w:rPr>
        <w:t>项目业主为</w:t>
      </w:r>
      <w:r>
        <w:rPr>
          <w:rFonts w:hint="eastAsia" w:ascii="宋体" w:hAnsi="宋体"/>
          <w:color w:val="auto"/>
          <w:sz w:val="21"/>
          <w:szCs w:val="21"/>
          <w:highlight w:val="none"/>
          <w:u w:val="single"/>
          <w:lang w:val="en-US" w:eastAsia="zh-CN"/>
        </w:rPr>
        <w:t>阳江市碧源水资源开发有限公司</w:t>
      </w:r>
      <w:r>
        <w:rPr>
          <w:rFonts w:ascii="宋体" w:hAnsi="宋体"/>
          <w:color w:val="auto"/>
          <w:sz w:val="21"/>
          <w:szCs w:val="21"/>
          <w:highlight w:val="none"/>
        </w:rPr>
        <w:t>，</w:t>
      </w:r>
      <w:r>
        <w:rPr>
          <w:rFonts w:hint="eastAsia" w:ascii="宋体" w:hAnsi="宋体"/>
          <w:color w:val="auto"/>
          <w:sz w:val="21"/>
          <w:szCs w:val="21"/>
          <w:highlight w:val="none"/>
        </w:rPr>
        <w:t>建设资金为由</w:t>
      </w:r>
      <w:r>
        <w:rPr>
          <w:rFonts w:hint="eastAsia" w:ascii="宋体" w:hAnsi="宋体"/>
          <w:color w:val="auto"/>
          <w:sz w:val="21"/>
          <w:szCs w:val="21"/>
          <w:highlight w:val="none"/>
          <w:lang w:val="en-US" w:eastAsia="zh-CN"/>
        </w:rPr>
        <w:t>企业自筹和其他统筹资金</w:t>
      </w:r>
      <w:r>
        <w:rPr>
          <w:rFonts w:hint="eastAsia" w:ascii="宋体" w:hAnsi="宋体"/>
          <w:color w:val="auto"/>
          <w:sz w:val="21"/>
          <w:szCs w:val="21"/>
          <w:highlight w:val="none"/>
          <w:lang w:eastAsia="zh-CN"/>
        </w:rPr>
        <w:t>，</w:t>
      </w:r>
      <w:r>
        <w:rPr>
          <w:rFonts w:ascii="宋体" w:hAnsi="宋体"/>
          <w:color w:val="auto"/>
          <w:sz w:val="21"/>
          <w:szCs w:val="21"/>
          <w:highlight w:val="none"/>
        </w:rPr>
        <w:t>招标人为</w:t>
      </w:r>
      <w:r>
        <w:rPr>
          <w:rFonts w:hint="eastAsia" w:ascii="宋体" w:hAnsi="宋体"/>
          <w:color w:val="auto"/>
          <w:sz w:val="21"/>
          <w:szCs w:val="21"/>
          <w:highlight w:val="none"/>
          <w:u w:val="single"/>
          <w:lang w:val="en-US" w:eastAsia="zh-CN"/>
        </w:rPr>
        <w:t>阳江市碧源水资源开发有限公司</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项目已具备招标条件，</w:t>
      </w:r>
      <w:r>
        <w:rPr>
          <w:rFonts w:hint="eastAsia" w:ascii="宋体" w:hAnsi="宋体" w:eastAsia="宋体" w:cs="宋体"/>
          <w:color w:val="auto"/>
          <w:kern w:val="0"/>
          <w:sz w:val="21"/>
          <w:szCs w:val="21"/>
          <w:highlight w:val="none"/>
        </w:rPr>
        <w:t>现对本工程的</w:t>
      </w:r>
      <w:r>
        <w:rPr>
          <w:rFonts w:hint="eastAsia" w:ascii="宋体" w:hAnsi="宋体" w:eastAsia="宋体" w:cs="宋体"/>
          <w:color w:val="auto"/>
          <w:sz w:val="21"/>
          <w:szCs w:val="21"/>
          <w:highlight w:val="none"/>
          <w:u w:val="single"/>
          <w:lang w:val="en-US" w:eastAsia="zh-CN"/>
        </w:rPr>
        <w:t>临时用地土地报批</w:t>
      </w:r>
      <w:r>
        <w:rPr>
          <w:rFonts w:hint="eastAsia" w:ascii="宋体" w:hAnsi="宋体" w:eastAsia="宋体" w:cs="宋体"/>
          <w:color w:val="auto"/>
          <w:sz w:val="21"/>
          <w:szCs w:val="21"/>
          <w:highlight w:val="none"/>
          <w:u w:val="none"/>
          <w:lang w:eastAsia="zh-CN"/>
        </w:rPr>
        <w:t>服务</w:t>
      </w:r>
      <w:r>
        <w:rPr>
          <w:rFonts w:hint="eastAsia" w:ascii="宋体" w:hAnsi="宋体" w:eastAsia="宋体" w:cs="宋体"/>
          <w:color w:val="auto"/>
          <w:sz w:val="21"/>
          <w:szCs w:val="21"/>
          <w:highlight w:val="none"/>
        </w:rPr>
        <w:t>进行公开招标。</w:t>
      </w:r>
    </w:p>
    <w:p w14:paraId="7D2A3A16">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kern w:val="0"/>
          <w:szCs w:val="21"/>
          <w:highlight w:val="none"/>
          <w:u w:val="single"/>
        </w:rPr>
      </w:pPr>
      <w:r>
        <w:rPr>
          <w:rFonts w:hint="eastAsia" w:ascii="宋体" w:hAnsi="宋体"/>
          <w:b/>
          <w:bCs/>
          <w:color w:val="auto"/>
          <w:kern w:val="0"/>
          <w:szCs w:val="21"/>
          <w:highlight w:val="none"/>
        </w:rPr>
        <w:t>一、项目名称：</w:t>
      </w:r>
      <w:r>
        <w:rPr>
          <w:rFonts w:hint="eastAsia" w:ascii="宋体" w:hAnsi="宋体"/>
          <w:color w:val="auto"/>
          <w:szCs w:val="21"/>
          <w:highlight w:val="none"/>
          <w:u w:val="single"/>
          <w:lang w:eastAsia="zh-CN"/>
        </w:rPr>
        <w:t>阳江水资源配置工程(一期)临时用地土地报批服务</w:t>
      </w:r>
    </w:p>
    <w:p w14:paraId="14413E5F">
      <w:pPr>
        <w:keepNext w:val="0"/>
        <w:keepLines w:val="0"/>
        <w:pageBreakBefore w:val="0"/>
        <w:widowControl/>
        <w:kinsoku/>
        <w:wordWrap/>
        <w:overflowPunct/>
        <w:topLinePunct w:val="0"/>
        <w:autoSpaceDE/>
        <w:autoSpaceDN/>
        <w:bidi w:val="0"/>
        <w:adjustRightInd/>
        <w:snapToGrid w:val="0"/>
        <w:spacing w:line="365" w:lineRule="auto"/>
        <w:ind w:firstLine="422" w:firstLineChars="200"/>
        <w:jc w:val="left"/>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二、建设地点：</w:t>
      </w:r>
      <w:r>
        <w:rPr>
          <w:rFonts w:hint="eastAsia" w:ascii="宋体" w:hAnsi="宋体" w:eastAsia="宋体" w:cs="Times New Roman"/>
          <w:color w:val="auto"/>
          <w:szCs w:val="21"/>
          <w:highlight w:val="none"/>
          <w:u w:val="single"/>
          <w:lang w:eastAsia="zh-CN"/>
        </w:rPr>
        <w:t>阳江市、阳春市</w:t>
      </w:r>
    </w:p>
    <w:p w14:paraId="7A4F4E2C">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三、项目概况与建设规模：</w:t>
      </w:r>
    </w:p>
    <w:p w14:paraId="43C2A982">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none"/>
          <w:lang w:val="en-US" w:eastAsia="zh-CN"/>
        </w:rPr>
        <w:t>3.1项目概况：</w:t>
      </w:r>
      <w:r>
        <w:rPr>
          <w:rFonts w:hint="eastAsia" w:ascii="宋体" w:hAnsi="宋体" w:eastAsia="宋体" w:cs="Times New Roman"/>
          <w:color w:val="auto"/>
          <w:kern w:val="0"/>
          <w:szCs w:val="21"/>
          <w:highlight w:val="none"/>
          <w:u w:val="single"/>
          <w:lang w:eastAsia="zh-CN"/>
        </w:rPr>
        <w:t>工程任务为供水，通过引水和输水管道等工程将大河水库的水资源引到阳春市区和阳江市区，提供阳春市区和阳江市区的生活和工业用水。</w:t>
      </w:r>
    </w:p>
    <w:p w14:paraId="45493881">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本工程隧洞取水口位于大河水库库区范围内，距离主坝上游约7千米，采用岸塔式进水口。线路全长57.678千米，其中阳江线总长约53.811千米；阳春线总长约3.867千米。</w:t>
      </w:r>
    </w:p>
    <w:p w14:paraId="6804B766">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工程供水范围包括江城区、海陵区、高新区，阳东区东城镇、北惯镇、合山镇，阳春市的春城街道、河西街道、陂面镇、马水镇、岗美镇。阳江市区从大河水库取水量为16060万立方米/年，阳春市区从大河水库取水量为8030万立方米/年。</w:t>
      </w:r>
    </w:p>
    <w:p w14:paraId="0378D06A">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本工程等别为Ⅱ等，工程规模为大(2)型。</w:t>
      </w:r>
    </w:p>
    <w:p w14:paraId="199E20BE">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eastAsia="zh-CN"/>
        </w:rPr>
      </w:pPr>
      <w:r>
        <w:rPr>
          <w:rFonts w:hint="eastAsia" w:ascii="宋体" w:hAnsi="宋体" w:eastAsia="宋体" w:cs="Times New Roman"/>
          <w:color w:val="auto"/>
          <w:kern w:val="0"/>
          <w:szCs w:val="21"/>
          <w:highlight w:val="none"/>
          <w:u w:val="single"/>
          <w:lang w:eastAsia="zh-CN"/>
        </w:rPr>
        <w:t>注：最终建设规模和内容以设计施工图审批结果为准。</w:t>
      </w:r>
    </w:p>
    <w:p w14:paraId="5FBBB2AD">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default"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3.2 工程建设规模：</w:t>
      </w:r>
      <w:r>
        <w:rPr>
          <w:rFonts w:hint="eastAsia" w:ascii="宋体" w:hAnsi="宋体" w:eastAsia="宋体" w:cs="Times New Roman"/>
          <w:color w:val="auto"/>
          <w:kern w:val="0"/>
          <w:szCs w:val="21"/>
          <w:highlight w:val="none"/>
          <w:u w:val="single"/>
          <w:lang w:val="en-US" w:eastAsia="zh-CN"/>
        </w:rPr>
        <w:t>阳江水资源配置工程(一期)为原阳江市大河水库引水工程及新增取水口至阳春水厂段。项目取水口设置在大河水库主坝上游约 7 公里的主河槽右岸弯道处，日均取水量 60 万立方米，年取水规模为 2.41 亿立方米，工程输水线路全长约 58 公里，其中阳江线总长约为 54.2 公里(其中管道长约 47.2 公里，隧洞长约7 公里)，阳春线总长度约为 3.8 公里(以埋管为主)。</w:t>
      </w:r>
    </w:p>
    <w:p w14:paraId="3DFC2D52">
      <w:pPr>
        <w:keepNext w:val="0"/>
        <w:keepLines w:val="0"/>
        <w:pageBreakBefore w:val="0"/>
        <w:tabs>
          <w:tab w:val="center" w:pos="4917"/>
        </w:tabs>
        <w:kinsoku/>
        <w:wordWrap/>
        <w:overflowPunct/>
        <w:topLinePunct w:val="0"/>
        <w:autoSpaceDE/>
        <w:autoSpaceDN/>
        <w:bidi w:val="0"/>
        <w:adjustRightInd/>
        <w:snapToGrid w:val="0"/>
        <w:spacing w:line="365" w:lineRule="auto"/>
        <w:ind w:firstLine="422" w:firstLineChars="200"/>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四、招标</w:t>
      </w:r>
      <w:r>
        <w:rPr>
          <w:rFonts w:hint="eastAsia" w:ascii="宋体" w:hAnsi="宋体"/>
          <w:b/>
          <w:bCs/>
          <w:color w:val="auto"/>
          <w:kern w:val="0"/>
          <w:szCs w:val="21"/>
          <w:highlight w:val="none"/>
          <w:lang w:val="en-US" w:eastAsia="zh-CN"/>
        </w:rPr>
        <w:t>范围</w:t>
      </w:r>
      <w:r>
        <w:rPr>
          <w:rFonts w:hint="eastAsia" w:ascii="宋体" w:hAnsi="宋体"/>
          <w:b/>
          <w:bCs/>
          <w:color w:val="auto"/>
          <w:kern w:val="0"/>
          <w:szCs w:val="21"/>
          <w:highlight w:val="none"/>
        </w:rPr>
        <w:t>：</w:t>
      </w:r>
    </w:p>
    <w:p w14:paraId="63F9C424">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bCs/>
          <w:color w:val="auto"/>
          <w:kern w:val="0"/>
          <w:szCs w:val="21"/>
          <w:highlight w:val="none"/>
        </w:rPr>
        <w:t>招标内容：</w:t>
      </w:r>
      <w:r>
        <w:rPr>
          <w:rFonts w:hint="eastAsia" w:ascii="宋体" w:hAnsi="宋体" w:eastAsia="宋体" w:cs="Times New Roman"/>
          <w:color w:val="auto"/>
          <w:kern w:val="0"/>
          <w:szCs w:val="21"/>
          <w:highlight w:val="none"/>
          <w:u w:val="single"/>
          <w:lang w:val="en-US" w:eastAsia="zh-CN"/>
        </w:rPr>
        <w:t>服务内容共4项，具体详见下述内容：</w:t>
      </w:r>
    </w:p>
    <w:p w14:paraId="372B2B30">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lang w:val="en-US" w:eastAsia="zh-CN"/>
        </w:rPr>
        <w:t>（1）临时用地使用林地技术服务</w:t>
      </w:r>
    </w:p>
    <w:p w14:paraId="02F55BB6">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single"/>
          <w:lang w:val="en-US" w:eastAsia="zh-CN"/>
        </w:rPr>
        <w:t>按照国家林业局《使用林地可行性报告编写规范》的要求对征、占用的林地现状进行外业调查。按照国家林业局《使用林地可行性报告编写规范》的要求编写项目使用林地调查表(含先行工程使用林地调查表)或使用林地可行性研究报告，完全满足省林业厅及国家林业局的林地报批工作。完成本项目使用林地所需用林报批工作，提供征占用林地过程中的有关技术咨询。</w:t>
      </w:r>
    </w:p>
    <w:p w14:paraId="0376F63F">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lang w:val="en-US" w:eastAsia="zh-CN"/>
        </w:rPr>
        <w:t>（2）临时用地土地复垦方案编制服务</w:t>
      </w:r>
    </w:p>
    <w:p w14:paraId="1DE2F14B">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single"/>
          <w:lang w:val="en-US" w:eastAsia="zh-CN"/>
        </w:rPr>
        <w:t>编制临时用地土地复垦方案，需要配备4-6名工程师，10天内完成资料收集与踏勘，15天内方案编制，15天内图件表格附件制作，在项目材料齐全的情况下，配合行政主管部门组织复垦方案专家评审会，并根据专家意见修改完善方案报告，直至复垦方案通过审批。</w:t>
      </w:r>
    </w:p>
    <w:p w14:paraId="00546FF1">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lang w:val="en-US" w:eastAsia="zh-CN"/>
        </w:rPr>
        <w:t>（3）1:500地形测绘服务</w:t>
      </w:r>
    </w:p>
    <w:p w14:paraId="0DEF9C36">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single"/>
          <w:lang w:val="en-US" w:eastAsia="zh-CN"/>
        </w:rPr>
        <w:t>采用GPS静态测量或导线测量方式建立首级平面控制网，覆盖全测区不同地貌类型，数据采集与地形要素测绘，数据处理与成图。编制控制点成果表、技术总结报告、质检记录及数据光盘。</w:t>
      </w:r>
    </w:p>
    <w:p w14:paraId="12D00052">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lang w:val="en-US" w:eastAsia="zh-CN"/>
        </w:rPr>
        <w:t>（4）临时用地放桩定界服务</w:t>
      </w:r>
    </w:p>
    <w:p w14:paraId="14B5A7E6">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single"/>
          <w:lang w:val="en-US" w:eastAsia="zh-CN"/>
        </w:rPr>
        <w:t>确定征地红线坐标，采用RTK或全站仪进行高精度放样，界桩间距根据地形复杂程度控制在20-50米，拐点、争议点必须设桩。完成界桩坐标表（含编号、坐标、高程）、放样点分布图（DWG/SHP格式）及实地放样记录表。</w:t>
      </w:r>
    </w:p>
    <w:p w14:paraId="3B7FF579">
      <w:pPr>
        <w:keepNext w:val="0"/>
        <w:keepLines w:val="0"/>
        <w:pageBreakBefore w:val="0"/>
        <w:tabs>
          <w:tab w:val="center" w:pos="4917"/>
        </w:tabs>
        <w:kinsoku/>
        <w:wordWrap/>
        <w:overflowPunct/>
        <w:topLinePunct w:val="0"/>
        <w:autoSpaceDE/>
        <w:autoSpaceDN/>
        <w:bidi w:val="0"/>
        <w:adjustRightInd/>
        <w:snapToGrid w:val="0"/>
        <w:spacing w:line="365" w:lineRule="auto"/>
        <w:ind w:firstLine="420" w:firstLineChars="200"/>
        <w:textAlignment w:val="auto"/>
        <w:rPr>
          <w:rFonts w:hint="eastAsia" w:ascii="宋体" w:hAnsi="宋体"/>
          <w:color w:val="auto"/>
          <w:kern w:val="0"/>
          <w:szCs w:val="21"/>
          <w:highlight w:val="none"/>
          <w:u w:val="single"/>
        </w:rPr>
      </w:pPr>
      <w:r>
        <w:rPr>
          <w:rFonts w:hint="eastAsia" w:ascii="宋体" w:hAnsi="宋体" w:eastAsia="宋体" w:cs="Times New Roman"/>
          <w:color w:val="auto"/>
          <w:kern w:val="0"/>
          <w:szCs w:val="21"/>
          <w:highlight w:val="none"/>
          <w:u w:val="single"/>
          <w:lang w:val="en-US" w:eastAsia="zh-CN"/>
        </w:rPr>
        <w:t>注：具体以招标文件、合同条款及招标过程中所发出的相关文件所包含的全部内容为准。</w:t>
      </w:r>
    </w:p>
    <w:p w14:paraId="42A6315D">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2、服务期限：</w:t>
      </w:r>
      <w:r>
        <w:rPr>
          <w:rFonts w:hint="eastAsia" w:ascii="宋体" w:hAnsi="宋体"/>
          <w:color w:val="auto"/>
          <w:kern w:val="0"/>
          <w:szCs w:val="21"/>
          <w:highlight w:val="none"/>
          <w:u w:val="single"/>
        </w:rPr>
        <w:t>合同签订之日起至</w:t>
      </w:r>
      <w:r>
        <w:rPr>
          <w:rFonts w:hint="eastAsia" w:ascii="宋体" w:hAnsi="宋体"/>
          <w:color w:val="auto"/>
          <w:kern w:val="0"/>
          <w:szCs w:val="21"/>
          <w:highlight w:val="none"/>
          <w:u w:val="single"/>
          <w:lang w:val="en-US" w:eastAsia="zh-CN"/>
        </w:rPr>
        <w:t>720</w:t>
      </w:r>
      <w:r>
        <w:rPr>
          <w:rFonts w:hint="eastAsia" w:ascii="宋体" w:hAnsi="宋体"/>
          <w:color w:val="auto"/>
          <w:kern w:val="0"/>
          <w:szCs w:val="21"/>
          <w:highlight w:val="none"/>
          <w:u w:val="single"/>
        </w:rPr>
        <w:t>天内完成本项目所有工作内容。</w:t>
      </w:r>
    </w:p>
    <w:p w14:paraId="21542EEB">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olor w:val="auto"/>
          <w:kern w:val="0"/>
          <w:szCs w:val="21"/>
          <w:highlight w:val="none"/>
          <w:u w:val="single"/>
          <w:lang w:val="en-US" w:eastAsia="zh-CN"/>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标段划分：</w:t>
      </w:r>
      <w:r>
        <w:rPr>
          <w:rFonts w:hint="eastAsia" w:ascii="宋体" w:hAnsi="宋体"/>
          <w:color w:val="auto"/>
          <w:kern w:val="0"/>
          <w:szCs w:val="21"/>
          <w:highlight w:val="none"/>
          <w:u w:val="single"/>
        </w:rPr>
        <w:t>本项目招标设一个标段</w:t>
      </w:r>
      <w:r>
        <w:rPr>
          <w:rFonts w:hint="eastAsia" w:ascii="宋体" w:hAnsi="宋体"/>
          <w:color w:val="auto"/>
          <w:kern w:val="0"/>
          <w:szCs w:val="21"/>
          <w:highlight w:val="none"/>
          <w:u w:val="single"/>
          <w:lang w:val="en-US" w:eastAsia="zh-CN"/>
        </w:rPr>
        <w:t>。</w:t>
      </w:r>
    </w:p>
    <w:p w14:paraId="7445F2EA">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u w:val="single"/>
        </w:rPr>
      </w:pPr>
      <w:r>
        <w:rPr>
          <w:rFonts w:hint="eastAsia" w:ascii="宋体" w:hAnsi="宋体"/>
          <w:color w:val="auto"/>
          <w:kern w:val="0"/>
          <w:szCs w:val="21"/>
          <w:highlight w:val="none"/>
          <w:u w:val="none"/>
          <w:lang w:val="en-US" w:eastAsia="zh-CN"/>
        </w:rPr>
        <w:t>4</w:t>
      </w:r>
      <w:r>
        <w:rPr>
          <w:rFonts w:hint="eastAsia" w:ascii="宋体" w:hAnsi="宋体"/>
          <w:color w:val="auto"/>
          <w:kern w:val="0"/>
          <w:szCs w:val="21"/>
          <w:highlight w:val="none"/>
          <w:u w:val="none"/>
        </w:rPr>
        <w:t>、本项目最高投标限价为</w:t>
      </w:r>
      <w:r>
        <w:rPr>
          <w:rFonts w:hint="eastAsia" w:ascii="宋体" w:hAnsi="宋体" w:eastAsia="宋体" w:cs="宋体"/>
          <w:color w:val="auto"/>
          <w:highlight w:val="none"/>
          <w:u w:val="single"/>
          <w:lang w:val="en-US" w:eastAsia="zh-CN"/>
        </w:rPr>
        <w:t>5345060.00</w:t>
      </w:r>
      <w:r>
        <w:rPr>
          <w:rFonts w:hint="eastAsia" w:ascii="宋体" w:hAnsi="宋体"/>
          <w:color w:val="auto"/>
          <w:kern w:val="0"/>
          <w:szCs w:val="21"/>
          <w:highlight w:val="none"/>
          <w:u w:val="single"/>
        </w:rPr>
        <w:t>元。</w:t>
      </w:r>
    </w:p>
    <w:p w14:paraId="3A830B37">
      <w:pPr>
        <w:keepNext w:val="0"/>
        <w:keepLines w:val="0"/>
        <w:pageBreakBefore w:val="0"/>
        <w:widowControl/>
        <w:kinsoku/>
        <w:wordWrap/>
        <w:overflowPunct/>
        <w:topLinePunct w:val="0"/>
        <w:autoSpaceDE/>
        <w:autoSpaceDN/>
        <w:bidi w:val="0"/>
        <w:adjustRightInd/>
        <w:snapToGrid w:val="0"/>
        <w:spacing w:line="365" w:lineRule="auto"/>
        <w:ind w:firstLine="422" w:firstLineChars="200"/>
        <w:jc w:val="left"/>
        <w:textAlignment w:val="auto"/>
        <w:rPr>
          <w:rFonts w:hint="eastAsia" w:ascii="宋体" w:hAnsi="宋体" w:eastAsia="宋体"/>
          <w:color w:val="auto"/>
          <w:kern w:val="0"/>
          <w:szCs w:val="21"/>
          <w:highlight w:val="none"/>
          <w:lang w:eastAsia="zh-CN"/>
        </w:rPr>
      </w:pPr>
      <w:r>
        <w:rPr>
          <w:rFonts w:hint="eastAsia" w:ascii="宋体" w:hAnsi="宋体"/>
          <w:b/>
          <w:bCs/>
          <w:color w:val="auto"/>
          <w:kern w:val="0"/>
          <w:szCs w:val="21"/>
          <w:highlight w:val="none"/>
        </w:rPr>
        <w:t>五、资金来源：</w:t>
      </w:r>
      <w:r>
        <w:rPr>
          <w:rFonts w:hint="eastAsia" w:ascii="宋体" w:hAnsi="宋体" w:eastAsia="宋体" w:cs="Times New Roman"/>
          <w:b w:val="0"/>
          <w:bCs w:val="0"/>
          <w:color w:val="auto"/>
          <w:kern w:val="2"/>
          <w:szCs w:val="21"/>
          <w:highlight w:val="none"/>
          <w:u w:val="single"/>
          <w:lang w:val="en-US" w:eastAsia="zh-CN"/>
        </w:rPr>
        <w:t>企业自筹和其他统筹资金</w:t>
      </w:r>
    </w:p>
    <w:p w14:paraId="42719D76">
      <w:pPr>
        <w:keepNext w:val="0"/>
        <w:keepLines w:val="0"/>
        <w:pageBreakBefore w:val="0"/>
        <w:widowControl/>
        <w:kinsoku/>
        <w:wordWrap/>
        <w:overflowPunct/>
        <w:topLinePunct w:val="0"/>
        <w:autoSpaceDE/>
        <w:autoSpaceDN/>
        <w:bidi w:val="0"/>
        <w:adjustRightInd/>
        <w:snapToGrid w:val="0"/>
        <w:spacing w:line="365" w:lineRule="auto"/>
        <w:ind w:firstLine="422" w:firstLineChars="200"/>
        <w:jc w:val="left"/>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六、招标公告及招标文件的获取</w:t>
      </w:r>
    </w:p>
    <w:p w14:paraId="662D5E09">
      <w:pPr>
        <w:keepNext w:val="0"/>
        <w:keepLines w:val="0"/>
        <w:pageBreakBefore w:val="0"/>
        <w:widowControl/>
        <w:kinsoku/>
        <w:wordWrap/>
        <w:overflowPunct/>
        <w:topLinePunct w:val="0"/>
        <w:autoSpaceDE/>
        <w:autoSpaceDN/>
        <w:bidi w:val="0"/>
        <w:adjustRightInd/>
        <w:snapToGrid w:val="0"/>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投标登记的</w:t>
      </w:r>
      <w:r>
        <w:rPr>
          <w:rFonts w:hint="eastAsia" w:ascii="宋体" w:hAnsi="宋体" w:eastAsia="宋体" w:cs="Times New Roman"/>
          <w:color w:val="auto"/>
          <w:kern w:val="0"/>
          <w:szCs w:val="21"/>
          <w:highlight w:val="none"/>
          <w:lang w:val="en-US" w:eastAsia="zh-CN"/>
        </w:rPr>
        <w:t>方式、时间</w:t>
      </w:r>
      <w:r>
        <w:rPr>
          <w:rFonts w:hint="eastAsia" w:ascii="宋体" w:hAnsi="宋体"/>
          <w:color w:val="auto"/>
          <w:kern w:val="0"/>
          <w:szCs w:val="21"/>
          <w:highlight w:val="none"/>
        </w:rPr>
        <w:t>：凡有意参加投标者，请</w:t>
      </w:r>
      <w:r>
        <w:rPr>
          <w:rFonts w:hint="eastAsia" w:ascii="宋体" w:hAnsi="宋体" w:eastAsia="宋体" w:cs="Times New Roman"/>
          <w:color w:val="auto"/>
          <w:kern w:val="0"/>
          <w:szCs w:val="21"/>
          <w:highlight w:val="none"/>
          <w:lang w:val="en-US" w:eastAsia="zh-CN"/>
        </w:rPr>
        <w:t>于2025年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分至2025年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分（详见广州公共资源交易中心网本项目日程</w:t>
      </w:r>
      <w:r>
        <w:rPr>
          <w:rFonts w:hint="eastAsia" w:ascii="宋体" w:hAnsi="宋体" w:eastAsia="宋体" w:cs="Times New Roman"/>
          <w:color w:val="auto"/>
          <w:kern w:val="0"/>
          <w:szCs w:val="21"/>
          <w:highlight w:val="none"/>
          <w:lang w:val="en-US" w:eastAsia="zh-CN"/>
        </w:rPr>
        <w:tab/>
      </w:r>
      <w:r>
        <w:rPr>
          <w:rFonts w:hint="eastAsia" w:ascii="宋体" w:hAnsi="宋体" w:eastAsia="宋体" w:cs="Times New Roman"/>
          <w:color w:val="auto"/>
          <w:kern w:val="0"/>
          <w:szCs w:val="21"/>
          <w:highlight w:val="none"/>
          <w:lang w:val="en-US" w:eastAsia="zh-CN"/>
        </w:rPr>
        <w:t>安排）</w:t>
      </w:r>
      <w:r>
        <w:rPr>
          <w:rFonts w:hint="eastAsia" w:ascii="宋体" w:hAnsi="宋体" w:eastAsia="宋体" w:cs="Times New Roman"/>
          <w:color w:val="auto"/>
          <w:kern w:val="0"/>
          <w:szCs w:val="21"/>
          <w:highlight w:val="none"/>
        </w:rPr>
        <w:t>，</w:t>
      </w:r>
      <w:r>
        <w:rPr>
          <w:rFonts w:hint="eastAsia" w:ascii="宋体" w:hAnsi="宋体"/>
          <w:color w:val="auto"/>
          <w:kern w:val="0"/>
          <w:szCs w:val="21"/>
          <w:highlight w:val="none"/>
        </w:rPr>
        <w:t>登陆广州公共资源交易中心电子交易平台办理网上投标登记手续。投标人投标登记前须在广州公共资源交易中心办理企业信息登记。</w:t>
      </w:r>
    </w:p>
    <w:p w14:paraId="659902F8">
      <w:pPr>
        <w:keepNext w:val="0"/>
        <w:keepLines w:val="0"/>
        <w:pageBreakBefore w:val="0"/>
        <w:widowControl/>
        <w:kinsoku/>
        <w:wordWrap/>
        <w:overflowPunct/>
        <w:topLinePunct w:val="0"/>
        <w:autoSpaceDE/>
        <w:autoSpaceDN/>
        <w:bidi w:val="0"/>
        <w:adjustRightInd/>
        <w:snapToGrid w:val="0"/>
        <w:spacing w:line="365" w:lineRule="auto"/>
        <w:ind w:left="210" w:leftChars="100" w:firstLine="210" w:firstLineChars="100"/>
        <w:textAlignment w:val="auto"/>
        <w:rPr>
          <w:rFonts w:hint="eastAsia" w:ascii="宋体" w:hAnsi="宋体"/>
          <w:color w:val="auto"/>
          <w:kern w:val="0"/>
          <w:szCs w:val="21"/>
          <w:highlight w:val="none"/>
          <w:u w:val="single"/>
        </w:rPr>
      </w:pPr>
      <w:r>
        <w:rPr>
          <w:rFonts w:hint="eastAsia" w:ascii="宋体" w:hAnsi="宋体" w:eastAsia="宋体" w:cs="Times New Roman"/>
          <w:color w:val="auto"/>
          <w:kern w:val="0"/>
          <w:szCs w:val="21"/>
          <w:highlight w:val="none"/>
          <w:lang w:val="en-US" w:eastAsia="zh-CN"/>
        </w:rPr>
        <w:t>2、获取招标文件的方式、时间：凡有意参加投标者，请于2025年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分至2025年</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月</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日</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时</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分（详见广州公共资源交易中心网本项目日程安排）</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登陆广东省招标投标监管网</w:t>
      </w:r>
      <w:r>
        <w:rPr>
          <w:rFonts w:hint="eastAsia" w:ascii="宋体" w:hAnsi="宋体"/>
          <w:color w:val="auto"/>
          <w:kern w:val="0"/>
          <w:szCs w:val="21"/>
          <w:highlight w:val="none"/>
        </w:rPr>
        <w:t>（网址：http://zbtb.gd.gov.cn）</w:t>
      </w:r>
      <w:r>
        <w:rPr>
          <w:rFonts w:hint="eastAsia" w:ascii="宋体" w:hAnsi="宋体" w:eastAsia="宋体" w:cs="Times New Roman"/>
          <w:color w:val="auto"/>
          <w:kern w:val="0"/>
          <w:szCs w:val="21"/>
          <w:highlight w:val="none"/>
          <w:lang w:val="en-US" w:eastAsia="zh-CN"/>
        </w:rPr>
        <w:t>、广州公共资源交易中心网</w:t>
      </w:r>
      <w:r>
        <w:rPr>
          <w:rFonts w:hint="eastAsia" w:ascii="宋体" w:hAnsi="宋体"/>
          <w:color w:val="auto"/>
          <w:kern w:val="0"/>
          <w:szCs w:val="21"/>
          <w:highlight w:val="none"/>
        </w:rPr>
        <w:t>站（http://www.gzggzy.cn/）</w:t>
      </w:r>
      <w:r>
        <w:rPr>
          <w:rFonts w:hint="eastAsia" w:ascii="宋体" w:hAnsi="宋体" w:eastAsia="宋体" w:cs="Times New Roman"/>
          <w:color w:val="auto"/>
          <w:kern w:val="0"/>
          <w:szCs w:val="21"/>
          <w:highlight w:val="none"/>
          <w:lang w:val="en-US" w:eastAsia="zh-CN"/>
        </w:rPr>
        <w:t>下载电子招标文件。</w:t>
      </w:r>
      <w:r>
        <w:rPr>
          <w:rFonts w:hint="eastAsia" w:ascii="宋体" w:hAnsi="宋体"/>
          <w:color w:val="auto"/>
          <w:kern w:val="0"/>
          <w:szCs w:val="21"/>
          <w:highlight w:val="none"/>
        </w:rPr>
        <w:t>本公告在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highlight w:val="none"/>
          <w:lang w:eastAsia="zh-CN"/>
        </w:rPr>
        <w:t>网站</w:t>
      </w:r>
      <w:r>
        <w:rPr>
          <w:rFonts w:hint="eastAsia" w:ascii="宋体" w:hAnsi="宋体"/>
          <w:color w:val="auto"/>
          <w:kern w:val="0"/>
          <w:szCs w:val="21"/>
          <w:highlight w:val="none"/>
        </w:rPr>
        <w:t>（网址：http://www.gzggzy.cn）、广东省招标投标监管网（网址： http://zbtb.gd.gov.cn）发布，本公告的修改、补充，</w:t>
      </w:r>
      <w:r>
        <w:rPr>
          <w:rFonts w:hint="eastAsia" w:ascii="宋体" w:hAnsi="宋体" w:eastAsia="宋体" w:cs="宋体"/>
          <w:color w:val="auto"/>
          <w:kern w:val="0"/>
          <w:highlight w:val="none"/>
        </w:rPr>
        <w:t>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highlight w:val="none"/>
        </w:rPr>
        <w:t>网和广东省招标投标监管网站发布</w:t>
      </w:r>
      <w:r>
        <w:rPr>
          <w:rFonts w:hint="eastAsia" w:ascii="宋体" w:hAnsi="宋体"/>
          <w:color w:val="auto"/>
          <w:kern w:val="0"/>
          <w:szCs w:val="21"/>
          <w:highlight w:val="none"/>
        </w:rPr>
        <w:t>。</w:t>
      </w:r>
    </w:p>
    <w:p w14:paraId="51B40C1C">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szCs w:val="21"/>
          <w:highlight w:val="none"/>
        </w:rPr>
      </w:pPr>
      <w:r>
        <w:rPr>
          <w:rFonts w:hint="eastAsia" w:ascii="宋体" w:hAnsi="宋体" w:cs="宋体"/>
          <w:b/>
          <w:bCs/>
          <w:color w:val="auto"/>
          <w:kern w:val="0"/>
          <w:szCs w:val="21"/>
          <w:highlight w:val="none"/>
        </w:rPr>
        <w:t>七、</w:t>
      </w:r>
      <w:r>
        <w:rPr>
          <w:rFonts w:hint="eastAsia" w:ascii="宋体" w:hAnsi="宋体"/>
          <w:b/>
          <w:bCs/>
          <w:color w:val="auto"/>
          <w:szCs w:val="21"/>
          <w:highlight w:val="none"/>
        </w:rPr>
        <w:t>投标文件的递交</w:t>
      </w:r>
    </w:p>
    <w:p w14:paraId="27DE72AE">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1、投标文件递交的截止时间（投标截止时间，下同）为</w:t>
      </w:r>
      <w:r>
        <w:rPr>
          <w:rFonts w:hint="eastAsia" w:ascii="宋体" w:hAnsi="宋体"/>
          <w:color w:val="auto"/>
          <w:kern w:val="0"/>
          <w:sz w:val="21"/>
          <w:szCs w:val="21"/>
          <w:highlight w:val="none"/>
          <w:u w:val="single"/>
          <w:lang w:val="en-US" w:eastAsia="zh-CN"/>
        </w:rPr>
        <w:t>2025</w:t>
      </w:r>
      <w:r>
        <w:rPr>
          <w:rFonts w:hint="eastAsia" w:ascii="宋体" w:hAnsi="宋体"/>
          <w:color w:val="auto"/>
          <w:kern w:val="0"/>
          <w:sz w:val="21"/>
          <w:szCs w:val="21"/>
          <w:highlight w:val="none"/>
          <w:lang w:val="en-US" w:eastAsia="zh-CN"/>
        </w:rPr>
        <w:t>年</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月</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日</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时</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分。</w:t>
      </w:r>
    </w:p>
    <w:p w14:paraId="2DA07152">
      <w:pPr>
        <w:keepNext w:val="0"/>
        <w:keepLines w:val="0"/>
        <w:pageBreakBefore w:val="0"/>
        <w:widowControl/>
        <w:kinsoku/>
        <w:wordWrap/>
        <w:overflowPunct/>
        <w:topLinePunct w:val="0"/>
        <w:autoSpaceDE/>
        <w:autoSpaceDN/>
        <w:bidi w:val="0"/>
        <w:adjustRightInd/>
        <w:snapToGrid w:val="0"/>
        <w:spacing w:line="365" w:lineRule="auto"/>
        <w:ind w:firstLine="420" w:firstLineChars="200"/>
        <w:jc w:val="left"/>
        <w:textAlignment w:val="auto"/>
        <w:rPr>
          <w:rFonts w:hint="eastAsia" w:ascii="宋体" w:hAnsi="宋体"/>
          <w:color w:val="auto"/>
          <w:kern w:val="0"/>
          <w:szCs w:val="21"/>
          <w:highlight w:val="none"/>
        </w:rPr>
      </w:pPr>
      <w:r>
        <w:rPr>
          <w:rFonts w:hint="eastAsia" w:ascii="宋体" w:hAnsi="宋体" w:eastAsia="宋体" w:cs="宋体"/>
          <w:color w:val="auto"/>
          <w:kern w:val="0"/>
          <w:sz w:val="21"/>
          <w:szCs w:val="21"/>
          <w:highlight w:val="none"/>
        </w:rPr>
        <w:t>投标文件解密时间为投标截止时间后</w:t>
      </w:r>
      <w:r>
        <w:rPr>
          <w:rFonts w:hint="eastAsia" w:ascii="宋体" w:hAnsi="宋体" w:eastAsia="宋体" w:cs="宋体"/>
          <w:b/>
          <w:bCs/>
          <w:color w:val="auto"/>
          <w:kern w:val="0"/>
          <w:sz w:val="21"/>
          <w:szCs w:val="21"/>
          <w:highlight w:val="none"/>
          <w:u w:val="single"/>
          <w:lang w:val="en-US" w:eastAsia="zh-CN"/>
        </w:rPr>
        <w:t>半小时</w:t>
      </w:r>
      <w:r>
        <w:rPr>
          <w:rFonts w:hint="eastAsia" w:ascii="宋体" w:hAnsi="宋体" w:eastAsia="宋体" w:cs="宋体"/>
          <w:color w:val="auto"/>
          <w:kern w:val="0"/>
          <w:sz w:val="21"/>
          <w:szCs w:val="21"/>
          <w:highlight w:val="none"/>
          <w:u w:val="none"/>
          <w:lang w:val="en-US" w:eastAsia="zh-CN"/>
        </w:rPr>
        <w:t>内</w:t>
      </w:r>
      <w:r>
        <w:rPr>
          <w:rFonts w:hint="eastAsia" w:ascii="宋体" w:hAnsi="宋体" w:eastAsia="宋体" w:cs="宋体"/>
          <w:strike w:val="0"/>
          <w:dstrike w:val="0"/>
          <w:color w:val="auto"/>
          <w:kern w:val="0"/>
          <w:sz w:val="21"/>
          <w:szCs w:val="21"/>
          <w:highlight w:val="none"/>
          <w:lang w:eastAsia="zh-CN"/>
        </w:rPr>
        <w:t>。投标人通过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strike w:val="0"/>
          <w:dstrike w:val="0"/>
          <w:color w:val="auto"/>
          <w:kern w:val="0"/>
          <w:sz w:val="21"/>
          <w:szCs w:val="21"/>
          <w:highlight w:val="none"/>
          <w:lang w:eastAsia="zh-CN"/>
        </w:rPr>
        <w:t>交易平台对已递交的电子投标文件进行解密</w:t>
      </w:r>
      <w:r>
        <w:rPr>
          <w:rFonts w:hint="eastAsia" w:ascii="宋体" w:hAnsi="宋体" w:eastAsia="宋体" w:cs="宋体"/>
          <w:color w:val="auto"/>
          <w:sz w:val="21"/>
          <w:szCs w:val="21"/>
          <w:highlight w:val="none"/>
          <w:u w:val="none"/>
        </w:rPr>
        <w:t>。</w:t>
      </w:r>
    </w:p>
    <w:p w14:paraId="0B5F2F89">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2、开标</w:t>
      </w:r>
      <w:r>
        <w:rPr>
          <w:rFonts w:hint="eastAsia" w:ascii="宋体" w:hAnsi="宋体"/>
          <w:color w:val="auto"/>
          <w:kern w:val="0"/>
          <w:szCs w:val="21"/>
          <w:highlight w:val="none"/>
          <w:lang w:eastAsia="zh-CN"/>
        </w:rPr>
        <w:t>开始</w:t>
      </w:r>
      <w:r>
        <w:rPr>
          <w:rFonts w:hint="eastAsia" w:ascii="宋体" w:hAnsi="宋体"/>
          <w:color w:val="auto"/>
          <w:kern w:val="0"/>
          <w:szCs w:val="21"/>
          <w:highlight w:val="none"/>
        </w:rPr>
        <w:t>时间：</w:t>
      </w:r>
      <w:r>
        <w:rPr>
          <w:rFonts w:hint="eastAsia" w:ascii="宋体" w:hAnsi="宋体"/>
          <w:color w:val="auto"/>
          <w:kern w:val="0"/>
          <w:sz w:val="21"/>
          <w:szCs w:val="21"/>
          <w:highlight w:val="none"/>
          <w:u w:val="single"/>
          <w:lang w:val="en-US" w:eastAsia="zh-CN"/>
        </w:rPr>
        <w:t>2025</w:t>
      </w:r>
      <w:r>
        <w:rPr>
          <w:rFonts w:hint="eastAsia" w:ascii="宋体" w:hAnsi="宋体"/>
          <w:color w:val="auto"/>
          <w:kern w:val="0"/>
          <w:sz w:val="21"/>
          <w:szCs w:val="21"/>
          <w:highlight w:val="none"/>
          <w:lang w:val="en-US" w:eastAsia="zh-CN"/>
        </w:rPr>
        <w:t>年</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月</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日</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时</w:t>
      </w:r>
      <w:r>
        <w:rPr>
          <w:rFonts w:hint="eastAsia" w:ascii="宋体" w:hAnsi="宋体"/>
          <w:color w:val="auto"/>
          <w:kern w:val="0"/>
          <w:sz w:val="21"/>
          <w:szCs w:val="21"/>
          <w:highlight w:val="none"/>
          <w:u w:val="single"/>
          <w:lang w:val="en-US" w:eastAsia="zh-CN"/>
        </w:rPr>
        <w:t xml:space="preserve">   </w:t>
      </w:r>
      <w:r>
        <w:rPr>
          <w:rFonts w:hint="eastAsia" w:ascii="宋体" w:hAnsi="宋体"/>
          <w:color w:val="auto"/>
          <w:kern w:val="0"/>
          <w:sz w:val="21"/>
          <w:szCs w:val="21"/>
          <w:highlight w:val="none"/>
          <w:lang w:val="en-US" w:eastAsia="zh-CN"/>
        </w:rPr>
        <w:t>分</w:t>
      </w:r>
      <w:r>
        <w:rPr>
          <w:rFonts w:hint="eastAsia" w:ascii="宋体" w:hAnsi="宋体"/>
          <w:color w:val="auto"/>
          <w:kern w:val="0"/>
          <w:szCs w:val="21"/>
          <w:highlight w:val="none"/>
        </w:rPr>
        <w:t xml:space="preserve">。    </w:t>
      </w:r>
    </w:p>
    <w:p w14:paraId="0A336530">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eastAsia="宋体" w:cs="宋体"/>
          <w:color w:val="auto"/>
          <w:sz w:val="21"/>
          <w:szCs w:val="21"/>
          <w:highlight w:val="none"/>
        </w:rPr>
        <w:t>投标截止时间与开标开始时间是否有变化，请密切留意招标答疑中的相关信息。递交投标文件截止时间后，开标开始时间因故推迟的，相关评标信息仍以原递交投标文件截止时间的信息为准</w:t>
      </w:r>
      <w:r>
        <w:rPr>
          <w:rFonts w:hint="eastAsia" w:ascii="宋体" w:hAnsi="宋体"/>
          <w:color w:val="auto"/>
          <w:kern w:val="0"/>
          <w:szCs w:val="21"/>
          <w:highlight w:val="none"/>
        </w:rPr>
        <w:t>。</w:t>
      </w:r>
    </w:p>
    <w:p w14:paraId="42FDF810">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eastAsia="宋体" w:cs="宋体"/>
          <w:color w:val="auto"/>
          <w:kern w:val="0"/>
          <w:sz w:val="21"/>
          <w:szCs w:val="21"/>
          <w:highlight w:val="none"/>
        </w:rPr>
        <w:t>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交易平台递交电子投标文件。投标人应在递交投标文件截止时间前，登录</w:t>
      </w:r>
      <w:r>
        <w:rPr>
          <w:rFonts w:hint="eastAsia" w:ascii="宋体" w:hAnsi="宋体" w:eastAsia="宋体" w:cs="宋体"/>
          <w:color w:val="auto"/>
          <w:kern w:val="0"/>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交易平台网站办理网上投标登记手续；完成所有投标文件的上传，并取得回执码</w:t>
      </w:r>
      <w:r>
        <w:rPr>
          <w:rFonts w:hint="eastAsia" w:ascii="宋体" w:hAnsi="宋体" w:eastAsia="宋体" w:cs="宋体"/>
          <w:color w:val="auto"/>
          <w:kern w:val="0"/>
          <w:sz w:val="21"/>
          <w:szCs w:val="21"/>
          <w:highlight w:val="none"/>
          <w:lang w:eastAsia="zh-CN"/>
        </w:rPr>
        <w:t>。投标截止时间前未完成传输的投标文件</w:t>
      </w:r>
      <w:r>
        <w:rPr>
          <w:rFonts w:hint="eastAsia" w:ascii="宋体" w:hAnsi="宋体" w:eastAsia="宋体" w:cs="宋体"/>
          <w:color w:val="auto"/>
          <w:kern w:val="0"/>
          <w:sz w:val="21"/>
          <w:szCs w:val="21"/>
          <w:highlight w:val="none"/>
        </w:rPr>
        <w:t>，电子招标投标交易平台将予以拒收</w:t>
      </w:r>
      <w:r>
        <w:rPr>
          <w:rFonts w:hint="eastAsia" w:ascii="宋体" w:hAnsi="宋体"/>
          <w:color w:val="auto"/>
          <w:kern w:val="0"/>
          <w:szCs w:val="21"/>
          <w:highlight w:val="none"/>
        </w:rPr>
        <w:t>。</w:t>
      </w:r>
    </w:p>
    <w:p w14:paraId="557684F3">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eastAsia="宋体" w:cs="宋体"/>
          <w:color w:val="auto"/>
          <w:kern w:val="0"/>
          <w:sz w:val="21"/>
          <w:szCs w:val="21"/>
          <w:highlight w:val="none"/>
        </w:rPr>
        <w:t>在投标文件递交截止时间之前，投标人可以撤回或替换已递交的投标文件；可以修改网上投标登记相关信息</w:t>
      </w:r>
      <w:r>
        <w:rPr>
          <w:rFonts w:hint="eastAsia" w:ascii="宋体" w:hAnsi="宋体"/>
          <w:color w:val="auto"/>
          <w:kern w:val="0"/>
          <w:szCs w:val="21"/>
          <w:highlight w:val="none"/>
        </w:rPr>
        <w:t>。</w:t>
      </w:r>
    </w:p>
    <w:p w14:paraId="2B442A50">
      <w:pPr>
        <w:keepNext w:val="0"/>
        <w:keepLines w:val="0"/>
        <w:pageBreakBefore w:val="0"/>
        <w:widowControl/>
        <w:kinsoku/>
        <w:wordWrap/>
        <w:overflowPunct/>
        <w:topLinePunct w:val="0"/>
        <w:autoSpaceDE/>
        <w:autoSpaceDN/>
        <w:bidi w:val="0"/>
        <w:adjustRightInd/>
        <w:snapToGrid w:val="0"/>
        <w:spacing w:line="365" w:lineRule="auto"/>
        <w:ind w:firstLine="422" w:firstLineChars="200"/>
        <w:jc w:val="left"/>
        <w:textAlignment w:val="auto"/>
        <w:rPr>
          <w:rFonts w:hint="eastAsia" w:ascii="宋体" w:hAnsi="宋体"/>
          <w:color w:val="auto"/>
          <w:kern w:val="0"/>
          <w:szCs w:val="21"/>
          <w:highlight w:val="none"/>
        </w:rPr>
      </w:pPr>
      <w:r>
        <w:rPr>
          <w:rFonts w:hint="eastAsia" w:ascii="宋体" w:hAnsi="宋体" w:cs="宋体"/>
          <w:b/>
          <w:bCs/>
          <w:color w:val="auto"/>
          <w:kern w:val="0"/>
          <w:szCs w:val="21"/>
          <w:highlight w:val="none"/>
        </w:rPr>
        <w:t>八、</w:t>
      </w:r>
      <w:r>
        <w:rPr>
          <w:rFonts w:hint="eastAsia" w:ascii="宋体" w:hAnsi="宋体"/>
          <w:b/>
          <w:bCs/>
          <w:color w:val="auto"/>
          <w:kern w:val="0"/>
          <w:szCs w:val="21"/>
          <w:highlight w:val="none"/>
        </w:rPr>
        <w:t>投标人合格条件</w:t>
      </w:r>
      <w:r>
        <w:rPr>
          <w:rFonts w:hint="eastAsia" w:ascii="宋体" w:hAnsi="宋体"/>
          <w:color w:val="auto"/>
          <w:kern w:val="0"/>
          <w:szCs w:val="21"/>
          <w:highlight w:val="none"/>
        </w:rPr>
        <w:t xml:space="preserve"> </w:t>
      </w:r>
    </w:p>
    <w:p w14:paraId="3CC5F77E">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1、投标人参加投标的意思表达清楚，投标人代表被授权有效；</w:t>
      </w:r>
    </w:p>
    <w:p w14:paraId="65021A99">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eastAsia="宋体" w:cs="Times New Roman"/>
          <w:color w:val="auto"/>
          <w:kern w:val="0"/>
          <w:sz w:val="21"/>
          <w:szCs w:val="21"/>
          <w:highlight w:val="none"/>
        </w:rPr>
        <w:t>投标人（若为联合体投标，指联合体各方）具备独立法人资格，持有事业单位登记管理部门核发的事业单位法人证书或工商行政管理部门核发的企业法人营业执照，且在有效期内；</w:t>
      </w:r>
    </w:p>
    <w:p w14:paraId="4A200A73">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default" w:ascii="宋体" w:hAnsi="宋体" w:eastAsia="宋体" w:cs="Times New Roman"/>
          <w:color w:val="auto"/>
          <w:kern w:val="0"/>
          <w:sz w:val="21"/>
          <w:szCs w:val="21"/>
          <w:highlight w:val="none"/>
          <w:lang w:val="en-US" w:eastAsia="zh-CN"/>
        </w:rPr>
      </w:pPr>
      <w:r>
        <w:rPr>
          <w:rFonts w:hint="eastAsia" w:ascii="宋体" w:hAnsi="宋体"/>
          <w:color w:val="auto"/>
          <w:kern w:val="0"/>
          <w:szCs w:val="21"/>
          <w:highlight w:val="none"/>
        </w:rPr>
        <w:t>3、</w:t>
      </w:r>
      <w:r>
        <w:rPr>
          <w:rFonts w:hint="eastAsia" w:ascii="宋体" w:hAnsi="宋体" w:eastAsia="宋体" w:cs="Times New Roman"/>
          <w:color w:val="auto"/>
          <w:kern w:val="0"/>
          <w:sz w:val="21"/>
          <w:szCs w:val="21"/>
          <w:highlight w:val="none"/>
        </w:rPr>
        <w:t>投标人</w:t>
      </w:r>
      <w:r>
        <w:rPr>
          <w:rFonts w:hint="eastAsia" w:ascii="宋体" w:hAnsi="宋体" w:eastAsia="宋体" w:cs="Times New Roman"/>
          <w:color w:val="auto"/>
          <w:kern w:val="0"/>
          <w:sz w:val="21"/>
          <w:szCs w:val="21"/>
          <w:highlight w:val="none"/>
          <w:lang w:val="en-US" w:eastAsia="zh-CN"/>
        </w:rPr>
        <w:t>须同时</w:t>
      </w:r>
      <w:r>
        <w:rPr>
          <w:rFonts w:hint="eastAsia" w:ascii="宋体" w:hAnsi="宋体" w:eastAsia="宋体" w:cs="Times New Roman"/>
          <w:color w:val="auto"/>
          <w:kern w:val="0"/>
          <w:sz w:val="21"/>
          <w:szCs w:val="21"/>
          <w:highlight w:val="none"/>
        </w:rPr>
        <w:t>具有有关行政主管部门颁发的乙级测绘资质</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或以上</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证书；有关行政主管部门颁发的城乡规划（国土空间规划）编制甲级（或以上）证书；有关行政主管部门或行业协会（学会）颁发的林业调查规划设计资质乙级（或以上）证书。如为联合体投标，主办方须</w:t>
      </w:r>
      <w:r>
        <w:rPr>
          <w:rFonts w:hint="eastAsia" w:ascii="宋体" w:hAnsi="宋体" w:eastAsia="宋体" w:cs="Times New Roman"/>
          <w:color w:val="auto"/>
          <w:kern w:val="0"/>
          <w:sz w:val="21"/>
          <w:szCs w:val="21"/>
          <w:highlight w:val="none"/>
        </w:rPr>
        <w:t>具有有关行政主管部门颁发的乙级测绘资质</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或以上</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证书和有关行政主管部门颁发的城乡规划（国土空间规划）编制甲级（或以上）证书；成员方须具有有关行政主管部门或行业协会（学会）颁发的林业调查规划设计资质乙级（或以上）证书；</w:t>
      </w:r>
    </w:p>
    <w:p w14:paraId="303A436C">
      <w:pPr>
        <w:keepNext w:val="0"/>
        <w:keepLines w:val="0"/>
        <w:pageBreakBefore w:val="0"/>
        <w:widowControl/>
        <w:kinsoku/>
        <w:wordWrap/>
        <w:overflowPunct/>
        <w:topLinePunct w:val="0"/>
        <w:autoSpaceDE/>
        <w:autoSpaceDN/>
        <w:bidi w:val="0"/>
        <w:adjustRightInd/>
        <w:snapToGrid w:val="0"/>
        <w:spacing w:line="365" w:lineRule="auto"/>
        <w:ind w:firstLine="420" w:firstLineChars="200"/>
        <w:jc w:val="left"/>
        <w:textAlignment w:val="auto"/>
        <w:rPr>
          <w:rFonts w:hint="eastAsia" w:ascii="宋体" w:hAnsi="宋体" w:eastAsia="宋体"/>
          <w:color w:val="auto"/>
          <w:kern w:val="0"/>
          <w:szCs w:val="21"/>
          <w:highlight w:val="none"/>
          <w:lang w:eastAsia="zh-CN"/>
        </w:rPr>
      </w:pPr>
      <w:r>
        <w:rPr>
          <w:rFonts w:hint="eastAsia" w:ascii="宋体" w:hAnsi="宋体" w:eastAsia="宋体" w:cs="Times New Roman"/>
          <w:color w:val="auto"/>
          <w:kern w:val="0"/>
          <w:sz w:val="21"/>
          <w:szCs w:val="21"/>
          <w:highlight w:val="none"/>
          <w:lang w:val="en-US" w:eastAsia="zh-CN"/>
        </w:rPr>
        <w:t>4、</w:t>
      </w:r>
      <w:r>
        <w:rPr>
          <w:rFonts w:hint="eastAsia" w:ascii="宋体" w:hAnsi="宋体" w:eastAsia="宋体" w:cs="Times New Roman"/>
          <w:color w:val="auto"/>
          <w:kern w:val="0"/>
          <w:sz w:val="21"/>
          <w:szCs w:val="21"/>
          <w:highlight w:val="none"/>
        </w:rPr>
        <w:t>投标人（若为联合体，指联合体</w:t>
      </w:r>
      <w:r>
        <w:rPr>
          <w:rFonts w:hint="eastAsia" w:ascii="宋体" w:hAnsi="宋体" w:eastAsia="宋体" w:cs="Times New Roman"/>
          <w:color w:val="auto"/>
          <w:kern w:val="0"/>
          <w:sz w:val="21"/>
          <w:szCs w:val="21"/>
          <w:highlight w:val="none"/>
          <w:lang w:eastAsia="zh-CN"/>
        </w:rPr>
        <w:t>主办方</w:t>
      </w:r>
      <w:r>
        <w:rPr>
          <w:rFonts w:hint="eastAsia" w:ascii="宋体" w:hAnsi="宋体" w:eastAsia="宋体" w:cs="Times New Roman"/>
          <w:color w:val="auto"/>
          <w:kern w:val="0"/>
          <w:sz w:val="21"/>
          <w:szCs w:val="21"/>
          <w:highlight w:val="none"/>
        </w:rPr>
        <w:t>）</w:t>
      </w:r>
      <w:r>
        <w:rPr>
          <w:rFonts w:hint="eastAsia" w:ascii="宋体" w:hAnsi="宋体"/>
          <w:color w:val="auto"/>
          <w:kern w:val="0"/>
          <w:szCs w:val="21"/>
          <w:highlight w:val="none"/>
        </w:rPr>
        <w:t>拟委派项目负责人应具有注册城市（乡）规划师资格且注册执业单位为本单位</w:t>
      </w:r>
      <w:r>
        <w:rPr>
          <w:rFonts w:hint="eastAsia" w:ascii="宋体" w:hAnsi="宋体"/>
          <w:color w:val="auto"/>
          <w:kern w:val="0"/>
          <w:szCs w:val="21"/>
          <w:highlight w:val="none"/>
          <w:lang w:val="en-US" w:eastAsia="zh-CN"/>
        </w:rPr>
        <w:t>；</w:t>
      </w:r>
    </w:p>
    <w:p w14:paraId="3A74BB7E">
      <w:pPr>
        <w:keepNext w:val="0"/>
        <w:keepLines w:val="0"/>
        <w:pageBreakBefore w:val="0"/>
        <w:widowControl/>
        <w:kinsoku/>
        <w:wordWrap/>
        <w:overflowPunct/>
        <w:topLinePunct w:val="0"/>
        <w:autoSpaceDE/>
        <w:autoSpaceDN/>
        <w:bidi w:val="0"/>
        <w:adjustRightInd/>
        <w:snapToGrid w:val="0"/>
        <w:spacing w:line="365" w:lineRule="auto"/>
        <w:ind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、投标登记前，投标人</w:t>
      </w:r>
      <w:r>
        <w:rPr>
          <w:rFonts w:hint="eastAsia" w:ascii="宋体" w:hAnsi="宋体" w:eastAsia="宋体" w:cs="Times New Roman"/>
          <w:color w:val="auto"/>
          <w:kern w:val="0"/>
          <w:sz w:val="21"/>
          <w:szCs w:val="21"/>
          <w:highlight w:val="none"/>
        </w:rPr>
        <w:t>（若为联合体，指联合体各方）</w:t>
      </w:r>
      <w:r>
        <w:rPr>
          <w:rFonts w:hint="eastAsia" w:ascii="宋体" w:hAnsi="宋体"/>
          <w:color w:val="auto"/>
          <w:kern w:val="0"/>
          <w:szCs w:val="21"/>
          <w:highlight w:val="none"/>
        </w:rPr>
        <w:t>须在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kern w:val="0"/>
          <w:szCs w:val="21"/>
          <w:highlight w:val="none"/>
        </w:rPr>
        <w:t>企业库已办理企业信息登记。</w:t>
      </w:r>
    </w:p>
    <w:p w14:paraId="57D1C452">
      <w:pPr>
        <w:keepNext w:val="0"/>
        <w:keepLines w:val="0"/>
        <w:pageBreakBefore w:val="0"/>
        <w:widowControl/>
        <w:kinsoku/>
        <w:wordWrap/>
        <w:overflowPunct/>
        <w:topLinePunct w:val="0"/>
        <w:autoSpaceDE/>
        <w:autoSpaceDN/>
        <w:bidi w:val="0"/>
        <w:adjustRightInd/>
        <w:snapToGrid w:val="0"/>
        <w:spacing w:line="365" w:lineRule="auto"/>
        <w:ind w:firstLine="420" w:firstLineChars="20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、关于联合体投标：本项目接受联合体投标。</w:t>
      </w:r>
    </w:p>
    <w:p w14:paraId="427B15AB">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kern w:val="0"/>
          <w:sz w:val="21"/>
          <w:szCs w:val="21"/>
          <w:highlight w:val="none"/>
          <w:u w:val="none"/>
        </w:rPr>
      </w:pPr>
      <w:r>
        <w:rPr>
          <w:rFonts w:hint="eastAsia" w:ascii="宋体" w:hAnsi="宋体" w:eastAsia="宋体" w:cs="Times New Roman"/>
          <w:color w:val="auto"/>
          <w:kern w:val="0"/>
          <w:sz w:val="21"/>
          <w:szCs w:val="21"/>
          <w:highlight w:val="none"/>
          <w:u w:val="none"/>
        </w:rPr>
        <w:t>1）允许联合体投标，只接受不多于2家单位</w:t>
      </w:r>
      <w:r>
        <w:rPr>
          <w:rFonts w:hint="eastAsia" w:ascii="宋体" w:hAnsi="宋体" w:eastAsia="宋体" w:cs="Times New Roman"/>
          <w:color w:val="auto"/>
          <w:kern w:val="0"/>
          <w:sz w:val="21"/>
          <w:szCs w:val="21"/>
          <w:highlight w:val="none"/>
          <w:u w:val="none"/>
          <w:lang w:eastAsia="zh-CN"/>
        </w:rPr>
        <w:t>，</w:t>
      </w:r>
      <w:r>
        <w:rPr>
          <w:rFonts w:hint="eastAsia" w:ascii="宋体" w:hAnsi="宋体" w:eastAsia="宋体" w:cs="Times New Roman"/>
          <w:color w:val="auto"/>
          <w:kern w:val="0"/>
          <w:sz w:val="21"/>
          <w:szCs w:val="21"/>
          <w:highlight w:val="none"/>
          <w:u w:val="none"/>
        </w:rPr>
        <w:t>如投标人组成联合体，联合体应当在投标登记前组成，并按要求签署盖章签订《联合体协议书》（附件一）。投标人拟任本工程项目负责人应为主办方正式员工。《联合体协议书》应明确约定各方拟承担的工作和责任。投标截止后联合体增减、更换成员的，其投标无效。</w:t>
      </w:r>
    </w:p>
    <w:p w14:paraId="0E129D51">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kern w:val="0"/>
          <w:sz w:val="21"/>
          <w:szCs w:val="21"/>
          <w:highlight w:val="none"/>
          <w:u w:val="none"/>
        </w:rPr>
      </w:pPr>
      <w:r>
        <w:rPr>
          <w:rFonts w:hint="eastAsia" w:ascii="宋体" w:hAnsi="宋体" w:eastAsia="宋体" w:cs="Times New Roman"/>
          <w:color w:val="auto"/>
          <w:kern w:val="0"/>
          <w:sz w:val="21"/>
          <w:szCs w:val="21"/>
          <w:highlight w:val="none"/>
          <w:u w:val="none"/>
        </w:rPr>
        <w:t>（2）联合体各方（包括主办方及联合体成员）不得再单独或与其他单位组成联合体参与本项目投标。出现上述情况者，其投标和与此有关的联合体的投标将被拒绝。</w:t>
      </w:r>
    </w:p>
    <w:p w14:paraId="7147F421">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注：未在招标公告第八项单列的资审合格条件，不作为资审不合格的依据。</w:t>
      </w:r>
    </w:p>
    <w:p w14:paraId="62F6E4BD">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kern w:val="0"/>
          <w:szCs w:val="21"/>
          <w:highlight w:val="none"/>
        </w:rPr>
      </w:pPr>
      <w:r>
        <w:rPr>
          <w:rFonts w:hint="eastAsia" w:ascii="宋体" w:hAnsi="宋体"/>
          <w:b/>
          <w:bCs/>
          <w:color w:val="auto"/>
          <w:kern w:val="0"/>
          <w:szCs w:val="21"/>
          <w:highlight w:val="none"/>
        </w:rPr>
        <w:t>九、资格审查方式及评标办法：</w:t>
      </w:r>
    </w:p>
    <w:p w14:paraId="40F8E64C">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highlight w:val="none"/>
        </w:rPr>
      </w:pPr>
      <w:r>
        <w:rPr>
          <w:rFonts w:hint="eastAsia" w:ascii="宋体" w:hAnsi="宋体"/>
          <w:color w:val="auto"/>
          <w:highlight w:val="none"/>
        </w:rPr>
        <w:t>1、资格审查方法：本工程采用资格后审方式，由评标委员会负责资格审查。资格审查结果将在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highlight w:val="none"/>
        </w:rPr>
        <w:t>网站和广东省招标投标监管网公示，公示时间不得少于3日</w:t>
      </w:r>
      <w:r>
        <w:rPr>
          <w:rFonts w:hint="eastAsia" w:ascii="宋体" w:hAnsi="宋体" w:eastAsia="宋体" w:cs="宋体"/>
          <w:color w:val="auto"/>
          <w:kern w:val="0"/>
          <w:sz w:val="21"/>
          <w:szCs w:val="21"/>
          <w:highlight w:val="none"/>
          <w:lang w:val="en-US" w:eastAsia="zh-CN"/>
        </w:rPr>
        <w:t>，最后一天应为工作日</w:t>
      </w:r>
      <w:r>
        <w:rPr>
          <w:rFonts w:hint="eastAsia" w:ascii="宋体" w:hAnsi="宋体"/>
          <w:color w:val="auto"/>
          <w:highlight w:val="none"/>
        </w:rPr>
        <w:t>。</w:t>
      </w:r>
    </w:p>
    <w:p w14:paraId="2B439112">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kern w:val="0"/>
          <w:szCs w:val="21"/>
          <w:highlight w:val="none"/>
        </w:rPr>
      </w:pPr>
      <w:r>
        <w:rPr>
          <w:rFonts w:hint="eastAsia" w:ascii="宋体" w:hAnsi="宋体"/>
          <w:color w:val="auto"/>
          <w:szCs w:val="21"/>
          <w:highlight w:val="none"/>
        </w:rPr>
        <w:t>2、本次招标采用全流程电子化招标，评标采用综合评估法。</w:t>
      </w:r>
    </w:p>
    <w:p w14:paraId="6E18783B">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eastAsia="宋体" w:cs="Times New Roman"/>
          <w:b/>
          <w:bCs/>
          <w:color w:val="auto"/>
          <w:kern w:val="0"/>
          <w:sz w:val="21"/>
          <w:szCs w:val="21"/>
          <w:highlight w:val="none"/>
          <w:lang w:val="en-US" w:eastAsia="zh-CN" w:bidi="ar-SA"/>
        </w:rPr>
      </w:pPr>
      <w:r>
        <w:rPr>
          <w:rFonts w:hint="eastAsia" w:ascii="宋体" w:hAnsi="宋体"/>
          <w:b/>
          <w:bCs/>
          <w:color w:val="auto"/>
          <w:kern w:val="0"/>
          <w:highlight w:val="none"/>
        </w:rPr>
        <w:t>十、</w:t>
      </w:r>
      <w:r>
        <w:rPr>
          <w:rFonts w:hint="eastAsia" w:ascii="宋体" w:hAnsi="宋体" w:eastAsia="宋体" w:cs="Times New Roman"/>
          <w:b/>
          <w:bCs/>
          <w:color w:val="auto"/>
          <w:kern w:val="0"/>
          <w:sz w:val="21"/>
          <w:szCs w:val="21"/>
          <w:highlight w:val="none"/>
          <w:lang w:val="en-US" w:eastAsia="zh-CN" w:bidi="ar-SA"/>
        </w:rPr>
        <w:t>疑问、异议和投诉处理：</w:t>
      </w:r>
    </w:p>
    <w:p w14:paraId="6BE7AC81">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关于疑问、异议、投诉的基本概念和处理程序详见</w:t>
      </w:r>
      <w:r>
        <w:rPr>
          <w:rFonts w:hint="eastAsia" w:ascii="宋体" w:hAnsi="宋体" w:eastAsia="宋体" w:cs="Times New Roman"/>
          <w:color w:val="auto"/>
          <w:szCs w:val="21"/>
          <w:highlight w:val="none"/>
          <w:lang w:eastAsia="zh-CN"/>
        </w:rPr>
        <w:t>《中华人民共和国招标投标法》、《中华人民共和国招标投标法实施条例》、《工程建设项目招标投标活动投诉处理办法》</w:t>
      </w:r>
      <w:r>
        <w:rPr>
          <w:rFonts w:hint="eastAsia" w:ascii="宋体" w:hAnsi="宋体" w:eastAsia="宋体" w:cs="Times New Roman"/>
          <w:color w:val="auto"/>
          <w:szCs w:val="21"/>
          <w:highlight w:val="none"/>
        </w:rPr>
        <w:t>。</w:t>
      </w:r>
    </w:p>
    <w:p w14:paraId="21D4E3BD">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1F687AD">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2B2CBF1E">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在招投标过程中，投诉人投诉事项经查实不属实的恶意投诉，招标人将提请行政主管部门，并按《中华人民共和国招标投标法实施条例》、《工程建设项目招标投标活动投诉处理办法》等进行处理。</w:t>
      </w:r>
    </w:p>
    <w:p w14:paraId="1B35B70E">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1CE4431">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color w:val="auto"/>
          <w:kern w:val="0"/>
          <w:highlight w:val="none"/>
        </w:rPr>
      </w:pPr>
      <w:r>
        <w:rPr>
          <w:rFonts w:hint="eastAsia" w:ascii="宋体" w:hAnsi="宋体"/>
          <w:b/>
          <w:bCs/>
          <w:color w:val="auto"/>
          <w:kern w:val="0"/>
          <w:highlight w:val="none"/>
        </w:rPr>
        <w:t>十一、</w:t>
      </w:r>
      <w:r>
        <w:rPr>
          <w:rFonts w:hint="eastAsia" w:ascii="宋体" w:hAnsi="宋体" w:eastAsia="宋体" w:cs="Times New Roman"/>
          <w:color w:val="auto"/>
          <w:kern w:val="2"/>
          <w:sz w:val="21"/>
          <w:szCs w:val="21"/>
          <w:highlight w:val="none"/>
          <w:lang w:val="en-US" w:eastAsia="zh-CN" w:bidi="ar-SA"/>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FB0C1F6">
      <w:pPr>
        <w:keepNext w:val="0"/>
        <w:keepLines w:val="0"/>
        <w:pageBreakBefore w:val="0"/>
        <w:kinsoku/>
        <w:wordWrap/>
        <w:overflowPunct/>
        <w:topLinePunct w:val="0"/>
        <w:autoSpaceDE/>
        <w:autoSpaceDN/>
        <w:bidi w:val="0"/>
        <w:adjustRightInd/>
        <w:spacing w:line="365" w:lineRule="auto"/>
        <w:ind w:firstLine="422" w:firstLineChars="200"/>
        <w:textAlignment w:val="auto"/>
        <w:rPr>
          <w:rFonts w:hint="eastAsia" w:ascii="宋体" w:hAnsi="宋体"/>
          <w:b/>
          <w:bCs/>
          <w:color w:val="auto"/>
          <w:szCs w:val="21"/>
          <w:highlight w:val="none"/>
        </w:rPr>
      </w:pPr>
      <w:r>
        <w:rPr>
          <w:rFonts w:hint="eastAsia" w:ascii="宋体" w:hAnsi="宋体"/>
          <w:b/>
          <w:bCs/>
          <w:color w:val="auto"/>
          <w:kern w:val="0"/>
          <w:szCs w:val="21"/>
          <w:highlight w:val="none"/>
        </w:rPr>
        <w:t>十二、联系方式：</w:t>
      </w:r>
    </w:p>
    <w:p w14:paraId="62013112">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招标人：</w:t>
      </w:r>
      <w:r>
        <w:rPr>
          <w:rFonts w:hint="eastAsia" w:ascii="宋体" w:hAnsi="宋体"/>
          <w:color w:val="auto"/>
          <w:szCs w:val="21"/>
          <w:highlight w:val="none"/>
          <w:lang w:eastAsia="zh-CN"/>
        </w:rPr>
        <w:t>阳江市碧源水资源开发有限公司</w:t>
      </w:r>
      <w:r>
        <w:rPr>
          <w:rFonts w:hint="eastAsia" w:ascii="宋体" w:hAnsi="宋体"/>
          <w:color w:val="auto"/>
          <w:szCs w:val="21"/>
          <w:highlight w:val="none"/>
        </w:rPr>
        <w:t xml:space="preserve"> </w:t>
      </w:r>
    </w:p>
    <w:p w14:paraId="73E5AC85">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 xml:space="preserve">地址：阳江市江城区仙踪路189号公用事业大厦7楼   </w:t>
      </w:r>
    </w:p>
    <w:p w14:paraId="62D1E409">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联系人：何</w:t>
      </w:r>
      <w:r>
        <w:rPr>
          <w:rFonts w:hint="eastAsia" w:ascii="宋体" w:hAnsi="宋体"/>
          <w:color w:val="auto"/>
          <w:szCs w:val="21"/>
          <w:highlight w:val="none"/>
          <w:lang w:val="en-US" w:eastAsia="zh-CN"/>
        </w:rPr>
        <w:t xml:space="preserve">先生  </w:t>
      </w:r>
      <w:r>
        <w:rPr>
          <w:rFonts w:hint="eastAsia" w:ascii="宋体" w:hAnsi="宋体"/>
          <w:color w:val="auto"/>
          <w:szCs w:val="21"/>
          <w:highlight w:val="none"/>
        </w:rPr>
        <w:t xml:space="preserve">   电话：0662-2891103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59AE99A4">
      <w:pPr>
        <w:spacing w:line="360" w:lineRule="auto"/>
        <w:ind w:firstLine="420" w:firstLineChars="200"/>
        <w:rPr>
          <w:rFonts w:hint="eastAsia" w:ascii="宋体" w:hAnsi="宋体"/>
          <w:color w:val="auto"/>
          <w:szCs w:val="21"/>
          <w:highlight w:val="none"/>
        </w:rPr>
      </w:pPr>
    </w:p>
    <w:p w14:paraId="6A23946D">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color w:val="auto"/>
          <w:szCs w:val="21"/>
          <w:highlight w:val="none"/>
          <w:u w:val="none"/>
        </w:rPr>
      </w:pPr>
      <w:r>
        <w:rPr>
          <w:rFonts w:hint="eastAsia" w:ascii="宋体" w:hAnsi="宋体"/>
          <w:color w:val="auto"/>
          <w:szCs w:val="21"/>
          <w:highlight w:val="none"/>
          <w:u w:val="none"/>
        </w:rPr>
        <w:t>招标代理机构：</w:t>
      </w:r>
      <w:r>
        <w:rPr>
          <w:rFonts w:hint="eastAsia" w:ascii="宋体" w:hAnsi="宋体"/>
          <w:color w:val="auto"/>
          <w:szCs w:val="21"/>
          <w:highlight w:val="none"/>
          <w:u w:val="none"/>
          <w:lang w:eastAsia="zh-CN"/>
        </w:rPr>
        <w:t>广州珠江监理咨询集团有限公司</w:t>
      </w:r>
      <w:r>
        <w:rPr>
          <w:rFonts w:hint="eastAsia" w:ascii="宋体" w:hAnsi="宋体"/>
          <w:color w:val="auto"/>
          <w:szCs w:val="21"/>
          <w:highlight w:val="none"/>
          <w:u w:val="none"/>
        </w:rPr>
        <w:t xml:space="preserve">   </w:t>
      </w:r>
    </w:p>
    <w:p w14:paraId="0CB80D4D">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color w:val="auto"/>
          <w:szCs w:val="21"/>
          <w:highlight w:val="none"/>
          <w:u w:val="none"/>
        </w:rPr>
        <w:t>地址：广州市越秀区永泰路50号101房</w:t>
      </w:r>
    </w:p>
    <w:p w14:paraId="0D01BF62">
      <w:pPr>
        <w:keepNext w:val="0"/>
        <w:keepLines w:val="0"/>
        <w:pageBreakBefore w:val="0"/>
        <w:kinsoku/>
        <w:wordWrap/>
        <w:overflowPunct/>
        <w:topLinePunct w:val="0"/>
        <w:autoSpaceDE/>
        <w:autoSpaceDN/>
        <w:bidi w:val="0"/>
        <w:adjustRightInd/>
        <w:spacing w:line="365" w:lineRule="auto"/>
        <w:ind w:firstLine="420" w:firstLineChars="200"/>
        <w:textAlignment w:val="auto"/>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联系人：常工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 xml:space="preserve">  电话：020-83379342</w:t>
      </w:r>
      <w:r>
        <w:rPr>
          <w:rFonts w:hint="eastAsia" w:ascii="宋体" w:hAnsi="宋体"/>
          <w:color w:val="auto"/>
          <w:szCs w:val="21"/>
          <w:highlight w:val="none"/>
          <w:u w:val="none"/>
          <w:lang w:val="en-US" w:eastAsia="zh-CN"/>
        </w:rPr>
        <w:t xml:space="preserve">   </w:t>
      </w:r>
    </w:p>
    <w:p w14:paraId="3AE17F52">
      <w:pPr>
        <w:spacing w:line="360" w:lineRule="auto"/>
        <w:ind w:firstLine="420" w:firstLineChars="200"/>
        <w:outlineLvl w:val="9"/>
        <w:rPr>
          <w:rFonts w:hint="eastAsia" w:ascii="宋体" w:hAnsi="宋体"/>
          <w:color w:val="auto"/>
          <w:szCs w:val="21"/>
          <w:highlight w:val="none"/>
        </w:rPr>
      </w:pPr>
    </w:p>
    <w:p w14:paraId="18BA8403">
      <w:pPr>
        <w:spacing w:line="264" w:lineRule="auto"/>
        <w:outlineLvl w:val="9"/>
        <w:rPr>
          <w:rFonts w:ascii="宋体" w:hAnsi="宋体"/>
          <w:color w:val="auto"/>
          <w:sz w:val="24"/>
          <w:highlight w:val="none"/>
        </w:rPr>
      </w:pPr>
    </w:p>
    <w:p w14:paraId="28535DDF">
      <w:pPr>
        <w:tabs>
          <w:tab w:val="left" w:pos="1200"/>
        </w:tabs>
        <w:outlineLvl w:val="9"/>
        <w:rPr>
          <w:rFonts w:ascii="宋体" w:hAnsi="宋体"/>
          <w:color w:val="auto"/>
          <w:sz w:val="24"/>
          <w:highlight w:val="none"/>
        </w:rPr>
      </w:pPr>
    </w:p>
    <w:p w14:paraId="54444803">
      <w:pPr>
        <w:outlineLvl w:val="9"/>
        <w:rPr>
          <w:rFonts w:ascii="宋体" w:hAnsi="宋体"/>
          <w:color w:val="auto"/>
          <w:sz w:val="24"/>
          <w:highlight w:val="none"/>
        </w:rPr>
      </w:pPr>
    </w:p>
    <w:p w14:paraId="584384BD">
      <w:pPr>
        <w:tabs>
          <w:tab w:val="left" w:pos="1200"/>
        </w:tabs>
        <w:outlineLvl w:val="9"/>
        <w:rPr>
          <w:rFonts w:ascii="宋体" w:hAnsi="宋体"/>
          <w:color w:val="auto"/>
          <w:sz w:val="24"/>
          <w:highlight w:val="none"/>
        </w:rPr>
      </w:pPr>
    </w:p>
    <w:p w14:paraId="0001871D">
      <w:pPr>
        <w:outlineLvl w:val="9"/>
        <w:rPr>
          <w:rFonts w:ascii="宋体" w:hAnsi="宋体"/>
          <w:color w:val="auto"/>
          <w:sz w:val="24"/>
          <w:highlight w:val="none"/>
        </w:rPr>
      </w:pPr>
    </w:p>
    <w:p w14:paraId="188ED466">
      <w:pPr>
        <w:tabs>
          <w:tab w:val="left" w:pos="1200"/>
        </w:tabs>
        <w:outlineLvl w:val="9"/>
        <w:rPr>
          <w:rFonts w:ascii="宋体" w:hAnsi="宋体"/>
          <w:color w:val="auto"/>
          <w:sz w:val="24"/>
          <w:highlight w:val="none"/>
        </w:rPr>
      </w:pPr>
    </w:p>
    <w:p w14:paraId="553C236C">
      <w:pPr>
        <w:outlineLvl w:val="9"/>
        <w:rPr>
          <w:rFonts w:ascii="宋体" w:hAnsi="宋体"/>
          <w:color w:val="auto"/>
          <w:sz w:val="24"/>
          <w:highlight w:val="none"/>
        </w:rPr>
      </w:pPr>
    </w:p>
    <w:p w14:paraId="5CA0B0AC">
      <w:pPr>
        <w:pStyle w:val="216"/>
        <w:wordWrap w:val="0"/>
        <w:ind w:right="124" w:rightChars="59" w:firstLine="0"/>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一</w:t>
      </w:r>
    </w:p>
    <w:p w14:paraId="0FEA4C41">
      <w:pPr>
        <w:spacing w:line="366"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联合体协议书</w:t>
      </w:r>
    </w:p>
    <w:p w14:paraId="012584C8">
      <w:pPr>
        <w:spacing w:line="200" w:lineRule="exact"/>
        <w:rPr>
          <w:rFonts w:hint="eastAsia" w:ascii="宋体" w:hAnsi="宋体" w:cs="宋体"/>
          <w:color w:val="auto"/>
          <w:szCs w:val="21"/>
          <w:highlight w:val="none"/>
        </w:rPr>
      </w:pPr>
    </w:p>
    <w:p w14:paraId="63437C32">
      <w:pPr>
        <w:tabs>
          <w:tab w:val="left" w:pos="6240"/>
        </w:tabs>
        <w:spacing w:line="360" w:lineRule="auto"/>
        <w:ind w:firstLine="840" w:firstLineChars="4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（所有成员单位名称）自愿组成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（联合体名称）联合体，共同参加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（项目名称）招标项目投标。现就联合体投标事宜订立如下协议。</w:t>
      </w:r>
    </w:p>
    <w:p w14:paraId="3888D546">
      <w:pPr>
        <w:tabs>
          <w:tab w:val="left" w:pos="2920"/>
          <w:tab w:val="left" w:pos="5860"/>
        </w:tabs>
        <w:spacing w:line="360" w:lineRule="auto"/>
        <w:ind w:left="78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（某成员单位名称）为</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（联合体名称）</w:t>
      </w:r>
      <w:r>
        <w:rPr>
          <w:rFonts w:hint="eastAsia" w:ascii="宋体" w:hAnsi="宋体" w:cs="宋体"/>
          <w:color w:val="auto"/>
          <w:sz w:val="21"/>
          <w:szCs w:val="21"/>
          <w:highlight w:val="none"/>
          <w:lang w:eastAsia="zh-CN"/>
        </w:rPr>
        <w:t>主办方</w:t>
      </w:r>
      <w:r>
        <w:rPr>
          <w:rFonts w:hint="eastAsia" w:ascii="宋体" w:hAnsi="宋体" w:cs="宋体"/>
          <w:color w:val="auto"/>
          <w:sz w:val="21"/>
          <w:szCs w:val="21"/>
          <w:highlight w:val="none"/>
        </w:rPr>
        <w:t>。</w:t>
      </w:r>
    </w:p>
    <w:p w14:paraId="6CB8EBFA">
      <w:pPr>
        <w:numPr>
          <w:ilvl w:val="0"/>
          <w:numId w:val="1"/>
        </w:numPr>
        <w:tabs>
          <w:tab w:val="left" w:pos="1044"/>
        </w:tabs>
        <w:spacing w:line="360" w:lineRule="auto"/>
        <w:ind w:left="360" w:right="26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联合体各成员授权</w:t>
      </w:r>
      <w:r>
        <w:rPr>
          <w:rFonts w:hint="eastAsia" w:ascii="宋体" w:hAnsi="宋体" w:cs="宋体"/>
          <w:color w:val="auto"/>
          <w:sz w:val="21"/>
          <w:szCs w:val="21"/>
          <w:highlight w:val="none"/>
          <w:lang w:eastAsia="zh-CN"/>
        </w:rPr>
        <w:t>主办方</w:t>
      </w:r>
      <w:r>
        <w:rPr>
          <w:rFonts w:hint="eastAsia" w:ascii="宋体" w:hAnsi="宋体" w:cs="宋体"/>
          <w:color w:val="auto"/>
          <w:sz w:val="21"/>
          <w:szCs w:val="21"/>
          <w:highlight w:val="none"/>
        </w:rPr>
        <w:t>代表联合体参加投标活动，签署文件，提交和接收相关的资料、信息及指示，进行合同谈判活动，负责合同实施阶段的组织和协调工作，以及处理与本招标项目有关的一切事宜。</w:t>
      </w:r>
    </w:p>
    <w:p w14:paraId="780961BF">
      <w:pPr>
        <w:numPr>
          <w:ilvl w:val="0"/>
          <w:numId w:val="1"/>
        </w:numPr>
        <w:tabs>
          <w:tab w:val="left" w:pos="1044"/>
        </w:tabs>
        <w:spacing w:line="360" w:lineRule="auto"/>
        <w:ind w:left="360" w:right="14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联合体</w:t>
      </w:r>
      <w:r>
        <w:rPr>
          <w:rFonts w:hint="eastAsia" w:ascii="宋体" w:hAnsi="宋体" w:cs="宋体"/>
          <w:color w:val="auto"/>
          <w:sz w:val="21"/>
          <w:szCs w:val="21"/>
          <w:highlight w:val="none"/>
          <w:lang w:eastAsia="zh-CN"/>
        </w:rPr>
        <w:t>主办方</w:t>
      </w:r>
      <w:r>
        <w:rPr>
          <w:rFonts w:hint="eastAsia" w:ascii="宋体" w:hAnsi="宋体" w:cs="宋体"/>
          <w:color w:val="auto"/>
          <w:sz w:val="21"/>
          <w:szCs w:val="21"/>
          <w:highlight w:val="none"/>
        </w:rPr>
        <w:t>在本项目中签署的一切文件和处理的一切事宜，联合体各成员均予以承认。联合体各成员将严格按照招标文件、投标文件和合同的要求全面履行义务，并向招标人承担连带责任。</w:t>
      </w:r>
    </w:p>
    <w:p w14:paraId="7F5009C2">
      <w:pPr>
        <w:tabs>
          <w:tab w:val="left" w:pos="8980"/>
        </w:tabs>
        <w:spacing w:line="360" w:lineRule="auto"/>
        <w:ind w:left="780"/>
        <w:rPr>
          <w:rFonts w:hint="eastAsia" w:ascii="宋体" w:hAnsi="宋体" w:cs="宋体"/>
          <w:color w:val="auto"/>
          <w:sz w:val="21"/>
          <w:szCs w:val="21"/>
          <w:highlight w:val="none"/>
        </w:rPr>
      </w:pPr>
      <w:r>
        <w:rPr>
          <w:rFonts w:hint="eastAsia" w:ascii="宋体" w:hAnsi="宋体" w:cs="宋体"/>
          <w:color w:val="auto"/>
          <w:sz w:val="21"/>
          <w:szCs w:val="21"/>
          <w:highlight w:val="none"/>
        </w:rPr>
        <w:t>4. 联合体各成员单位内部的职责分工如下：</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5DC437E">
      <w:pPr>
        <w:numPr>
          <w:ilvl w:val="0"/>
          <w:numId w:val="2"/>
        </w:numPr>
        <w:tabs>
          <w:tab w:val="left" w:pos="1044"/>
        </w:tabs>
        <w:spacing w:line="360" w:lineRule="auto"/>
        <w:ind w:left="360" w:right="36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本协议书自所有成员单位法定代表人或其委托代理人签字或盖单位章之日起生效，合同履行完毕后自动失效。</w:t>
      </w:r>
    </w:p>
    <w:p w14:paraId="488E2B7B">
      <w:pPr>
        <w:numPr>
          <w:ilvl w:val="0"/>
          <w:numId w:val="0"/>
        </w:numPr>
        <w:tabs>
          <w:tab w:val="left" w:pos="1044"/>
        </w:tabs>
        <w:spacing w:line="360" w:lineRule="auto"/>
        <w:ind w:left="780" w:right="14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本协议书一式</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份，联合体成员和招标人各执一份</w:t>
      </w:r>
      <w:r>
        <w:rPr>
          <w:rFonts w:hint="eastAsia" w:ascii="宋体" w:hAnsi="宋体" w:eastAsia="宋体" w:cs="宋体"/>
          <w:color w:val="auto"/>
          <w:sz w:val="21"/>
          <w:szCs w:val="21"/>
          <w:highlight w:val="none"/>
          <w:lang w:eastAsia="zh-CN"/>
        </w:rPr>
        <w:t>。</w:t>
      </w:r>
    </w:p>
    <w:p w14:paraId="7C7E480A">
      <w:pPr>
        <w:numPr>
          <w:ilvl w:val="0"/>
          <w:numId w:val="0"/>
        </w:numPr>
        <w:tabs>
          <w:tab w:val="left" w:pos="1044"/>
        </w:tabs>
        <w:spacing w:line="360" w:lineRule="auto"/>
        <w:ind w:left="780" w:right="140"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注：本协议书由法定代表人签</w:t>
      </w:r>
      <w:r>
        <w:rPr>
          <w:rFonts w:hint="eastAsia" w:ascii="宋体" w:hAnsi="宋体" w:cs="宋体"/>
          <w:color w:val="auto"/>
          <w:sz w:val="21"/>
          <w:szCs w:val="21"/>
          <w:highlight w:val="none"/>
        </w:rPr>
        <w:t>字的，应附法定代表人身份证明；由委托代理人签字的，应附授权委托书。</w:t>
      </w:r>
    </w:p>
    <w:p w14:paraId="64AC6457">
      <w:pPr>
        <w:spacing w:line="200" w:lineRule="exact"/>
        <w:rPr>
          <w:rFonts w:hint="eastAsia" w:ascii="宋体" w:hAnsi="宋体" w:cs="宋体"/>
          <w:color w:val="auto"/>
          <w:szCs w:val="21"/>
          <w:highlight w:val="none"/>
        </w:rPr>
      </w:pPr>
    </w:p>
    <w:p w14:paraId="7EE7A979">
      <w:pPr>
        <w:spacing w:line="360" w:lineRule="auto"/>
        <w:ind w:firstLine="3150" w:firstLineChars="1500"/>
        <w:rPr>
          <w:color w:val="auto"/>
          <w:sz w:val="21"/>
          <w:szCs w:val="21"/>
          <w:highlight w:val="none"/>
        </w:rPr>
      </w:pPr>
      <w:r>
        <w:rPr>
          <w:rFonts w:ascii="宋体" w:hAnsi="宋体"/>
          <w:color w:val="auto"/>
          <w:sz w:val="21"/>
          <w:szCs w:val="21"/>
          <w:highlight w:val="none"/>
        </w:rPr>
        <w:t>联合体</w:t>
      </w:r>
      <w:r>
        <w:rPr>
          <w:rFonts w:hint="eastAsia" w:ascii="宋体" w:hAnsi="宋体"/>
          <w:color w:val="auto"/>
          <w:sz w:val="21"/>
          <w:szCs w:val="21"/>
          <w:highlight w:val="none"/>
          <w:lang w:eastAsia="zh-CN"/>
        </w:rPr>
        <w:t>主办方</w:t>
      </w:r>
      <w:r>
        <w:rPr>
          <w:rFonts w:ascii="宋体" w:hAnsi="宋体"/>
          <w:color w:val="auto"/>
          <w:sz w:val="21"/>
          <w:szCs w:val="21"/>
          <w:highlight w:val="none"/>
        </w:rPr>
        <w:t>名称：</w:t>
      </w:r>
      <w:r>
        <w:rPr>
          <w:rFonts w:hint="eastAsia" w:ascii="宋体" w:hAnsi="宋体"/>
          <w:color w:val="auto"/>
          <w:sz w:val="21"/>
          <w:szCs w:val="21"/>
          <w:highlight w:val="none"/>
        </w:rPr>
        <w:t xml:space="preserve">                 </w:t>
      </w:r>
      <w:r>
        <w:rPr>
          <w:rFonts w:ascii="宋体" w:hAnsi="宋体"/>
          <w:color w:val="auto"/>
          <w:sz w:val="21"/>
          <w:szCs w:val="21"/>
          <w:highlight w:val="none"/>
        </w:rPr>
        <w:t>（盖单位章）</w:t>
      </w:r>
    </w:p>
    <w:p w14:paraId="3882CE19">
      <w:pPr>
        <w:pStyle w:val="9"/>
        <w:spacing w:line="360" w:lineRule="auto"/>
        <w:ind w:firstLine="3150" w:firstLineChars="1500"/>
        <w:rPr>
          <w:rFonts w:ascii="宋体" w:hAnsi="宋体"/>
          <w:color w:val="auto"/>
          <w:sz w:val="21"/>
          <w:szCs w:val="21"/>
          <w:highlight w:val="none"/>
        </w:rPr>
      </w:pPr>
      <w:r>
        <w:rPr>
          <w:rFonts w:ascii="宋体" w:hAnsi="宋体"/>
          <w:color w:val="auto"/>
          <w:sz w:val="21"/>
          <w:szCs w:val="21"/>
          <w:highlight w:val="none"/>
        </w:rPr>
        <w:t>法定代表人或其委托代理人：</w:t>
      </w:r>
      <w:r>
        <w:rPr>
          <w:rFonts w:hint="eastAsia" w:ascii="宋体" w:hAnsi="宋体"/>
          <w:color w:val="auto"/>
          <w:sz w:val="21"/>
          <w:szCs w:val="21"/>
          <w:highlight w:val="none"/>
        </w:rPr>
        <w:t xml:space="preserve">         </w:t>
      </w:r>
      <w:r>
        <w:rPr>
          <w:rFonts w:ascii="宋体" w:hAnsi="宋体"/>
          <w:color w:val="auto"/>
          <w:sz w:val="21"/>
          <w:szCs w:val="21"/>
          <w:highlight w:val="none"/>
        </w:rPr>
        <w:t>（签字）</w:t>
      </w:r>
    </w:p>
    <w:p w14:paraId="427B0E94">
      <w:pPr>
        <w:pStyle w:val="9"/>
        <w:spacing w:line="360" w:lineRule="auto"/>
        <w:ind w:firstLine="0" w:firstLineChars="0"/>
        <w:rPr>
          <w:rFonts w:ascii="宋体" w:hAnsi="宋体"/>
          <w:color w:val="auto"/>
          <w:sz w:val="21"/>
          <w:szCs w:val="21"/>
          <w:highlight w:val="none"/>
        </w:rPr>
      </w:pPr>
    </w:p>
    <w:p w14:paraId="085508F8">
      <w:pPr>
        <w:spacing w:line="360" w:lineRule="auto"/>
        <w:ind w:firstLine="3150" w:firstLineChars="1500"/>
        <w:rPr>
          <w:color w:val="auto"/>
          <w:sz w:val="21"/>
          <w:szCs w:val="21"/>
          <w:highlight w:val="none"/>
        </w:rPr>
      </w:pPr>
      <w:r>
        <w:rPr>
          <w:rFonts w:ascii="宋体" w:hAnsi="宋体"/>
          <w:color w:val="auto"/>
          <w:sz w:val="21"/>
          <w:szCs w:val="21"/>
          <w:highlight w:val="none"/>
        </w:rPr>
        <w:t>联合体成员名称：</w:t>
      </w:r>
      <w:r>
        <w:rPr>
          <w:rFonts w:hint="eastAsia" w:ascii="宋体" w:hAnsi="宋体"/>
          <w:color w:val="auto"/>
          <w:sz w:val="21"/>
          <w:szCs w:val="21"/>
          <w:highlight w:val="none"/>
        </w:rPr>
        <w:t xml:space="preserve">                 </w:t>
      </w:r>
      <w:r>
        <w:rPr>
          <w:rFonts w:ascii="宋体" w:hAnsi="宋体"/>
          <w:color w:val="auto"/>
          <w:sz w:val="21"/>
          <w:szCs w:val="21"/>
          <w:highlight w:val="none"/>
        </w:rPr>
        <w:t>（盖单位章）</w:t>
      </w:r>
    </w:p>
    <w:p w14:paraId="02C1957A">
      <w:pPr>
        <w:pStyle w:val="9"/>
        <w:spacing w:line="360" w:lineRule="auto"/>
        <w:ind w:firstLine="3150" w:firstLineChars="1500"/>
        <w:rPr>
          <w:color w:val="auto"/>
          <w:sz w:val="21"/>
          <w:szCs w:val="21"/>
          <w:highlight w:val="none"/>
        </w:rPr>
      </w:pPr>
      <w:r>
        <w:rPr>
          <w:rFonts w:ascii="宋体" w:hAnsi="宋体"/>
          <w:color w:val="auto"/>
          <w:sz w:val="21"/>
          <w:szCs w:val="21"/>
          <w:highlight w:val="none"/>
        </w:rPr>
        <w:t>法定代表人或其委托代理人：</w:t>
      </w:r>
      <w:r>
        <w:rPr>
          <w:rFonts w:hint="eastAsia" w:ascii="宋体" w:hAnsi="宋体"/>
          <w:color w:val="auto"/>
          <w:sz w:val="21"/>
          <w:szCs w:val="21"/>
          <w:highlight w:val="none"/>
        </w:rPr>
        <w:t xml:space="preserve">         </w:t>
      </w:r>
      <w:r>
        <w:rPr>
          <w:rFonts w:ascii="宋体" w:hAnsi="宋体"/>
          <w:color w:val="auto"/>
          <w:sz w:val="21"/>
          <w:szCs w:val="21"/>
          <w:highlight w:val="none"/>
        </w:rPr>
        <w:t>（签字）</w:t>
      </w:r>
    </w:p>
    <w:p w14:paraId="1F3C801C">
      <w:pPr>
        <w:pStyle w:val="9"/>
        <w:spacing w:line="360" w:lineRule="auto"/>
        <w:ind w:firstLine="0" w:firstLineChars="0"/>
        <w:jc w:val="right"/>
        <w:rPr>
          <w:rFonts w:hint="eastAsia" w:ascii="宋体" w:hAnsi="宋体"/>
          <w:color w:val="auto"/>
          <w:sz w:val="21"/>
          <w:szCs w:val="21"/>
          <w:highlight w:val="none"/>
        </w:rPr>
      </w:pPr>
    </w:p>
    <w:p w14:paraId="73E660DB">
      <w:pPr>
        <w:spacing w:line="264" w:lineRule="auto"/>
        <w:jc w:val="right"/>
        <w:rPr>
          <w:rFonts w:hint="eastAsia" w:ascii="宋体" w:hAnsi="宋体"/>
          <w:color w:val="auto"/>
          <w:sz w:val="24"/>
          <w:highlight w:val="none"/>
        </w:rPr>
      </w:pPr>
      <w:r>
        <w:rPr>
          <w:rFonts w:hint="eastAsia" w:ascii="宋体" w:hAnsi="宋体"/>
          <w:color w:val="auto"/>
          <w:sz w:val="21"/>
          <w:szCs w:val="21"/>
          <w:highlight w:val="none"/>
        </w:rPr>
        <w:t>年    月    日</w:t>
      </w:r>
    </w:p>
    <w:p w14:paraId="18D8F657">
      <w:pPr>
        <w:spacing w:line="264" w:lineRule="auto"/>
        <w:rPr>
          <w:rFonts w:hint="eastAsia" w:ascii="宋体" w:hAnsi="宋体"/>
          <w:color w:val="auto"/>
          <w:sz w:val="24"/>
          <w:highlight w:val="none"/>
        </w:rPr>
      </w:pPr>
    </w:p>
    <w:p w14:paraId="0674D257">
      <w:pPr>
        <w:spacing w:line="264" w:lineRule="auto"/>
        <w:rPr>
          <w:rFonts w:hint="eastAsia" w:ascii="宋体" w:hAnsi="宋体"/>
          <w:color w:val="auto"/>
          <w:sz w:val="24"/>
          <w:highlight w:val="none"/>
        </w:rPr>
      </w:pPr>
    </w:p>
    <w:p w14:paraId="07B832FD">
      <w:pPr>
        <w:pStyle w:val="25"/>
        <w:rPr>
          <w:rFonts w:hint="eastAsia" w:ascii="宋体" w:hAnsi="宋体"/>
          <w:color w:val="auto"/>
          <w:sz w:val="24"/>
          <w:highlight w:val="none"/>
        </w:rPr>
      </w:pPr>
    </w:p>
    <w:p w14:paraId="192484D5">
      <w:pPr>
        <w:rPr>
          <w:rFonts w:hint="eastAsia" w:ascii="宋体" w:hAnsi="宋体"/>
          <w:color w:val="auto"/>
          <w:sz w:val="24"/>
          <w:highlight w:val="none"/>
        </w:rPr>
      </w:pPr>
    </w:p>
    <w:p w14:paraId="4596B972">
      <w:pPr>
        <w:pStyle w:val="25"/>
        <w:rPr>
          <w:rFonts w:hint="eastAsia" w:ascii="宋体" w:hAnsi="宋体"/>
          <w:color w:val="auto"/>
          <w:sz w:val="24"/>
          <w:highlight w:val="none"/>
        </w:rPr>
      </w:pPr>
    </w:p>
    <w:p w14:paraId="742AA1B5">
      <w:pPr>
        <w:rPr>
          <w:rFonts w:hint="eastAsia"/>
          <w:color w:val="auto"/>
          <w:highlight w:val="none"/>
        </w:rPr>
      </w:pPr>
    </w:p>
    <w:p w14:paraId="1D1A38B6">
      <w:pPr>
        <w:pStyle w:val="4"/>
        <w:outlineLvl w:val="0"/>
        <w:rPr>
          <w:rFonts w:hint="eastAsia" w:ascii="Times New Roman" w:hAnsi="Times New Roman" w:eastAsia="宋体" w:cs="Times New Roman"/>
          <w:b/>
          <w:bCs/>
          <w:color w:val="auto"/>
          <w:highlight w:val="none"/>
          <w:lang w:val="en-US" w:eastAsia="zh-CN"/>
        </w:rPr>
      </w:pPr>
      <w:bookmarkStart w:id="0" w:name="_Toc25402"/>
      <w:bookmarkStart w:id="1" w:name="_Toc8229512"/>
      <w:r>
        <w:rPr>
          <w:rFonts w:hint="eastAsia" w:ascii="Times New Roman" w:hAnsi="Times New Roman" w:eastAsia="宋体" w:cs="Times New Roman"/>
          <w:b/>
          <w:bCs/>
          <w:color w:val="auto"/>
          <w:highlight w:val="none"/>
          <w:lang w:val="en-US" w:eastAsia="zh-CN"/>
        </w:rPr>
        <w:t>第一章 投标须知及前附表</w:t>
      </w:r>
      <w:bookmarkEnd w:id="0"/>
    </w:p>
    <w:p w14:paraId="4F5631FA">
      <w:pPr>
        <w:pStyle w:val="5"/>
        <w:rPr>
          <w:color w:val="auto"/>
          <w:highlight w:val="none"/>
        </w:rPr>
      </w:pPr>
      <w:r>
        <w:rPr>
          <w:rFonts w:hint="eastAsia"/>
          <w:color w:val="auto"/>
          <w:sz w:val="24"/>
          <w:highlight w:val="none"/>
        </w:rPr>
        <w:t>一、</w:t>
      </w:r>
      <w:r>
        <w:rPr>
          <w:rFonts w:hint="eastAsia"/>
          <w:color w:val="auto"/>
          <w:highlight w:val="none"/>
        </w:rPr>
        <w:t>投标须知前附表</w:t>
      </w:r>
      <w:bookmarkEnd w:id="1"/>
    </w:p>
    <w:tbl>
      <w:tblPr>
        <w:tblStyle w:val="31"/>
        <w:tblW w:w="98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702"/>
        <w:gridCol w:w="1026"/>
        <w:gridCol w:w="1440"/>
        <w:gridCol w:w="6660"/>
      </w:tblGrid>
      <w:tr w14:paraId="6183AC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431" w:hRule="atLeast"/>
          <w:tblHeader/>
          <w:jc w:val="center"/>
        </w:trPr>
        <w:tc>
          <w:tcPr>
            <w:tcW w:w="702" w:type="dxa"/>
            <w:noWrap w:val="0"/>
            <w:vAlign w:val="center"/>
          </w:tcPr>
          <w:p w14:paraId="02D3D3DE">
            <w:pPr>
              <w:pStyle w:val="29"/>
              <w:bidi w:val="0"/>
              <w:jc w:val="center"/>
              <w:rPr>
                <w:rFonts w:hint="eastAsia"/>
                <w:color w:val="auto"/>
                <w:highlight w:val="none"/>
                <w:lang w:val="en-US" w:eastAsia="zh-CN"/>
              </w:rPr>
            </w:pPr>
            <w:r>
              <w:rPr>
                <w:rFonts w:hint="eastAsia"/>
                <w:color w:val="auto"/>
                <w:highlight w:val="none"/>
                <w:lang w:val="en-US" w:eastAsia="zh-CN"/>
              </w:rPr>
              <w:t>项目</w:t>
            </w:r>
          </w:p>
        </w:tc>
        <w:tc>
          <w:tcPr>
            <w:tcW w:w="1026" w:type="dxa"/>
            <w:noWrap w:val="0"/>
            <w:vAlign w:val="center"/>
          </w:tcPr>
          <w:p w14:paraId="68CBA2D7">
            <w:pPr>
              <w:pStyle w:val="29"/>
              <w:bidi w:val="0"/>
              <w:jc w:val="center"/>
              <w:rPr>
                <w:rFonts w:hint="eastAsia"/>
                <w:color w:val="auto"/>
                <w:highlight w:val="none"/>
                <w:lang w:val="en-US" w:eastAsia="zh-CN"/>
              </w:rPr>
            </w:pPr>
            <w:r>
              <w:rPr>
                <w:rFonts w:hint="eastAsia"/>
                <w:color w:val="auto"/>
                <w:highlight w:val="none"/>
                <w:lang w:val="en-US" w:eastAsia="zh-CN"/>
              </w:rPr>
              <w:t>条款号</w:t>
            </w:r>
          </w:p>
        </w:tc>
        <w:tc>
          <w:tcPr>
            <w:tcW w:w="1440" w:type="dxa"/>
            <w:noWrap w:val="0"/>
            <w:vAlign w:val="center"/>
          </w:tcPr>
          <w:p w14:paraId="0BBBDDF3">
            <w:pPr>
              <w:pStyle w:val="29"/>
              <w:bidi w:val="0"/>
              <w:jc w:val="center"/>
              <w:rPr>
                <w:rFonts w:hint="eastAsia"/>
                <w:color w:val="auto"/>
                <w:highlight w:val="none"/>
                <w:lang w:val="en-US" w:eastAsia="zh-CN"/>
              </w:rPr>
            </w:pPr>
            <w:r>
              <w:rPr>
                <w:rFonts w:hint="eastAsia"/>
                <w:color w:val="auto"/>
                <w:highlight w:val="none"/>
                <w:lang w:val="en-US" w:eastAsia="zh-CN"/>
              </w:rPr>
              <w:t>内容</w:t>
            </w:r>
          </w:p>
        </w:tc>
        <w:tc>
          <w:tcPr>
            <w:tcW w:w="6660" w:type="dxa"/>
            <w:noWrap w:val="0"/>
            <w:vAlign w:val="center"/>
          </w:tcPr>
          <w:p w14:paraId="38AB3946">
            <w:pPr>
              <w:pStyle w:val="29"/>
              <w:bidi w:val="0"/>
              <w:jc w:val="center"/>
              <w:rPr>
                <w:rFonts w:hint="eastAsia"/>
                <w:color w:val="auto"/>
                <w:highlight w:val="none"/>
                <w:lang w:val="en-US" w:eastAsia="zh-CN"/>
              </w:rPr>
            </w:pPr>
            <w:r>
              <w:rPr>
                <w:rFonts w:hint="eastAsia"/>
                <w:color w:val="auto"/>
                <w:highlight w:val="none"/>
                <w:lang w:val="en-US" w:eastAsia="zh-CN"/>
              </w:rPr>
              <w:t>说明与要求</w:t>
            </w:r>
          </w:p>
        </w:tc>
      </w:tr>
      <w:tr w14:paraId="03E43B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717" w:hRule="atLeast"/>
          <w:jc w:val="center"/>
        </w:trPr>
        <w:tc>
          <w:tcPr>
            <w:tcW w:w="702" w:type="dxa"/>
            <w:noWrap w:val="0"/>
            <w:vAlign w:val="center"/>
          </w:tcPr>
          <w:p w14:paraId="1D41E43A">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26" w:type="dxa"/>
            <w:noWrap w:val="0"/>
            <w:vAlign w:val="center"/>
          </w:tcPr>
          <w:p w14:paraId="07C0774C">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1440" w:type="dxa"/>
            <w:noWrap w:val="0"/>
            <w:vAlign w:val="center"/>
          </w:tcPr>
          <w:p w14:paraId="0658D5A7">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60" w:type="dxa"/>
            <w:noWrap w:val="0"/>
            <w:vAlign w:val="center"/>
          </w:tcPr>
          <w:p w14:paraId="4CFA9959">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eastAsia="zh-CN"/>
              </w:rPr>
              <w:t>阳江水资源配置工程(一期)临时用地土地报批服务</w:t>
            </w:r>
          </w:p>
        </w:tc>
      </w:tr>
      <w:tr w14:paraId="1FD9F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420" w:hRule="atLeast"/>
          <w:jc w:val="center"/>
        </w:trPr>
        <w:tc>
          <w:tcPr>
            <w:tcW w:w="702" w:type="dxa"/>
            <w:noWrap w:val="0"/>
            <w:vAlign w:val="center"/>
          </w:tcPr>
          <w:p w14:paraId="06BC0786">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026" w:type="dxa"/>
            <w:noWrap w:val="0"/>
            <w:vAlign w:val="center"/>
          </w:tcPr>
          <w:p w14:paraId="2F4E7AD8">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3.2.2</w:t>
            </w:r>
          </w:p>
        </w:tc>
        <w:tc>
          <w:tcPr>
            <w:tcW w:w="1440" w:type="dxa"/>
            <w:noWrap w:val="0"/>
            <w:vAlign w:val="center"/>
          </w:tcPr>
          <w:p w14:paraId="36E2690E">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660" w:type="dxa"/>
            <w:noWrap w:val="0"/>
            <w:vAlign w:val="center"/>
          </w:tcPr>
          <w:p w14:paraId="0F39D441">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eastAsia="zh-CN"/>
              </w:rPr>
              <w:t>阳江市、阳春市</w:t>
            </w:r>
          </w:p>
        </w:tc>
      </w:tr>
      <w:tr w14:paraId="1B9DAF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674" w:hRule="atLeast"/>
          <w:jc w:val="center"/>
        </w:trPr>
        <w:tc>
          <w:tcPr>
            <w:tcW w:w="702" w:type="dxa"/>
            <w:noWrap w:val="0"/>
            <w:vAlign w:val="center"/>
          </w:tcPr>
          <w:p w14:paraId="0804A4AE">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26" w:type="dxa"/>
            <w:noWrap w:val="0"/>
            <w:vAlign w:val="center"/>
          </w:tcPr>
          <w:p w14:paraId="2AFF589F">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1440" w:type="dxa"/>
            <w:noWrap w:val="0"/>
            <w:vAlign w:val="center"/>
          </w:tcPr>
          <w:p w14:paraId="6FB4F30D">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工程概况</w:t>
            </w:r>
          </w:p>
        </w:tc>
        <w:tc>
          <w:tcPr>
            <w:tcW w:w="6660" w:type="dxa"/>
            <w:noWrap w:val="0"/>
            <w:vAlign w:val="center"/>
          </w:tcPr>
          <w:p w14:paraId="1AA1B3B5">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工程任务为供水，通过引水和输水管道等工程将大河水库的水资源引到阳春市区和阳江市区，提供阳春市区和阳江市区的生活和工业用水。</w:t>
            </w:r>
          </w:p>
          <w:p w14:paraId="4E1BC83B">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本工程隧洞取水口位于大河水库库区范围内，距离主坝上游约7千米，采用岸塔式进水口。线路全长57.678千米，其中阳江线总长约53.811千米；阳春线总长约3.867千米。</w:t>
            </w:r>
          </w:p>
          <w:p w14:paraId="7FEFA37C">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供水范围包括江城区、海陵区、高新区，阳东区东城镇、北惯镇、合山镇，阳春市的春城街道、河西街道、陂面镇、马水镇、岗美镇。阳江市区从大河水库取水量为16060万立方米/年，阳春市区从大河水库取水量为8030万立方米/年。</w:t>
            </w:r>
          </w:p>
          <w:p w14:paraId="5AF0FD8E">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本工程等别为Ⅱ等，工程规模为大(2)型。</w:t>
            </w:r>
          </w:p>
          <w:p w14:paraId="7C3A7426">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eastAsia="zh-CN"/>
              </w:rPr>
              <w:t>注：最终建设规模和内容以设计施工图审批结果为准。</w:t>
            </w:r>
          </w:p>
        </w:tc>
      </w:tr>
      <w:tr w14:paraId="30F19B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565" w:hRule="atLeast"/>
          <w:jc w:val="center"/>
        </w:trPr>
        <w:tc>
          <w:tcPr>
            <w:tcW w:w="702" w:type="dxa"/>
            <w:noWrap w:val="0"/>
            <w:vAlign w:val="center"/>
          </w:tcPr>
          <w:p w14:paraId="158D299A">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26" w:type="dxa"/>
            <w:noWrap w:val="0"/>
            <w:vAlign w:val="center"/>
          </w:tcPr>
          <w:p w14:paraId="5019D688">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3.2.4</w:t>
            </w:r>
          </w:p>
        </w:tc>
        <w:tc>
          <w:tcPr>
            <w:tcW w:w="1440" w:type="dxa"/>
            <w:noWrap w:val="0"/>
            <w:vAlign w:val="center"/>
          </w:tcPr>
          <w:p w14:paraId="2B99AB9E">
            <w:pPr>
              <w:pStyle w:val="164"/>
              <w:bidi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质量标准</w:t>
            </w:r>
          </w:p>
        </w:tc>
        <w:tc>
          <w:tcPr>
            <w:tcW w:w="6660" w:type="dxa"/>
            <w:noWrap w:val="0"/>
            <w:vAlign w:val="center"/>
          </w:tcPr>
          <w:p w14:paraId="293414AC">
            <w:pPr>
              <w:pStyle w:val="164"/>
              <w:bidi w:val="0"/>
              <w:rPr>
                <w:rFonts w:hint="eastAsia" w:ascii="宋体" w:hAnsi="宋体" w:eastAsia="宋体" w:cs="宋体"/>
                <w:color w:val="auto"/>
                <w:highlight w:val="none"/>
              </w:rPr>
            </w:pPr>
            <w:r>
              <w:rPr>
                <w:rFonts w:hint="eastAsia" w:ascii="宋体" w:hAnsi="宋体" w:eastAsia="宋体" w:cs="宋体"/>
                <w:color w:val="auto"/>
                <w:highlight w:val="none"/>
              </w:rPr>
              <w:t>按国家相关规定执行的合格标准。</w:t>
            </w:r>
          </w:p>
        </w:tc>
      </w:tr>
      <w:tr w14:paraId="493FA5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1145" w:hRule="atLeast"/>
          <w:jc w:val="center"/>
        </w:trPr>
        <w:tc>
          <w:tcPr>
            <w:tcW w:w="702" w:type="dxa"/>
            <w:noWrap w:val="0"/>
            <w:vAlign w:val="center"/>
          </w:tcPr>
          <w:p w14:paraId="2FD8D100">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026" w:type="dxa"/>
            <w:noWrap w:val="0"/>
            <w:vAlign w:val="center"/>
          </w:tcPr>
          <w:p w14:paraId="5054208A">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3.2.5</w:t>
            </w:r>
          </w:p>
        </w:tc>
        <w:tc>
          <w:tcPr>
            <w:tcW w:w="1440" w:type="dxa"/>
            <w:noWrap w:val="0"/>
            <w:vAlign w:val="center"/>
          </w:tcPr>
          <w:p w14:paraId="491FA923">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服务期限</w:t>
            </w:r>
          </w:p>
        </w:tc>
        <w:tc>
          <w:tcPr>
            <w:tcW w:w="6660" w:type="dxa"/>
            <w:noWrap w:val="0"/>
            <w:vAlign w:val="center"/>
          </w:tcPr>
          <w:p w14:paraId="34D6B427">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Arial" w:hAnsi="Arial" w:eastAsia="宋体" w:cs="Arial"/>
                <w:i w:val="0"/>
                <w:iCs w:val="0"/>
                <w:caps w:val="0"/>
                <w:color w:val="auto"/>
                <w:spacing w:val="0"/>
                <w:sz w:val="21"/>
                <w:szCs w:val="21"/>
                <w:highlight w:val="none"/>
                <w:shd w:val="clear" w:color="auto" w:fill="FFFFFF"/>
              </w:rPr>
              <w:t>详见招标公告</w:t>
            </w:r>
          </w:p>
        </w:tc>
      </w:tr>
      <w:tr w14:paraId="31D2E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cantSplit/>
          <w:trHeight w:val="2393" w:hRule="atLeast"/>
          <w:jc w:val="center"/>
        </w:trPr>
        <w:tc>
          <w:tcPr>
            <w:tcW w:w="702" w:type="dxa"/>
            <w:noWrap w:val="0"/>
            <w:vAlign w:val="center"/>
          </w:tcPr>
          <w:p w14:paraId="6151A85E">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026" w:type="dxa"/>
            <w:noWrap w:val="0"/>
            <w:vAlign w:val="center"/>
          </w:tcPr>
          <w:p w14:paraId="53D806BC">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3.3.1</w:t>
            </w:r>
          </w:p>
        </w:tc>
        <w:tc>
          <w:tcPr>
            <w:tcW w:w="1440" w:type="dxa"/>
            <w:noWrap w:val="0"/>
            <w:vAlign w:val="center"/>
          </w:tcPr>
          <w:p w14:paraId="158448BD">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招标范围和内容</w:t>
            </w:r>
          </w:p>
        </w:tc>
        <w:tc>
          <w:tcPr>
            <w:tcW w:w="6660" w:type="dxa"/>
            <w:noWrap w:val="0"/>
            <w:vAlign w:val="center"/>
          </w:tcPr>
          <w:p w14:paraId="3F4A3F59">
            <w:pPr>
              <w:pStyle w:val="164"/>
              <w:bidi w:val="0"/>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招标内容：服务内容共4项，具体详见下述内容：</w:t>
            </w:r>
          </w:p>
          <w:p w14:paraId="073B26FA">
            <w:pPr>
              <w:pStyle w:val="164"/>
              <w:bidi w:val="0"/>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（1）临时用地使用林地技术服务</w:t>
            </w:r>
          </w:p>
          <w:p w14:paraId="7DE63213">
            <w:pPr>
              <w:pStyle w:val="164"/>
              <w:bidi w:val="0"/>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按照国家林业局《使用林地可行性报告编写规范》的要求对征、占用的林地现状进行外业调查。按照国家林业局《使用林地可行性报告编写规范》的要求编写项目使用林地调查表(含先行工程使用林地调查表)或使用林地可行性研究报告，完全满足省林业厅及国家林业局的林地报批工作。完成本项目使用林地所需用林报批工作，提供征占用林地过程中的有关技术咨询。</w:t>
            </w:r>
          </w:p>
          <w:p w14:paraId="138D3377">
            <w:pPr>
              <w:pStyle w:val="164"/>
              <w:bidi w:val="0"/>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（2）临时用地土地复垦方案编制服务</w:t>
            </w:r>
          </w:p>
          <w:p w14:paraId="27B6D16F">
            <w:pPr>
              <w:pStyle w:val="164"/>
              <w:bidi w:val="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编制临时用地土地复垦方案，需要配备4-6名工程师，10天内完成资料收集与踏勘，15天内方案编制，15天内图件表格附件制作，在项目材料齐全的情况下，配合行政主管部门组织复垦方案专家评审会，并根据专家意见修改完善方案报告，直至复垦方案通过审批。</w:t>
            </w:r>
          </w:p>
          <w:p w14:paraId="3CB56FA5">
            <w:pPr>
              <w:pStyle w:val="164"/>
              <w:bidi w:val="0"/>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（3）1:500地形测绘服务</w:t>
            </w:r>
          </w:p>
          <w:p w14:paraId="47EB8AAF">
            <w:pPr>
              <w:pStyle w:val="164"/>
              <w:bidi w:val="0"/>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采用GPS静态测量或导线测量方式建立首级平面控制网，覆盖全测区不同地貌类型，数据采集与地形要素测绘，数据处理与成图。编制控制点成果表、技术总结报告、质检记录及数据光盘。</w:t>
            </w:r>
          </w:p>
          <w:p w14:paraId="51371276">
            <w:pPr>
              <w:pStyle w:val="164"/>
              <w:bidi w:val="0"/>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（4）临时用地放桩定界服务</w:t>
            </w:r>
          </w:p>
          <w:p w14:paraId="1711BC9B">
            <w:pPr>
              <w:pStyle w:val="164"/>
              <w:bidi w:val="0"/>
              <w:rPr>
                <w:rFonts w:hint="eastAsia" w:ascii="宋体" w:hAnsi="宋体" w:eastAsia="宋体" w:cs="宋体"/>
                <w:b w:val="0"/>
                <w:bCs w:val="0"/>
                <w:color w:val="auto"/>
                <w:sz w:val="21"/>
                <w:szCs w:val="20"/>
                <w:highlight w:val="none"/>
                <w:u w:val="none"/>
                <w:lang w:val="en-US" w:eastAsia="zh-CN"/>
              </w:rPr>
            </w:pPr>
            <w:r>
              <w:rPr>
                <w:rFonts w:hint="eastAsia" w:ascii="宋体" w:hAnsi="宋体" w:eastAsia="宋体" w:cs="宋体"/>
                <w:b w:val="0"/>
                <w:bCs w:val="0"/>
                <w:color w:val="auto"/>
                <w:sz w:val="21"/>
                <w:szCs w:val="20"/>
                <w:highlight w:val="none"/>
                <w:u w:val="none"/>
                <w:lang w:val="en-US" w:eastAsia="zh-CN"/>
              </w:rPr>
              <w:t>确定征地红线坐标，采用RTK或全站仪进行高精度放样，界桩间距根据地形复杂程度控制在20-50米，拐点、争议点必须设桩。完成界桩坐标表（含编号、坐标、高程）、放样点分布图（DWG/SHP格式）及实地放样记录表。</w:t>
            </w:r>
          </w:p>
          <w:p w14:paraId="4E14BC07">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b w:val="0"/>
                <w:bCs w:val="0"/>
                <w:color w:val="auto"/>
                <w:sz w:val="21"/>
                <w:szCs w:val="20"/>
                <w:highlight w:val="none"/>
                <w:u w:val="none"/>
                <w:lang w:val="en-US" w:eastAsia="zh-CN"/>
              </w:rPr>
              <w:t>注：具体以招标文件、合同条款及招标过程中所发出的相关文件所包含的全部内容为准。</w:t>
            </w:r>
          </w:p>
        </w:tc>
      </w:tr>
      <w:tr w14:paraId="50E37A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642" w:hRule="atLeast"/>
          <w:jc w:val="center"/>
        </w:trPr>
        <w:tc>
          <w:tcPr>
            <w:tcW w:w="702" w:type="dxa"/>
            <w:noWrap w:val="0"/>
            <w:vAlign w:val="center"/>
          </w:tcPr>
          <w:p w14:paraId="1A3DFAF3">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026" w:type="dxa"/>
            <w:noWrap w:val="0"/>
            <w:vAlign w:val="center"/>
          </w:tcPr>
          <w:p w14:paraId="3709D740">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4.1</w:t>
            </w:r>
          </w:p>
        </w:tc>
        <w:tc>
          <w:tcPr>
            <w:tcW w:w="1440" w:type="dxa"/>
            <w:noWrap w:val="0"/>
            <w:vAlign w:val="center"/>
          </w:tcPr>
          <w:p w14:paraId="2D5988A9">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资金来源</w:t>
            </w:r>
          </w:p>
        </w:tc>
        <w:tc>
          <w:tcPr>
            <w:tcW w:w="6660" w:type="dxa"/>
            <w:noWrap w:val="0"/>
            <w:vAlign w:val="center"/>
          </w:tcPr>
          <w:p w14:paraId="218E788B">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企业自筹和其他统筹资金</w:t>
            </w:r>
            <w:r>
              <w:rPr>
                <w:rFonts w:hint="eastAsia" w:ascii="宋体" w:hAnsi="宋体" w:eastAsia="宋体" w:cs="宋体"/>
                <w:color w:val="auto"/>
                <w:highlight w:val="none"/>
              </w:rPr>
              <w:t>。</w:t>
            </w:r>
          </w:p>
        </w:tc>
      </w:tr>
      <w:tr w14:paraId="56E839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310" w:hRule="atLeast"/>
          <w:jc w:val="center"/>
        </w:trPr>
        <w:tc>
          <w:tcPr>
            <w:tcW w:w="702" w:type="dxa"/>
            <w:noWrap w:val="0"/>
            <w:vAlign w:val="center"/>
          </w:tcPr>
          <w:p w14:paraId="21655A33">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26" w:type="dxa"/>
            <w:noWrap w:val="0"/>
            <w:vAlign w:val="center"/>
          </w:tcPr>
          <w:p w14:paraId="4E19E280">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5</w:t>
            </w:r>
          </w:p>
        </w:tc>
        <w:tc>
          <w:tcPr>
            <w:tcW w:w="1440" w:type="dxa"/>
            <w:noWrap w:val="0"/>
            <w:vAlign w:val="center"/>
          </w:tcPr>
          <w:p w14:paraId="1EEDB954">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投标人资质要求</w:t>
            </w:r>
          </w:p>
        </w:tc>
        <w:tc>
          <w:tcPr>
            <w:tcW w:w="6660" w:type="dxa"/>
            <w:noWrap w:val="0"/>
            <w:vAlign w:val="center"/>
          </w:tcPr>
          <w:p w14:paraId="271AD2A0">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见招标公告第八点“投标人合格条件”</w:t>
            </w:r>
          </w:p>
        </w:tc>
      </w:tr>
      <w:tr w14:paraId="248C66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339" w:hRule="atLeast"/>
          <w:jc w:val="center"/>
        </w:trPr>
        <w:tc>
          <w:tcPr>
            <w:tcW w:w="702" w:type="dxa"/>
            <w:noWrap w:val="0"/>
            <w:vAlign w:val="center"/>
          </w:tcPr>
          <w:p w14:paraId="79044179">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026" w:type="dxa"/>
            <w:noWrap w:val="0"/>
            <w:vAlign w:val="center"/>
          </w:tcPr>
          <w:p w14:paraId="1CF0147E">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6.1</w:t>
            </w:r>
          </w:p>
        </w:tc>
        <w:tc>
          <w:tcPr>
            <w:tcW w:w="1440" w:type="dxa"/>
            <w:noWrap w:val="0"/>
            <w:vAlign w:val="center"/>
          </w:tcPr>
          <w:p w14:paraId="0B1A8479">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踏勘现场</w:t>
            </w:r>
          </w:p>
        </w:tc>
        <w:tc>
          <w:tcPr>
            <w:tcW w:w="6660" w:type="dxa"/>
            <w:noWrap w:val="0"/>
            <w:vAlign w:val="center"/>
          </w:tcPr>
          <w:p w14:paraId="5CF5A833">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由投标人自行踏勘现场。</w:t>
            </w:r>
          </w:p>
        </w:tc>
      </w:tr>
      <w:tr w14:paraId="6FB0B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392" w:hRule="atLeast"/>
          <w:jc w:val="center"/>
        </w:trPr>
        <w:tc>
          <w:tcPr>
            <w:tcW w:w="702" w:type="dxa"/>
            <w:noWrap w:val="0"/>
            <w:vAlign w:val="center"/>
          </w:tcPr>
          <w:p w14:paraId="3B38CCEB">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026" w:type="dxa"/>
            <w:noWrap w:val="0"/>
            <w:vAlign w:val="center"/>
          </w:tcPr>
          <w:p w14:paraId="3DA8ADE4">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9.1</w:t>
            </w:r>
          </w:p>
        </w:tc>
        <w:tc>
          <w:tcPr>
            <w:tcW w:w="1440" w:type="dxa"/>
            <w:noWrap w:val="0"/>
            <w:vAlign w:val="center"/>
          </w:tcPr>
          <w:p w14:paraId="4B20F863">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招标答疑</w:t>
            </w:r>
          </w:p>
        </w:tc>
        <w:tc>
          <w:tcPr>
            <w:tcW w:w="6660" w:type="dxa"/>
            <w:noWrap w:val="0"/>
            <w:vAlign w:val="center"/>
          </w:tcPr>
          <w:p w14:paraId="3B187191">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1、方式：网上答疑；</w:t>
            </w:r>
          </w:p>
          <w:p w14:paraId="0F1945E4">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2、投标人提出问题期限：在投标截止日期18日前；</w:t>
            </w:r>
          </w:p>
          <w:p w14:paraId="6EEC4294">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3、招标文件的澄清、修改期限：在投标截止日期15 日前；</w:t>
            </w:r>
          </w:p>
          <w:p w14:paraId="44F406DD">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 xml:space="preserve">   招标人答疑期限：在投标截止日期15日前；</w:t>
            </w:r>
          </w:p>
          <w:p w14:paraId="7CBCF5C1">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 xml:space="preserve">4、网上答疑的操作指南为：登陆广州交易集团有限公司（广州公共资源交易中心）网站→进入“建设工程”专区→进入“网上答疑”专区→通过项目编号或项目名称找到所需的项目→在上述的答疑时间内点击“提问”→进入到提问区域→提出问题(提问一律不得署名)以及查看所有的问题。  </w:t>
            </w:r>
          </w:p>
          <w:p w14:paraId="031E9867">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bCs w:val="0"/>
                <w:color w:val="auto"/>
                <w:sz w:val="21"/>
                <w:szCs w:val="20"/>
                <w:highlight w:val="none"/>
                <w:u w:val="none"/>
                <w:lang w:val="en-US" w:eastAsia="zh-CN"/>
              </w:rPr>
              <w:t>5、招标答疑文件或澄清文件将在广州交易集团有限公司（广州公共资源交易中心）网站首页的“交易业务-建设工程”专栏中的“项目查询（日程安排、答疑纪要）”，输入项目编号或项目名称查询最新信息。招标澄清或修改或答疑文件一经在广州交易集团有限公司（广州公共资源交易中心）网站发布，视作已发放给所有投标人。</w:t>
            </w:r>
          </w:p>
        </w:tc>
      </w:tr>
      <w:tr w14:paraId="3EEA3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651" w:hRule="atLeast"/>
          <w:jc w:val="center"/>
        </w:trPr>
        <w:tc>
          <w:tcPr>
            <w:tcW w:w="702" w:type="dxa"/>
            <w:noWrap w:val="0"/>
            <w:vAlign w:val="center"/>
          </w:tcPr>
          <w:p w14:paraId="0C7EDC91">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026" w:type="dxa"/>
            <w:noWrap w:val="0"/>
            <w:vAlign w:val="center"/>
          </w:tcPr>
          <w:p w14:paraId="60374368">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14.5</w:t>
            </w:r>
            <w:r>
              <w:rPr>
                <w:rFonts w:hint="eastAsia" w:ascii="宋体" w:hAnsi="宋体" w:eastAsia="宋体" w:cs="宋体"/>
                <w:color w:val="auto"/>
                <w:highlight w:val="none"/>
                <w:lang w:val="en-US" w:eastAsia="zh-CN"/>
              </w:rPr>
              <w:t>.1</w:t>
            </w:r>
          </w:p>
        </w:tc>
        <w:tc>
          <w:tcPr>
            <w:tcW w:w="1440" w:type="dxa"/>
            <w:noWrap w:val="0"/>
            <w:vAlign w:val="center"/>
          </w:tcPr>
          <w:p w14:paraId="6C324DBD">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eastAsia="zh-CN"/>
              </w:rPr>
              <w:t>投标最高限价</w:t>
            </w:r>
          </w:p>
        </w:tc>
        <w:tc>
          <w:tcPr>
            <w:tcW w:w="6660" w:type="dxa"/>
            <w:noWrap w:val="0"/>
            <w:vAlign w:val="center"/>
          </w:tcPr>
          <w:p w14:paraId="4830B83C">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本项目的最高限价</w:t>
            </w:r>
            <w:r>
              <w:rPr>
                <w:rFonts w:hint="eastAsia" w:ascii="宋体" w:hAnsi="宋体" w:eastAsia="宋体" w:cs="宋体"/>
                <w:color w:val="auto"/>
                <w:highlight w:val="none"/>
                <w:lang w:val="en-US" w:eastAsia="zh-CN"/>
              </w:rPr>
              <w:t>T</w:t>
            </w:r>
            <w:r>
              <w:rPr>
                <w:rFonts w:hint="eastAsia" w:ascii="宋体" w:hAnsi="宋体" w:eastAsia="宋体" w:cs="宋体"/>
                <w:color w:val="auto"/>
                <w:highlight w:val="none"/>
              </w:rPr>
              <w:t>为人民币</w:t>
            </w:r>
            <w:r>
              <w:rPr>
                <w:rFonts w:hint="eastAsia" w:ascii="宋体" w:hAnsi="宋体" w:eastAsia="宋体" w:cs="宋体"/>
                <w:color w:val="auto"/>
                <w:highlight w:val="none"/>
                <w:u w:val="single"/>
                <w:lang w:val="en-US" w:eastAsia="zh-CN"/>
              </w:rPr>
              <w:t>534.506万</w:t>
            </w:r>
            <w:r>
              <w:rPr>
                <w:rFonts w:hint="eastAsia" w:ascii="宋体" w:hAnsi="宋体" w:eastAsia="宋体" w:cs="宋体"/>
                <w:color w:val="auto"/>
                <w:highlight w:val="none"/>
                <w:u w:val="none"/>
              </w:rPr>
              <w:t>元</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其中临时使用林地报批技术服务为：</w:t>
            </w:r>
            <w:r>
              <w:rPr>
                <w:rFonts w:hint="eastAsia" w:ascii="宋体" w:hAnsi="宋体" w:eastAsia="宋体" w:cs="宋体"/>
                <w:color w:val="auto"/>
                <w:highlight w:val="none"/>
                <w:u w:val="single"/>
                <w:lang w:val="en-US" w:eastAsia="zh-CN"/>
              </w:rPr>
              <w:t>84.336</w:t>
            </w:r>
            <w:r>
              <w:rPr>
                <w:rFonts w:hint="eastAsia" w:ascii="宋体" w:hAnsi="宋体" w:eastAsia="宋体" w:cs="宋体"/>
                <w:color w:val="auto"/>
                <w:highlight w:val="none"/>
                <w:u w:val="none"/>
                <w:lang w:val="en-US" w:eastAsia="zh-CN"/>
              </w:rPr>
              <w:t>万元；临时用地土地复垦方案技术服务为：</w:t>
            </w:r>
            <w:r>
              <w:rPr>
                <w:rFonts w:hint="eastAsia" w:ascii="宋体" w:hAnsi="宋体" w:eastAsia="宋体" w:cs="宋体"/>
                <w:color w:val="auto"/>
                <w:highlight w:val="none"/>
                <w:u w:val="single"/>
                <w:lang w:val="en-US" w:eastAsia="zh-CN"/>
              </w:rPr>
              <w:t>64.86</w:t>
            </w:r>
            <w:r>
              <w:rPr>
                <w:rFonts w:hint="eastAsia" w:ascii="宋体" w:hAnsi="宋体" w:eastAsia="宋体" w:cs="宋体"/>
                <w:color w:val="auto"/>
                <w:highlight w:val="none"/>
                <w:u w:val="none"/>
                <w:lang w:val="en-US" w:eastAsia="zh-CN"/>
              </w:rPr>
              <w:t>万元；1:500地形、放桩定界测绘服务为：</w:t>
            </w:r>
            <w:r>
              <w:rPr>
                <w:rFonts w:hint="eastAsia" w:ascii="宋体" w:hAnsi="宋体" w:eastAsia="宋体" w:cs="宋体"/>
                <w:color w:val="auto"/>
                <w:highlight w:val="none"/>
                <w:u w:val="single"/>
                <w:lang w:val="en-US" w:eastAsia="zh-CN"/>
              </w:rPr>
              <w:t>385.31</w:t>
            </w:r>
            <w:r>
              <w:rPr>
                <w:rFonts w:hint="eastAsia" w:ascii="宋体" w:hAnsi="宋体" w:eastAsia="宋体" w:cs="宋体"/>
                <w:color w:val="auto"/>
                <w:highlight w:val="none"/>
                <w:u w:val="none"/>
                <w:lang w:val="en-US" w:eastAsia="zh-CN"/>
              </w:rPr>
              <w:t>万元。</w:t>
            </w:r>
          </w:p>
          <w:p w14:paraId="13C02621">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最高投标限价</w:t>
            </w:r>
            <w:r>
              <w:rPr>
                <w:rFonts w:hint="eastAsia" w:ascii="宋体" w:hAnsi="宋体" w:eastAsia="宋体" w:cs="宋体"/>
                <w:color w:val="auto"/>
                <w:highlight w:val="none"/>
                <w:lang w:val="en-US" w:eastAsia="zh-CN"/>
              </w:rPr>
              <w:t>根据第三方编制的预算编制</w:t>
            </w:r>
            <w:r>
              <w:rPr>
                <w:rFonts w:hint="eastAsia" w:ascii="宋体" w:hAnsi="宋体" w:eastAsia="宋体" w:cs="宋体"/>
                <w:color w:val="auto"/>
                <w:highlight w:val="none"/>
              </w:rPr>
              <w:t>，仅供投标使用，中标价仅为暂定合同价，中标价不作为竣工结算的依据。中标后，按审核后的相应费用*（1-投标下浮率）计算并</w:t>
            </w:r>
            <w:r>
              <w:rPr>
                <w:rFonts w:hint="eastAsia" w:ascii="宋体" w:hAnsi="宋体" w:eastAsia="宋体" w:cs="宋体"/>
                <w:color w:val="auto"/>
                <w:highlight w:val="none"/>
                <w:lang w:val="en-US" w:eastAsia="zh-CN"/>
              </w:rPr>
              <w:t>签订</w:t>
            </w:r>
            <w:r>
              <w:rPr>
                <w:rFonts w:hint="eastAsia" w:ascii="宋体" w:hAnsi="宋体" w:eastAsia="宋体" w:cs="宋体"/>
                <w:color w:val="auto"/>
                <w:highlight w:val="none"/>
              </w:rPr>
              <w:t>补充合同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结算最终</w:t>
            </w:r>
            <w:r>
              <w:rPr>
                <w:rFonts w:hint="eastAsia" w:ascii="宋体" w:hAnsi="宋体" w:eastAsia="宋体" w:cs="宋体"/>
                <w:color w:val="auto"/>
                <w:sz w:val="21"/>
                <w:szCs w:val="21"/>
                <w:highlight w:val="none"/>
              </w:rPr>
              <w:t>以财政部门或招标人确定的第三方造价咨询机构审定的金额为准</w:t>
            </w:r>
            <w:r>
              <w:rPr>
                <w:rFonts w:hint="eastAsia" w:ascii="宋体" w:hAnsi="宋体" w:eastAsia="宋体" w:cs="宋体"/>
                <w:color w:val="auto"/>
                <w:highlight w:val="none"/>
              </w:rPr>
              <w:t>。</w:t>
            </w:r>
          </w:p>
        </w:tc>
      </w:tr>
      <w:tr w14:paraId="139FB3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702" w:type="dxa"/>
            <w:noWrap w:val="0"/>
            <w:vAlign w:val="center"/>
          </w:tcPr>
          <w:p w14:paraId="2F1D09E1">
            <w:pPr>
              <w:pStyle w:val="164"/>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026" w:type="dxa"/>
            <w:noWrap w:val="0"/>
            <w:vAlign w:val="center"/>
          </w:tcPr>
          <w:p w14:paraId="5B7A14AC">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16.1</w:t>
            </w:r>
          </w:p>
        </w:tc>
        <w:tc>
          <w:tcPr>
            <w:tcW w:w="1440" w:type="dxa"/>
            <w:noWrap w:val="0"/>
            <w:vAlign w:val="center"/>
          </w:tcPr>
          <w:p w14:paraId="2C30CA91">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投标有效期</w:t>
            </w:r>
          </w:p>
        </w:tc>
        <w:tc>
          <w:tcPr>
            <w:tcW w:w="6660" w:type="dxa"/>
            <w:noWrap w:val="0"/>
            <w:vAlign w:val="center"/>
          </w:tcPr>
          <w:p w14:paraId="4F71668B">
            <w:pPr>
              <w:pStyle w:val="164"/>
              <w:bidi w:val="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90日历天（从投标截止之日算起）</w:t>
            </w:r>
          </w:p>
        </w:tc>
      </w:tr>
      <w:tr w14:paraId="335DD3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484" w:hRule="atLeast"/>
          <w:jc w:val="center"/>
        </w:trPr>
        <w:tc>
          <w:tcPr>
            <w:tcW w:w="702" w:type="dxa"/>
            <w:noWrap w:val="0"/>
            <w:vAlign w:val="center"/>
          </w:tcPr>
          <w:p w14:paraId="40B75427">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026" w:type="dxa"/>
            <w:noWrap w:val="0"/>
            <w:vAlign w:val="center"/>
          </w:tcPr>
          <w:p w14:paraId="362DEDBE">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17.1</w:t>
            </w:r>
          </w:p>
        </w:tc>
        <w:tc>
          <w:tcPr>
            <w:tcW w:w="1440" w:type="dxa"/>
            <w:noWrap w:val="0"/>
            <w:vAlign w:val="center"/>
          </w:tcPr>
          <w:p w14:paraId="2CD6F2AC">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投标保证金</w:t>
            </w:r>
          </w:p>
        </w:tc>
        <w:tc>
          <w:tcPr>
            <w:tcW w:w="6660" w:type="dxa"/>
            <w:noWrap w:val="0"/>
            <w:vAlign w:val="center"/>
          </w:tcPr>
          <w:p w14:paraId="46F89BE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val="0"/>
                <w:color w:val="auto"/>
                <w:sz w:val="21"/>
                <w:szCs w:val="20"/>
                <w:highlight w:val="none"/>
                <w:u w:val="none"/>
                <w:lang w:val="en-US" w:eastAsia="zh-CN"/>
              </w:rPr>
            </w:pPr>
            <w:r>
              <w:rPr>
                <w:rFonts w:hint="eastAsia" w:ascii="宋体" w:hAnsi="宋体" w:eastAsia="宋体" w:cs="宋体"/>
                <w:color w:val="auto"/>
                <w:highlight w:val="none"/>
              </w:rPr>
              <w:t>本项目无需提供</w:t>
            </w:r>
            <w:r>
              <w:rPr>
                <w:rFonts w:hint="eastAsia" w:ascii="宋体" w:hAnsi="宋体" w:eastAsia="宋体" w:cs="宋体"/>
                <w:color w:val="auto"/>
                <w:highlight w:val="none"/>
                <w:lang w:val="en-US" w:eastAsia="zh-CN"/>
              </w:rPr>
              <w:t>投标保证金</w:t>
            </w:r>
            <w:r>
              <w:rPr>
                <w:rFonts w:hint="eastAsia" w:ascii="宋体" w:hAnsi="宋体" w:eastAsia="宋体" w:cs="宋体"/>
                <w:color w:val="auto"/>
                <w:highlight w:val="none"/>
              </w:rPr>
              <w:t xml:space="preserve">。 </w:t>
            </w:r>
          </w:p>
        </w:tc>
      </w:tr>
      <w:tr w14:paraId="63ED29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648" w:hRule="atLeast"/>
          <w:jc w:val="center"/>
        </w:trPr>
        <w:tc>
          <w:tcPr>
            <w:tcW w:w="702" w:type="dxa"/>
            <w:noWrap w:val="0"/>
            <w:vAlign w:val="center"/>
          </w:tcPr>
          <w:p w14:paraId="5EEF74B0">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026" w:type="dxa"/>
            <w:noWrap w:val="0"/>
            <w:vAlign w:val="center"/>
          </w:tcPr>
          <w:p w14:paraId="6463E171">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18.3</w:t>
            </w:r>
          </w:p>
        </w:tc>
        <w:tc>
          <w:tcPr>
            <w:tcW w:w="1440" w:type="dxa"/>
            <w:noWrap w:val="0"/>
            <w:vAlign w:val="center"/>
          </w:tcPr>
          <w:p w14:paraId="25F01CBD">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投标文件所附证书证件要求</w:t>
            </w:r>
          </w:p>
        </w:tc>
        <w:tc>
          <w:tcPr>
            <w:tcW w:w="6660" w:type="dxa"/>
            <w:noWrap w:val="0"/>
            <w:vAlign w:val="center"/>
          </w:tcPr>
          <w:p w14:paraId="7E862C64">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投标文件全部采用电子文档，投标文件所附证书证件均为原件的</w:t>
            </w:r>
            <w:r>
              <w:rPr>
                <w:rFonts w:hint="eastAsia" w:ascii="宋体" w:hAnsi="宋体" w:eastAsia="宋体" w:cs="宋体"/>
                <w:color w:val="auto"/>
                <w:szCs w:val="21"/>
                <w:highlight w:val="none"/>
                <w:lang w:val="en-US" w:eastAsia="zh-CN"/>
              </w:rPr>
              <w:t>清晰</w:t>
            </w:r>
            <w:r>
              <w:rPr>
                <w:rFonts w:hint="eastAsia" w:ascii="宋体" w:hAnsi="宋体" w:eastAsia="宋体" w:cs="宋体"/>
                <w:color w:val="auto"/>
                <w:szCs w:val="21"/>
                <w:highlight w:val="none"/>
              </w:rPr>
              <w:t>扫描件，按招标文件要求在相应位置盖单位公章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用单位数字证书加盖电子</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lang w:eastAsia="zh-CN"/>
              </w:rPr>
              <w:t>。</w:t>
            </w:r>
          </w:p>
        </w:tc>
      </w:tr>
      <w:tr w14:paraId="191540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702" w:type="dxa"/>
            <w:noWrap w:val="0"/>
            <w:vAlign w:val="center"/>
          </w:tcPr>
          <w:p w14:paraId="19148D43">
            <w:pPr>
              <w:pStyle w:val="164"/>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1026" w:type="dxa"/>
            <w:noWrap w:val="0"/>
            <w:vAlign w:val="center"/>
          </w:tcPr>
          <w:p w14:paraId="50F71C39">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18.3</w:t>
            </w:r>
          </w:p>
        </w:tc>
        <w:tc>
          <w:tcPr>
            <w:tcW w:w="1440" w:type="dxa"/>
            <w:noWrap w:val="0"/>
            <w:vAlign w:val="center"/>
          </w:tcPr>
          <w:p w14:paraId="0839FC05">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投标文件签字或盖章要求</w:t>
            </w:r>
          </w:p>
        </w:tc>
        <w:tc>
          <w:tcPr>
            <w:tcW w:w="6660" w:type="dxa"/>
            <w:noWrap w:val="0"/>
            <w:vAlign w:val="center"/>
          </w:tcPr>
          <w:p w14:paraId="2CE30A23">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投标文件格式规定需个人签字的，应签字或签章后扫描上传。</w:t>
            </w:r>
            <w:r>
              <w:rPr>
                <w:rFonts w:hint="eastAsia" w:ascii="宋体" w:hAnsi="宋体" w:eastAsia="宋体" w:cs="宋体"/>
                <w:color w:val="auto"/>
                <w:szCs w:val="21"/>
                <w:highlight w:val="none"/>
                <w:lang w:val="en-US" w:eastAsia="zh-CN"/>
              </w:rPr>
              <w:t>本项目招标不接受</w:t>
            </w:r>
            <w:r>
              <w:rPr>
                <w:rFonts w:hint="eastAsia" w:ascii="宋体" w:hAnsi="宋体" w:eastAsia="宋体" w:cs="宋体"/>
                <w:color w:val="auto"/>
                <w:szCs w:val="21"/>
                <w:highlight w:val="none"/>
              </w:rPr>
              <w:t>个人数字证书和个人电子</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投标文件格式规定盖单位公章的页面按招标文件要求在相应位置盖单位公章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用单位数字证书加盖电子</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（公章与电子公章具有相同法律效力）。</w:t>
            </w:r>
            <w:r>
              <w:rPr>
                <w:rFonts w:hint="eastAsia" w:ascii="宋体" w:hAnsi="宋体" w:cs="宋体"/>
                <w:color w:val="auto"/>
                <w:szCs w:val="21"/>
                <w:highlight w:val="none"/>
                <w:u w:val="single"/>
              </w:rPr>
              <w:t>联合体投标的，投标文件中的联合体协议书需联合体各方盖章签字，法人代表证明书、授权委托书由主办方出具，投标文件其他内容中的“投标人”、“声明企业”应填写联合体各方的单位全称，但由主办方盖章、签字即可。</w:t>
            </w:r>
          </w:p>
        </w:tc>
      </w:tr>
      <w:tr w14:paraId="64670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168" w:hRule="atLeast"/>
          <w:jc w:val="center"/>
        </w:trPr>
        <w:tc>
          <w:tcPr>
            <w:tcW w:w="702" w:type="dxa"/>
            <w:noWrap w:val="0"/>
            <w:vAlign w:val="center"/>
          </w:tcPr>
          <w:p w14:paraId="646BECF0">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026" w:type="dxa"/>
            <w:noWrap w:val="0"/>
            <w:vAlign w:val="center"/>
          </w:tcPr>
          <w:p w14:paraId="21236F3D">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21.1</w:t>
            </w:r>
          </w:p>
        </w:tc>
        <w:tc>
          <w:tcPr>
            <w:tcW w:w="1440" w:type="dxa"/>
            <w:noWrap w:val="0"/>
            <w:vAlign w:val="center"/>
          </w:tcPr>
          <w:p w14:paraId="34F08D7D">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投标文件提交的截止时间</w:t>
            </w:r>
          </w:p>
        </w:tc>
        <w:tc>
          <w:tcPr>
            <w:tcW w:w="6660" w:type="dxa"/>
            <w:noWrap w:val="0"/>
            <w:vAlign w:val="center"/>
          </w:tcPr>
          <w:p w14:paraId="76AF9704">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1、递交方式：网上递交投标文件。</w:t>
            </w:r>
          </w:p>
          <w:p w14:paraId="692734AB">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2、投标文件递交的起始时间为</w:t>
            </w:r>
            <w:r>
              <w:rPr>
                <w:rFonts w:hint="eastAsia" w:ascii="宋体" w:hAnsi="宋体" w:cs="宋体"/>
                <w:color w:val="auto"/>
                <w:szCs w:val="21"/>
                <w:highlight w:val="none"/>
                <w:u w:val="single"/>
              </w:rPr>
              <w:t xml:space="preserve">  年   月   日   时   分</w:t>
            </w:r>
            <w:r>
              <w:rPr>
                <w:rFonts w:hint="eastAsia" w:ascii="宋体" w:hAnsi="宋体" w:cs="宋体"/>
                <w:color w:val="auto"/>
                <w:szCs w:val="21"/>
                <w:highlight w:val="none"/>
              </w:rPr>
              <w:t>，截止时间为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1B5DB91D">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3、地点：</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Cs w:val="21"/>
                <w:highlight w:val="none"/>
              </w:rPr>
              <w:t>网站。</w:t>
            </w:r>
          </w:p>
          <w:p w14:paraId="2A5BF1E1">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cs="宋体"/>
                <w:color w:val="auto"/>
                <w:szCs w:val="21"/>
                <w:highlight w:val="none"/>
              </w:rPr>
              <w:t>4、上述时间及地点是否有改变，请密切留意招标答疑纪要的相关信息。</w:t>
            </w:r>
          </w:p>
        </w:tc>
      </w:tr>
      <w:tr w14:paraId="4B9F2D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960" w:hRule="atLeast"/>
          <w:jc w:val="center"/>
        </w:trPr>
        <w:tc>
          <w:tcPr>
            <w:tcW w:w="702" w:type="dxa"/>
            <w:noWrap w:val="0"/>
            <w:vAlign w:val="center"/>
          </w:tcPr>
          <w:p w14:paraId="03757DAE">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026" w:type="dxa"/>
            <w:noWrap w:val="0"/>
            <w:vAlign w:val="center"/>
          </w:tcPr>
          <w:p w14:paraId="51F7EF78">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24</w:t>
            </w:r>
          </w:p>
        </w:tc>
        <w:tc>
          <w:tcPr>
            <w:tcW w:w="1440" w:type="dxa"/>
            <w:noWrap w:val="0"/>
            <w:vAlign w:val="center"/>
          </w:tcPr>
          <w:p w14:paraId="27DA404C">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投标文件的解密</w:t>
            </w:r>
          </w:p>
        </w:tc>
        <w:tc>
          <w:tcPr>
            <w:tcW w:w="6660" w:type="dxa"/>
            <w:noWrap w:val="0"/>
            <w:vAlign w:val="center"/>
          </w:tcPr>
          <w:p w14:paraId="56D190D2">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在投标截止时间后</w:t>
            </w:r>
            <w:r>
              <w:rPr>
                <w:rFonts w:hint="eastAsia" w:ascii="宋体" w:hAnsi="宋体" w:eastAsia="宋体" w:cs="宋体"/>
                <w:b/>
                <w:bCs/>
                <w:color w:val="auto"/>
                <w:sz w:val="21"/>
                <w:szCs w:val="21"/>
                <w:highlight w:val="none"/>
                <w:u w:val="single"/>
                <w:lang w:eastAsia="zh-CN"/>
              </w:rPr>
              <w:t>半</w:t>
            </w:r>
            <w:r>
              <w:rPr>
                <w:rFonts w:hint="eastAsia" w:ascii="宋体" w:hAnsi="宋体" w:eastAsia="宋体" w:cs="宋体"/>
                <w:b/>
                <w:bCs/>
                <w:color w:val="auto"/>
                <w:sz w:val="21"/>
                <w:szCs w:val="21"/>
                <w:highlight w:val="none"/>
              </w:rPr>
              <w:t>小时内</w:t>
            </w:r>
            <w:r>
              <w:rPr>
                <w:rFonts w:hint="eastAsia" w:ascii="宋体" w:hAnsi="宋体" w:eastAsia="宋体" w:cs="宋体"/>
                <w:color w:val="auto"/>
                <w:highlight w:val="none"/>
              </w:rPr>
              <w:t>为投标人投标文件解密时间，投标人通过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highlight w:val="none"/>
              </w:rPr>
              <w:t>交易平台对已递交的电子投标文件进行解密。超过时间未解密的投标文件将作为放弃投标处理。</w:t>
            </w:r>
          </w:p>
        </w:tc>
      </w:tr>
      <w:tr w14:paraId="7B81F5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463" w:hRule="atLeast"/>
          <w:jc w:val="center"/>
        </w:trPr>
        <w:tc>
          <w:tcPr>
            <w:tcW w:w="702" w:type="dxa"/>
            <w:noWrap w:val="0"/>
            <w:vAlign w:val="center"/>
          </w:tcPr>
          <w:p w14:paraId="289862E1">
            <w:pPr>
              <w:pStyle w:val="164"/>
              <w:bidi w:val="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026" w:type="dxa"/>
            <w:noWrap w:val="0"/>
            <w:vAlign w:val="center"/>
          </w:tcPr>
          <w:p w14:paraId="3C0370DF">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25</w:t>
            </w:r>
          </w:p>
        </w:tc>
        <w:tc>
          <w:tcPr>
            <w:tcW w:w="1440" w:type="dxa"/>
            <w:noWrap w:val="0"/>
            <w:vAlign w:val="center"/>
          </w:tcPr>
          <w:p w14:paraId="2F417253">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开标</w:t>
            </w:r>
            <w:r>
              <w:rPr>
                <w:rFonts w:hint="eastAsia" w:ascii="宋体" w:hAnsi="宋体" w:eastAsia="宋体" w:cs="宋体"/>
                <w:color w:val="auto"/>
                <w:sz w:val="21"/>
                <w:szCs w:val="21"/>
                <w:highlight w:val="none"/>
              </w:rPr>
              <w:t>时间和地点</w:t>
            </w:r>
          </w:p>
        </w:tc>
        <w:tc>
          <w:tcPr>
            <w:tcW w:w="6660" w:type="dxa"/>
            <w:noWrap w:val="0"/>
            <w:vAlign w:val="center"/>
          </w:tcPr>
          <w:p w14:paraId="2BF95EBF">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室</w:t>
            </w:r>
            <w:r>
              <w:rPr>
                <w:rFonts w:hint="eastAsia" w:ascii="宋体" w:hAnsi="宋体" w:eastAsia="宋体" w:cs="宋体"/>
                <w:color w:val="auto"/>
                <w:sz w:val="21"/>
                <w:szCs w:val="21"/>
                <w:highlight w:val="none"/>
              </w:rPr>
              <w:t>开标，</w:t>
            </w:r>
            <w:r>
              <w:rPr>
                <w:rFonts w:hint="eastAsia" w:ascii="宋体" w:hAnsi="宋体" w:eastAsia="宋体" w:cs="宋体"/>
                <w:b w:val="0"/>
                <w:bCs/>
                <w:color w:val="auto"/>
                <w:sz w:val="21"/>
                <w:szCs w:val="21"/>
                <w:highlight w:val="none"/>
                <w:u w:val="none"/>
              </w:rPr>
              <w:t>并邀请所有投标人参加</w:t>
            </w:r>
            <w:r>
              <w:rPr>
                <w:rFonts w:hint="eastAsia" w:ascii="宋体" w:hAnsi="宋体" w:eastAsia="宋体" w:cs="宋体"/>
                <w:color w:val="auto"/>
                <w:sz w:val="21"/>
                <w:szCs w:val="21"/>
                <w:highlight w:val="none"/>
              </w:rPr>
              <w:t>。</w:t>
            </w:r>
            <w:r>
              <w:rPr>
                <w:rFonts w:hint="eastAsia" w:ascii="宋体" w:hAnsi="Calibri" w:eastAsia="宋体" w:cs="宋体"/>
                <w:b w:val="0"/>
                <w:color w:val="auto"/>
                <w:kern w:val="2"/>
                <w:sz w:val="21"/>
                <w:szCs w:val="21"/>
                <w:highlight w:val="none"/>
                <w:u w:val="none"/>
                <w:lang w:val="en-US" w:eastAsia="zh-CN" w:bidi="ar-SA"/>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eastAsia="宋体" w:cs="宋体"/>
                <w:color w:val="auto"/>
                <w:sz w:val="21"/>
                <w:szCs w:val="21"/>
                <w:highlight w:val="none"/>
              </w:rPr>
              <w:t>。</w:t>
            </w:r>
          </w:p>
          <w:p w14:paraId="69F6DC85">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截标后，开标开始时间因故推迟的，相关评标信息仍以</w:t>
            </w:r>
            <w:r>
              <w:rPr>
                <w:rFonts w:hint="eastAsia" w:ascii="宋体" w:hAnsi="宋体" w:eastAsia="宋体" w:cs="宋体"/>
                <w:color w:val="auto"/>
                <w:sz w:val="21"/>
                <w:szCs w:val="21"/>
                <w:highlight w:val="none"/>
                <w:lang w:val="en-US" w:eastAsia="zh-CN"/>
              </w:rPr>
              <w:t>原递交投标文件截止</w:t>
            </w:r>
            <w:r>
              <w:rPr>
                <w:rFonts w:hint="eastAsia" w:ascii="宋体" w:hAnsi="宋体" w:eastAsia="宋体" w:cs="宋体"/>
                <w:color w:val="auto"/>
                <w:sz w:val="21"/>
                <w:szCs w:val="21"/>
                <w:highlight w:val="none"/>
              </w:rPr>
              <w:t>时间的信息为准。</w:t>
            </w:r>
          </w:p>
        </w:tc>
      </w:tr>
      <w:tr w14:paraId="4D8E47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726" w:hRule="atLeast"/>
          <w:jc w:val="center"/>
        </w:trPr>
        <w:tc>
          <w:tcPr>
            <w:tcW w:w="702" w:type="dxa"/>
            <w:noWrap w:val="0"/>
            <w:vAlign w:val="center"/>
          </w:tcPr>
          <w:p w14:paraId="524D494A">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19</w:t>
            </w:r>
          </w:p>
        </w:tc>
        <w:tc>
          <w:tcPr>
            <w:tcW w:w="1026" w:type="dxa"/>
            <w:noWrap w:val="0"/>
            <w:vAlign w:val="center"/>
          </w:tcPr>
          <w:p w14:paraId="088E26CD">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28.1</w:t>
            </w:r>
          </w:p>
        </w:tc>
        <w:tc>
          <w:tcPr>
            <w:tcW w:w="1440" w:type="dxa"/>
            <w:noWrap w:val="0"/>
            <w:vAlign w:val="center"/>
          </w:tcPr>
          <w:p w14:paraId="3AE28CEC">
            <w:pPr>
              <w:adjustRightInd w:val="0"/>
              <w:snapToGrid w:val="0"/>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中标候选人公示媒介</w:t>
            </w:r>
          </w:p>
        </w:tc>
        <w:tc>
          <w:tcPr>
            <w:tcW w:w="6660" w:type="dxa"/>
            <w:noWrap w:val="0"/>
            <w:vAlign w:val="center"/>
          </w:tcPr>
          <w:p w14:paraId="561D161D">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公示媒介：广东省招标投标监管网、</w:t>
            </w:r>
            <w:r>
              <w:rPr>
                <w:rFonts w:hint="eastAsia" w:ascii="宋体" w:hAnsi="宋体" w:eastAsia="宋体" w:cs="宋体"/>
                <w:color w:val="auto"/>
                <w:sz w:val="21"/>
                <w:szCs w:val="21"/>
                <w:highlight w:val="none"/>
                <w:lang w:eastAsia="zh-CN"/>
              </w:rPr>
              <w:t>广州交易集团有限公司（广州公共资源交易中心）网</w:t>
            </w:r>
          </w:p>
          <w:p w14:paraId="2C298CF6">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，最后一天应为工作日。</w:t>
            </w:r>
          </w:p>
        </w:tc>
      </w:tr>
      <w:tr w14:paraId="31255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726" w:hRule="atLeast"/>
          <w:jc w:val="center"/>
        </w:trPr>
        <w:tc>
          <w:tcPr>
            <w:tcW w:w="702" w:type="dxa"/>
            <w:noWrap w:val="0"/>
            <w:vAlign w:val="center"/>
          </w:tcPr>
          <w:p w14:paraId="586CA6AB">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20</w:t>
            </w:r>
          </w:p>
        </w:tc>
        <w:tc>
          <w:tcPr>
            <w:tcW w:w="1026" w:type="dxa"/>
            <w:noWrap w:val="0"/>
            <w:vAlign w:val="center"/>
          </w:tcPr>
          <w:p w14:paraId="6787D473">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30.1</w:t>
            </w:r>
          </w:p>
        </w:tc>
        <w:tc>
          <w:tcPr>
            <w:tcW w:w="1440" w:type="dxa"/>
            <w:noWrap w:val="0"/>
            <w:vAlign w:val="center"/>
          </w:tcPr>
          <w:p w14:paraId="188E8AE2">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履约担保</w:t>
            </w:r>
          </w:p>
        </w:tc>
        <w:tc>
          <w:tcPr>
            <w:tcW w:w="6660" w:type="dxa"/>
            <w:noWrap w:val="0"/>
            <w:vAlign w:val="center"/>
          </w:tcPr>
          <w:p w14:paraId="5EAAC6FF">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中标人应当在签订承包合同后</w:t>
            </w:r>
            <w:r>
              <w:rPr>
                <w:rFonts w:hint="eastAsia" w:ascii="宋体" w:hAnsi="宋体" w:eastAsia="宋体" w:cs="宋体"/>
                <w:color w:val="auto"/>
                <w:sz w:val="21"/>
                <w:szCs w:val="21"/>
                <w:highlight w:val="none"/>
                <w:lang w:val="en-US" w:eastAsia="zh-CN"/>
              </w:rPr>
              <w:t>按规定</w:t>
            </w:r>
            <w:r>
              <w:rPr>
                <w:rFonts w:hint="eastAsia" w:ascii="宋体" w:hAnsi="宋体" w:eastAsia="宋体" w:cs="宋体"/>
                <w:color w:val="auto"/>
                <w:sz w:val="21"/>
                <w:szCs w:val="21"/>
                <w:highlight w:val="none"/>
                <w:lang w:eastAsia="zh-CN"/>
              </w:rPr>
              <w:t>向招标人提交履约担保，本项目的履约保证金金额为合同价的</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p>
          <w:p w14:paraId="59715F79">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中标承包人可以选择下列担保方式向招标人提交履约担保：</w:t>
            </w:r>
          </w:p>
          <w:p w14:paraId="4660E051">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由商业银行分支机构以上（含分支机构）银行部门出具的履约保函。</w:t>
            </w:r>
          </w:p>
          <w:p w14:paraId="3808797E">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由保险公司出具的履约保单。</w:t>
            </w:r>
          </w:p>
          <w:p w14:paraId="4849E286">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由融资担保公司出具的履约保函。</w:t>
            </w:r>
          </w:p>
          <w:p w14:paraId="24CC063F">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现金履约担保。</w:t>
            </w:r>
          </w:p>
          <w:p w14:paraId="62986F1B">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2.中标</w:t>
            </w:r>
            <w:r>
              <w:rPr>
                <w:rFonts w:hint="eastAsia" w:ascii="宋体" w:hAnsi="宋体" w:eastAsia="宋体" w:cs="宋体"/>
                <w:color w:val="auto"/>
                <w:sz w:val="21"/>
                <w:szCs w:val="21"/>
                <w:highlight w:val="none"/>
                <w:lang w:eastAsia="zh-CN"/>
              </w:rPr>
              <w:t>承包人可以通过广东省建筑市场工程担保管理子系统“便民服务”（地址http://210.76.80.152:8008/）申请银行保函、保证保险或融资性担保保函。工程担保管理子系统自动生成保函/保证保险及申请文件的查询底档，并向承包人提供签收依据。</w:t>
            </w:r>
          </w:p>
          <w:p w14:paraId="45A78547">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eastAsia="zh-CN"/>
              </w:rPr>
              <w:t>履约担保额不得超过中标合同金额的</w:t>
            </w:r>
            <w:r>
              <w:rPr>
                <w:rFonts w:hint="eastAsia" w:ascii="宋体" w:hAnsi="宋体" w:eastAsia="宋体" w:cs="宋体"/>
                <w:color w:val="auto"/>
                <w:sz w:val="21"/>
                <w:szCs w:val="21"/>
                <w:highlight w:val="none"/>
                <w:u w:val="single"/>
                <w:lang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招标人应当明确具体缴交比率</w:t>
            </w:r>
            <w:r>
              <w:rPr>
                <w:rFonts w:hint="eastAsia" w:ascii="宋体" w:hAnsi="宋体" w:eastAsia="宋体" w:cs="宋体"/>
                <w:color w:val="auto"/>
                <w:sz w:val="21"/>
                <w:szCs w:val="21"/>
                <w:highlight w:val="none"/>
                <w:lang w:eastAsia="zh-CN"/>
              </w:rPr>
              <w:t>。</w:t>
            </w:r>
          </w:p>
        </w:tc>
      </w:tr>
      <w:tr w14:paraId="5FE65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726" w:hRule="atLeast"/>
          <w:jc w:val="center"/>
        </w:trPr>
        <w:tc>
          <w:tcPr>
            <w:tcW w:w="702" w:type="dxa"/>
            <w:noWrap w:val="0"/>
            <w:vAlign w:val="center"/>
          </w:tcPr>
          <w:p w14:paraId="475271A7">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21</w:t>
            </w:r>
          </w:p>
        </w:tc>
        <w:tc>
          <w:tcPr>
            <w:tcW w:w="1026" w:type="dxa"/>
            <w:noWrap w:val="0"/>
            <w:vAlign w:val="center"/>
          </w:tcPr>
          <w:p w14:paraId="5A0C4542">
            <w:pPr>
              <w:pStyle w:val="2"/>
              <w:spacing w:after="0" w:line="292" w:lineRule="auto"/>
              <w:ind w:firstLine="0" w:firstLineChars="0"/>
              <w:jc w:val="center"/>
              <w:rPr>
                <w:rFonts w:hint="eastAsia" w:ascii="宋体" w:hAnsi="宋体"/>
                <w:b w:val="0"/>
                <w:bCs w:val="0"/>
                <w:color w:val="auto"/>
                <w:kern w:val="2"/>
                <w:sz w:val="21"/>
                <w:szCs w:val="24"/>
                <w:highlight w:val="none"/>
                <w:lang w:val="en-US" w:eastAsia="zh-CN" w:bidi="ar-SA"/>
              </w:rPr>
            </w:pPr>
            <w:r>
              <w:rPr>
                <w:rFonts w:hint="eastAsia" w:ascii="宋体" w:hAnsi="宋体"/>
                <w:color w:val="auto"/>
                <w:highlight w:val="none"/>
                <w:lang w:val="en-US" w:eastAsia="zh-CN"/>
              </w:rPr>
              <w:t>38.1.1</w:t>
            </w:r>
          </w:p>
        </w:tc>
        <w:tc>
          <w:tcPr>
            <w:tcW w:w="1440" w:type="dxa"/>
            <w:noWrap w:val="0"/>
            <w:vAlign w:val="center"/>
          </w:tcPr>
          <w:p w14:paraId="04072316">
            <w:pPr>
              <w:pStyle w:val="2"/>
              <w:spacing w:after="0"/>
              <w:ind w:firstLine="0" w:firstLineChars="0"/>
              <w:jc w:val="center"/>
              <w:rPr>
                <w:rFonts w:hint="eastAsia" w:ascii="宋体" w:hAnsi="宋体"/>
                <w:b w:val="0"/>
                <w:bCs w:val="0"/>
                <w:color w:val="auto"/>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评委会人数</w:t>
            </w:r>
          </w:p>
        </w:tc>
        <w:tc>
          <w:tcPr>
            <w:tcW w:w="6660" w:type="dxa"/>
            <w:noWrap w:val="0"/>
            <w:vAlign w:val="center"/>
          </w:tcPr>
          <w:p w14:paraId="2696C334">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highlight w:val="none"/>
              </w:rPr>
              <w:t>评标委员会构成：</w:t>
            </w:r>
            <w:r>
              <w:rPr>
                <w:rFonts w:hint="eastAsia" w:ascii="宋体" w:hAnsi="宋体"/>
                <w:color w:val="auto"/>
                <w:highlight w:val="none"/>
                <w:u w:val="single"/>
                <w:lang w:val="en-US" w:eastAsia="zh-CN"/>
              </w:rPr>
              <w:t xml:space="preserve"> 5 </w:t>
            </w:r>
            <w:r>
              <w:rPr>
                <w:rFonts w:hint="eastAsia" w:ascii="宋体" w:hAnsi="宋体"/>
                <w:color w:val="auto"/>
                <w:highlight w:val="none"/>
                <w:lang w:val="en-US" w:eastAsia="zh-CN"/>
              </w:rPr>
              <w:t>人，</w:t>
            </w:r>
            <w:r>
              <w:rPr>
                <w:rFonts w:hint="eastAsia" w:ascii="宋体" w:hAnsi="宋体"/>
                <w:color w:val="auto"/>
                <w:highlight w:val="none"/>
              </w:rPr>
              <w:t>由招标人依法组建</w:t>
            </w:r>
            <w:r>
              <w:rPr>
                <w:rFonts w:hint="eastAsia" w:ascii="宋体" w:hAnsi="宋体"/>
                <w:color w:val="auto"/>
                <w:highlight w:val="none"/>
                <w:lang w:eastAsia="zh-CN"/>
              </w:rPr>
              <w:t>。</w:t>
            </w:r>
          </w:p>
        </w:tc>
      </w:tr>
      <w:tr w14:paraId="3975A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253" w:hRule="atLeast"/>
          <w:jc w:val="center"/>
        </w:trPr>
        <w:tc>
          <w:tcPr>
            <w:tcW w:w="702" w:type="dxa"/>
            <w:noWrap w:val="0"/>
            <w:vAlign w:val="center"/>
          </w:tcPr>
          <w:p w14:paraId="75DCCFD4">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22</w:t>
            </w:r>
          </w:p>
        </w:tc>
        <w:tc>
          <w:tcPr>
            <w:tcW w:w="1026" w:type="dxa"/>
            <w:noWrap w:val="0"/>
            <w:vAlign w:val="center"/>
          </w:tcPr>
          <w:p w14:paraId="2DAD206D">
            <w:pPr>
              <w:adjustRightInd w:val="0"/>
              <w:snapToGrid w:val="0"/>
              <w:jc w:val="center"/>
              <w:rPr>
                <w:rFonts w:hint="eastAsia" w:ascii="宋体" w:hAnsi="宋体" w:eastAsia="宋体" w:cs="宋体"/>
                <w:color w:val="auto"/>
                <w:kern w:val="2"/>
                <w:sz w:val="21"/>
                <w:szCs w:val="21"/>
                <w:highlight w:val="none"/>
                <w:lang w:val="en-US" w:eastAsia="zh-CN" w:bidi="ar-SA"/>
              </w:rPr>
            </w:pPr>
          </w:p>
        </w:tc>
        <w:tc>
          <w:tcPr>
            <w:tcW w:w="1440" w:type="dxa"/>
            <w:noWrap w:val="0"/>
            <w:vAlign w:val="center"/>
          </w:tcPr>
          <w:p w14:paraId="6E4BC435">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电子招标投标</w:t>
            </w:r>
          </w:p>
        </w:tc>
        <w:tc>
          <w:tcPr>
            <w:tcW w:w="6660" w:type="dxa"/>
            <w:noWrap w:val="0"/>
            <w:vAlign w:val="center"/>
          </w:tcPr>
          <w:p w14:paraId="17D0F64F">
            <w:pPr>
              <w:pStyle w:val="1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本项目采用电子投标，有关全流程电子化通用型投标的帮助文件可自行在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highlight w:val="none"/>
              </w:rPr>
              <w:t>网站相关栏目下载。路径为</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highlight w:val="none"/>
              </w:rPr>
              <w:t>网站&gt;服务指南&gt;系统帮助。</w:t>
            </w:r>
          </w:p>
        </w:tc>
      </w:tr>
      <w:tr w14:paraId="123C5C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702" w:type="dxa"/>
            <w:noWrap w:val="0"/>
            <w:vAlign w:val="center"/>
          </w:tcPr>
          <w:p w14:paraId="26239D64">
            <w:pPr>
              <w:pStyle w:val="164"/>
              <w:bidi w:val="0"/>
              <w:jc w:val="center"/>
              <w:rPr>
                <w:rFonts w:hint="default"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23</w:t>
            </w:r>
          </w:p>
        </w:tc>
        <w:tc>
          <w:tcPr>
            <w:tcW w:w="1026" w:type="dxa"/>
            <w:noWrap w:val="0"/>
            <w:vAlign w:val="center"/>
          </w:tcPr>
          <w:p w14:paraId="5E7EF77D">
            <w:pPr>
              <w:pStyle w:val="164"/>
              <w:bidi w:val="0"/>
              <w:jc w:val="center"/>
              <w:rPr>
                <w:rFonts w:hint="eastAsia" w:ascii="宋体" w:hAnsi="宋体" w:eastAsia="宋体" w:cs="宋体"/>
                <w:color w:val="auto"/>
                <w:kern w:val="2"/>
                <w:sz w:val="21"/>
                <w:highlight w:val="none"/>
                <w:lang w:val="en-US" w:eastAsia="zh-CN" w:bidi="ar-SA"/>
              </w:rPr>
            </w:pPr>
          </w:p>
        </w:tc>
        <w:tc>
          <w:tcPr>
            <w:tcW w:w="1440" w:type="dxa"/>
            <w:noWrap w:val="0"/>
            <w:vAlign w:val="center"/>
          </w:tcPr>
          <w:p w14:paraId="44DF7FF8">
            <w:pPr>
              <w:pStyle w:val="164"/>
              <w:bidi w:val="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其他要求</w:t>
            </w:r>
          </w:p>
        </w:tc>
        <w:tc>
          <w:tcPr>
            <w:tcW w:w="6660" w:type="dxa"/>
            <w:noWrap w:val="0"/>
            <w:vAlign w:val="center"/>
          </w:tcPr>
          <w:p w14:paraId="2414812A">
            <w:pPr>
              <w:pStyle w:val="16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highlight w:val="none"/>
                <w:lang w:val="en-US" w:eastAsia="zh-CN"/>
              </w:rPr>
              <w:t>投标人通过本项目的资格审查或成为本项目中标候选人，须同意并授招标人将其响应招标文件资格能力条件（资质、营业执照等证书名称、等级、编号，人员、业绩）、投标文件商务部分（报价清单、技术方案等涉及商业秘密的内容除外）等资料进行公示。</w:t>
            </w:r>
          </w:p>
          <w:p w14:paraId="144CBAA4">
            <w:pPr>
              <w:pStyle w:val="164"/>
              <w:spacing w:line="360" w:lineRule="auto"/>
              <w:rPr>
                <w:rFonts w:hint="eastAsia" w:ascii="宋体" w:hAnsi="宋体" w:eastAsia="宋体" w:cs="宋体"/>
                <w:color w:val="auto"/>
                <w:szCs w:val="20"/>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0"/>
                <w:highlight w:val="none"/>
                <w:lang w:eastAsia="zh-CN"/>
              </w:rPr>
              <w:t>中标人向广州交易集团有限公司（广州公共资源交易中心）缴纳交易服务费，其费用包含在中标人报价中，由广州交易集团有限公司（广州公共资源交易中心）向中标人开具发票。</w:t>
            </w:r>
          </w:p>
          <w:p w14:paraId="5F1E7C69">
            <w:pPr>
              <w:pStyle w:val="16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Cs w:val="20"/>
                <w:highlight w:val="none"/>
                <w:lang w:val="en-US" w:eastAsia="zh-CN"/>
              </w:rPr>
              <w:t>3、</w:t>
            </w:r>
            <w:r>
              <w:rPr>
                <w:rFonts w:hint="eastAsia" w:ascii="宋体" w:hAnsi="宋体" w:eastAsia="宋体" w:cs="宋体"/>
                <w:color w:val="auto"/>
                <w:szCs w:val="20"/>
                <w:highlight w:val="none"/>
                <w:lang w:eastAsia="zh-CN"/>
              </w:rPr>
              <w:t>中标人向招标代理单位缴纳代理费</w:t>
            </w:r>
            <w:r>
              <w:rPr>
                <w:rFonts w:hint="eastAsia" w:ascii="宋体" w:hAnsi="宋体" w:eastAsia="宋体" w:cs="宋体"/>
                <w:color w:val="auto"/>
                <w:szCs w:val="20"/>
                <w:highlight w:val="none"/>
                <w:lang w:val="en-US" w:eastAsia="zh-CN"/>
              </w:rPr>
              <w:t>及相关费用</w:t>
            </w:r>
            <w:r>
              <w:rPr>
                <w:rFonts w:hint="eastAsia" w:ascii="宋体" w:hAnsi="宋体" w:eastAsia="宋体" w:cs="宋体"/>
                <w:color w:val="auto"/>
                <w:szCs w:val="20"/>
                <w:highlight w:val="none"/>
                <w:lang w:eastAsia="zh-CN"/>
              </w:rPr>
              <w:t>，其费用包含在中标人报价中，由招标代理单位向中标人开具发票。</w:t>
            </w:r>
          </w:p>
        </w:tc>
      </w:tr>
    </w:tbl>
    <w:p w14:paraId="5982AE41">
      <w:pPr>
        <w:rPr>
          <w:rFonts w:hint="eastAsia"/>
          <w:color w:val="auto"/>
          <w:highlight w:val="none"/>
        </w:rPr>
      </w:pPr>
      <w:bookmarkStart w:id="2" w:name="_Toc8229513"/>
    </w:p>
    <w:p w14:paraId="6923C89E">
      <w:pPr>
        <w:pStyle w:val="6"/>
        <w:rPr>
          <w:color w:val="auto"/>
          <w:highlight w:val="none"/>
        </w:rPr>
      </w:pPr>
      <w:r>
        <w:rPr>
          <w:rFonts w:hint="eastAsia"/>
          <w:color w:val="auto"/>
          <w:highlight w:val="none"/>
        </w:rPr>
        <w:br w:type="page"/>
      </w:r>
      <w:r>
        <w:rPr>
          <w:rFonts w:hint="eastAsia"/>
          <w:color w:val="auto"/>
          <w:highlight w:val="none"/>
        </w:rPr>
        <w:t>否决性条款汇总</w:t>
      </w:r>
      <w:bookmarkEnd w:id="2"/>
    </w:p>
    <w:p w14:paraId="1E48B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kern w:val="21"/>
          <w:sz w:val="21"/>
          <w:szCs w:val="21"/>
          <w:highlight w:val="none"/>
        </w:rPr>
      </w:pPr>
      <w:r>
        <w:rPr>
          <w:rFonts w:hint="eastAsia" w:ascii="宋体" w:hAnsi="宋体"/>
          <w:color w:val="auto"/>
          <w:kern w:val="21"/>
          <w:sz w:val="21"/>
          <w:szCs w:val="21"/>
          <w:highlight w:val="none"/>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否决性条款是指招标文件中规定的不予受理投标或者作无效标、废标以及不合格标处理等否定投标文件效力的条款。</w:t>
      </w:r>
    </w:p>
    <w:p w14:paraId="0315288D">
      <w:pPr>
        <w:keepNext w:val="0"/>
        <w:keepLines w:val="0"/>
        <w:pageBreakBefore w:val="0"/>
        <w:widowControl w:val="0"/>
        <w:kinsoku/>
        <w:wordWrap/>
        <w:overflowPunct/>
        <w:topLinePunct w:val="0"/>
        <w:autoSpaceDE/>
        <w:autoSpaceDN/>
        <w:bidi w:val="0"/>
        <w:adjustRightInd/>
        <w:snapToGrid/>
        <w:spacing w:line="360" w:lineRule="auto"/>
        <w:ind w:firstLine="426" w:firstLineChars="202"/>
        <w:textAlignment w:val="auto"/>
        <w:rPr>
          <w:rFonts w:hint="eastAsia" w:ascii="宋体" w:hAnsi="宋体"/>
          <w:b/>
          <w:color w:val="auto"/>
          <w:kern w:val="21"/>
          <w:sz w:val="21"/>
          <w:szCs w:val="21"/>
          <w:highlight w:val="none"/>
          <w:u w:val="single"/>
        </w:rPr>
      </w:pPr>
      <w:r>
        <w:rPr>
          <w:rFonts w:hint="eastAsia" w:ascii="宋体" w:hAnsi="宋体"/>
          <w:b/>
          <w:color w:val="auto"/>
          <w:kern w:val="21"/>
          <w:sz w:val="21"/>
          <w:szCs w:val="21"/>
          <w:highlight w:val="none"/>
          <w:u w:val="single"/>
        </w:rPr>
        <w:t>招标文件中有关否决性条款的阐述与本表所列内容不一致的，以本表列示的内容为准。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9"/>
      </w:tblGrid>
      <w:tr w14:paraId="0DEE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49" w:type="dxa"/>
            <w:noWrap/>
            <w:vAlign w:val="center"/>
          </w:tcPr>
          <w:p w14:paraId="1017D538">
            <w:pPr>
              <w:bidi w:val="0"/>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cs="宋体"/>
                <w:b/>
                <w:bCs/>
                <w:color w:val="auto"/>
                <w:szCs w:val="21"/>
                <w:highlight w:val="none"/>
              </w:rPr>
              <w:t>拒绝受理投标文件的情形：</w:t>
            </w:r>
          </w:p>
        </w:tc>
      </w:tr>
      <w:tr w14:paraId="11A4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949" w:type="dxa"/>
            <w:noWrap/>
            <w:vAlign w:val="center"/>
          </w:tcPr>
          <w:p w14:paraId="75344B3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 xml:space="preserve">1. </w:t>
            </w:r>
            <w:r>
              <w:rPr>
                <w:rFonts w:hint="eastAsia" w:ascii="宋体" w:hAnsi="宋体" w:cs="宋体"/>
                <w:color w:val="auto"/>
                <w:szCs w:val="21"/>
                <w:highlight w:val="none"/>
              </w:rPr>
              <w:t>未按要求加密的电子投标文件，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Cs w:val="21"/>
                <w:highlight w:val="none"/>
              </w:rPr>
              <w:t>交易平台将予以拒收。</w:t>
            </w:r>
          </w:p>
          <w:p w14:paraId="7A9AB92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 xml:space="preserve">2. </w:t>
            </w:r>
            <w:r>
              <w:rPr>
                <w:rFonts w:hint="eastAsia" w:ascii="宋体" w:hAnsi="宋体" w:cs="宋体"/>
                <w:color w:val="auto"/>
                <w:szCs w:val="21"/>
                <w:highlight w:val="none"/>
              </w:rPr>
              <w:t>逾期送达的电子投标文件，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Cs w:val="21"/>
                <w:highlight w:val="none"/>
              </w:rPr>
              <w:t>交易平台将予以拒收。</w:t>
            </w:r>
          </w:p>
          <w:p w14:paraId="5C63F561">
            <w:pPr>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 w:val="0"/>
                <w:bCs/>
                <w:color w:val="auto"/>
                <w:kern w:val="0"/>
                <w:sz w:val="21"/>
                <w:szCs w:val="21"/>
                <w:highlight w:val="none"/>
                <w:lang w:val="en-US" w:eastAsia="zh-CN" w:bidi="ar-SA"/>
              </w:rPr>
              <w:t xml:space="preserve">3. </w:t>
            </w:r>
            <w:r>
              <w:rPr>
                <w:rFonts w:hint="eastAsia" w:ascii="宋体" w:hAnsi="宋体"/>
                <w:color w:val="auto"/>
                <w:szCs w:val="21"/>
                <w:highlight w:val="none"/>
              </w:rPr>
              <w:t>在投标截止时间后</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半</w:t>
            </w:r>
            <w:r>
              <w:rPr>
                <w:rFonts w:hint="eastAsia" w:ascii="宋体" w:hAnsi="宋体"/>
                <w:b/>
                <w:bCs/>
                <w:color w:val="auto"/>
                <w:szCs w:val="21"/>
                <w:highlight w:val="none"/>
              </w:rPr>
              <w:t>小时</w:t>
            </w:r>
            <w:r>
              <w:rPr>
                <w:rFonts w:hint="eastAsia" w:ascii="宋体" w:hAnsi="宋体"/>
                <w:color w:val="auto"/>
                <w:szCs w:val="21"/>
                <w:highlight w:val="none"/>
              </w:rPr>
              <w:t>内为投标人投标文件解密时间，投标人通过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Cs w:val="21"/>
                <w:highlight w:val="none"/>
              </w:rPr>
              <w:t>交易平台对已递交的电子投标文件进行解密。超过时间未解密的投标文件将作为放弃投标处理。</w:t>
            </w:r>
          </w:p>
        </w:tc>
      </w:tr>
      <w:tr w14:paraId="65DE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949" w:type="dxa"/>
            <w:noWrap/>
            <w:vAlign w:val="center"/>
          </w:tcPr>
          <w:p w14:paraId="3F147C6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b/>
                <w:bCs/>
                <w:color w:val="auto"/>
                <w:szCs w:val="21"/>
                <w:highlight w:val="none"/>
                <w:lang w:val="en-US" w:eastAsia="zh-CN"/>
              </w:rPr>
              <w:t>投</w:t>
            </w:r>
            <w:r>
              <w:rPr>
                <w:rFonts w:hint="eastAsia" w:ascii="宋体" w:hAnsi="宋体" w:cs="宋体"/>
                <w:b/>
                <w:bCs/>
                <w:color w:val="auto"/>
                <w:szCs w:val="21"/>
                <w:highlight w:val="none"/>
              </w:rPr>
              <w:t>标文件有下列情形之一的，由评标委员会否决其投标：</w:t>
            </w:r>
          </w:p>
        </w:tc>
      </w:tr>
      <w:tr w14:paraId="0A6F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949" w:type="dxa"/>
            <w:noWrap w:val="0"/>
            <w:vAlign w:val="center"/>
          </w:tcPr>
          <w:p w14:paraId="6511E9B8">
            <w:pPr>
              <w:numPr>
                <w:ilvl w:val="0"/>
                <w:numId w:val="3"/>
              </w:numPr>
              <w:bidi w:val="0"/>
              <w:spacing w:line="360" w:lineRule="auto"/>
              <w:ind w:left="0" w:leftChars="0" w:firstLine="420" w:firstLineChars="200"/>
              <w:rPr>
                <w:rFonts w:hint="eastAsia" w:ascii="宋体" w:hAnsi="宋体" w:eastAsia="宋体" w:cs="宋体"/>
                <w:color w:val="auto"/>
                <w:highlight w:val="none"/>
              </w:rPr>
            </w:pPr>
            <w:r>
              <w:rPr>
                <w:rFonts w:hint="eastAsia" w:ascii="宋体" w:hAnsi="宋体" w:cs="宋体"/>
                <w:color w:val="auto"/>
                <w:sz w:val="21"/>
                <w:szCs w:val="21"/>
                <w:highlight w:val="none"/>
              </w:rPr>
              <w:t>投标文件有不符合招标文件评标办法附表</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《资格审查表》中任何一项情形的。</w:t>
            </w:r>
          </w:p>
          <w:p w14:paraId="405DE140">
            <w:pPr>
              <w:numPr>
                <w:ilvl w:val="0"/>
                <w:numId w:val="3"/>
              </w:numPr>
              <w:bidi w:val="0"/>
              <w:spacing w:line="360" w:lineRule="auto"/>
              <w:ind w:left="0" w:leftChars="0" w:firstLine="420" w:firstLineChars="200"/>
              <w:rPr>
                <w:rFonts w:hint="eastAsia" w:ascii="宋体" w:hAnsi="宋体" w:eastAsia="宋体" w:cs="宋体"/>
                <w:color w:val="auto"/>
                <w:highlight w:val="none"/>
              </w:rPr>
            </w:pPr>
            <w:r>
              <w:rPr>
                <w:rFonts w:hint="eastAsia" w:ascii="宋体" w:hAnsi="宋体" w:cs="宋体"/>
                <w:color w:val="auto"/>
                <w:sz w:val="21"/>
                <w:szCs w:val="21"/>
                <w:highlight w:val="none"/>
              </w:rPr>
              <w:t>投标文件有不符合招标文件评标办法附表</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《有效性审查表》中任何一项情形的</w:t>
            </w:r>
            <w:r>
              <w:rPr>
                <w:rFonts w:hint="eastAsia" w:ascii="宋体" w:hAnsi="宋体" w:cs="宋体"/>
                <w:color w:val="auto"/>
                <w:sz w:val="21"/>
                <w:szCs w:val="21"/>
                <w:highlight w:val="none"/>
                <w:lang w:eastAsia="zh-CN"/>
              </w:rPr>
              <w:t>。</w:t>
            </w:r>
          </w:p>
        </w:tc>
      </w:tr>
    </w:tbl>
    <w:p w14:paraId="23DD0BC5">
      <w:pPr>
        <w:keepNext w:val="0"/>
        <w:keepLines w:val="0"/>
        <w:pageBreakBefore w:val="0"/>
        <w:widowControl w:val="0"/>
        <w:kinsoku/>
        <w:wordWrap/>
        <w:overflowPunct/>
        <w:topLinePunct w:val="0"/>
        <w:autoSpaceDE/>
        <w:autoSpaceDN/>
        <w:bidi w:val="0"/>
        <w:adjustRightInd/>
        <w:snapToGrid/>
        <w:spacing w:line="360" w:lineRule="auto"/>
        <w:ind w:firstLine="426" w:firstLineChars="202"/>
        <w:textAlignment w:val="auto"/>
        <w:rPr>
          <w:rFonts w:hint="eastAsia" w:ascii="宋体" w:hAnsi="宋体"/>
          <w:b/>
          <w:color w:val="auto"/>
          <w:kern w:val="21"/>
          <w:sz w:val="21"/>
          <w:szCs w:val="21"/>
          <w:highlight w:val="none"/>
          <w:u w:val="single"/>
        </w:rPr>
      </w:pPr>
    </w:p>
    <w:p w14:paraId="4149A190">
      <w:pPr>
        <w:spacing w:line="360" w:lineRule="auto"/>
        <w:ind w:firstLine="424" w:firstLineChars="202"/>
        <w:rPr>
          <w:rFonts w:ascii="宋体" w:hAnsi="宋体"/>
          <w:color w:val="auto"/>
          <w:kern w:val="21"/>
          <w:sz w:val="21"/>
          <w:szCs w:val="21"/>
          <w:highlight w:val="none"/>
        </w:rPr>
      </w:pPr>
    </w:p>
    <w:p w14:paraId="09373A2C">
      <w:pPr>
        <w:ind w:firstLine="484" w:firstLineChars="202"/>
        <w:rPr>
          <w:rFonts w:ascii="宋体" w:hAnsi="宋体"/>
          <w:color w:val="auto"/>
          <w:kern w:val="21"/>
          <w:sz w:val="24"/>
          <w:highlight w:val="none"/>
        </w:rPr>
      </w:pPr>
    </w:p>
    <w:p w14:paraId="1427737B">
      <w:pPr>
        <w:widowControl/>
        <w:jc w:val="left"/>
        <w:rPr>
          <w:rFonts w:ascii="宋体" w:hAnsi="宋体"/>
          <w:b/>
          <w:bCs/>
          <w:color w:val="auto"/>
          <w:kern w:val="44"/>
          <w:sz w:val="24"/>
          <w:szCs w:val="44"/>
          <w:highlight w:val="none"/>
        </w:rPr>
      </w:pPr>
    </w:p>
    <w:p w14:paraId="6A8BFD8A">
      <w:pPr>
        <w:widowControl/>
        <w:jc w:val="left"/>
        <w:rPr>
          <w:rFonts w:ascii="宋体" w:hAnsi="宋体"/>
          <w:b/>
          <w:bCs/>
          <w:color w:val="auto"/>
          <w:kern w:val="44"/>
          <w:sz w:val="24"/>
          <w:szCs w:val="44"/>
          <w:highlight w:val="none"/>
        </w:rPr>
      </w:pPr>
    </w:p>
    <w:p w14:paraId="7C359F7C">
      <w:pPr>
        <w:pStyle w:val="5"/>
        <w:rPr>
          <w:color w:val="auto"/>
          <w:szCs w:val="28"/>
          <w:highlight w:val="none"/>
        </w:rPr>
      </w:pPr>
      <w:r>
        <w:rPr>
          <w:rFonts w:ascii="宋体" w:hAnsi="宋体"/>
          <w:color w:val="auto"/>
          <w:kern w:val="44"/>
          <w:sz w:val="24"/>
          <w:szCs w:val="44"/>
          <w:highlight w:val="none"/>
        </w:rPr>
        <w:br w:type="page"/>
      </w:r>
      <w:bookmarkStart w:id="3" w:name="_Toc8229514"/>
      <w:r>
        <w:rPr>
          <w:rFonts w:hint="eastAsia"/>
          <w:color w:val="auto"/>
          <w:sz w:val="24"/>
          <w:highlight w:val="none"/>
        </w:rPr>
        <w:t>二、</w:t>
      </w:r>
      <w:r>
        <w:rPr>
          <w:rFonts w:hint="eastAsia"/>
          <w:color w:val="auto"/>
          <w:szCs w:val="28"/>
          <w:highlight w:val="none"/>
        </w:rPr>
        <w:t>投标</w:t>
      </w:r>
      <w:r>
        <w:rPr>
          <w:rFonts w:hint="eastAsia"/>
          <w:color w:val="auto"/>
          <w:highlight w:val="none"/>
        </w:rPr>
        <w:t>须知</w:t>
      </w:r>
      <w:bookmarkEnd w:id="3"/>
    </w:p>
    <w:p w14:paraId="63467894">
      <w:pPr>
        <w:bidi w:val="0"/>
        <w:rPr>
          <w:color w:val="auto"/>
          <w:highlight w:val="none"/>
        </w:rPr>
      </w:pPr>
    </w:p>
    <w:p w14:paraId="32FF4C06">
      <w:pPr>
        <w:pStyle w:val="6"/>
        <w:rPr>
          <w:color w:val="auto"/>
          <w:sz w:val="21"/>
          <w:szCs w:val="21"/>
          <w:highlight w:val="none"/>
        </w:rPr>
      </w:pPr>
      <w:bookmarkStart w:id="4" w:name="_Toc531610923"/>
      <w:bookmarkStart w:id="5" w:name="_Toc346800652"/>
      <w:bookmarkStart w:id="6" w:name="_Toc7361035"/>
      <w:bookmarkStart w:id="7" w:name="_Toc8229515"/>
      <w:r>
        <w:rPr>
          <w:rFonts w:hint="eastAsia"/>
          <w:color w:val="auto"/>
          <w:sz w:val="21"/>
          <w:szCs w:val="21"/>
          <w:highlight w:val="none"/>
        </w:rPr>
        <w:t>（一）总则</w:t>
      </w:r>
      <w:bookmarkEnd w:id="4"/>
      <w:bookmarkEnd w:id="5"/>
      <w:bookmarkEnd w:id="6"/>
      <w:bookmarkEnd w:id="7"/>
    </w:p>
    <w:p w14:paraId="31073BDF">
      <w:pPr>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val="en-US" w:eastAsia="zh-CN"/>
        </w:rPr>
        <w:t xml:space="preserve">. </w:t>
      </w:r>
      <w:r>
        <w:rPr>
          <w:rFonts w:hint="eastAsia" w:ascii="宋体" w:hAnsi="宋体" w:eastAsia="宋体" w:cs="Times New Roman"/>
          <w:b/>
          <w:bCs/>
          <w:color w:val="auto"/>
          <w:sz w:val="21"/>
          <w:szCs w:val="21"/>
          <w:highlight w:val="none"/>
          <w:lang w:val="en-US" w:eastAsia="zh-CN"/>
        </w:rPr>
        <w:t>项目概况、建设规模及</w:t>
      </w:r>
      <w:r>
        <w:rPr>
          <w:rFonts w:hint="eastAsia" w:ascii="宋体" w:hAnsi="宋体" w:eastAsia="宋体" w:cs="Times New Roman"/>
          <w:b/>
          <w:bCs/>
          <w:color w:val="auto"/>
          <w:kern w:val="0"/>
          <w:szCs w:val="21"/>
          <w:highlight w:val="none"/>
          <w:u w:val="none"/>
          <w:lang w:val="en-US" w:eastAsia="zh-CN"/>
        </w:rPr>
        <w:t>招标范围</w:t>
      </w:r>
      <w:r>
        <w:rPr>
          <w:rFonts w:hint="eastAsia" w:ascii="宋体" w:hAnsi="宋体"/>
          <w:b/>
          <w:bCs/>
          <w:color w:val="auto"/>
          <w:sz w:val="21"/>
          <w:szCs w:val="21"/>
          <w:highlight w:val="none"/>
        </w:rPr>
        <w:t>：</w:t>
      </w:r>
    </w:p>
    <w:p w14:paraId="10D975D1">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1.1项目概况：阳江水资源配置工程(一期)的任务是供水，通过引水和输水管道等工程，将大河水库的水资源引到阳春市区和阳江市区，提供阳春市区和阳江市区的生活和工业用水。供水范围为江城区、海陵区、高新区，阳东区东城镇、北惯镇、合山镇，阳春市春城街道、河西街道、陂面镇、马水镇、岗美镇。主要建筑区有取水口、引水隧洞、输水管道、输水隧洞及沿线附属建筑物。建设地点为阳春市、江城区、阳东区。该项目涉及占用或穿越大河水库取水口、西山陂渠道、油甘河、岗美水库、轮水河(2处)、岗表河(3处)、马尾河、大八河、漠阳江干流、蚬壳河等河流，还涉及对水文测站的影响等。</w:t>
      </w:r>
    </w:p>
    <w:p w14:paraId="5F1F7507">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2.2 工程建设规模：阳江水资源配置工程(一期)为原阳江市大河水库引水工程及新增取水口至阳春水厂段。项目取水口设置在大河水库主坝上游约 7 公里的主河槽右岸弯道处，日均取水量 60 万立方米，年取水规模为 2.41 亿立方米，工程输水线路全长约 58 公里，其中阳江线总长约为 54.2 公里(其中管道长约 47.2 公里，隧洞长约7 公里)，阳春线总长度约为 3.8 公里(以埋管为主)。</w:t>
      </w:r>
    </w:p>
    <w:p w14:paraId="48BD2DE6">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2.3 招标范围：</w:t>
      </w:r>
    </w:p>
    <w:p w14:paraId="00917EA3">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招标内容：服务内容共4项，具体详见下述内容：</w:t>
      </w:r>
    </w:p>
    <w:p w14:paraId="591BFB9A">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（1）临时用地使用林地技术服务</w:t>
      </w:r>
    </w:p>
    <w:p w14:paraId="3DA14C4E">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按照国家林业局《使用林地可行性报告编写规范》的要求对征、占用的林地现状进行外业调查。按照国家林业局《使用林地可行性报告编写规范》的要求编写项目使用林地调查表(含先行工程使用林地调查表)或使用林地可行性研究报告，完全满足省林业厅及国家林业局的林地报批工作。完成本项目使用林地所需用林报批工作，提供征占用林地过程中的有关技术咨询。</w:t>
      </w:r>
    </w:p>
    <w:p w14:paraId="4CE70770">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（2）临时用地土地复垦方案编制服务</w:t>
      </w:r>
    </w:p>
    <w:p w14:paraId="264CBDDD">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编制临时用地土地复垦方案，需要配备4-6名工程师，10天内完成资料收集与踏勘，15天内方案编制，15天内图件表格附件制作，在项目材料齐全的情况下，配合行政主管部门组织复垦方案专家评审会，并根据专家意见修改完善方案报告，直至复垦方案通过审批。</w:t>
      </w:r>
    </w:p>
    <w:p w14:paraId="5CF5D963">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（3）1:500地形测绘服务</w:t>
      </w:r>
    </w:p>
    <w:p w14:paraId="4EFEBCF9">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采用GPS静态测量或导线测量方式建立首级平面控制网，覆盖全测区不同地貌类型，数据采集与地形要素测绘，数据处理与成图。编制控制点成果表、技术总结报告、质检记录及数据光盘。</w:t>
      </w:r>
    </w:p>
    <w:p w14:paraId="3B6C9556">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（4）临时用地放桩定界服务</w:t>
      </w:r>
    </w:p>
    <w:p w14:paraId="3B6B56E9">
      <w:pPr>
        <w:tabs>
          <w:tab w:val="center" w:pos="4917"/>
        </w:tabs>
        <w:snapToGrid w:val="0"/>
        <w:spacing w:line="360" w:lineRule="auto"/>
        <w:ind w:firstLine="420" w:firstLineChars="200"/>
        <w:rPr>
          <w:rFonts w:hint="eastAsia" w:ascii="宋体" w:hAnsi="宋体" w:eastAsia="宋体" w:cs="Times New Roman"/>
          <w:color w:val="auto"/>
          <w:kern w:val="0"/>
          <w:szCs w:val="21"/>
          <w:highlight w:val="none"/>
          <w:u w:val="none"/>
          <w:lang w:val="en-US" w:eastAsia="zh-CN"/>
        </w:rPr>
      </w:pPr>
      <w:r>
        <w:rPr>
          <w:rFonts w:hint="eastAsia" w:ascii="宋体" w:hAnsi="宋体" w:eastAsia="宋体" w:cs="Times New Roman"/>
          <w:color w:val="auto"/>
          <w:kern w:val="0"/>
          <w:szCs w:val="21"/>
          <w:highlight w:val="none"/>
          <w:u w:val="none"/>
          <w:lang w:val="en-US" w:eastAsia="zh-CN"/>
        </w:rPr>
        <w:t>确定征地红线坐标，采用RTK或全站仪进行高精度放样，界桩间距根据地形复杂程度控制在20-50米，拐点、争议点必须设桩。完成界桩坐标表（含编号、坐标、高程）、放样点分布图（DWG/SHP格式）及实地放样记录表。</w:t>
      </w:r>
    </w:p>
    <w:p w14:paraId="34BF6EA5">
      <w:pPr>
        <w:tabs>
          <w:tab w:val="center" w:pos="4917"/>
        </w:tabs>
        <w:snapToGrid w:val="0"/>
        <w:spacing w:line="360" w:lineRule="auto"/>
        <w:ind w:firstLine="420" w:firstLineChars="200"/>
        <w:rPr>
          <w:rFonts w:hint="eastAsia" w:ascii="宋体" w:hAnsi="宋体" w:eastAsia="宋体" w:cs="Times New Roman"/>
          <w:color w:val="auto"/>
          <w:kern w:val="0"/>
          <w:sz w:val="21"/>
          <w:szCs w:val="21"/>
          <w:highlight w:val="none"/>
          <w:u w:val="none"/>
        </w:rPr>
      </w:pPr>
      <w:r>
        <w:rPr>
          <w:rFonts w:hint="eastAsia" w:ascii="宋体" w:hAnsi="宋体" w:eastAsia="宋体" w:cs="Times New Roman"/>
          <w:color w:val="auto"/>
          <w:kern w:val="0"/>
          <w:szCs w:val="21"/>
          <w:highlight w:val="none"/>
          <w:u w:val="none"/>
          <w:lang w:val="en-US" w:eastAsia="zh-CN"/>
        </w:rPr>
        <w:t>注：具体以招标文件、合同条款及招标过程中所发出的相关文件所包含的全部内容为准。</w:t>
      </w:r>
    </w:p>
    <w:p w14:paraId="5328C1C8">
      <w:pPr>
        <w:numPr>
          <w:ilvl w:val="0"/>
          <w:numId w:val="0"/>
        </w:numPr>
        <w:tabs>
          <w:tab w:val="center" w:pos="4917"/>
        </w:tabs>
        <w:snapToGrid w:val="0"/>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b/>
          <w:bCs/>
          <w:color w:val="auto"/>
          <w:sz w:val="21"/>
          <w:szCs w:val="21"/>
          <w:highlight w:val="none"/>
        </w:rPr>
        <w:t>定义</w:t>
      </w:r>
    </w:p>
    <w:p w14:paraId="5A4C09A1">
      <w:pPr>
        <w:pStyle w:val="2"/>
        <w:snapToGrid w:val="0"/>
        <w:spacing w:after="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本招标文件使用的下列词语具有如下规定的意义：</w:t>
      </w:r>
    </w:p>
    <w:p w14:paraId="67EB78BA">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2.1“招</w:t>
      </w:r>
      <w:r>
        <w:rPr>
          <w:rFonts w:hint="eastAsia" w:ascii="宋体" w:hAnsi="宋体" w:eastAsia="宋体" w:cs="宋体"/>
          <w:bCs/>
          <w:color w:val="auto"/>
          <w:sz w:val="21"/>
          <w:szCs w:val="21"/>
          <w:highlight w:val="none"/>
        </w:rPr>
        <w:t>标人”（即委托人）指</w:t>
      </w:r>
      <w:r>
        <w:rPr>
          <w:rFonts w:hint="eastAsia" w:ascii="宋体" w:hAnsi="宋体" w:eastAsia="宋体" w:cs="宋体"/>
          <w:color w:val="auto"/>
          <w:sz w:val="21"/>
          <w:szCs w:val="21"/>
          <w:highlight w:val="none"/>
          <w:u w:val="single"/>
          <w:lang w:eastAsia="zh-CN"/>
        </w:rPr>
        <w:t>阳江市碧源水资源开发有限公司</w:t>
      </w:r>
      <w:r>
        <w:rPr>
          <w:rFonts w:hint="eastAsia" w:ascii="宋体" w:hAnsi="宋体" w:eastAsia="宋体" w:cs="宋体"/>
          <w:bCs/>
          <w:color w:val="auto"/>
          <w:sz w:val="21"/>
          <w:szCs w:val="21"/>
          <w:highlight w:val="none"/>
        </w:rPr>
        <w:t>。</w:t>
      </w:r>
    </w:p>
    <w:p w14:paraId="78C0DD14">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2.2“投标人”指向招标人提交投标文件的当事人。</w:t>
      </w:r>
    </w:p>
    <w:p w14:paraId="7BC65903">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2.3“承包商”指被招标人接受并与其签订工程承包合同的当事人。</w:t>
      </w:r>
    </w:p>
    <w:p w14:paraId="78652151">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2.4“招标代理机构”指</w:t>
      </w:r>
      <w:r>
        <w:rPr>
          <w:rFonts w:hint="eastAsia" w:ascii="宋体" w:hAnsi="宋体" w:eastAsia="宋体" w:cs="宋体"/>
          <w:bCs/>
          <w:color w:val="auto"/>
          <w:sz w:val="21"/>
          <w:szCs w:val="21"/>
          <w:highlight w:val="none"/>
          <w:u w:val="single"/>
          <w:lang w:eastAsia="zh-CN"/>
        </w:rPr>
        <w:t>广州珠江监理咨询集团有限公司</w:t>
      </w:r>
      <w:r>
        <w:rPr>
          <w:rFonts w:hint="eastAsia" w:ascii="宋体" w:hAnsi="宋体" w:eastAsia="宋体" w:cs="宋体"/>
          <w:bCs/>
          <w:color w:val="auto"/>
          <w:sz w:val="21"/>
          <w:szCs w:val="21"/>
          <w:highlight w:val="none"/>
        </w:rPr>
        <w:t>。</w:t>
      </w:r>
    </w:p>
    <w:p w14:paraId="3BD37160">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2.5“招标文件”指由招标代理机构发出的本文件（包括全部章节、附件）及澄清补充文件。</w:t>
      </w:r>
    </w:p>
    <w:p w14:paraId="3346CD14">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2.6“投标文件”指投标人根据本招标文件向招标人提交的全部文件。</w:t>
      </w:r>
    </w:p>
    <w:p w14:paraId="68AD77C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2.7“书面函</w:t>
      </w:r>
      <w:r>
        <w:rPr>
          <w:rFonts w:hint="eastAsia" w:ascii="宋体" w:hAnsi="宋体" w:eastAsia="宋体" w:cs="宋体"/>
          <w:color w:val="auto"/>
          <w:sz w:val="21"/>
          <w:szCs w:val="21"/>
          <w:highlight w:val="none"/>
        </w:rPr>
        <w:t>件”指打字或印刷的函件，包括电传、电报和传真。</w:t>
      </w:r>
    </w:p>
    <w:p w14:paraId="3B79483F">
      <w:pPr>
        <w:numPr>
          <w:ilvl w:val="0"/>
          <w:numId w:val="3"/>
        </w:numPr>
        <w:snapToGrid w:val="0"/>
        <w:spacing w:line="360" w:lineRule="auto"/>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招标说明</w:t>
      </w:r>
    </w:p>
    <w:p w14:paraId="49B6B29A">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3.1本招标工程项目按照《中华人民共和国招标投标法》等有关法律、行政法规和部门规章，采取公开招标的办法，以便能选择有经验、有实力、社会信誉好的单位承担</w:t>
      </w:r>
      <w:r>
        <w:rPr>
          <w:rFonts w:hint="eastAsia" w:ascii="宋体" w:hAnsi="宋体" w:eastAsia="宋体" w:cs="宋体"/>
          <w:bCs/>
          <w:color w:val="auto"/>
          <w:sz w:val="21"/>
          <w:szCs w:val="21"/>
          <w:highlight w:val="none"/>
          <w:lang w:val="en-US" w:eastAsia="zh-CN"/>
        </w:rPr>
        <w:t>本</w:t>
      </w:r>
      <w:r>
        <w:rPr>
          <w:rFonts w:hint="eastAsia" w:ascii="宋体" w:hAnsi="宋体" w:eastAsia="宋体" w:cs="宋体"/>
          <w:bCs/>
          <w:color w:val="auto"/>
          <w:sz w:val="21"/>
          <w:szCs w:val="21"/>
          <w:highlight w:val="none"/>
        </w:rPr>
        <w:t>工程临时用地土地报批服务，确保本工程能按期、优质、经济地建成。</w:t>
      </w:r>
    </w:p>
    <w:p w14:paraId="7056FD8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3.2工程概况</w:t>
      </w:r>
    </w:p>
    <w:p w14:paraId="4056B3FA">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3.2.1项目名称：见投标须知前附表。</w:t>
      </w:r>
    </w:p>
    <w:p w14:paraId="4CF5B326">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3.2.2</w:t>
      </w:r>
      <w:r>
        <w:rPr>
          <w:rFonts w:hint="eastAsia" w:ascii="宋体" w:hAnsi="宋体" w:eastAsia="宋体" w:cs="宋体"/>
          <w:bCs/>
          <w:color w:val="auto"/>
          <w:sz w:val="21"/>
          <w:szCs w:val="21"/>
          <w:highlight w:val="none"/>
        </w:rPr>
        <w:t>建设地点：见投标须知前附表。</w:t>
      </w:r>
    </w:p>
    <w:p w14:paraId="5D8E2458">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3.2.3工程概况：见投标须知前附表。</w:t>
      </w:r>
    </w:p>
    <w:p w14:paraId="0CDD01A3">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3.2.4工作要求：见投标须知前附表。</w:t>
      </w:r>
    </w:p>
    <w:p w14:paraId="0DBBC429">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3.2.5工期：见投标须知前附表。</w:t>
      </w:r>
    </w:p>
    <w:p w14:paraId="50DD84C9">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3.3招标范围和内容</w:t>
      </w:r>
    </w:p>
    <w:p w14:paraId="482D3AB7">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3.3.1 本招标项目的范围和内容：见投标须知前附表。</w:t>
      </w:r>
    </w:p>
    <w:p w14:paraId="29C10E74">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4. </w:t>
      </w:r>
      <w:r>
        <w:rPr>
          <w:rFonts w:hint="eastAsia" w:ascii="宋体" w:hAnsi="宋体" w:eastAsia="宋体" w:cs="宋体"/>
          <w:b/>
          <w:bCs/>
          <w:color w:val="auto"/>
          <w:sz w:val="21"/>
          <w:szCs w:val="21"/>
          <w:highlight w:val="none"/>
        </w:rPr>
        <w:t>资金来源</w:t>
      </w:r>
    </w:p>
    <w:p w14:paraId="6B6208A9">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bCs/>
          <w:color w:val="auto"/>
          <w:sz w:val="21"/>
          <w:szCs w:val="21"/>
          <w:highlight w:val="none"/>
        </w:rPr>
        <w:t xml:space="preserve"> 本招标工程项目资金来源见投标须知前附表。</w:t>
      </w:r>
    </w:p>
    <w:p w14:paraId="45C08A6E">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5. </w:t>
      </w:r>
      <w:r>
        <w:rPr>
          <w:rFonts w:hint="eastAsia" w:ascii="宋体" w:hAnsi="宋体" w:eastAsia="宋体" w:cs="宋体"/>
          <w:b/>
          <w:color w:val="auto"/>
          <w:sz w:val="21"/>
          <w:szCs w:val="21"/>
          <w:highlight w:val="none"/>
        </w:rPr>
        <w:t>投标人的要求：</w:t>
      </w:r>
      <w:r>
        <w:rPr>
          <w:rFonts w:hint="eastAsia" w:ascii="宋体" w:hAnsi="宋体" w:eastAsia="宋体" w:cs="宋体"/>
          <w:b w:val="0"/>
          <w:bCs/>
          <w:color w:val="auto"/>
          <w:sz w:val="21"/>
          <w:szCs w:val="21"/>
          <w:highlight w:val="none"/>
        </w:rPr>
        <w:t>见投标须知前附表。</w:t>
      </w:r>
    </w:p>
    <w:p w14:paraId="49B154CC">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6. </w:t>
      </w:r>
      <w:r>
        <w:rPr>
          <w:rFonts w:hint="eastAsia" w:ascii="宋体" w:hAnsi="宋体" w:eastAsia="宋体" w:cs="宋体"/>
          <w:b/>
          <w:color w:val="auto"/>
          <w:sz w:val="21"/>
          <w:szCs w:val="21"/>
          <w:highlight w:val="none"/>
        </w:rPr>
        <w:t>踏勘现场</w:t>
      </w:r>
    </w:p>
    <w:p w14:paraId="6A9712C7">
      <w:pPr>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6.1投标人应自行对工程现场及周围环境进行踏勘，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14:paraId="1D14CBCB">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6.2招标人向投标人提供的有关现场的数据和资料，是招标人现有的能被投标人利用的资料，招标人对投标人做出的任何推论、理解和结论均不负责任。</w:t>
      </w:r>
    </w:p>
    <w:p w14:paraId="22055A3F">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6.3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14:paraId="2AA1CD0B">
      <w:pPr>
        <w:numPr>
          <w:ilvl w:val="0"/>
          <w:numId w:val="4"/>
        </w:num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投标费用</w:t>
      </w:r>
    </w:p>
    <w:p w14:paraId="658FCEE3">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7.1不论投标结果如何，投标人应承担其投标文件编制与递交所涉及的一切费用。</w:t>
      </w:r>
    </w:p>
    <w:p w14:paraId="30A74C75">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7.2投标人应承担其参加本招标活动自身所发生的其他一切费用，招标人对上述费用均不负任何责任。</w:t>
      </w:r>
    </w:p>
    <w:p w14:paraId="637C6083">
      <w:pPr>
        <w:bidi w:val="0"/>
        <w:rPr>
          <w:rFonts w:hint="eastAsia"/>
          <w:color w:val="auto"/>
          <w:highlight w:val="none"/>
        </w:rPr>
      </w:pPr>
      <w:bookmarkStart w:id="8" w:name="_Toc346800653"/>
      <w:bookmarkStart w:id="9" w:name="_Toc8229516"/>
      <w:bookmarkStart w:id="10" w:name="_Toc7361036"/>
      <w:bookmarkStart w:id="11" w:name="_Toc531610924"/>
    </w:p>
    <w:p w14:paraId="5ED3A9BD">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w:t>
      </w:r>
      <w:bookmarkEnd w:id="8"/>
      <w:bookmarkEnd w:id="9"/>
      <w:bookmarkEnd w:id="10"/>
      <w:bookmarkEnd w:id="11"/>
    </w:p>
    <w:p w14:paraId="42E3E873">
      <w:pPr>
        <w:numPr>
          <w:ilvl w:val="0"/>
          <w:numId w:val="0"/>
        </w:numPr>
        <w:snapToGrid w:val="0"/>
        <w:spacing w:line="360" w:lineRule="auto"/>
        <w:ind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8. </w:t>
      </w:r>
      <w:r>
        <w:rPr>
          <w:rFonts w:hint="eastAsia" w:ascii="宋体" w:hAnsi="宋体" w:eastAsia="宋体" w:cs="宋体"/>
          <w:b/>
          <w:color w:val="auto"/>
          <w:sz w:val="21"/>
          <w:szCs w:val="21"/>
          <w:highlight w:val="none"/>
        </w:rPr>
        <w:t>招标文件的组成</w:t>
      </w:r>
    </w:p>
    <w:p w14:paraId="6E9B234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8.1</w:t>
      </w:r>
      <w:r>
        <w:rPr>
          <w:rFonts w:hint="eastAsia" w:ascii="宋体" w:hAnsi="宋体" w:eastAsia="宋体" w:cs="宋体"/>
          <w:color w:val="auto"/>
          <w:sz w:val="21"/>
          <w:szCs w:val="21"/>
          <w:highlight w:val="none"/>
        </w:rPr>
        <w:t>本招标文件包括下列文件，以及所有按投标须知第10条发出的补充通知：</w:t>
      </w:r>
    </w:p>
    <w:p w14:paraId="2B6EFC20">
      <w:pPr>
        <w:pStyle w:val="2"/>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第一章  投标须知及前附表</w:t>
      </w:r>
    </w:p>
    <w:p w14:paraId="48B5B650">
      <w:pPr>
        <w:pStyle w:val="2"/>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第二章  评标办法</w:t>
      </w:r>
    </w:p>
    <w:p w14:paraId="3F7AFBD3">
      <w:pPr>
        <w:pStyle w:val="2"/>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  合同格式</w:t>
      </w:r>
    </w:p>
    <w:p w14:paraId="4BCC7321">
      <w:pPr>
        <w:pStyle w:val="2"/>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第四章  投标格式文件</w:t>
      </w:r>
    </w:p>
    <w:p w14:paraId="1EC6208B">
      <w:pPr>
        <w:pStyle w:val="2"/>
        <w:snapToGrid w:val="0"/>
        <w:spacing w:after="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第五章  技术资料</w:t>
      </w:r>
    </w:p>
    <w:p w14:paraId="4FBAE34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除8.1内容外，招标人在提交投标文件截止时间</w:t>
      </w:r>
      <w:r>
        <w:rPr>
          <w:rFonts w:hint="eastAsia" w:ascii="宋体" w:hAnsi="宋体" w:eastAsia="宋体" w:cs="宋体"/>
          <w:b/>
          <w:color w:val="auto"/>
          <w:sz w:val="21"/>
          <w:szCs w:val="21"/>
          <w:highlight w:val="none"/>
          <w:u w:val="single"/>
        </w:rPr>
        <w:t>15</w:t>
      </w:r>
      <w:r>
        <w:rPr>
          <w:rFonts w:hint="eastAsia" w:ascii="宋体" w:hAnsi="宋体" w:eastAsia="宋体" w:cs="宋体"/>
          <w:color w:val="auto"/>
          <w:sz w:val="21"/>
          <w:szCs w:val="21"/>
          <w:highlight w:val="none"/>
        </w:rPr>
        <w:t>天前，以书面形式发出的对招标文件的澄清或修改内容，均为招标文件的组成部分，对招标人和投标人起约束作用。</w:t>
      </w:r>
    </w:p>
    <w:p w14:paraId="7D3D6C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获取招标文件后，应仔细检查招标文件的所有内容，如有残缺等问题应在投标截止日期18日前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14:paraId="7C3E0E01">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9. </w:t>
      </w:r>
      <w:r>
        <w:rPr>
          <w:rFonts w:hint="eastAsia" w:ascii="宋体" w:hAnsi="宋体" w:eastAsia="宋体" w:cs="宋体"/>
          <w:b/>
          <w:bCs/>
          <w:color w:val="auto"/>
          <w:sz w:val="21"/>
          <w:szCs w:val="21"/>
          <w:highlight w:val="none"/>
        </w:rPr>
        <w:t>招标答疑</w:t>
      </w:r>
    </w:p>
    <w:p w14:paraId="503104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招标答疑采用网上答疑方式进行。投标人若对招标文件有疑问的，可在规定的时间内通过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网站进入提问区域将问题提交给招标人或招标代理机构，提交问题时一律不得署名。</w:t>
      </w:r>
    </w:p>
    <w:p w14:paraId="2481472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网上答疑的操作指南为：</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网站→进入“建设工程”专区→进入“网上答疑”专区→通过项目编号或项目名称找到所需的项目→在上述的答疑时间内点击“提问”→进入到提问区域→提出问题(提问一律不得署名)以及查看所有的问题。</w:t>
      </w:r>
    </w:p>
    <w:p w14:paraId="4D2B1A8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9.2招标答疑文件或澄清文件将在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网站首页的“交易业务-建设工程”专栏中的“项目查询（日程安排、答疑纪要）”，输入项目编号或项目名称查询最新信息。招标澄清或修改或答疑文件一经在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w:t>
      </w:r>
    </w:p>
    <w:p w14:paraId="2AF89CD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9.3招标答疑文件或澄清文件为招标文件的一部分。投标人可在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网站浏览、下载招标答疑文件或澄清文件。</w:t>
      </w:r>
    </w:p>
    <w:p w14:paraId="11AFFAF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9.4若招标答疑文件或澄清文件与招标文件有矛盾时，以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网站最后发布的招标答疑文件或澄清文件为准。</w:t>
      </w:r>
    </w:p>
    <w:p w14:paraId="2A4D4AB6">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10. </w:t>
      </w:r>
      <w:r>
        <w:rPr>
          <w:rFonts w:hint="eastAsia" w:ascii="宋体" w:hAnsi="宋体" w:eastAsia="宋体" w:cs="宋体"/>
          <w:b/>
          <w:bCs/>
          <w:color w:val="auto"/>
          <w:sz w:val="21"/>
          <w:szCs w:val="21"/>
          <w:highlight w:val="none"/>
        </w:rPr>
        <w:t>招标文件的澄清与修改</w:t>
      </w:r>
    </w:p>
    <w:p w14:paraId="5611064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10.1招标文件发出后,在提交投标文件截止时间</w:t>
      </w:r>
      <w:r>
        <w:rPr>
          <w:rFonts w:hint="eastAsia" w:ascii="宋体" w:hAnsi="宋体" w:eastAsia="宋体" w:cs="宋体"/>
          <w:bCs/>
          <w:color w:val="auto"/>
          <w:sz w:val="21"/>
          <w:szCs w:val="21"/>
          <w:highlight w:val="none"/>
          <w:u w:val="single"/>
        </w:rPr>
        <w:t xml:space="preserve"> 15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前，招标人可对招标文件进行必要的澄清或修改。</w:t>
      </w:r>
    </w:p>
    <w:p w14:paraId="70E098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10.2招标文件的澄清或修改在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网站发布。招标文件的澄清或修改一经在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网站发布，视作已发放给所有投标人，招标文件的修改内容作为招标文件的组成部分，具有约束作用。</w:t>
      </w:r>
    </w:p>
    <w:p w14:paraId="48B6842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招标文件的澄清、修改均以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网站发布的内容为准。当招标文件的澄清、修改在同一内容的表述不一致时，以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网站最后发布的内容为准。</w:t>
      </w:r>
    </w:p>
    <w:p w14:paraId="39EE8EF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009C54A7">
      <w:pPr>
        <w:bidi w:val="0"/>
        <w:rPr>
          <w:rFonts w:hint="eastAsia"/>
          <w:color w:val="auto"/>
          <w:highlight w:val="none"/>
        </w:rPr>
      </w:pPr>
    </w:p>
    <w:p w14:paraId="0B265125">
      <w:pPr>
        <w:pStyle w:val="6"/>
        <w:rPr>
          <w:rFonts w:hint="eastAsia" w:ascii="宋体" w:hAnsi="宋体" w:eastAsia="宋体" w:cs="宋体"/>
          <w:color w:val="auto"/>
          <w:sz w:val="21"/>
          <w:szCs w:val="21"/>
          <w:highlight w:val="none"/>
        </w:rPr>
      </w:pPr>
      <w:bookmarkStart w:id="12" w:name="_Toc346800654"/>
      <w:bookmarkStart w:id="13" w:name="_Toc7361037"/>
      <w:bookmarkStart w:id="14" w:name="_Toc8229517"/>
      <w:bookmarkStart w:id="15" w:name="_Toc531610925"/>
      <w:r>
        <w:rPr>
          <w:rFonts w:hint="eastAsia" w:ascii="宋体" w:hAnsi="宋体" w:eastAsia="宋体" w:cs="宋体"/>
          <w:color w:val="auto"/>
          <w:sz w:val="21"/>
          <w:szCs w:val="21"/>
          <w:highlight w:val="none"/>
        </w:rPr>
        <w:t>（三）参与投标的文件编制</w:t>
      </w:r>
      <w:bookmarkEnd w:id="12"/>
      <w:bookmarkEnd w:id="13"/>
      <w:bookmarkEnd w:id="14"/>
      <w:bookmarkEnd w:id="15"/>
    </w:p>
    <w:p w14:paraId="1DA5C213">
      <w:pPr>
        <w:numPr>
          <w:ilvl w:val="0"/>
          <w:numId w:val="5"/>
        </w:num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文件的语言及度量衡单位</w:t>
      </w:r>
    </w:p>
    <w:p w14:paraId="25FC97D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投标文件和与投标有关的所有文件均应使用</w:t>
      </w:r>
      <w:r>
        <w:rPr>
          <w:rFonts w:hint="eastAsia" w:ascii="宋体" w:hAnsi="宋体" w:eastAsia="宋体" w:cs="宋体"/>
          <w:color w:val="auto"/>
          <w:sz w:val="21"/>
          <w:szCs w:val="21"/>
          <w:highlight w:val="none"/>
          <w:u w:val="single"/>
        </w:rPr>
        <w:t>汉语</w:t>
      </w:r>
      <w:r>
        <w:rPr>
          <w:rFonts w:hint="eastAsia" w:ascii="宋体" w:hAnsi="宋体" w:eastAsia="宋体" w:cs="宋体"/>
          <w:color w:val="auto"/>
          <w:sz w:val="21"/>
          <w:szCs w:val="21"/>
          <w:highlight w:val="none"/>
        </w:rPr>
        <w:t>。</w:t>
      </w:r>
    </w:p>
    <w:p w14:paraId="72E916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除工程规范另有规定外，投标文件使用的度量衡单位，均采用中华人民共和国法定计量单位。</w:t>
      </w:r>
    </w:p>
    <w:p w14:paraId="5879223C">
      <w:pPr>
        <w:snapToGrid w:val="0"/>
        <w:spacing w:line="360" w:lineRule="auto"/>
        <w:ind w:firstLine="422" w:firstLineChars="200"/>
        <w:rPr>
          <w:rFonts w:hint="eastAsia" w:ascii="宋体" w:hAnsi="宋体" w:eastAsia="宋体" w:cs="宋体"/>
          <w:strike/>
          <w:color w:val="auto"/>
          <w:sz w:val="21"/>
          <w:szCs w:val="21"/>
          <w:highlight w:val="none"/>
        </w:rPr>
      </w:pPr>
      <w:r>
        <w:rPr>
          <w:rFonts w:hint="eastAsia" w:ascii="宋体" w:hAnsi="宋体" w:eastAsia="宋体" w:cs="宋体"/>
          <w:b/>
          <w:bCs/>
          <w:color w:val="auto"/>
          <w:sz w:val="21"/>
          <w:szCs w:val="21"/>
          <w:highlight w:val="none"/>
          <w:lang w:val="en-US" w:eastAsia="zh-CN"/>
        </w:rPr>
        <w:t xml:space="preserve">12. </w:t>
      </w:r>
      <w:r>
        <w:rPr>
          <w:rFonts w:hint="eastAsia" w:ascii="宋体" w:hAnsi="宋体" w:eastAsia="宋体" w:cs="宋体"/>
          <w:b/>
          <w:bCs/>
          <w:color w:val="auto"/>
          <w:sz w:val="21"/>
          <w:szCs w:val="21"/>
          <w:highlight w:val="none"/>
        </w:rPr>
        <w:t>投标文件组成：</w:t>
      </w:r>
    </w:p>
    <w:p w14:paraId="65B4C19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投标文件应包括下列内容：</w:t>
      </w:r>
    </w:p>
    <w:p w14:paraId="63BB0E2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（1）投标函及投标函附录（按招标文件第四章提供的格式</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填写）；</w:t>
      </w:r>
    </w:p>
    <w:p w14:paraId="17D96A3A">
      <w:pPr>
        <w:pStyle w:val="2"/>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（2）法定代表人身份证明、授权委托书（按招标文件第四章提供的格式</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填写）；</w:t>
      </w:r>
    </w:p>
    <w:p w14:paraId="605A2A2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kern w:val="2"/>
          <w:sz w:val="21"/>
          <w:szCs w:val="21"/>
          <w:highlight w:val="none"/>
          <w:lang w:val="en-US" w:eastAsia="zh-CN" w:bidi="ar-SA"/>
        </w:rPr>
        <w:t>《投标人声明》和《投标人廉洁承诺书》</w:t>
      </w:r>
      <w:r>
        <w:rPr>
          <w:rFonts w:hint="eastAsia" w:ascii="宋体" w:hAnsi="宋体" w:eastAsia="宋体" w:cs="宋体"/>
          <w:color w:val="auto"/>
          <w:sz w:val="21"/>
          <w:szCs w:val="21"/>
          <w:highlight w:val="none"/>
        </w:rPr>
        <w:t>（按招标文件第四章提供的格式</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w:t>
      </w:r>
    </w:p>
    <w:p w14:paraId="3FACE2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Cs/>
          <w:color w:val="auto"/>
          <w:sz w:val="21"/>
          <w:szCs w:val="21"/>
          <w:highlight w:val="none"/>
        </w:rPr>
        <w:t>资格审查文件（按招标公告第</w:t>
      </w:r>
      <w:r>
        <w:rPr>
          <w:rFonts w:hint="eastAsia" w:ascii="宋体" w:hAnsi="宋体" w:eastAsia="宋体" w:cs="宋体"/>
          <w:bCs/>
          <w:color w:val="auto"/>
          <w:sz w:val="21"/>
          <w:szCs w:val="21"/>
          <w:highlight w:val="none"/>
          <w:lang w:val="en-US" w:eastAsia="zh-CN"/>
        </w:rPr>
        <w:t>八</w:t>
      </w:r>
      <w:r>
        <w:rPr>
          <w:rFonts w:hint="eastAsia" w:ascii="宋体" w:hAnsi="宋体" w:eastAsia="宋体" w:cs="宋体"/>
          <w:bCs/>
          <w:color w:val="auto"/>
          <w:sz w:val="21"/>
          <w:szCs w:val="21"/>
          <w:highlight w:val="none"/>
        </w:rPr>
        <w:t>点“</w:t>
      </w:r>
      <w:r>
        <w:rPr>
          <w:rFonts w:hint="eastAsia" w:ascii="宋体" w:hAnsi="宋体" w:eastAsia="宋体" w:cs="宋体"/>
          <w:color w:val="auto"/>
          <w:kern w:val="0"/>
          <w:sz w:val="21"/>
          <w:szCs w:val="21"/>
          <w:highlight w:val="none"/>
        </w:rPr>
        <w:t>投标人合格条件”的要求提供所需资料）；</w:t>
      </w:r>
    </w:p>
    <w:p w14:paraId="5A8DC7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（5）投标人基本情况表(按招标文件第四章提供的格式四填写)；</w:t>
      </w:r>
    </w:p>
    <w:p w14:paraId="585284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（6）投标人资信情况证明(由投标人根据自身情况</w:t>
      </w:r>
      <w:r>
        <w:rPr>
          <w:rFonts w:hint="eastAsia" w:ascii="宋体" w:hAnsi="宋体" w:eastAsia="宋体" w:cs="宋体"/>
          <w:color w:val="auto"/>
          <w:kern w:val="0"/>
          <w:sz w:val="21"/>
          <w:szCs w:val="21"/>
          <w:highlight w:val="none"/>
        </w:rPr>
        <w:t>提供所需资料）</w:t>
      </w:r>
      <w:r>
        <w:rPr>
          <w:rFonts w:hint="eastAsia" w:ascii="宋体" w:hAnsi="宋体" w:eastAsia="宋体" w:cs="宋体"/>
          <w:color w:val="auto"/>
          <w:sz w:val="21"/>
          <w:szCs w:val="21"/>
          <w:highlight w:val="none"/>
        </w:rPr>
        <w:t>；</w:t>
      </w:r>
    </w:p>
    <w:p w14:paraId="5D711E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（8）投标人的类似业绩证明(按招标文件第四章提供的格式</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填写)；</w:t>
      </w:r>
    </w:p>
    <w:p w14:paraId="29C267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bCs/>
          <w:color w:val="auto"/>
          <w:sz w:val="21"/>
          <w:szCs w:val="21"/>
          <w:highlight w:val="none"/>
        </w:rPr>
        <w:t>拟投入本项目人员汇总表</w:t>
      </w:r>
      <w:r>
        <w:rPr>
          <w:rFonts w:hint="eastAsia" w:ascii="宋体" w:hAnsi="宋体" w:eastAsia="宋体" w:cs="宋体"/>
          <w:color w:val="auto"/>
          <w:sz w:val="21"/>
          <w:szCs w:val="21"/>
          <w:highlight w:val="none"/>
        </w:rPr>
        <w:t>(按招标文件第四章提供的格式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填写)；</w:t>
      </w:r>
    </w:p>
    <w:p w14:paraId="516CF9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bCs/>
          <w:color w:val="auto"/>
          <w:sz w:val="21"/>
          <w:szCs w:val="21"/>
          <w:highlight w:val="none"/>
        </w:rPr>
        <w:t>拟投入本项目人员简历表</w:t>
      </w:r>
      <w:r>
        <w:rPr>
          <w:rFonts w:hint="eastAsia" w:ascii="宋体" w:hAnsi="宋体" w:eastAsia="宋体" w:cs="宋体"/>
          <w:color w:val="auto"/>
          <w:sz w:val="21"/>
          <w:szCs w:val="21"/>
          <w:highlight w:val="none"/>
        </w:rPr>
        <w:t>(按招标文件第四章提供的格式</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填写)；</w:t>
      </w:r>
    </w:p>
    <w:p w14:paraId="2DFB84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方案（参照本招标文件格式</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要求及评分标准编写）；</w:t>
      </w:r>
    </w:p>
    <w:p w14:paraId="3C9529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投标人认为需要提交的</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资料。</w:t>
      </w:r>
    </w:p>
    <w:p w14:paraId="04E4BB47">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文件所有资料必须实事求是、真实准确，不能存在虚假材料。在评标过程或中标公示期间，投标人在接到招标人或评标委员会通知后应在规定时间内提供以上评审材料的原件核查。若发现相关资料原件与投标文件不符或不能提供原件核对的，该材料无效，不作为评审依据。涉嫌造假的，报监督部门处理。</w:t>
      </w:r>
    </w:p>
    <w:p w14:paraId="5C4658E7">
      <w:pPr>
        <w:numPr>
          <w:ilvl w:val="0"/>
          <w:numId w:val="0"/>
        </w:numPr>
        <w:snapToGrid w:val="0"/>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投标文件格式</w:t>
      </w:r>
    </w:p>
    <w:p w14:paraId="5CB928C4">
      <w:pPr>
        <w:pStyle w:val="2"/>
        <w:spacing w:line="360" w:lineRule="auto"/>
        <w:ind w:firstLine="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13.1 投标文件包括本须知第12条中规定的内容，投标人提交的投标文件应当使用招标文件所提供的投标格式文件的格式（表格可以按同样格式扩展）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如有必要，可以增加附页，作为投标文件的组成部分。</w:t>
      </w:r>
    </w:p>
    <w:p w14:paraId="60936759">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14. </w:t>
      </w:r>
      <w:r>
        <w:rPr>
          <w:rFonts w:hint="eastAsia" w:ascii="宋体" w:hAnsi="宋体" w:eastAsia="宋体" w:cs="宋体"/>
          <w:b/>
          <w:bCs/>
          <w:color w:val="auto"/>
          <w:sz w:val="21"/>
          <w:szCs w:val="21"/>
          <w:highlight w:val="none"/>
        </w:rPr>
        <w:t>投标报价</w:t>
      </w:r>
    </w:p>
    <w:p w14:paraId="48DAF48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14.1投标人根据招标文件的第14.5项所规定的方式进行报价，应是投标须知所述的全部工作内容的投标价。</w:t>
      </w:r>
    </w:p>
    <w:p w14:paraId="20ECC7A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14.2投标人应认真阅读本招标文件、技术文件及其他资料，根据招标文件要求的工作范围、工作内容、技术成果深度、服务期、人员和工作量等，确定</w:t>
      </w:r>
      <w:r>
        <w:rPr>
          <w:rFonts w:hint="eastAsia" w:ascii="宋体" w:hAnsi="宋体" w:eastAsia="宋体" w:cs="宋体"/>
          <w:color w:val="auto"/>
          <w:sz w:val="21"/>
          <w:szCs w:val="21"/>
          <w:highlight w:val="none"/>
          <w:lang w:val="en-US" w:eastAsia="zh-CN"/>
        </w:rPr>
        <w:t>临时用地土地报批服务</w:t>
      </w:r>
      <w:r>
        <w:rPr>
          <w:rFonts w:hint="eastAsia" w:ascii="宋体" w:hAnsi="宋体" w:eastAsia="宋体" w:cs="宋体"/>
          <w:color w:val="auto"/>
          <w:sz w:val="21"/>
          <w:szCs w:val="21"/>
          <w:highlight w:val="none"/>
        </w:rPr>
        <w:t>工作的方法、设备以及费用等，考虑工作量变化的风险、各种不确定因素，以本企业的优势和承受能力，按照市场价格态势结合自身实力和现场踏勘情况合理报价。本项目已考虑因工程变化和项目单价调整而导致费用的调整。</w:t>
      </w:r>
    </w:p>
    <w:p w14:paraId="38DD3A5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招标人向投标人提供的资料和数据，是招标人现有的能使投标人利用的资料，招标人对投标人由此而作出的推论、理解和结论概不负责，投标人应充分预见并承担风险。投标人应认真审阅招标文件的所有内容，对工程现场和周围环境进行现场踏勘，获取编制投标文件和签署合同所需的所有资料。一旦中标，这种考察即被认为其结果已在投标文件中得到充分的考虑。</w:t>
      </w:r>
    </w:p>
    <w:p w14:paraId="14DA0276">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14.4 承包方式：按合同约定的承包范围，以包工包料方式完成承包工程及招标文件中规定的相关工作</w:t>
      </w:r>
      <w:r>
        <w:rPr>
          <w:rFonts w:hint="eastAsia" w:ascii="宋体" w:hAnsi="宋体" w:eastAsia="宋体" w:cs="宋体"/>
          <w:b/>
          <w:bCs/>
          <w:color w:val="auto"/>
          <w:sz w:val="21"/>
          <w:szCs w:val="21"/>
          <w:highlight w:val="none"/>
        </w:rPr>
        <w:t xml:space="preserve">。 </w:t>
      </w:r>
    </w:p>
    <w:p w14:paraId="66A34C68">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14.5投标报价</w:t>
      </w:r>
    </w:p>
    <w:p w14:paraId="0C480BA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14.5.1投标报价实行“</w:t>
      </w:r>
      <w:r>
        <w:rPr>
          <w:rFonts w:hint="eastAsia" w:ascii="宋体" w:hAnsi="宋体" w:eastAsia="宋体" w:cs="宋体"/>
          <w:color w:val="auto"/>
          <w:sz w:val="21"/>
          <w:szCs w:val="21"/>
          <w:highlight w:val="none"/>
          <w:lang w:eastAsia="zh-CN"/>
        </w:rPr>
        <w:t>投标最高限价</w:t>
      </w:r>
      <w:r>
        <w:rPr>
          <w:rFonts w:hint="eastAsia" w:ascii="宋体" w:hAnsi="宋体" w:eastAsia="宋体" w:cs="宋体"/>
          <w:color w:val="auto"/>
          <w:sz w:val="21"/>
          <w:szCs w:val="21"/>
          <w:highlight w:val="none"/>
        </w:rPr>
        <w:t>”下浮报价，投标仅需在“</w:t>
      </w:r>
      <w:r>
        <w:rPr>
          <w:rFonts w:hint="eastAsia" w:ascii="宋体" w:hAnsi="宋体" w:eastAsia="宋体" w:cs="宋体"/>
          <w:color w:val="auto"/>
          <w:sz w:val="21"/>
          <w:szCs w:val="21"/>
          <w:highlight w:val="none"/>
          <w:lang w:eastAsia="zh-CN"/>
        </w:rPr>
        <w:t>投标最高限价</w:t>
      </w:r>
      <w:r>
        <w:rPr>
          <w:rFonts w:hint="eastAsia" w:ascii="宋体" w:hAnsi="宋体" w:eastAsia="宋体" w:cs="宋体"/>
          <w:color w:val="auto"/>
          <w:sz w:val="21"/>
          <w:szCs w:val="21"/>
          <w:highlight w:val="none"/>
        </w:rPr>
        <w:t>”T的基础上，选取合适的下浮率B，按以下公式计算投标报价J：</w:t>
      </w:r>
    </w:p>
    <w:p w14:paraId="69852C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临时用地土地报批服务</w:t>
      </w:r>
      <w:r>
        <w:rPr>
          <w:rFonts w:hint="eastAsia" w:ascii="宋体" w:hAnsi="宋体" w:eastAsia="宋体" w:cs="宋体"/>
          <w:color w:val="auto"/>
          <w:sz w:val="21"/>
          <w:szCs w:val="21"/>
          <w:highlight w:val="none"/>
          <w:lang w:val="en-US" w:eastAsia="zh-CN"/>
        </w:rPr>
        <w:t>费</w:t>
      </w:r>
      <w:r>
        <w:rPr>
          <w:rFonts w:hint="eastAsia" w:ascii="宋体" w:hAnsi="宋体" w:eastAsia="宋体" w:cs="宋体"/>
          <w:color w:val="auto"/>
          <w:sz w:val="21"/>
          <w:szCs w:val="21"/>
          <w:highlight w:val="none"/>
        </w:rPr>
        <w:t>报价：J=T×（1-B）</w:t>
      </w:r>
    </w:p>
    <w:p w14:paraId="0DC1A408">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投标人报价下浮率B值，</w:t>
      </w:r>
      <w:r>
        <w:rPr>
          <w:rFonts w:hint="eastAsia" w:ascii="宋体" w:hAnsi="宋体" w:eastAsia="宋体" w:cs="宋体"/>
          <w:b/>
          <w:bCs/>
          <w:color w:val="auto"/>
          <w:sz w:val="21"/>
          <w:szCs w:val="21"/>
          <w:highlight w:val="none"/>
        </w:rPr>
        <w:t>精确至小数点后</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位数</w:t>
      </w:r>
      <w:r>
        <w:rPr>
          <w:rFonts w:hint="eastAsia" w:ascii="宋体" w:hAnsi="宋体" w:eastAsia="宋体" w:cs="宋体"/>
          <w:color w:val="auto"/>
          <w:sz w:val="21"/>
          <w:szCs w:val="21"/>
          <w:highlight w:val="none"/>
        </w:rPr>
        <w:t>；且必须在以下范围内：B≥0%。B值不在此填报范围的，投标报价无效，</w:t>
      </w:r>
      <w:r>
        <w:rPr>
          <w:rFonts w:hint="eastAsia" w:ascii="宋体" w:hAnsi="宋体" w:eastAsia="宋体" w:cs="宋体"/>
          <w:b w:val="0"/>
          <w:bCs/>
          <w:color w:val="auto"/>
          <w:sz w:val="21"/>
          <w:szCs w:val="21"/>
          <w:highlight w:val="none"/>
        </w:rPr>
        <w:t>评标委员会应当否决其投标</w:t>
      </w:r>
      <w:r>
        <w:rPr>
          <w:rFonts w:hint="eastAsia" w:ascii="宋体" w:hAnsi="宋体" w:eastAsia="宋体" w:cs="宋体"/>
          <w:color w:val="auto"/>
          <w:sz w:val="21"/>
          <w:szCs w:val="21"/>
          <w:highlight w:val="none"/>
        </w:rPr>
        <w:t>。临时用地土地报批服务费报价J值以万元为单位</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精确至小数点后四位</w:t>
      </w:r>
      <w:r>
        <w:rPr>
          <w:rFonts w:hint="eastAsia" w:ascii="宋体" w:hAnsi="宋体" w:eastAsia="宋体" w:cs="宋体"/>
          <w:color w:val="auto"/>
          <w:sz w:val="21"/>
          <w:szCs w:val="21"/>
          <w:highlight w:val="none"/>
        </w:rPr>
        <w:t>。本次招标的临时用地土地报批服务费最高投标限价T见投标须知前附表</w:t>
      </w:r>
      <w:r>
        <w:rPr>
          <w:rFonts w:hint="eastAsia" w:ascii="宋体" w:hAnsi="宋体" w:eastAsia="宋体" w:cs="宋体"/>
          <w:color w:val="auto"/>
          <w:kern w:val="0"/>
          <w:sz w:val="21"/>
          <w:szCs w:val="21"/>
          <w:highlight w:val="none"/>
        </w:rPr>
        <w:t>。</w:t>
      </w:r>
    </w:p>
    <w:p w14:paraId="46AFB8E1">
      <w:pPr>
        <w:numPr>
          <w:ilvl w:val="0"/>
          <w:numId w:val="6"/>
        </w:num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投标货币</w:t>
      </w:r>
    </w:p>
    <w:p w14:paraId="0944E2DB">
      <w:pPr>
        <w:snapToGrid w:val="0"/>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rPr>
        <w:t>15.1 本工程投标报价采用的币种为人民币。</w:t>
      </w:r>
    </w:p>
    <w:p w14:paraId="67F13BAC">
      <w:pPr>
        <w:numPr>
          <w:ilvl w:val="0"/>
          <w:numId w:val="6"/>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投标有效期</w:t>
      </w:r>
    </w:p>
    <w:p w14:paraId="747898D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投标有效期见投标须知前附表项所规定的期限，在此期限内，凡符合本招标文件要求的投标文件均保持有效。</w:t>
      </w:r>
    </w:p>
    <w:p w14:paraId="6D6D0FC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出现特殊情况需要延长投标有效期的，招标人以书面形式通知所有投标人延长投标有效期。投标人同意延长的，不得要求或被允许修改或撤销其投标文件；投标人拒绝延长的，其投标失效。</w:t>
      </w:r>
    </w:p>
    <w:p w14:paraId="46365384">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17. </w:t>
      </w:r>
      <w:r>
        <w:rPr>
          <w:rFonts w:hint="eastAsia" w:ascii="宋体" w:hAnsi="宋体" w:eastAsia="宋体" w:cs="宋体"/>
          <w:b/>
          <w:bCs/>
          <w:color w:val="auto"/>
          <w:sz w:val="21"/>
          <w:szCs w:val="21"/>
          <w:highlight w:val="none"/>
        </w:rPr>
        <w:t>投标保证金</w:t>
      </w:r>
    </w:p>
    <w:p w14:paraId="244B58D5">
      <w:pPr>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17.1</w:t>
      </w:r>
      <w:r>
        <w:rPr>
          <w:rFonts w:hint="eastAsia" w:ascii="宋体" w:hAnsi="宋体" w:eastAsia="宋体" w:cs="Times New Roman"/>
          <w:color w:val="auto"/>
          <w:sz w:val="21"/>
          <w:szCs w:val="21"/>
          <w:highlight w:val="none"/>
        </w:rPr>
        <w:t>本项目无需提供投标保证金。</w:t>
      </w:r>
    </w:p>
    <w:p w14:paraId="30FCEDF4">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18. </w:t>
      </w:r>
      <w:r>
        <w:rPr>
          <w:rFonts w:hint="eastAsia" w:ascii="宋体" w:hAnsi="宋体" w:eastAsia="宋体" w:cs="宋体"/>
          <w:b/>
          <w:bCs/>
          <w:color w:val="auto"/>
          <w:sz w:val="21"/>
          <w:szCs w:val="21"/>
          <w:highlight w:val="none"/>
        </w:rPr>
        <w:t>投标文件的编制</w:t>
      </w:r>
    </w:p>
    <w:p w14:paraId="31A89E0E">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18.1投标人应使用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的投标文件管理软件进行投标文件的合成、电子签章及加密打包工作，所有电子投标文件不能进行压缩处理。电子投标文件统一采用网络上传的形式，投标人需登录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网站投标人服务区在递交投标文件截止时间前完整上传至</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的信息系统。</w:t>
      </w:r>
    </w:p>
    <w:p w14:paraId="003BDCE0">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18.2投标人应使用依法设立的电子认证服务机构签发的电子签名认证证书对电子投标文件进行电子签章。该电子签章与盖单位章具有同等的法律效力。</w:t>
      </w:r>
    </w:p>
    <w:p w14:paraId="2FE7ACF5">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18.3投标文件全部采用电子文档，投标文件所附证书证件均为纸质原件的扫描件，并采用单位数字证书，按招标文件要求在相应位置加盖电子印章。签字或盖章的具体要求见投标人须知前附表。</w:t>
      </w:r>
    </w:p>
    <w:p w14:paraId="5FAA804C">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18.4投标文件应按照</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olor w:val="auto"/>
          <w:sz w:val="21"/>
          <w:szCs w:val="21"/>
          <w:highlight w:val="none"/>
        </w:rPr>
        <w:t>交易平台关于全流程电子化项目的相关指南进行编制。如因不按上述编排要求编制而所引起系统无法检索、读取相关信息时，其后果将由投标人自行承担。</w:t>
      </w:r>
    </w:p>
    <w:p w14:paraId="6BEA96BB">
      <w:pPr>
        <w:snapToGrid w:val="0"/>
        <w:spacing w:line="360" w:lineRule="auto"/>
        <w:ind w:firstLine="420" w:firstLineChars="200"/>
        <w:rPr>
          <w:rFonts w:hint="default" w:eastAsia="宋体"/>
          <w:highlight w:val="none"/>
          <w:lang w:val="en-US" w:eastAsia="zh-CN"/>
        </w:rPr>
      </w:pPr>
      <w:r>
        <w:rPr>
          <w:rFonts w:hint="eastAsia" w:ascii="宋体" w:hAnsi="宋体" w:eastAsia="宋体" w:cs="Times New Roman"/>
          <w:color w:val="auto"/>
          <w:sz w:val="21"/>
          <w:szCs w:val="21"/>
          <w:highlight w:val="none"/>
          <w:lang w:val="en-US" w:eastAsia="zh-CN"/>
        </w:rPr>
        <w:t>18.5服务方案文件编制统一使用白色背景黑色字体</w:t>
      </w:r>
      <w:r>
        <w:rPr>
          <w:rFonts w:hint="eastAsia"/>
          <w:highlight w:val="none"/>
          <w:lang w:val="en-US" w:eastAsia="zh-CN"/>
        </w:rPr>
        <w:t>，字体为黑色字体。技术文件须编制目录，目录可逐页标注连续页码（以阿拉伯数字“1”开始），也可不标注页码，内页自正文（不含目录）起逐页标注连续页码（以阿拉伯数字“1”开始），内页正文不得超过250页，</w:t>
      </w:r>
      <w:r>
        <w:rPr>
          <w:rFonts w:hint="eastAsia"/>
          <w:b/>
          <w:bCs/>
          <w:highlight w:val="none"/>
          <w:lang w:val="en-US" w:eastAsia="zh-CN"/>
        </w:rPr>
        <w:t>不符合要求的投标文件作废标处理。</w:t>
      </w:r>
    </w:p>
    <w:p w14:paraId="4A9AF57A">
      <w:pPr>
        <w:bidi w:val="0"/>
        <w:rPr>
          <w:rFonts w:hint="eastAsia"/>
          <w:color w:val="auto"/>
          <w:highlight w:val="none"/>
        </w:rPr>
      </w:pPr>
    </w:p>
    <w:p w14:paraId="33225AA0">
      <w:pPr>
        <w:pStyle w:val="6"/>
        <w:rPr>
          <w:rFonts w:hint="eastAsia" w:ascii="宋体" w:hAnsi="宋体" w:eastAsia="宋体" w:cs="宋体"/>
          <w:color w:val="auto"/>
          <w:sz w:val="21"/>
          <w:szCs w:val="21"/>
          <w:highlight w:val="none"/>
        </w:rPr>
      </w:pPr>
      <w:bookmarkStart w:id="16" w:name="_Toc531610926"/>
      <w:bookmarkStart w:id="17" w:name="_Toc346800655"/>
      <w:bookmarkStart w:id="18" w:name="_Toc8229518"/>
      <w:bookmarkStart w:id="19" w:name="_Toc7361038"/>
      <w:r>
        <w:rPr>
          <w:rFonts w:hint="eastAsia" w:ascii="宋体" w:hAnsi="宋体" w:eastAsia="宋体" w:cs="宋体"/>
          <w:color w:val="auto"/>
          <w:sz w:val="21"/>
          <w:szCs w:val="21"/>
          <w:highlight w:val="none"/>
        </w:rPr>
        <w:t>（四）投标文件的提交</w:t>
      </w:r>
      <w:bookmarkEnd w:id="16"/>
      <w:bookmarkEnd w:id="17"/>
      <w:bookmarkEnd w:id="18"/>
      <w:bookmarkEnd w:id="19"/>
    </w:p>
    <w:p w14:paraId="10181F15">
      <w:pPr>
        <w:numPr>
          <w:ilvl w:val="0"/>
          <w:numId w:val="7"/>
        </w:numPr>
        <w:snapToGrid w:val="0"/>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投标文件的加密</w:t>
      </w:r>
    </w:p>
    <w:p w14:paraId="22C820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r>
        <w:rPr>
          <w:rFonts w:hint="eastAsia" w:ascii="宋体" w:hAnsi="宋体" w:eastAsia="宋体" w:cs="宋体"/>
          <w:bCs/>
          <w:color w:val="auto"/>
          <w:sz w:val="21"/>
          <w:szCs w:val="21"/>
          <w:highlight w:val="none"/>
        </w:rPr>
        <w:t>递交的电子投标文件必须进行加密。按照</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Cs/>
          <w:color w:val="auto"/>
          <w:sz w:val="21"/>
          <w:szCs w:val="21"/>
          <w:highlight w:val="none"/>
        </w:rPr>
        <w:t>交易平台关</w:t>
      </w:r>
      <w:r>
        <w:rPr>
          <w:rFonts w:hint="eastAsia" w:ascii="宋体" w:hAnsi="宋体" w:eastAsia="宋体" w:cs="宋体"/>
          <w:b w:val="0"/>
          <w:bCs/>
          <w:color w:val="auto"/>
          <w:sz w:val="21"/>
          <w:szCs w:val="21"/>
          <w:highlight w:val="none"/>
        </w:rPr>
        <w:t>于全流程电子化项目</w:t>
      </w:r>
      <w:r>
        <w:rPr>
          <w:rFonts w:hint="eastAsia" w:ascii="宋体" w:hAnsi="宋体" w:eastAsia="宋体" w:cs="宋体"/>
          <w:bCs/>
          <w:color w:val="auto"/>
          <w:sz w:val="21"/>
          <w:szCs w:val="21"/>
          <w:highlight w:val="none"/>
        </w:rPr>
        <w:t>的相关指南进行操作。</w:t>
      </w:r>
    </w:p>
    <w:p w14:paraId="73AC36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r>
        <w:rPr>
          <w:rFonts w:hint="eastAsia" w:ascii="宋体" w:hAnsi="宋体" w:eastAsia="宋体" w:cs="宋体"/>
          <w:b w:val="0"/>
          <w:bCs w:val="0"/>
          <w:color w:val="auto"/>
          <w:sz w:val="21"/>
          <w:szCs w:val="21"/>
          <w:highlight w:val="none"/>
        </w:rPr>
        <w:t>未按要求加密的电子投标文件，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 w:val="0"/>
          <w:bCs w:val="0"/>
          <w:color w:val="auto"/>
          <w:sz w:val="21"/>
          <w:szCs w:val="21"/>
          <w:highlight w:val="none"/>
        </w:rPr>
        <w:t>交易平台将予以拒收。</w:t>
      </w:r>
    </w:p>
    <w:p w14:paraId="289FD856">
      <w:pPr>
        <w:numPr>
          <w:ilvl w:val="0"/>
          <w:numId w:val="7"/>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投标文件的递交和接收</w:t>
      </w:r>
    </w:p>
    <w:p w14:paraId="164E8FD5">
      <w:pPr>
        <w:spacing w:line="360" w:lineRule="auto"/>
        <w:ind w:firstLine="455" w:firstLineChars="2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ascii="宋体" w:hAnsi="宋体" w:eastAsia="宋体" w:cs="宋体"/>
          <w:bCs/>
          <w:color w:val="auto"/>
          <w:sz w:val="21"/>
          <w:szCs w:val="21"/>
          <w:highlight w:val="none"/>
        </w:rPr>
        <w:t>投标人通过</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Cs/>
          <w:color w:val="auto"/>
          <w:sz w:val="21"/>
          <w:szCs w:val="21"/>
          <w:highlight w:val="none"/>
        </w:rPr>
        <w:t>交易平台递交电子投标文件。</w:t>
      </w:r>
    </w:p>
    <w:p w14:paraId="758658BA">
      <w:pPr>
        <w:spacing w:line="360" w:lineRule="auto"/>
        <w:ind w:firstLine="455" w:firstLineChars="2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bCs/>
          <w:color w:val="auto"/>
          <w:sz w:val="21"/>
          <w:szCs w:val="21"/>
          <w:highlight w:val="none"/>
        </w:rPr>
        <w:t>投标人完成电子投标文件上传后，</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Cs/>
          <w:color w:val="auto"/>
          <w:sz w:val="21"/>
          <w:szCs w:val="21"/>
          <w:highlight w:val="none"/>
        </w:rPr>
        <w:t>交易平台即时向投标人发出递交回执通知。递交时间以递交回执通知载明的传输完成时间为准。</w:t>
      </w:r>
    </w:p>
    <w:p w14:paraId="79A2DD1A">
      <w:pPr>
        <w:spacing w:line="360" w:lineRule="auto"/>
        <w:ind w:firstLine="455" w:firstLineChars="217"/>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20.3</w:t>
      </w:r>
      <w:r>
        <w:rPr>
          <w:rFonts w:hint="eastAsia" w:ascii="宋体" w:hAnsi="宋体" w:eastAsia="宋体" w:cs="宋体"/>
          <w:b w:val="0"/>
          <w:bCs w:val="0"/>
          <w:color w:val="auto"/>
          <w:sz w:val="21"/>
          <w:szCs w:val="21"/>
          <w:highlight w:val="none"/>
        </w:rPr>
        <w:t>逾期送达的电子投标文件，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 w:val="0"/>
          <w:bCs w:val="0"/>
          <w:color w:val="auto"/>
          <w:sz w:val="21"/>
          <w:szCs w:val="21"/>
          <w:highlight w:val="none"/>
        </w:rPr>
        <w:t>交易平台将予以拒收。</w:t>
      </w:r>
    </w:p>
    <w:p w14:paraId="4206C33D">
      <w:pPr>
        <w:snapToGrid w:val="0"/>
        <w:spacing w:line="360" w:lineRule="auto"/>
        <w:ind w:firstLine="455" w:firstLineChars="2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r>
        <w:rPr>
          <w:rFonts w:hint="eastAsia" w:ascii="宋体" w:hAnsi="宋体" w:eastAsia="宋体" w:cs="宋体"/>
          <w:bCs/>
          <w:color w:val="auto"/>
          <w:sz w:val="21"/>
          <w:szCs w:val="21"/>
          <w:highlight w:val="none"/>
        </w:rPr>
        <w:t>投标截止前，招标人拒绝接收符合条件的投标文件，投标人可向招标监督机构投诉。</w:t>
      </w:r>
    </w:p>
    <w:p w14:paraId="01CB3EC2">
      <w:pPr>
        <w:numPr>
          <w:ilvl w:val="0"/>
          <w:numId w:val="7"/>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投标文件提交的截止时间</w:t>
      </w:r>
    </w:p>
    <w:p w14:paraId="63D77A01">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21.1投标人应按投标须知前附表所述的投标截止时间前递交投标文件。</w:t>
      </w:r>
    </w:p>
    <w:p w14:paraId="763C2C7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21.2招标人可按本须知规定以修改补充通知的方式，酌情延长提交投标文件的截止时间。在此情况下，投标人的所有权利和义务以及投标人受制约的截止时间，均以延长后新的投标截止时间为准。</w:t>
      </w:r>
    </w:p>
    <w:p w14:paraId="1ECCBA2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到投标截止时间止，招标人收到的投标文件少于3家的，招标人将依法重新组织招标。</w:t>
      </w:r>
    </w:p>
    <w:p w14:paraId="7C6C722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r>
        <w:rPr>
          <w:rFonts w:hint="eastAsia" w:ascii="宋体" w:hAnsi="宋体" w:eastAsia="宋体" w:cs="宋体"/>
          <w:bCs/>
          <w:color w:val="auto"/>
          <w:sz w:val="21"/>
          <w:szCs w:val="21"/>
          <w:highlight w:val="none"/>
        </w:rPr>
        <w:t>本</w:t>
      </w:r>
      <w:r>
        <w:rPr>
          <w:rFonts w:hint="eastAsia" w:ascii="宋体" w:hAnsi="宋体" w:eastAsia="宋体" w:cs="宋体"/>
          <w:color w:val="auto"/>
          <w:sz w:val="21"/>
          <w:szCs w:val="21"/>
          <w:highlight w:val="none"/>
        </w:rPr>
        <w:t>投标须知前附表所述的</w:t>
      </w:r>
      <w:r>
        <w:rPr>
          <w:rFonts w:hint="eastAsia" w:ascii="宋体" w:hAnsi="宋体" w:eastAsia="宋体" w:cs="宋体"/>
          <w:bCs/>
          <w:color w:val="auto"/>
          <w:sz w:val="21"/>
          <w:szCs w:val="21"/>
          <w:highlight w:val="none"/>
        </w:rPr>
        <w:t>投标截止时间后送达的电子投标文件，</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Cs/>
          <w:color w:val="auto"/>
          <w:sz w:val="21"/>
          <w:szCs w:val="21"/>
          <w:highlight w:val="none"/>
        </w:rPr>
        <w:t>交易平台将予以拒收。</w:t>
      </w:r>
    </w:p>
    <w:p w14:paraId="51B9B956">
      <w:pPr>
        <w:numPr>
          <w:ilvl w:val="0"/>
          <w:numId w:val="7"/>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投标文件的补充、修改与撤回</w:t>
      </w:r>
    </w:p>
    <w:p w14:paraId="18DB1B6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投标人在递交投标文件以后，在规定的投标截止时间之前，可以撤回或替换已递交的投标文件。</w:t>
      </w:r>
    </w:p>
    <w:p w14:paraId="42FEF6FA">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在投标截止时间之后，投标人不得补充、修改和更换投标文件。</w:t>
      </w:r>
    </w:p>
    <w:p w14:paraId="38EE5436">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22.3在投标截止后，投标人在投标文件格式中规定的有效期终止日前，投标人不能撤回投标文件，招标人有权就其撤回行为报告政府主管部门载入不良信用记录。</w:t>
      </w:r>
    </w:p>
    <w:p w14:paraId="775A9419">
      <w:pPr>
        <w:spacing w:line="360" w:lineRule="auto"/>
        <w:ind w:firstLine="373" w:firstLineChars="177"/>
        <w:jc w:val="left"/>
        <w:rPr>
          <w:rFonts w:hint="eastAsia" w:ascii="宋体" w:hAnsi="宋体" w:eastAsia="宋体" w:cs="宋体"/>
          <w:b/>
          <w:bCs/>
          <w:strike/>
          <w:color w:val="auto"/>
          <w:sz w:val="21"/>
          <w:szCs w:val="21"/>
          <w:highlight w:val="none"/>
        </w:rPr>
      </w:pPr>
      <w:r>
        <w:rPr>
          <w:rFonts w:hint="eastAsia" w:ascii="宋体" w:hAnsi="宋体" w:eastAsia="宋体" w:cs="宋体"/>
          <w:b/>
          <w:bCs/>
          <w:color w:val="auto"/>
          <w:sz w:val="21"/>
          <w:szCs w:val="21"/>
          <w:highlight w:val="none"/>
          <w:lang w:val="en-US" w:eastAsia="zh-CN"/>
        </w:rPr>
        <w:t xml:space="preserve">23. </w:t>
      </w:r>
      <w:r>
        <w:rPr>
          <w:rFonts w:hint="eastAsia" w:ascii="宋体" w:hAnsi="宋体" w:eastAsia="宋体" w:cs="宋体"/>
          <w:b/>
          <w:bCs/>
          <w:color w:val="auto"/>
          <w:sz w:val="21"/>
          <w:szCs w:val="21"/>
          <w:highlight w:val="none"/>
        </w:rPr>
        <w:t>投标信息录入</w:t>
      </w:r>
    </w:p>
    <w:p w14:paraId="5FF268DF">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23.1投标人应在上传电子投标文件前将</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交易服务系统要求的相关信息在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交易服务系统中录入完毕。</w:t>
      </w:r>
    </w:p>
    <w:p w14:paraId="45442927">
      <w:pPr>
        <w:spacing w:line="360" w:lineRule="auto"/>
        <w:ind w:firstLine="373" w:firstLineChars="177"/>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24. </w:t>
      </w:r>
      <w:r>
        <w:rPr>
          <w:rFonts w:hint="eastAsia" w:ascii="宋体" w:hAnsi="宋体" w:eastAsia="宋体" w:cs="宋体"/>
          <w:b/>
          <w:bCs/>
          <w:color w:val="auto"/>
          <w:sz w:val="21"/>
          <w:szCs w:val="21"/>
          <w:highlight w:val="none"/>
        </w:rPr>
        <w:t>投标文件的解密</w:t>
      </w:r>
    </w:p>
    <w:p w14:paraId="6E28C2CD">
      <w:pPr>
        <w:tabs>
          <w:tab w:val="left" w:pos="105"/>
        </w:tabs>
        <w:spacing w:line="360" w:lineRule="auto"/>
        <w:ind w:firstLine="371" w:firstLineChars="177"/>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24.1</w:t>
      </w:r>
      <w:r>
        <w:rPr>
          <w:rFonts w:hint="eastAsia" w:ascii="宋体" w:hAnsi="宋体" w:eastAsia="宋体" w:cs="宋体"/>
          <w:bCs/>
          <w:color w:val="auto"/>
          <w:sz w:val="21"/>
          <w:szCs w:val="21"/>
          <w:highlight w:val="none"/>
        </w:rPr>
        <w:t>投标人必须在投标须知前附表规定的时间内</w:t>
      </w:r>
      <w:r>
        <w:rPr>
          <w:rFonts w:hint="eastAsia" w:ascii="宋体" w:hAnsi="宋体" w:eastAsia="宋体" w:cs="宋体"/>
          <w:b w:val="0"/>
          <w:bCs w:val="0"/>
          <w:color w:val="auto"/>
          <w:sz w:val="21"/>
          <w:szCs w:val="21"/>
          <w:highlight w:val="none"/>
        </w:rPr>
        <w:t>完成电子投标文件解密。超过时间未解密的投标文件将作为放弃投标处理。</w:t>
      </w:r>
    </w:p>
    <w:p w14:paraId="34A26E61">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24.2电子投标文件解密应按照</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b w:val="0"/>
          <w:bCs w:val="0"/>
          <w:color w:val="auto"/>
          <w:sz w:val="21"/>
          <w:szCs w:val="21"/>
          <w:highlight w:val="none"/>
        </w:rPr>
        <w:t>交易平台关于全流程电子化项目的相关</w:t>
      </w:r>
      <w:r>
        <w:rPr>
          <w:rFonts w:hint="eastAsia" w:ascii="宋体" w:hAnsi="宋体" w:eastAsia="宋体" w:cs="宋体"/>
          <w:bCs/>
          <w:color w:val="auto"/>
          <w:sz w:val="21"/>
          <w:szCs w:val="21"/>
          <w:highlight w:val="none"/>
        </w:rPr>
        <w:t>指南进行操作。</w:t>
      </w:r>
    </w:p>
    <w:p w14:paraId="6F8AE9E8">
      <w:pPr>
        <w:bidi w:val="0"/>
        <w:rPr>
          <w:rFonts w:hint="eastAsia"/>
          <w:color w:val="auto"/>
          <w:highlight w:val="none"/>
        </w:rPr>
      </w:pPr>
      <w:bookmarkStart w:id="20" w:name="_Toc531610927"/>
      <w:bookmarkStart w:id="21" w:name="_Toc346800656"/>
      <w:bookmarkStart w:id="22" w:name="_Toc8229519"/>
      <w:bookmarkStart w:id="23" w:name="_Toc7361039"/>
    </w:p>
    <w:p w14:paraId="7B05E239">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（五）开标</w:t>
      </w:r>
      <w:bookmarkEnd w:id="20"/>
      <w:bookmarkEnd w:id="21"/>
      <w:bookmarkEnd w:id="22"/>
      <w:bookmarkEnd w:id="23"/>
    </w:p>
    <w:p w14:paraId="4A145665">
      <w:pPr>
        <w:numPr>
          <w:ilvl w:val="0"/>
          <w:numId w:val="0"/>
        </w:num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25. </w:t>
      </w:r>
      <w:r>
        <w:rPr>
          <w:rFonts w:hint="eastAsia" w:ascii="宋体" w:hAnsi="宋体" w:eastAsia="宋体" w:cs="宋体"/>
          <w:b/>
          <w:bCs/>
          <w:color w:val="auto"/>
          <w:sz w:val="21"/>
          <w:szCs w:val="21"/>
          <w:highlight w:val="none"/>
        </w:rPr>
        <w:t>开标</w:t>
      </w:r>
    </w:p>
    <w:p w14:paraId="09F1D418">
      <w:pPr>
        <w:snapToGrid w:val="0"/>
        <w:spacing w:line="360" w:lineRule="auto"/>
        <w:ind w:firstLine="420" w:firstLineChars="200"/>
        <w:rPr>
          <w:rFonts w:hint="eastAsia" w:ascii="宋体" w:hAnsi="宋体" w:eastAsia="宋体" w:cs="宋体"/>
          <w:b w:val="0"/>
          <w:bCs w:val="0"/>
          <w:color w:val="auto"/>
          <w:kern w:val="21"/>
          <w:sz w:val="21"/>
          <w:szCs w:val="21"/>
          <w:highlight w:val="none"/>
          <w:u w:val="single"/>
        </w:rPr>
      </w:pPr>
      <w:r>
        <w:rPr>
          <w:rFonts w:hint="eastAsia" w:ascii="宋体" w:hAnsi="宋体" w:eastAsia="宋体" w:cs="宋体"/>
          <w:color w:val="auto"/>
          <w:sz w:val="21"/>
          <w:szCs w:val="21"/>
          <w:highlight w:val="none"/>
        </w:rPr>
        <w:t xml:space="preserve">25.1 </w:t>
      </w:r>
      <w:r>
        <w:rPr>
          <w:rFonts w:hint="eastAsia" w:ascii="宋体" w:hAnsi="宋体" w:eastAsia="宋体" w:cs="宋体"/>
          <w:color w:val="auto"/>
          <w:sz w:val="21"/>
          <w:szCs w:val="21"/>
          <w:highlight w:val="none"/>
          <w:u w:val="none"/>
        </w:rPr>
        <w:t>招标人按投标须知前附表所规定的时间和地点公开开标，</w:t>
      </w:r>
      <w:r>
        <w:rPr>
          <w:rFonts w:hint="eastAsia" w:ascii="宋体" w:hAnsi="宋体" w:eastAsia="宋体" w:cs="宋体"/>
          <w:b w:val="0"/>
          <w:bCs/>
          <w:color w:val="auto"/>
          <w:sz w:val="21"/>
          <w:szCs w:val="21"/>
          <w:highlight w:val="none"/>
          <w:u w:val="none"/>
        </w:rPr>
        <w:t>通过电子招标投标交易平台公开开标，并邀请所有投标人参加</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color w:val="auto"/>
          <w:sz w:val="21"/>
          <w:szCs w:val="21"/>
          <w:highlight w:val="none"/>
          <w:u w:val="none"/>
          <w:lang w:eastAsia="zh-CN"/>
        </w:rPr>
        <w:t>投标人也可选择参加在线开标，具体按照交易平台相关指南进行操作</w:t>
      </w:r>
      <w:r>
        <w:rPr>
          <w:rFonts w:hint="eastAsia" w:ascii="宋体" w:hAnsi="宋体" w:eastAsia="宋体" w:cs="宋体"/>
          <w:b w:val="0"/>
          <w:bCs/>
          <w:color w:val="auto"/>
          <w:sz w:val="21"/>
          <w:szCs w:val="21"/>
          <w:highlight w:val="none"/>
          <w:u w:val="none"/>
        </w:rPr>
        <w:t>。投标人不派代表出席开标会，则视其为放弃参与开标的权利，认可开标结</w:t>
      </w:r>
      <w:r>
        <w:rPr>
          <w:rFonts w:hint="eastAsia" w:ascii="宋体" w:hAnsi="宋体" w:eastAsia="宋体" w:cs="宋体"/>
          <w:color w:val="auto"/>
          <w:sz w:val="21"/>
          <w:szCs w:val="21"/>
          <w:highlight w:val="none"/>
          <w:u w:val="none"/>
          <w:lang w:eastAsia="zh-CN"/>
        </w:rPr>
        <w:t>果。</w:t>
      </w:r>
    </w:p>
    <w:p w14:paraId="68EDB9EA">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bCs/>
          <w:color w:val="auto"/>
          <w:sz w:val="21"/>
          <w:szCs w:val="21"/>
          <w:highlight w:val="none"/>
        </w:rPr>
        <w:t>.2 开标程序</w:t>
      </w:r>
    </w:p>
    <w:p w14:paraId="2F934B13">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5.2.1</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主持人按下列程序进行开标：</w:t>
      </w:r>
    </w:p>
    <w:p w14:paraId="448D26B6">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（1）公布在投标截止时间前递交投标文件的投标人名称；</w:t>
      </w:r>
    </w:p>
    <w:p w14:paraId="597D81E9">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（2）投标人通过</w:t>
      </w:r>
      <w:r>
        <w:rPr>
          <w:rFonts w:hint="eastAsia" w:ascii="宋体" w:hAnsi="宋体" w:eastAsia="宋体" w:cs="宋体"/>
          <w:color w:val="auto"/>
          <w:sz w:val="21"/>
          <w:szCs w:val="21"/>
          <w:highlight w:val="none"/>
          <w:u w:val="none"/>
          <w:lang w:eastAsia="zh-CN"/>
        </w:rPr>
        <w:t>广州交易集团有限公司（广州公共资源交易中心）</w:t>
      </w:r>
      <w:r>
        <w:rPr>
          <w:rFonts w:hint="eastAsia" w:ascii="宋体" w:hAnsi="宋体" w:eastAsia="宋体" w:cs="宋体"/>
          <w:color w:val="auto"/>
          <w:sz w:val="21"/>
          <w:szCs w:val="21"/>
          <w:highlight w:val="none"/>
          <w:u w:val="none"/>
        </w:rPr>
        <w:t>交易平台对已递交的电子投标文件进行解密，投标人完成解密后，再由招标人进行解密。解密完成后，公布招标项目名称、投标人名称、投标报价及其他内容，并记录在案；</w:t>
      </w:r>
    </w:p>
    <w:p w14:paraId="30979EC1">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（3）投标人代表、招标人代表、监标人、记录人等有关人员在开标记录上签字确认；若有关人员不签字的，不影响开标程序；</w:t>
      </w:r>
    </w:p>
    <w:p w14:paraId="5C28E093">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（4）开标结束。</w:t>
      </w:r>
    </w:p>
    <w:p w14:paraId="3FE52AC4">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5.2.2</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eastAsia="宋体" w:cs="宋体"/>
          <w:b/>
          <w:bCs/>
          <w:color w:val="auto"/>
          <w:sz w:val="21"/>
          <w:szCs w:val="21"/>
          <w:highlight w:val="none"/>
          <w:u w:val="none"/>
          <w:lang w:eastAsia="zh-CN"/>
        </w:rPr>
        <w:t>半</w:t>
      </w:r>
      <w:r>
        <w:rPr>
          <w:rFonts w:hint="eastAsia" w:ascii="宋体" w:hAnsi="宋体" w:eastAsia="宋体" w:cs="宋体"/>
          <w:b/>
          <w:bCs/>
          <w:color w:val="auto"/>
          <w:sz w:val="21"/>
          <w:szCs w:val="21"/>
          <w:highlight w:val="none"/>
          <w:u w:val="none"/>
        </w:rPr>
        <w:t>小时</w:t>
      </w:r>
      <w:r>
        <w:rPr>
          <w:rFonts w:hint="eastAsia" w:ascii="宋体" w:hAnsi="宋体" w:eastAsia="宋体" w:cs="宋体"/>
          <w:color w:val="auto"/>
          <w:sz w:val="21"/>
          <w:szCs w:val="21"/>
          <w:highlight w:val="none"/>
          <w:u w:val="none"/>
        </w:rPr>
        <w:t>解密的，视为撤销其投标文件。</w:t>
      </w:r>
    </w:p>
    <w:p w14:paraId="4A6EBFD2">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5.2.3</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开标时，两个（含两个）以上的投标人加密打包投标文件电脑机器特征码一致的，不参与下一程序，并由评标委员会否决其投标。</w:t>
      </w:r>
    </w:p>
    <w:p w14:paraId="38B267B6">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25.3 开标异议</w:t>
      </w:r>
    </w:p>
    <w:p w14:paraId="1ECF9FD6">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25.3.1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F2C735F">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25.3.2 对开标的异议，招标人应当当场作出答复并予以书面记录，异议成立的，招标人应当及时采取纠正措施，或者提交评标委员会评审确认；异议不成立的，招标人应当当场给予解释说明。</w:t>
      </w:r>
    </w:p>
    <w:p w14:paraId="6CC0889B">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25.3.3 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38C9B820">
      <w:pPr>
        <w:bidi w:val="0"/>
        <w:rPr>
          <w:rFonts w:hint="eastAsia"/>
          <w:color w:val="auto"/>
          <w:highlight w:val="none"/>
        </w:rPr>
      </w:pPr>
    </w:p>
    <w:p w14:paraId="6BDD3464">
      <w:pPr>
        <w:pStyle w:val="6"/>
        <w:rPr>
          <w:rFonts w:hint="eastAsia" w:ascii="宋体" w:hAnsi="宋体" w:eastAsia="宋体" w:cs="宋体"/>
          <w:color w:val="auto"/>
          <w:sz w:val="21"/>
          <w:szCs w:val="21"/>
          <w:highlight w:val="none"/>
        </w:rPr>
      </w:pPr>
      <w:bookmarkStart w:id="24" w:name="_Toc7361040"/>
      <w:bookmarkStart w:id="25" w:name="_Toc8229520"/>
      <w:bookmarkStart w:id="26" w:name="_Toc346800657"/>
      <w:bookmarkStart w:id="27" w:name="_Toc531610928"/>
      <w:r>
        <w:rPr>
          <w:rFonts w:hint="eastAsia" w:ascii="宋体" w:hAnsi="宋体" w:eastAsia="宋体" w:cs="宋体"/>
          <w:color w:val="auto"/>
          <w:sz w:val="21"/>
          <w:szCs w:val="21"/>
          <w:highlight w:val="none"/>
        </w:rPr>
        <w:t>（六）评标</w:t>
      </w:r>
      <w:bookmarkEnd w:id="24"/>
      <w:bookmarkEnd w:id="25"/>
      <w:bookmarkEnd w:id="26"/>
      <w:bookmarkEnd w:id="27"/>
    </w:p>
    <w:p w14:paraId="29E8918C">
      <w:pPr>
        <w:numPr>
          <w:ilvl w:val="0"/>
          <w:numId w:val="8"/>
        </w:numPr>
        <w:snapToGrid w:val="0"/>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评标过程的保密</w:t>
      </w:r>
    </w:p>
    <w:p w14:paraId="4633703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6.1 开标后，直至中标公示为止，凡属于对投标文件的审查、澄清、评价和比较有关的资料以及与评标有关的其他任何情况均严格保密。</w:t>
      </w:r>
    </w:p>
    <w:p w14:paraId="599F6FB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6.2 在投标文件的评审和比较、中标候选人推荐以及授予合同的过程中，投标人向招标人和评标委员会施加不公正影响的任何行为，都将会导致其投标被拒绝。</w:t>
      </w:r>
    </w:p>
    <w:p w14:paraId="3A86FD42">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27. </w:t>
      </w:r>
      <w:r>
        <w:rPr>
          <w:rFonts w:hint="eastAsia" w:ascii="宋体" w:hAnsi="宋体" w:eastAsia="宋体" w:cs="宋体"/>
          <w:b/>
          <w:bCs/>
          <w:color w:val="auto"/>
          <w:sz w:val="21"/>
          <w:szCs w:val="21"/>
          <w:highlight w:val="none"/>
        </w:rPr>
        <w:t>投标文件的澄清</w:t>
      </w:r>
    </w:p>
    <w:p w14:paraId="7485D80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27.1为有助于投标文件的审查、评价和比较，评标期间，经评标委员会中两人以上（含两人）以书面形式提出异议，评标委员会应当书面发出澄清通知，要求投标人对投标文件含义不明确的内容作出澄清。</w:t>
      </w:r>
    </w:p>
    <w:p w14:paraId="30E718A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90DC59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评标委员会或评标委员会专业评审组成员均应当阅读投标人的澄清，但应独立参考澄清对投标文件进行评审。</w:t>
      </w:r>
    </w:p>
    <w:p w14:paraId="2FF040B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27.4如果投标文件实质上不响应招标文件的各项要求，评标委员会将按照符合性审查标准予以拒绝，不接受投标人通过修改或撤销其不符合要求的差异或保留，使之成为具有响应性的投标。</w:t>
      </w:r>
    </w:p>
    <w:p w14:paraId="7EA9A491">
      <w:pPr>
        <w:bidi w:val="0"/>
        <w:rPr>
          <w:rFonts w:hint="eastAsia"/>
          <w:color w:val="auto"/>
          <w:highlight w:val="none"/>
        </w:rPr>
      </w:pPr>
      <w:r>
        <w:rPr>
          <w:rFonts w:hint="eastAsia"/>
          <w:color w:val="auto"/>
          <w:highlight w:val="none"/>
        </w:rPr>
        <w:t xml:space="preserve"> </w:t>
      </w:r>
    </w:p>
    <w:p w14:paraId="6AB3DBC4">
      <w:pPr>
        <w:pStyle w:val="6"/>
        <w:rPr>
          <w:rFonts w:hint="eastAsia" w:ascii="宋体" w:hAnsi="宋体" w:eastAsia="宋体" w:cs="宋体"/>
          <w:color w:val="auto"/>
          <w:sz w:val="21"/>
          <w:szCs w:val="21"/>
          <w:highlight w:val="none"/>
        </w:rPr>
      </w:pPr>
      <w:bookmarkStart w:id="28" w:name="_Toc8229521"/>
      <w:bookmarkStart w:id="29" w:name="_Toc346800658"/>
      <w:bookmarkStart w:id="30" w:name="_Toc7361041"/>
      <w:bookmarkStart w:id="31" w:name="_Toc531610929"/>
      <w:r>
        <w:rPr>
          <w:rFonts w:hint="eastAsia" w:ascii="宋体" w:hAnsi="宋体" w:eastAsia="宋体" w:cs="宋体"/>
          <w:color w:val="auto"/>
          <w:sz w:val="21"/>
          <w:szCs w:val="21"/>
          <w:highlight w:val="none"/>
        </w:rPr>
        <w:t>（七）合同的授予</w:t>
      </w:r>
      <w:bookmarkEnd w:id="28"/>
      <w:bookmarkEnd w:id="29"/>
      <w:bookmarkEnd w:id="30"/>
      <w:bookmarkEnd w:id="31"/>
    </w:p>
    <w:p w14:paraId="69CFDB43">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28. </w:t>
      </w:r>
      <w:r>
        <w:rPr>
          <w:rFonts w:hint="eastAsia" w:ascii="宋体" w:hAnsi="宋体" w:eastAsia="宋体" w:cs="宋体"/>
          <w:b/>
          <w:bCs/>
          <w:color w:val="auto"/>
          <w:sz w:val="21"/>
          <w:szCs w:val="21"/>
          <w:highlight w:val="none"/>
        </w:rPr>
        <w:t>中标候选人公示</w:t>
      </w:r>
    </w:p>
    <w:p w14:paraId="20659F17">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28.1招标人在投标人须知前附表规定的媒介公示中标候选人，公示期为三天，最后一天应为工作日。</w:t>
      </w:r>
    </w:p>
    <w:p w14:paraId="6513DCF5">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28.2在产生中标候选人后，招标人将中标候选人的投标文件商务部分文件的所有内容（包括人员、业绩、奖项等资料）在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val="en-US" w:eastAsia="zh-CN"/>
        </w:rPr>
        <w:t>网公开。</w:t>
      </w:r>
    </w:p>
    <w:p w14:paraId="63FCCEC5">
      <w:pPr>
        <w:numPr>
          <w:ilvl w:val="0"/>
          <w:numId w:val="9"/>
        </w:numPr>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中标通知</w:t>
      </w:r>
    </w:p>
    <w:p w14:paraId="348458D2">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在法规规定的时间内，招标人以书面形式向中标人发出中标通知书。在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val="en-US" w:eastAsia="zh-CN"/>
        </w:rPr>
        <w:t>网发布中标信息，视同将中标结果通知未中标的投标人。</w:t>
      </w:r>
    </w:p>
    <w:p w14:paraId="4BE0B780">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中标通知书发出前，中标人应未被纳入失信联合惩戒名单，否则招标人将取消其中标资格。失信联合惩戒名单以“信用中国”网站公布的“黑名单”为准。</w:t>
      </w:r>
    </w:p>
    <w:p w14:paraId="329732D6">
      <w:pPr>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 xml:space="preserve"> 履约担保</w:t>
      </w:r>
    </w:p>
    <w:p w14:paraId="51D1FBEE">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30.1在签订合同前，中标人应按投标人须知前附表规定的担保形式和金额向招标人提交履约担保。</w:t>
      </w:r>
    </w:p>
    <w:p w14:paraId="3C556AF9">
      <w:pPr>
        <w:snapToGrid w:val="0"/>
        <w:spacing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30.2 中标人不能按本章第29.1项要求提交履约担保的，视为放弃中标，给招标人造成的损失，中标人还应予以赔偿。</w:t>
      </w:r>
    </w:p>
    <w:p w14:paraId="1E01BC3E">
      <w:pPr>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 xml:space="preserve"> 签订合同</w:t>
      </w:r>
    </w:p>
    <w:p w14:paraId="3C99E1C7">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31.1招标人和中标人应当自中标通知书发出之日起30天内，根据招标文件和中标人的投标文件订立书面合同。中标人无正当理由拒签合同的，招标人取消其中标资格；给招标人造成的损失，中标人还应当予以赔偿。 </w:t>
      </w:r>
    </w:p>
    <w:p w14:paraId="24ADC58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31.2 发出中标通知书后，招标人无正当理由拒签合同的，给中标人造成损失的，还应当赔偿损失。</w:t>
      </w:r>
    </w:p>
    <w:p w14:paraId="4EC1740D">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32. 其他</w:t>
      </w:r>
      <w:r>
        <w:rPr>
          <w:rFonts w:hint="eastAsia" w:ascii="宋体" w:hAnsi="宋体" w:eastAsia="宋体" w:cs="宋体"/>
          <w:b/>
          <w:bCs/>
          <w:color w:val="auto"/>
          <w:sz w:val="21"/>
          <w:szCs w:val="21"/>
          <w:highlight w:val="none"/>
        </w:rPr>
        <w:t>费用</w:t>
      </w:r>
    </w:p>
    <w:p w14:paraId="5EA45D21">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lang w:eastAsia="zh-CN"/>
        </w:rPr>
        <w:t>中标人向广州交易集团有限公司（广州公共资源交易中心）缴纳交易服务费，其费用包含在中标人报价中，由广州交易集团有限公司（广州公共资源交易中心）向中标人开具发票。</w:t>
      </w:r>
    </w:p>
    <w:p w14:paraId="7C6D3F3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eastAsia="zh-CN"/>
        </w:rPr>
        <w:t>中标人向招标代理单位缴纳代理费</w:t>
      </w:r>
      <w:r>
        <w:rPr>
          <w:rFonts w:hint="eastAsia" w:ascii="宋体" w:hAnsi="宋体" w:eastAsia="宋体" w:cs="宋体"/>
          <w:color w:val="auto"/>
          <w:szCs w:val="20"/>
          <w:highlight w:val="none"/>
          <w:lang w:val="en-US" w:eastAsia="zh-CN"/>
        </w:rPr>
        <w:t>及相关费用</w:t>
      </w:r>
      <w:r>
        <w:rPr>
          <w:rFonts w:hint="eastAsia" w:ascii="宋体" w:hAnsi="宋体" w:eastAsia="宋体" w:cs="宋体"/>
          <w:color w:val="auto"/>
          <w:szCs w:val="21"/>
          <w:highlight w:val="none"/>
          <w:lang w:eastAsia="zh-CN"/>
        </w:rPr>
        <w:t>，其费用包含在中标人报价中，由招标代理单位向中标人开具发票。</w:t>
      </w:r>
    </w:p>
    <w:p w14:paraId="0170DC5B">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 xml:space="preserve">33. </w:t>
      </w:r>
      <w:r>
        <w:rPr>
          <w:rFonts w:hint="eastAsia" w:ascii="宋体" w:hAnsi="宋体" w:eastAsia="宋体" w:cs="宋体"/>
          <w:b/>
          <w:bCs/>
          <w:color w:val="auto"/>
          <w:sz w:val="21"/>
          <w:szCs w:val="21"/>
          <w:highlight w:val="none"/>
        </w:rPr>
        <w:t>腐败与欺诈行为</w:t>
      </w:r>
    </w:p>
    <w:p w14:paraId="4A5CF355">
      <w:pPr>
        <w:pStyle w:val="2"/>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在招标和合同实施期间，招标人要求投标人和中标人遵守最高的道德标准。</w:t>
      </w:r>
    </w:p>
    <w:p w14:paraId="3CA33DB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.1对本条款的规定，特定义如下词汇：</w:t>
      </w:r>
    </w:p>
    <w:p w14:paraId="51C12982">
      <w:pPr>
        <w:pStyle w:val="2"/>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1）“腐败行为”是指在招标采购或合同执行期间，通过提供、给予、接受或索要任何有价值的东西，从而影响公职人员工作的行为；</w:t>
      </w:r>
    </w:p>
    <w:p w14:paraId="5E3BC0BD">
      <w:pPr>
        <w:pStyle w:val="2"/>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欺诈行为”是指通过提供伪证影响招标或合同执行，从而损害业主利益的行为；也包括投标人之间串通（在提交投标文件之前或之后），人为地使招标过程失去竞争性，从而使业主无法从公开的自由竞争中获得利益的行为。</w:t>
      </w:r>
    </w:p>
    <w:p w14:paraId="0880F99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.2如果认定被推荐中标人在该项目招标中有腐败或欺诈行为，则拒绝该授标建议。</w:t>
      </w:r>
    </w:p>
    <w:p w14:paraId="0552C149">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34. 其他</w:t>
      </w:r>
      <w:r>
        <w:rPr>
          <w:rFonts w:hint="eastAsia" w:ascii="宋体" w:hAnsi="宋体" w:eastAsia="宋体" w:cs="宋体"/>
          <w:b/>
          <w:bCs/>
          <w:color w:val="auto"/>
          <w:sz w:val="21"/>
          <w:szCs w:val="21"/>
          <w:highlight w:val="none"/>
        </w:rPr>
        <w:t>注意事项</w:t>
      </w:r>
    </w:p>
    <w:p w14:paraId="2B48C0AE">
      <w:pPr>
        <w:snapToGrid w:val="0"/>
        <w:spacing w:line="360" w:lineRule="auto"/>
        <w:ind w:firstLine="420" w:firstLineChars="200"/>
        <w:rPr>
          <w:rFonts w:ascii="宋体" w:hAnsi="宋体"/>
          <w:color w:val="auto"/>
          <w:sz w:val="24"/>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招标人提请投标人详细阅读和全面理解本招标文件和合同条款的内容，准确把握招标人对本建设项目的各项管理制度和要求，结合本企业的资源和实力，对本工程的投标作出最优的方案和最合适、最有竞争力的报价</w:t>
      </w:r>
      <w:r>
        <w:rPr>
          <w:rFonts w:hint="eastAsia" w:ascii="宋体" w:hAnsi="宋体" w:eastAsia="宋体" w:cs="宋体"/>
          <w:color w:val="auto"/>
          <w:sz w:val="21"/>
          <w:szCs w:val="21"/>
          <w:highlight w:val="none"/>
          <w:lang w:eastAsia="zh-CN"/>
        </w:rPr>
        <w:t>。</w:t>
      </w:r>
      <w:r>
        <w:rPr>
          <w:rFonts w:hint="eastAsia"/>
          <w:b/>
          <w:color w:val="auto"/>
          <w:sz w:val="24"/>
          <w:highlight w:val="none"/>
        </w:rPr>
        <w:t xml:space="preserve">   </w:t>
      </w:r>
    </w:p>
    <w:p w14:paraId="6F96BE83">
      <w:pPr>
        <w:pStyle w:val="4"/>
        <w:rPr>
          <w:color w:val="auto"/>
          <w:highlight w:val="none"/>
        </w:rPr>
      </w:pPr>
      <w:bookmarkStart w:id="32" w:name="_Toc8229522"/>
      <w:r>
        <w:rPr>
          <w:b w:val="0"/>
          <w:color w:val="auto"/>
          <w:highlight w:val="none"/>
        </w:rPr>
        <w:br w:type="page"/>
      </w:r>
      <w:bookmarkStart w:id="33" w:name="_Toc8188"/>
      <w:r>
        <w:rPr>
          <w:rFonts w:hint="eastAsia"/>
          <w:color w:val="auto"/>
          <w:highlight w:val="none"/>
        </w:rPr>
        <w:t>第二章 评标办法</w:t>
      </w:r>
      <w:bookmarkEnd w:id="32"/>
      <w:bookmarkEnd w:id="33"/>
    </w:p>
    <w:p w14:paraId="145D470C">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前言</w:t>
      </w:r>
    </w:p>
    <w:p w14:paraId="2771478B">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本工程采取公开招标的方式选择</w:t>
      </w:r>
      <w:r>
        <w:rPr>
          <w:rFonts w:hint="eastAsia" w:ascii="宋体" w:hAnsi="宋体" w:eastAsia="宋体" w:cs="宋体"/>
          <w:color w:val="auto"/>
          <w:sz w:val="21"/>
          <w:szCs w:val="21"/>
          <w:highlight w:val="none"/>
          <w:lang w:val="en-US" w:eastAsia="zh-CN"/>
        </w:rPr>
        <w:t>临时用地土地报批</w:t>
      </w:r>
      <w:r>
        <w:rPr>
          <w:rFonts w:hint="eastAsia" w:ascii="宋体" w:hAnsi="宋体" w:eastAsia="宋体" w:cs="宋体"/>
          <w:color w:val="auto"/>
          <w:sz w:val="21"/>
          <w:szCs w:val="21"/>
          <w:highlight w:val="none"/>
          <w:lang w:val="zh-CN"/>
        </w:rPr>
        <w:t>服务单位。为了保证招标工作体现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公开、公平、公正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的原则，根据国家有关工程建设招标投标的法律、法规和方针、政策，结合本工程特点，特制定本评标办法。</w:t>
      </w:r>
    </w:p>
    <w:p w14:paraId="1A2D2BA2">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评标方法</w:t>
      </w:r>
    </w:p>
    <w:p w14:paraId="481EABB8">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w:t>
      </w:r>
      <w:r>
        <w:rPr>
          <w:rFonts w:hint="eastAsia" w:ascii="宋体" w:hAnsi="宋体" w:eastAsia="宋体" w:cs="宋体"/>
          <w:color w:val="auto"/>
          <w:sz w:val="21"/>
          <w:szCs w:val="21"/>
          <w:highlight w:val="none"/>
        </w:rPr>
        <w:t>则由评标委员会采用投票方式，确定中标候选人的排序。</w:t>
      </w:r>
    </w:p>
    <w:p w14:paraId="5D397F9E">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评标细则</w:t>
      </w:r>
    </w:p>
    <w:p w14:paraId="526FBA86">
      <w:pPr>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38.1</w:t>
      </w:r>
      <w:r>
        <w:rPr>
          <w:rFonts w:hint="eastAsia" w:ascii="宋体" w:hAnsi="宋体" w:eastAsia="宋体" w:cs="宋体"/>
          <w:color w:val="auto"/>
          <w:sz w:val="21"/>
          <w:szCs w:val="21"/>
          <w:highlight w:val="none"/>
          <w:lang w:val="zh-CN"/>
        </w:rPr>
        <w:t>评标委员会的职责及守则：</w:t>
      </w:r>
    </w:p>
    <w:p w14:paraId="04F88A17">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38.1.1</w:t>
      </w:r>
      <w:r>
        <w:rPr>
          <w:rFonts w:hint="eastAsia" w:ascii="宋体" w:hAnsi="宋体" w:eastAsia="宋体" w:cs="宋体"/>
          <w:color w:val="auto"/>
          <w:sz w:val="21"/>
          <w:szCs w:val="21"/>
          <w:highlight w:val="none"/>
          <w:lang w:val="zh-CN"/>
        </w:rPr>
        <w:t>评标由招标人依法组建的评标委员会负责。评标委员会可由招标人或其委托的招标代理机构熟悉相关业务的代表，以及有关技术、经济等方面的专家组成。评标委员会成员的确定方式见投标人须知前附表。</w:t>
      </w:r>
      <w:r>
        <w:rPr>
          <w:rFonts w:hint="eastAsia" w:ascii="宋体" w:hAnsi="宋体" w:eastAsia="宋体" w:cs="宋体"/>
          <w:color w:val="auto"/>
          <w:sz w:val="21"/>
          <w:szCs w:val="21"/>
          <w:highlight w:val="none"/>
          <w:lang w:val="en-US" w:eastAsia="zh-CN"/>
        </w:rPr>
        <w:tab/>
      </w:r>
    </w:p>
    <w:p w14:paraId="4C230AAC">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38.1.2</w:t>
      </w:r>
      <w:r>
        <w:rPr>
          <w:rFonts w:hint="eastAsia" w:ascii="宋体" w:hAnsi="宋体" w:eastAsia="宋体" w:cs="宋体"/>
          <w:color w:val="auto"/>
          <w:sz w:val="21"/>
          <w:szCs w:val="21"/>
          <w:highlight w:val="none"/>
          <w:lang w:val="zh-CN"/>
        </w:rPr>
        <w:t>评标委员会按照法律法规规定及本招标文件规定的评标标准和方法，坚持“公开、公平、公正、诚信、科学、择优”的原则，对所有实质响应的投标文件进行评审。</w:t>
      </w:r>
    </w:p>
    <w:p w14:paraId="09AE967C">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38.1.3</w:t>
      </w:r>
      <w:r>
        <w:rPr>
          <w:rFonts w:hint="eastAsia" w:ascii="宋体" w:hAnsi="宋体" w:eastAsia="宋体" w:cs="宋体"/>
          <w:color w:val="auto"/>
          <w:sz w:val="21"/>
          <w:szCs w:val="21"/>
          <w:highlight w:val="none"/>
          <w:lang w:val="zh-CN"/>
        </w:rPr>
        <w:t>投标文件中须评标委员会全体评标人员共同确认的事项，若各评标人员意见不一致时，须经评标委员会的全体评标人员以少数服从多数的形式表决通过并形成书面决议，书面决议须经全体评标人员签名确认。</w:t>
      </w:r>
    </w:p>
    <w:p w14:paraId="6B50A346">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38.1.4</w:t>
      </w:r>
      <w:r>
        <w:rPr>
          <w:rFonts w:hint="eastAsia" w:ascii="宋体" w:hAnsi="宋体" w:eastAsia="宋体" w:cs="宋体"/>
          <w:color w:val="auto"/>
          <w:sz w:val="21"/>
          <w:szCs w:val="21"/>
          <w:highlight w:val="none"/>
          <w:lang w:val="zh-CN"/>
        </w:rPr>
        <w:t>开标之后至宣布授予合同之前，凡属于审查、澄清、评价、比较投标文件的有关资料及信息都不应向投标人或与该过程无关的人员泄露。</w:t>
      </w:r>
    </w:p>
    <w:p w14:paraId="1A3DC246">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38.1.5</w:t>
      </w:r>
      <w:r>
        <w:rPr>
          <w:rFonts w:hint="eastAsia" w:ascii="宋体" w:hAnsi="宋体" w:eastAsia="宋体" w:cs="宋体"/>
          <w:color w:val="auto"/>
          <w:sz w:val="21"/>
          <w:szCs w:val="21"/>
          <w:highlight w:val="none"/>
          <w:lang w:val="zh-CN"/>
        </w:rPr>
        <w:t>投标文件的审查、澄清、评价、比较过程中，投标人对招标人、招标代理机构或评标委员会施加影响的任何行为，都将可能导致取消其投标资格。</w:t>
      </w:r>
    </w:p>
    <w:p w14:paraId="1430CFE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38.2评标程序</w:t>
      </w:r>
    </w:p>
    <w:p w14:paraId="66611256">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招标代理</w:t>
      </w:r>
      <w:r>
        <w:rPr>
          <w:rFonts w:hint="eastAsia" w:ascii="宋体" w:hAnsi="宋体" w:eastAsia="宋体" w:cs="宋体"/>
          <w:color w:val="auto"/>
          <w:sz w:val="21"/>
          <w:szCs w:val="21"/>
          <w:highlight w:val="none"/>
          <w:lang w:val="zh-CN"/>
        </w:rPr>
        <w:t>向评标委员会评委介绍工程情况；</w:t>
      </w:r>
    </w:p>
    <w:p w14:paraId="4939CEE4">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（2）资格审</w:t>
      </w:r>
      <w:r>
        <w:rPr>
          <w:rFonts w:hint="eastAsia" w:ascii="宋体" w:hAnsi="宋体" w:eastAsia="宋体" w:cs="宋体"/>
          <w:color w:val="auto"/>
          <w:sz w:val="21"/>
          <w:szCs w:val="21"/>
          <w:highlight w:val="none"/>
        </w:rPr>
        <w:t>查，并编写资格审查报告；</w:t>
      </w:r>
    </w:p>
    <w:p w14:paraId="375EB240">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（3）投标文件有效性审查；</w:t>
      </w:r>
    </w:p>
    <w:p w14:paraId="1E5889B7">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（4）投标报价校核；</w:t>
      </w:r>
    </w:p>
    <w:p w14:paraId="619886C4">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（5）综合评分；</w:t>
      </w:r>
    </w:p>
    <w:p w14:paraId="2D4FBEB3">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）编写评标报告，推荐中标候选人。</w:t>
      </w:r>
    </w:p>
    <w:p w14:paraId="3E5D578C">
      <w:pPr>
        <w:pStyle w:val="10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39</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资格审查</w:t>
      </w:r>
    </w:p>
    <w:p w14:paraId="2F4DAF61">
      <w:pPr>
        <w:pStyle w:val="145"/>
        <w:spacing w:line="360" w:lineRule="auto"/>
        <w:ind w:firstLine="42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39.1</w:t>
      </w:r>
      <w:r>
        <w:rPr>
          <w:rFonts w:hint="eastAsia" w:ascii="宋体" w:hAnsi="宋体" w:eastAsia="宋体" w:cs="宋体"/>
          <w:color w:val="auto"/>
          <w:kern w:val="2"/>
          <w:sz w:val="21"/>
          <w:szCs w:val="21"/>
          <w:highlight w:val="none"/>
          <w:lang w:val="zh-CN"/>
        </w:rPr>
        <w:t>评标委员会依据本招标文件资格审查的标准对所有投标文件进行资格审查，具体要求详见</w:t>
      </w:r>
      <w:r>
        <w:rPr>
          <w:rFonts w:hint="eastAsia" w:ascii="宋体" w:hAnsi="宋体" w:eastAsia="宋体" w:cs="宋体"/>
          <w:color w:val="auto"/>
          <w:kern w:val="2"/>
          <w:sz w:val="21"/>
          <w:szCs w:val="21"/>
          <w:highlight w:val="none"/>
        </w:rPr>
        <w:t>附表一</w:t>
      </w:r>
      <w:r>
        <w:rPr>
          <w:rFonts w:hint="eastAsia" w:ascii="宋体" w:hAnsi="宋体" w:eastAsia="宋体" w:cs="宋体"/>
          <w:color w:val="auto"/>
          <w:kern w:val="2"/>
          <w:sz w:val="21"/>
          <w:szCs w:val="21"/>
          <w:highlight w:val="none"/>
          <w:lang w:val="zh-CN"/>
        </w:rPr>
        <w:t>《资格审查表》，有一项不符合评审标准的，评标委员会应当否决其投标；</w:t>
      </w:r>
    </w:p>
    <w:p w14:paraId="6FFE07A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39.2</w:t>
      </w:r>
      <w:r>
        <w:rPr>
          <w:rFonts w:hint="eastAsia" w:ascii="宋体" w:hAnsi="宋体" w:eastAsia="宋体" w:cs="宋体"/>
          <w:color w:val="auto"/>
          <w:sz w:val="21"/>
          <w:szCs w:val="21"/>
          <w:highlight w:val="none"/>
          <w:lang w:val="zh-CN"/>
        </w:rPr>
        <w:t>当评标委员会成员的评审意见不一致时，可以公开要求投标人进行澄清，并记录及由评标委员会、作出澄清的投标人签字确认，以“少数服从多数”的原则确定投标人是否通过资格审查，进入下一阶段的评标；</w:t>
      </w:r>
    </w:p>
    <w:p w14:paraId="0795EBD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39.3</w:t>
      </w:r>
      <w:r>
        <w:rPr>
          <w:rFonts w:hint="eastAsia" w:ascii="宋体" w:hAnsi="宋体" w:eastAsia="宋体" w:cs="宋体"/>
          <w:color w:val="auto"/>
          <w:sz w:val="21"/>
          <w:szCs w:val="21"/>
          <w:highlight w:val="none"/>
          <w:lang w:val="zh-CN"/>
        </w:rPr>
        <w:t>资格审查不合格的投标文件不参加投标文件的有效性审查和综合评审；</w:t>
      </w:r>
    </w:p>
    <w:p w14:paraId="3699B5D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39.4</w:t>
      </w:r>
      <w:r>
        <w:rPr>
          <w:rFonts w:hint="eastAsia" w:ascii="宋体" w:hAnsi="宋体" w:eastAsia="宋体" w:cs="宋体"/>
          <w:color w:val="auto"/>
          <w:sz w:val="21"/>
          <w:szCs w:val="21"/>
          <w:highlight w:val="none"/>
          <w:lang w:val="zh-CN"/>
        </w:rPr>
        <w:t>资审结束后，由评标委员会编制《资格审查报告》。评委对各资格审查文件评审时，对每个不通过评审的具体项目须在《资格审查报告》中详细说明。</w:t>
      </w:r>
    </w:p>
    <w:p w14:paraId="11470444">
      <w:pPr>
        <w:pStyle w:val="10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40</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投标文件的有效性审查</w:t>
      </w:r>
    </w:p>
    <w:p w14:paraId="5DE21B8B">
      <w:pPr>
        <w:pStyle w:val="145"/>
        <w:spacing w:line="360" w:lineRule="auto"/>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由评标委员会按</w:t>
      </w:r>
      <w:r>
        <w:rPr>
          <w:rFonts w:hint="eastAsia" w:ascii="宋体" w:hAnsi="宋体" w:eastAsia="宋体" w:cs="宋体"/>
          <w:color w:val="auto"/>
          <w:kern w:val="2"/>
          <w:sz w:val="21"/>
          <w:szCs w:val="21"/>
          <w:highlight w:val="none"/>
        </w:rPr>
        <w:t>附表二《投标文件有效性审查表》的</w:t>
      </w:r>
      <w:r>
        <w:rPr>
          <w:rFonts w:hint="eastAsia" w:ascii="宋体" w:hAnsi="宋体" w:eastAsia="宋体" w:cs="宋体"/>
          <w:color w:val="auto"/>
          <w:kern w:val="2"/>
          <w:sz w:val="21"/>
          <w:szCs w:val="21"/>
          <w:highlight w:val="none"/>
          <w:lang w:val="zh-CN"/>
        </w:rPr>
        <w:t>条款对所有投标文件进行有效性检查。</w:t>
      </w:r>
    </w:p>
    <w:p w14:paraId="75CE8CF7">
      <w:pPr>
        <w:pStyle w:val="145"/>
        <w:spacing w:line="360" w:lineRule="auto"/>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招标人将拒绝实质上未响应招标文件的投标文件，不允许投标人在开标后改正其不响应招标文件要求的偏离和保留。</w:t>
      </w:r>
    </w:p>
    <w:p w14:paraId="2DF60485">
      <w:pPr>
        <w:pStyle w:val="145"/>
        <w:spacing w:line="360" w:lineRule="auto"/>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投标人只有完全通过有效性检查，才能进入下一阶段的综合评审，否则视为无效投标。</w:t>
      </w:r>
    </w:p>
    <w:p w14:paraId="79524B29">
      <w:pPr>
        <w:pStyle w:val="145"/>
        <w:spacing w:line="360" w:lineRule="auto"/>
        <w:ind w:firstLine="42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若通过资格审查的投标人不足3人或通过有效性审查的投标人不足3人的，应当依法重新招标。</w:t>
      </w:r>
    </w:p>
    <w:p w14:paraId="67A47A05">
      <w:pPr>
        <w:pStyle w:val="10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投标报价校核</w:t>
      </w:r>
    </w:p>
    <w:p w14:paraId="3C6F1F47">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投标报价有算术错误的，评标委员会按以下原则对投标报价进行修正，修正的价格经投标人书面确认后具有约束力。投标人不接受修正价格的，评标委员会应当否决其投标。</w:t>
      </w:r>
    </w:p>
    <w:p w14:paraId="57D9129A">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（1）投标文件中的大写金额与小写金额不一致的，以大写金额为准；</w:t>
      </w:r>
    </w:p>
    <w:p w14:paraId="0DFD30F9">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（2）总价金额与依据单价计算出的结果不一致的，以单价金额为准修正总价，但单价金额小数点有明显错误的除外；</w:t>
      </w:r>
    </w:p>
    <w:p w14:paraId="52F0A4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（3）总价金额与依据投标下浮率计算出的结果不一致的，以投标下浮率为准修正总价；</w:t>
      </w:r>
    </w:p>
    <w:p w14:paraId="7CA40688">
      <w:pPr>
        <w:pStyle w:val="174"/>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（4）如果分项报价累加不等于总价的，以分项报价累加为准，修正总价。</w:t>
      </w:r>
    </w:p>
    <w:p w14:paraId="2AFD9646">
      <w:pPr>
        <w:pStyle w:val="17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综合评分</w:t>
      </w:r>
    </w:p>
    <w:p w14:paraId="7C4036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r>
        <w:rPr>
          <w:rFonts w:hint="eastAsia" w:ascii="宋体" w:hAnsi="宋体" w:eastAsia="宋体" w:cs="宋体"/>
          <w:color w:val="auto"/>
          <w:kern w:val="0"/>
          <w:sz w:val="21"/>
          <w:szCs w:val="21"/>
          <w:highlight w:val="none"/>
        </w:rPr>
        <w:t>综合评审采用综合评</w:t>
      </w:r>
      <w:r>
        <w:rPr>
          <w:rFonts w:hint="eastAsia" w:ascii="宋体" w:hAnsi="宋体" w:eastAsia="宋体" w:cs="宋体"/>
          <w:color w:val="auto"/>
          <w:kern w:val="0"/>
          <w:sz w:val="21"/>
          <w:szCs w:val="21"/>
          <w:highlight w:val="none"/>
          <w:lang w:eastAsia="zh-CN"/>
        </w:rPr>
        <w:t>估</w:t>
      </w:r>
      <w:r>
        <w:rPr>
          <w:rFonts w:hint="eastAsia" w:ascii="宋体" w:hAnsi="宋体" w:eastAsia="宋体" w:cs="宋体"/>
          <w:color w:val="auto"/>
          <w:kern w:val="0"/>
          <w:sz w:val="21"/>
          <w:szCs w:val="21"/>
          <w:highlight w:val="none"/>
        </w:rPr>
        <w:t>法，</w:t>
      </w:r>
      <w:r>
        <w:rPr>
          <w:rFonts w:hint="eastAsia" w:ascii="宋体" w:hAnsi="宋体" w:eastAsia="宋体" w:cs="宋体"/>
          <w:color w:val="auto"/>
          <w:sz w:val="21"/>
          <w:szCs w:val="21"/>
          <w:highlight w:val="none"/>
        </w:rPr>
        <w:t>满分为100分。</w:t>
      </w:r>
    </w:p>
    <w:p w14:paraId="3BF2713E">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42.2评标委员会成员针对附表三《综合评分表》的各单项内容对投标人进行评分，投标人得分为评标委员会分数去掉一个最高分和一个最低分后，取算术平均值（小数点后保留二位，第三位四舍五入）。</w:t>
      </w:r>
    </w:p>
    <w:p w14:paraId="3D1649A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42.3投标人各单项得分汇总后得出投标人综合得分，并按综合得分从高到低排列先后次序，</w:t>
      </w:r>
      <w:r>
        <w:rPr>
          <w:rFonts w:hint="eastAsia" w:ascii="宋体" w:hAnsi="宋体" w:eastAsia="宋体" w:cs="宋体"/>
          <w:color w:val="auto"/>
          <w:sz w:val="21"/>
          <w:szCs w:val="21"/>
          <w:highlight w:val="none"/>
          <w:lang w:val="zh-CN"/>
        </w:rPr>
        <w:t>综合评分相等时，以投标报价低的优先；投标报价也相等的，</w:t>
      </w:r>
      <w:r>
        <w:rPr>
          <w:rFonts w:hint="eastAsia" w:ascii="宋体" w:hAnsi="宋体" w:eastAsia="宋体" w:cs="宋体"/>
          <w:color w:val="auto"/>
          <w:sz w:val="21"/>
          <w:szCs w:val="21"/>
          <w:highlight w:val="none"/>
        </w:rPr>
        <w:t>则由评标委员会采用投票方式，确定中标候选人的排序。</w:t>
      </w:r>
    </w:p>
    <w:p w14:paraId="2F1E1EE6">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42.4综合评分要求</w:t>
      </w:r>
    </w:p>
    <w:p w14:paraId="78DBEDE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42.4.1评委应严格按照本评标办法对投标文件进行评议，作出个人评价。</w:t>
      </w:r>
    </w:p>
    <w:p w14:paraId="41DE0FB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42.4.2评委按照个人评议情况对各分项内容进行各自记名打分。</w:t>
      </w:r>
    </w:p>
    <w:p w14:paraId="0731750B">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42.4.3评审过程中，评标委员会可在必要时安排投标人对有关细节加以澄清，但这种澄清不应使</w:t>
      </w:r>
      <w:r>
        <w:rPr>
          <w:rFonts w:hint="eastAsia" w:ascii="宋体" w:hAnsi="宋体" w:eastAsia="宋体" w:cs="宋体"/>
          <w:color w:val="auto"/>
          <w:kern w:val="0"/>
          <w:sz w:val="21"/>
          <w:szCs w:val="21"/>
          <w:highlight w:val="none"/>
          <w:lang w:eastAsia="zh-CN"/>
        </w:rPr>
        <w:t>其他</w:t>
      </w:r>
      <w:r>
        <w:rPr>
          <w:rFonts w:hint="eastAsia" w:ascii="宋体" w:hAnsi="宋体" w:eastAsia="宋体" w:cs="宋体"/>
          <w:color w:val="auto"/>
          <w:kern w:val="0"/>
          <w:sz w:val="21"/>
          <w:szCs w:val="21"/>
          <w:highlight w:val="none"/>
        </w:rPr>
        <w:t>投标人处于不公平的地位。</w:t>
      </w:r>
    </w:p>
    <w:p w14:paraId="0331FAD3">
      <w:pPr>
        <w:widowControl/>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编写评标报告，推荐中标候选人</w:t>
      </w:r>
    </w:p>
    <w:p w14:paraId="5B5BB4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43.1评分结束后，评标委员会编写评标报告，并全体签字确认，并按上述原则推荐第一、第二和第三中标候选人。</w:t>
      </w:r>
    </w:p>
    <w:p w14:paraId="5F45DA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43.2评标工作结束后，如发</w:t>
      </w:r>
      <w:r>
        <w:rPr>
          <w:rFonts w:hint="eastAsia" w:ascii="宋体" w:hAnsi="宋体" w:eastAsia="宋体" w:cs="宋体"/>
          <w:color w:val="auto"/>
          <w:sz w:val="21"/>
          <w:szCs w:val="21"/>
          <w:highlight w:val="none"/>
        </w:rPr>
        <w:t>现参与本次投标的个别投标人有违法违规或</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不良行为，只要中标候选人无过错，中标结果不予更改。</w:t>
      </w:r>
    </w:p>
    <w:p w14:paraId="74B623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中标公示后，若第一中标候选人主动放弃，因不可抗力提出不能履行合同，或者招标文件规定应当提交履约保证金而在规定的期限内未能提交的，或因违法违规被取消中标候选人资格的，由第二中标候选人递补。第二中标候选人出现上述情况的，由第三中标候选人递补。</w:t>
      </w:r>
    </w:p>
    <w:p w14:paraId="61B1B46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评标应急预案</w:t>
      </w:r>
    </w:p>
    <w:p w14:paraId="0F20747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44.1在评标过程中，当采用全流程电子化通用型开评标系统发生评审故障时，</w:t>
      </w:r>
      <w:r>
        <w:rPr>
          <w:rFonts w:hint="eastAsia" w:ascii="宋体" w:hAnsi="宋体" w:eastAsia="宋体" w:cs="宋体"/>
          <w:color w:val="auto"/>
          <w:kern w:val="0"/>
          <w:sz w:val="21"/>
          <w:szCs w:val="21"/>
          <w:highlight w:val="none"/>
        </w:rPr>
        <w:t>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当天可解除评审故障，则继续采用电子评标系统评标；若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当天无法解除评审故障，则评标委员会依据电子投标文件对未完成的评标活动采用手动评审，提交包含已完成电子评审成果在内的纸质评标报告。评审故障以</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的认定为准。当</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kern w:val="0"/>
          <w:sz w:val="21"/>
          <w:szCs w:val="21"/>
          <w:highlight w:val="none"/>
        </w:rPr>
        <w:t>的系统维护人员在评标室告知评标委员会当天无法解除评审故障后，评标委员会即可对未完成的评标活动启动手动评审。</w:t>
      </w:r>
    </w:p>
    <w:p w14:paraId="752E7A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44.2在电子评标过程中，无论遇到任何系统异常或故障，评标委员会均应出具评标报告。</w:t>
      </w:r>
    </w:p>
    <w:p w14:paraId="70546F4F">
      <w:pPr>
        <w:spacing w:line="360" w:lineRule="auto"/>
        <w:ind w:firstLine="480" w:firstLineChars="200"/>
        <w:rPr>
          <w:rFonts w:ascii="宋体" w:hAnsi="宋体"/>
          <w:color w:val="auto"/>
          <w:sz w:val="24"/>
          <w:highlight w:val="none"/>
        </w:rPr>
      </w:pPr>
    </w:p>
    <w:p w14:paraId="40C44963">
      <w:pPr>
        <w:pStyle w:val="5"/>
        <w:jc w:val="left"/>
        <w:rPr>
          <w:b w:val="0"/>
          <w:color w:val="auto"/>
          <w:sz w:val="24"/>
          <w:highlight w:val="none"/>
        </w:rPr>
      </w:pPr>
      <w:r>
        <w:rPr>
          <w:rFonts w:hint="eastAsia"/>
          <w:color w:val="auto"/>
          <w:highlight w:val="none"/>
        </w:rPr>
        <w:br w:type="page"/>
      </w:r>
      <w:bookmarkStart w:id="34" w:name="_Toc8229523"/>
      <w:r>
        <w:rPr>
          <w:rFonts w:hint="eastAsia"/>
          <w:b w:val="0"/>
          <w:color w:val="auto"/>
          <w:sz w:val="24"/>
          <w:highlight w:val="none"/>
        </w:rPr>
        <w:t>附表一</w:t>
      </w:r>
      <w:bookmarkEnd w:id="34"/>
    </w:p>
    <w:p w14:paraId="572DFD6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资格审查表</w:t>
      </w:r>
    </w:p>
    <w:tbl>
      <w:tblPr>
        <w:tblStyle w:val="31"/>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191"/>
        <w:gridCol w:w="627"/>
        <w:gridCol w:w="690"/>
        <w:gridCol w:w="689"/>
        <w:gridCol w:w="779"/>
        <w:gridCol w:w="779"/>
      </w:tblGrid>
      <w:tr w14:paraId="5EE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noWrap w:val="0"/>
            <w:vAlign w:val="center"/>
          </w:tcPr>
          <w:p w14:paraId="78F65729">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5191" w:type="dxa"/>
            <w:tcBorders>
              <w:tl2br w:val="single" w:color="auto" w:sz="4" w:space="0"/>
            </w:tcBorders>
            <w:noWrap w:val="0"/>
            <w:vAlign w:val="center"/>
          </w:tcPr>
          <w:p w14:paraId="69A5FE02">
            <w:pPr>
              <w:tabs>
                <w:tab w:val="left" w:pos="720"/>
              </w:tabs>
              <w:snapToGrid w:val="0"/>
              <w:ind w:firstLine="945" w:firstLineChars="450"/>
              <w:rPr>
                <w:rFonts w:ascii="宋体" w:hAnsi="宋体"/>
                <w:color w:val="auto"/>
                <w:szCs w:val="21"/>
                <w:highlight w:val="none"/>
              </w:rPr>
            </w:pPr>
            <w:r>
              <w:rPr>
                <w:rFonts w:hint="eastAsia" w:ascii="宋体" w:hAnsi="宋体"/>
                <w:color w:val="auto"/>
                <w:szCs w:val="21"/>
                <w:highlight w:val="none"/>
              </w:rPr>
              <w:t xml:space="preserve">                投标人名称</w:t>
            </w:r>
          </w:p>
          <w:p w14:paraId="0CA7BF6E">
            <w:pPr>
              <w:tabs>
                <w:tab w:val="left" w:pos="720"/>
              </w:tabs>
              <w:snapToGrid w:val="0"/>
              <w:rPr>
                <w:rFonts w:ascii="宋体" w:hAnsi="宋体"/>
                <w:color w:val="auto"/>
                <w:szCs w:val="21"/>
                <w:highlight w:val="none"/>
              </w:rPr>
            </w:pPr>
            <w:r>
              <w:rPr>
                <w:rFonts w:hint="eastAsia" w:ascii="宋体" w:hAnsi="宋体"/>
                <w:color w:val="auto"/>
                <w:szCs w:val="21"/>
                <w:highlight w:val="none"/>
              </w:rPr>
              <w:t>评审内容</w:t>
            </w:r>
          </w:p>
        </w:tc>
        <w:tc>
          <w:tcPr>
            <w:tcW w:w="627" w:type="dxa"/>
            <w:noWrap w:val="0"/>
            <w:vAlign w:val="center"/>
          </w:tcPr>
          <w:p w14:paraId="1C29A614">
            <w:pPr>
              <w:tabs>
                <w:tab w:val="left" w:pos="720"/>
              </w:tabs>
              <w:snapToGrid w:val="0"/>
              <w:jc w:val="center"/>
              <w:rPr>
                <w:rFonts w:ascii="宋体" w:hAnsi="宋体"/>
                <w:color w:val="auto"/>
                <w:szCs w:val="21"/>
                <w:highlight w:val="none"/>
              </w:rPr>
            </w:pPr>
          </w:p>
        </w:tc>
        <w:tc>
          <w:tcPr>
            <w:tcW w:w="690" w:type="dxa"/>
            <w:noWrap w:val="0"/>
            <w:vAlign w:val="center"/>
          </w:tcPr>
          <w:p w14:paraId="3E8EB81B">
            <w:pPr>
              <w:tabs>
                <w:tab w:val="left" w:pos="720"/>
              </w:tabs>
              <w:snapToGrid w:val="0"/>
              <w:jc w:val="center"/>
              <w:rPr>
                <w:rFonts w:ascii="宋体" w:hAnsi="宋体"/>
                <w:color w:val="auto"/>
                <w:szCs w:val="21"/>
                <w:highlight w:val="none"/>
              </w:rPr>
            </w:pPr>
          </w:p>
        </w:tc>
        <w:tc>
          <w:tcPr>
            <w:tcW w:w="689" w:type="dxa"/>
            <w:noWrap w:val="0"/>
            <w:vAlign w:val="center"/>
          </w:tcPr>
          <w:p w14:paraId="05EF5FC9">
            <w:pPr>
              <w:tabs>
                <w:tab w:val="left" w:pos="720"/>
              </w:tabs>
              <w:snapToGrid w:val="0"/>
              <w:jc w:val="center"/>
              <w:rPr>
                <w:rFonts w:ascii="宋体" w:hAnsi="宋体"/>
                <w:color w:val="auto"/>
                <w:szCs w:val="21"/>
                <w:highlight w:val="none"/>
              </w:rPr>
            </w:pPr>
          </w:p>
        </w:tc>
        <w:tc>
          <w:tcPr>
            <w:tcW w:w="779" w:type="dxa"/>
            <w:noWrap w:val="0"/>
            <w:vAlign w:val="center"/>
          </w:tcPr>
          <w:p w14:paraId="18881609">
            <w:pPr>
              <w:tabs>
                <w:tab w:val="left" w:pos="720"/>
              </w:tabs>
              <w:snapToGrid w:val="0"/>
              <w:jc w:val="center"/>
              <w:rPr>
                <w:rFonts w:ascii="宋体" w:hAnsi="宋体"/>
                <w:color w:val="auto"/>
                <w:szCs w:val="21"/>
                <w:highlight w:val="none"/>
              </w:rPr>
            </w:pPr>
          </w:p>
        </w:tc>
        <w:tc>
          <w:tcPr>
            <w:tcW w:w="779" w:type="dxa"/>
            <w:noWrap w:val="0"/>
            <w:vAlign w:val="center"/>
          </w:tcPr>
          <w:p w14:paraId="1CED9A88">
            <w:pPr>
              <w:tabs>
                <w:tab w:val="left" w:pos="720"/>
              </w:tabs>
              <w:snapToGrid w:val="0"/>
              <w:jc w:val="center"/>
              <w:rPr>
                <w:rFonts w:ascii="宋体" w:hAnsi="宋体"/>
                <w:color w:val="auto"/>
                <w:szCs w:val="21"/>
                <w:highlight w:val="none"/>
              </w:rPr>
            </w:pPr>
          </w:p>
        </w:tc>
      </w:tr>
      <w:tr w14:paraId="7816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noWrap w:val="0"/>
            <w:vAlign w:val="center"/>
          </w:tcPr>
          <w:p w14:paraId="2B217931">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1</w:t>
            </w:r>
          </w:p>
        </w:tc>
        <w:tc>
          <w:tcPr>
            <w:tcW w:w="5191" w:type="dxa"/>
            <w:noWrap w:val="0"/>
            <w:vAlign w:val="center"/>
          </w:tcPr>
          <w:p w14:paraId="2270976A">
            <w:pPr>
              <w:tabs>
                <w:tab w:val="left" w:pos="720"/>
              </w:tabs>
              <w:snapToGrid w:val="0"/>
              <w:rPr>
                <w:rFonts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参加投标的意思表达清楚，投标人代表被授权有效；</w:t>
            </w:r>
          </w:p>
        </w:tc>
        <w:tc>
          <w:tcPr>
            <w:tcW w:w="627" w:type="dxa"/>
            <w:noWrap w:val="0"/>
            <w:vAlign w:val="center"/>
          </w:tcPr>
          <w:p w14:paraId="60A5274E">
            <w:pPr>
              <w:tabs>
                <w:tab w:val="left" w:pos="720"/>
              </w:tabs>
              <w:snapToGrid w:val="0"/>
              <w:jc w:val="center"/>
              <w:rPr>
                <w:rFonts w:ascii="宋体" w:hAnsi="宋体"/>
                <w:color w:val="auto"/>
                <w:szCs w:val="21"/>
                <w:highlight w:val="none"/>
              </w:rPr>
            </w:pPr>
          </w:p>
        </w:tc>
        <w:tc>
          <w:tcPr>
            <w:tcW w:w="690" w:type="dxa"/>
            <w:noWrap w:val="0"/>
            <w:vAlign w:val="center"/>
          </w:tcPr>
          <w:p w14:paraId="5EEBD714">
            <w:pPr>
              <w:tabs>
                <w:tab w:val="left" w:pos="720"/>
              </w:tabs>
              <w:snapToGrid w:val="0"/>
              <w:jc w:val="center"/>
              <w:rPr>
                <w:rFonts w:ascii="宋体" w:hAnsi="宋体"/>
                <w:color w:val="auto"/>
                <w:szCs w:val="21"/>
                <w:highlight w:val="none"/>
              </w:rPr>
            </w:pPr>
          </w:p>
        </w:tc>
        <w:tc>
          <w:tcPr>
            <w:tcW w:w="689" w:type="dxa"/>
            <w:noWrap w:val="0"/>
            <w:vAlign w:val="center"/>
          </w:tcPr>
          <w:p w14:paraId="33330894">
            <w:pPr>
              <w:tabs>
                <w:tab w:val="left" w:pos="720"/>
              </w:tabs>
              <w:snapToGrid w:val="0"/>
              <w:jc w:val="center"/>
              <w:rPr>
                <w:rFonts w:ascii="宋体" w:hAnsi="宋体"/>
                <w:color w:val="auto"/>
                <w:szCs w:val="21"/>
                <w:highlight w:val="none"/>
              </w:rPr>
            </w:pPr>
          </w:p>
        </w:tc>
        <w:tc>
          <w:tcPr>
            <w:tcW w:w="779" w:type="dxa"/>
            <w:noWrap w:val="0"/>
            <w:vAlign w:val="center"/>
          </w:tcPr>
          <w:p w14:paraId="4B1C52B1">
            <w:pPr>
              <w:tabs>
                <w:tab w:val="left" w:pos="720"/>
              </w:tabs>
              <w:snapToGrid w:val="0"/>
              <w:jc w:val="center"/>
              <w:rPr>
                <w:rFonts w:ascii="宋体" w:hAnsi="宋体"/>
                <w:color w:val="auto"/>
                <w:szCs w:val="21"/>
                <w:highlight w:val="none"/>
              </w:rPr>
            </w:pPr>
          </w:p>
        </w:tc>
        <w:tc>
          <w:tcPr>
            <w:tcW w:w="779" w:type="dxa"/>
            <w:noWrap w:val="0"/>
            <w:vAlign w:val="center"/>
          </w:tcPr>
          <w:p w14:paraId="6679CFAE">
            <w:pPr>
              <w:tabs>
                <w:tab w:val="left" w:pos="720"/>
              </w:tabs>
              <w:snapToGrid w:val="0"/>
              <w:jc w:val="center"/>
              <w:rPr>
                <w:rFonts w:ascii="宋体" w:hAnsi="宋体"/>
                <w:color w:val="auto"/>
                <w:szCs w:val="21"/>
                <w:highlight w:val="none"/>
              </w:rPr>
            </w:pPr>
          </w:p>
        </w:tc>
      </w:tr>
      <w:tr w14:paraId="740F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48" w:type="dxa"/>
            <w:noWrap w:val="0"/>
            <w:vAlign w:val="center"/>
          </w:tcPr>
          <w:p w14:paraId="64013265">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2</w:t>
            </w:r>
          </w:p>
        </w:tc>
        <w:tc>
          <w:tcPr>
            <w:tcW w:w="5191" w:type="dxa"/>
            <w:noWrap w:val="0"/>
            <w:vAlign w:val="center"/>
          </w:tcPr>
          <w:p w14:paraId="1CE34431">
            <w:pPr>
              <w:tabs>
                <w:tab w:val="left" w:pos="720"/>
              </w:tabs>
              <w:snapToGrid w:val="0"/>
              <w:rPr>
                <w:rFonts w:ascii="宋体" w:hAnsi="宋体"/>
                <w:color w:val="auto"/>
                <w:highlight w:val="none"/>
              </w:rPr>
            </w:pPr>
            <w:r>
              <w:rPr>
                <w:rFonts w:hint="eastAsia" w:ascii="宋体" w:hAnsi="宋体" w:eastAsia="宋体" w:cs="Times New Roman"/>
                <w:color w:val="auto"/>
                <w:kern w:val="0"/>
                <w:sz w:val="21"/>
                <w:szCs w:val="21"/>
                <w:highlight w:val="none"/>
              </w:rPr>
              <w:t>投标人（若为联合体投标，指联合体</w:t>
            </w:r>
            <w:r>
              <w:rPr>
                <w:rFonts w:hint="eastAsia" w:ascii="宋体" w:hAnsi="宋体" w:eastAsia="宋体" w:cs="Times New Roman"/>
                <w:color w:val="auto"/>
                <w:kern w:val="0"/>
                <w:sz w:val="21"/>
                <w:szCs w:val="21"/>
                <w:highlight w:val="none"/>
                <w:lang w:val="en-US" w:eastAsia="zh-CN"/>
              </w:rPr>
              <w:t>各</w:t>
            </w:r>
            <w:r>
              <w:rPr>
                <w:rFonts w:hint="eastAsia" w:ascii="宋体" w:hAnsi="宋体" w:eastAsia="宋体" w:cs="Times New Roman"/>
                <w:color w:val="auto"/>
                <w:kern w:val="0"/>
                <w:sz w:val="21"/>
                <w:szCs w:val="21"/>
                <w:highlight w:val="none"/>
              </w:rPr>
              <w:t>方）具备独立法人资格，持有事业单位登记管理部门核发的事业单位法人证书或工商行政管理部门核发的企业法人营业执照，且在有效期内；</w:t>
            </w:r>
          </w:p>
        </w:tc>
        <w:tc>
          <w:tcPr>
            <w:tcW w:w="627" w:type="dxa"/>
            <w:noWrap w:val="0"/>
            <w:vAlign w:val="center"/>
          </w:tcPr>
          <w:p w14:paraId="46E7FB7E">
            <w:pPr>
              <w:tabs>
                <w:tab w:val="left" w:pos="720"/>
              </w:tabs>
              <w:snapToGrid w:val="0"/>
              <w:jc w:val="center"/>
              <w:rPr>
                <w:rFonts w:ascii="宋体" w:hAnsi="宋体"/>
                <w:color w:val="auto"/>
                <w:highlight w:val="none"/>
              </w:rPr>
            </w:pPr>
          </w:p>
        </w:tc>
        <w:tc>
          <w:tcPr>
            <w:tcW w:w="690" w:type="dxa"/>
            <w:noWrap w:val="0"/>
            <w:vAlign w:val="center"/>
          </w:tcPr>
          <w:p w14:paraId="307CA876">
            <w:pPr>
              <w:tabs>
                <w:tab w:val="left" w:pos="720"/>
              </w:tabs>
              <w:snapToGrid w:val="0"/>
              <w:jc w:val="center"/>
              <w:rPr>
                <w:rFonts w:ascii="宋体" w:hAnsi="宋体"/>
                <w:color w:val="auto"/>
                <w:szCs w:val="21"/>
                <w:highlight w:val="none"/>
              </w:rPr>
            </w:pPr>
          </w:p>
        </w:tc>
        <w:tc>
          <w:tcPr>
            <w:tcW w:w="689" w:type="dxa"/>
            <w:noWrap w:val="0"/>
            <w:vAlign w:val="center"/>
          </w:tcPr>
          <w:p w14:paraId="720592FC">
            <w:pPr>
              <w:tabs>
                <w:tab w:val="left" w:pos="720"/>
              </w:tabs>
              <w:snapToGrid w:val="0"/>
              <w:jc w:val="center"/>
              <w:rPr>
                <w:rFonts w:ascii="宋体" w:hAnsi="宋体"/>
                <w:color w:val="auto"/>
                <w:szCs w:val="21"/>
                <w:highlight w:val="none"/>
              </w:rPr>
            </w:pPr>
          </w:p>
        </w:tc>
        <w:tc>
          <w:tcPr>
            <w:tcW w:w="779" w:type="dxa"/>
            <w:noWrap w:val="0"/>
            <w:vAlign w:val="center"/>
          </w:tcPr>
          <w:p w14:paraId="4EBE6F10">
            <w:pPr>
              <w:tabs>
                <w:tab w:val="left" w:pos="720"/>
              </w:tabs>
              <w:snapToGrid w:val="0"/>
              <w:jc w:val="center"/>
              <w:rPr>
                <w:rFonts w:ascii="宋体" w:hAnsi="宋体"/>
                <w:color w:val="auto"/>
                <w:szCs w:val="21"/>
                <w:highlight w:val="none"/>
              </w:rPr>
            </w:pPr>
          </w:p>
        </w:tc>
        <w:tc>
          <w:tcPr>
            <w:tcW w:w="779" w:type="dxa"/>
            <w:noWrap w:val="0"/>
            <w:vAlign w:val="center"/>
          </w:tcPr>
          <w:p w14:paraId="294FEDD6">
            <w:pPr>
              <w:tabs>
                <w:tab w:val="left" w:pos="720"/>
              </w:tabs>
              <w:snapToGrid w:val="0"/>
              <w:jc w:val="center"/>
              <w:rPr>
                <w:rFonts w:ascii="宋体" w:hAnsi="宋体"/>
                <w:color w:val="auto"/>
                <w:szCs w:val="21"/>
                <w:highlight w:val="none"/>
              </w:rPr>
            </w:pPr>
          </w:p>
        </w:tc>
      </w:tr>
      <w:tr w14:paraId="52BB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48" w:type="dxa"/>
            <w:noWrap w:val="0"/>
            <w:vAlign w:val="center"/>
          </w:tcPr>
          <w:p w14:paraId="78CFA973">
            <w:pPr>
              <w:tabs>
                <w:tab w:val="left" w:pos="720"/>
              </w:tabs>
              <w:snapToGrid w:val="0"/>
              <w:jc w:val="center"/>
              <w:rPr>
                <w:rFonts w:ascii="宋体" w:hAnsi="宋体"/>
                <w:color w:val="auto"/>
                <w:szCs w:val="21"/>
                <w:highlight w:val="none"/>
              </w:rPr>
            </w:pPr>
            <w:r>
              <w:rPr>
                <w:rFonts w:hint="eastAsia" w:ascii="宋体" w:hAnsi="宋体"/>
                <w:color w:val="auto"/>
                <w:szCs w:val="21"/>
                <w:highlight w:val="none"/>
              </w:rPr>
              <w:t>3</w:t>
            </w:r>
          </w:p>
        </w:tc>
        <w:tc>
          <w:tcPr>
            <w:tcW w:w="5191" w:type="dxa"/>
            <w:noWrap w:val="0"/>
            <w:vAlign w:val="center"/>
          </w:tcPr>
          <w:p w14:paraId="64CFA667">
            <w:pPr>
              <w:tabs>
                <w:tab w:val="left" w:pos="720"/>
              </w:tabs>
              <w:snapToGrid w:val="0"/>
              <w:rPr>
                <w:rFonts w:ascii="宋体" w:hAnsi="宋体"/>
                <w:color w:val="auto"/>
                <w:highlight w:val="none"/>
              </w:rPr>
            </w:pPr>
            <w:r>
              <w:rPr>
                <w:rFonts w:hint="eastAsia" w:ascii="宋体" w:hAnsi="宋体"/>
                <w:color w:val="auto"/>
                <w:highlight w:val="none"/>
              </w:rPr>
              <w:t>投标人须同时具有有关行政主管部门颁发的乙级测绘资质（或以上）证书；有关行政主管部门颁发的城乡规划（国土空间规划）编制甲级（或以上）证书；有关行政主管部门或行业协会（学会）颁发的林业调查规划设计资质乙级（或以上）证书。如为联合体投标，主办方须具有有关行政主管部门颁发的乙级测绘资质（或以上）证书和有关行政主管部门颁发的城乡规划（国土空间规划）编制甲级（或以上）证书；成员方须具有有关行政主管部门或行业协会（学会）颁发的林业调查规划设计资质乙级（或以上）证书；</w:t>
            </w:r>
          </w:p>
        </w:tc>
        <w:tc>
          <w:tcPr>
            <w:tcW w:w="627" w:type="dxa"/>
            <w:noWrap w:val="0"/>
            <w:vAlign w:val="center"/>
          </w:tcPr>
          <w:p w14:paraId="0595CCFD">
            <w:pPr>
              <w:tabs>
                <w:tab w:val="left" w:pos="720"/>
              </w:tabs>
              <w:snapToGrid w:val="0"/>
              <w:jc w:val="center"/>
              <w:rPr>
                <w:rFonts w:ascii="宋体" w:hAnsi="宋体"/>
                <w:color w:val="auto"/>
                <w:szCs w:val="21"/>
                <w:highlight w:val="none"/>
              </w:rPr>
            </w:pPr>
          </w:p>
        </w:tc>
        <w:tc>
          <w:tcPr>
            <w:tcW w:w="690" w:type="dxa"/>
            <w:noWrap w:val="0"/>
            <w:vAlign w:val="center"/>
          </w:tcPr>
          <w:p w14:paraId="54B59638">
            <w:pPr>
              <w:tabs>
                <w:tab w:val="left" w:pos="720"/>
              </w:tabs>
              <w:snapToGrid w:val="0"/>
              <w:jc w:val="center"/>
              <w:rPr>
                <w:rFonts w:ascii="宋体" w:hAnsi="宋体"/>
                <w:color w:val="auto"/>
                <w:szCs w:val="21"/>
                <w:highlight w:val="none"/>
              </w:rPr>
            </w:pPr>
          </w:p>
        </w:tc>
        <w:tc>
          <w:tcPr>
            <w:tcW w:w="689" w:type="dxa"/>
            <w:noWrap w:val="0"/>
            <w:vAlign w:val="center"/>
          </w:tcPr>
          <w:p w14:paraId="69EB1702">
            <w:pPr>
              <w:tabs>
                <w:tab w:val="left" w:pos="720"/>
              </w:tabs>
              <w:snapToGrid w:val="0"/>
              <w:jc w:val="center"/>
              <w:rPr>
                <w:rFonts w:ascii="宋体" w:hAnsi="宋体"/>
                <w:color w:val="auto"/>
                <w:szCs w:val="21"/>
                <w:highlight w:val="none"/>
              </w:rPr>
            </w:pPr>
          </w:p>
        </w:tc>
        <w:tc>
          <w:tcPr>
            <w:tcW w:w="779" w:type="dxa"/>
            <w:noWrap w:val="0"/>
            <w:vAlign w:val="center"/>
          </w:tcPr>
          <w:p w14:paraId="1A466419">
            <w:pPr>
              <w:tabs>
                <w:tab w:val="left" w:pos="720"/>
              </w:tabs>
              <w:snapToGrid w:val="0"/>
              <w:jc w:val="center"/>
              <w:rPr>
                <w:rFonts w:ascii="宋体" w:hAnsi="宋体"/>
                <w:color w:val="auto"/>
                <w:szCs w:val="21"/>
                <w:highlight w:val="none"/>
              </w:rPr>
            </w:pPr>
          </w:p>
        </w:tc>
        <w:tc>
          <w:tcPr>
            <w:tcW w:w="779" w:type="dxa"/>
            <w:noWrap w:val="0"/>
            <w:vAlign w:val="center"/>
          </w:tcPr>
          <w:p w14:paraId="1CAB4BB0">
            <w:pPr>
              <w:tabs>
                <w:tab w:val="left" w:pos="720"/>
              </w:tabs>
              <w:snapToGrid w:val="0"/>
              <w:jc w:val="center"/>
              <w:rPr>
                <w:rFonts w:ascii="宋体" w:hAnsi="宋体"/>
                <w:color w:val="auto"/>
                <w:szCs w:val="21"/>
                <w:highlight w:val="none"/>
              </w:rPr>
            </w:pPr>
          </w:p>
        </w:tc>
      </w:tr>
      <w:tr w14:paraId="6E54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noWrap w:val="0"/>
            <w:vAlign w:val="center"/>
          </w:tcPr>
          <w:p w14:paraId="614DBF27">
            <w:pPr>
              <w:tabs>
                <w:tab w:val="left" w:pos="720"/>
              </w:tabs>
              <w:snapToGri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5191" w:type="dxa"/>
            <w:noWrap w:val="0"/>
            <w:vAlign w:val="center"/>
          </w:tcPr>
          <w:p w14:paraId="74D8829D">
            <w:pPr>
              <w:tabs>
                <w:tab w:val="left" w:pos="720"/>
              </w:tabs>
              <w:snapToGrid w:val="0"/>
              <w:rPr>
                <w:rFonts w:hint="eastAsia" w:ascii="宋体" w:hAnsi="宋体"/>
                <w:color w:val="auto"/>
                <w:highlight w:val="none"/>
              </w:rPr>
            </w:pPr>
            <w:r>
              <w:rPr>
                <w:rFonts w:hint="eastAsia" w:ascii="宋体" w:hAnsi="宋体"/>
                <w:color w:val="auto"/>
                <w:szCs w:val="21"/>
                <w:highlight w:val="none"/>
              </w:rPr>
              <w:t>投标人（若为联合体，指联合体主办方）拟委派项目负责人应具有注册城市（乡）规划师资格且注册执业单位为本单位；</w:t>
            </w:r>
          </w:p>
        </w:tc>
        <w:tc>
          <w:tcPr>
            <w:tcW w:w="627" w:type="dxa"/>
            <w:noWrap w:val="0"/>
            <w:vAlign w:val="center"/>
          </w:tcPr>
          <w:p w14:paraId="4E8E0E7B">
            <w:pPr>
              <w:tabs>
                <w:tab w:val="left" w:pos="720"/>
              </w:tabs>
              <w:snapToGrid w:val="0"/>
              <w:jc w:val="center"/>
              <w:rPr>
                <w:rFonts w:ascii="宋体" w:hAnsi="宋体"/>
                <w:color w:val="auto"/>
                <w:szCs w:val="21"/>
                <w:highlight w:val="none"/>
              </w:rPr>
            </w:pPr>
          </w:p>
        </w:tc>
        <w:tc>
          <w:tcPr>
            <w:tcW w:w="690" w:type="dxa"/>
            <w:noWrap w:val="0"/>
            <w:vAlign w:val="center"/>
          </w:tcPr>
          <w:p w14:paraId="55EA1A1F">
            <w:pPr>
              <w:tabs>
                <w:tab w:val="left" w:pos="720"/>
              </w:tabs>
              <w:snapToGrid w:val="0"/>
              <w:jc w:val="center"/>
              <w:rPr>
                <w:rFonts w:ascii="宋体" w:hAnsi="宋体"/>
                <w:color w:val="auto"/>
                <w:szCs w:val="21"/>
                <w:highlight w:val="none"/>
              </w:rPr>
            </w:pPr>
          </w:p>
        </w:tc>
        <w:tc>
          <w:tcPr>
            <w:tcW w:w="689" w:type="dxa"/>
            <w:noWrap w:val="0"/>
            <w:vAlign w:val="center"/>
          </w:tcPr>
          <w:p w14:paraId="67741F0E">
            <w:pPr>
              <w:tabs>
                <w:tab w:val="left" w:pos="720"/>
              </w:tabs>
              <w:snapToGrid w:val="0"/>
              <w:jc w:val="center"/>
              <w:rPr>
                <w:rFonts w:ascii="宋体" w:hAnsi="宋体"/>
                <w:color w:val="auto"/>
                <w:szCs w:val="21"/>
                <w:highlight w:val="none"/>
              </w:rPr>
            </w:pPr>
          </w:p>
        </w:tc>
        <w:tc>
          <w:tcPr>
            <w:tcW w:w="779" w:type="dxa"/>
            <w:noWrap w:val="0"/>
            <w:vAlign w:val="center"/>
          </w:tcPr>
          <w:p w14:paraId="493DE108">
            <w:pPr>
              <w:tabs>
                <w:tab w:val="left" w:pos="720"/>
              </w:tabs>
              <w:snapToGrid w:val="0"/>
              <w:jc w:val="center"/>
              <w:rPr>
                <w:rFonts w:ascii="宋体" w:hAnsi="宋体"/>
                <w:color w:val="auto"/>
                <w:szCs w:val="21"/>
                <w:highlight w:val="none"/>
              </w:rPr>
            </w:pPr>
          </w:p>
        </w:tc>
        <w:tc>
          <w:tcPr>
            <w:tcW w:w="779" w:type="dxa"/>
            <w:noWrap w:val="0"/>
            <w:vAlign w:val="center"/>
          </w:tcPr>
          <w:p w14:paraId="60266261">
            <w:pPr>
              <w:tabs>
                <w:tab w:val="left" w:pos="720"/>
              </w:tabs>
              <w:snapToGrid w:val="0"/>
              <w:jc w:val="center"/>
              <w:rPr>
                <w:rFonts w:ascii="宋体" w:hAnsi="宋体"/>
                <w:color w:val="auto"/>
                <w:szCs w:val="21"/>
                <w:highlight w:val="none"/>
              </w:rPr>
            </w:pPr>
          </w:p>
        </w:tc>
      </w:tr>
      <w:tr w14:paraId="11F3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8" w:type="dxa"/>
            <w:noWrap w:val="0"/>
            <w:vAlign w:val="center"/>
          </w:tcPr>
          <w:p w14:paraId="7A4BDC85">
            <w:pPr>
              <w:tabs>
                <w:tab w:val="left" w:pos="720"/>
              </w:tabs>
              <w:snapToGrid w:val="0"/>
              <w:jc w:val="center"/>
              <w:rPr>
                <w:rFonts w:ascii="宋体" w:hAnsi="宋体"/>
                <w:color w:val="auto"/>
                <w:highlight w:val="none"/>
              </w:rPr>
            </w:pPr>
            <w:r>
              <w:rPr>
                <w:rFonts w:hint="eastAsia" w:ascii="宋体" w:hAnsi="宋体"/>
                <w:color w:val="auto"/>
                <w:szCs w:val="21"/>
                <w:highlight w:val="none"/>
                <w:lang w:val="en-US" w:eastAsia="zh-CN"/>
              </w:rPr>
              <w:t>5</w:t>
            </w:r>
          </w:p>
        </w:tc>
        <w:tc>
          <w:tcPr>
            <w:tcW w:w="5191" w:type="dxa"/>
            <w:noWrap w:val="0"/>
            <w:vAlign w:val="center"/>
          </w:tcPr>
          <w:p w14:paraId="0D852CAE">
            <w:pPr>
              <w:tabs>
                <w:tab w:val="left" w:pos="720"/>
              </w:tabs>
              <w:snapToGrid w:val="0"/>
              <w:rPr>
                <w:rFonts w:ascii="宋体" w:hAnsi="宋体"/>
                <w:color w:val="auto"/>
                <w:highlight w:val="none"/>
              </w:rPr>
            </w:pPr>
            <w:r>
              <w:rPr>
                <w:rFonts w:hint="eastAsia" w:ascii="宋体" w:hAnsi="宋体"/>
                <w:color w:val="auto"/>
                <w:szCs w:val="21"/>
                <w:highlight w:val="none"/>
              </w:rPr>
              <w:t>投标登记前，投标人（若为联合体，指联合体各方）须在广州交易集团有限公司（广州公共资源交易中心）企业库已办理企业信息登记；</w:t>
            </w:r>
          </w:p>
        </w:tc>
        <w:tc>
          <w:tcPr>
            <w:tcW w:w="627" w:type="dxa"/>
            <w:noWrap w:val="0"/>
            <w:vAlign w:val="center"/>
          </w:tcPr>
          <w:p w14:paraId="02B78A36">
            <w:pPr>
              <w:tabs>
                <w:tab w:val="left" w:pos="720"/>
              </w:tabs>
              <w:snapToGrid w:val="0"/>
              <w:jc w:val="center"/>
              <w:rPr>
                <w:rFonts w:ascii="宋体" w:hAnsi="宋体"/>
                <w:color w:val="auto"/>
                <w:szCs w:val="21"/>
                <w:highlight w:val="none"/>
              </w:rPr>
            </w:pPr>
          </w:p>
        </w:tc>
        <w:tc>
          <w:tcPr>
            <w:tcW w:w="690" w:type="dxa"/>
            <w:noWrap w:val="0"/>
            <w:vAlign w:val="center"/>
          </w:tcPr>
          <w:p w14:paraId="1B5F114A">
            <w:pPr>
              <w:tabs>
                <w:tab w:val="left" w:pos="720"/>
              </w:tabs>
              <w:snapToGrid w:val="0"/>
              <w:jc w:val="center"/>
              <w:rPr>
                <w:rFonts w:ascii="宋体" w:hAnsi="宋体"/>
                <w:color w:val="auto"/>
                <w:szCs w:val="21"/>
                <w:highlight w:val="none"/>
              </w:rPr>
            </w:pPr>
          </w:p>
        </w:tc>
        <w:tc>
          <w:tcPr>
            <w:tcW w:w="689" w:type="dxa"/>
            <w:noWrap w:val="0"/>
            <w:vAlign w:val="center"/>
          </w:tcPr>
          <w:p w14:paraId="356B1E3B">
            <w:pPr>
              <w:tabs>
                <w:tab w:val="left" w:pos="720"/>
              </w:tabs>
              <w:snapToGrid w:val="0"/>
              <w:jc w:val="center"/>
              <w:rPr>
                <w:rFonts w:ascii="宋体" w:hAnsi="宋体"/>
                <w:color w:val="auto"/>
                <w:szCs w:val="21"/>
                <w:highlight w:val="none"/>
              </w:rPr>
            </w:pPr>
          </w:p>
        </w:tc>
        <w:tc>
          <w:tcPr>
            <w:tcW w:w="779" w:type="dxa"/>
            <w:noWrap w:val="0"/>
            <w:vAlign w:val="center"/>
          </w:tcPr>
          <w:p w14:paraId="36DF5186">
            <w:pPr>
              <w:tabs>
                <w:tab w:val="left" w:pos="720"/>
              </w:tabs>
              <w:snapToGrid w:val="0"/>
              <w:jc w:val="center"/>
              <w:rPr>
                <w:rFonts w:ascii="宋体" w:hAnsi="宋体"/>
                <w:color w:val="auto"/>
                <w:szCs w:val="21"/>
                <w:highlight w:val="none"/>
              </w:rPr>
            </w:pPr>
          </w:p>
        </w:tc>
        <w:tc>
          <w:tcPr>
            <w:tcW w:w="779" w:type="dxa"/>
            <w:noWrap w:val="0"/>
            <w:vAlign w:val="center"/>
          </w:tcPr>
          <w:p w14:paraId="074AC4CC">
            <w:pPr>
              <w:tabs>
                <w:tab w:val="left" w:pos="720"/>
              </w:tabs>
              <w:snapToGrid w:val="0"/>
              <w:jc w:val="center"/>
              <w:rPr>
                <w:rFonts w:ascii="宋体" w:hAnsi="宋体"/>
                <w:color w:val="auto"/>
                <w:szCs w:val="21"/>
                <w:highlight w:val="none"/>
              </w:rPr>
            </w:pPr>
          </w:p>
        </w:tc>
      </w:tr>
      <w:tr w14:paraId="63F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8" w:type="dxa"/>
            <w:noWrap w:val="0"/>
            <w:vAlign w:val="center"/>
          </w:tcPr>
          <w:p w14:paraId="1D15345A">
            <w:pPr>
              <w:tabs>
                <w:tab w:val="left" w:pos="720"/>
              </w:tabs>
              <w:snapToGrid w:val="0"/>
              <w:jc w:val="center"/>
              <w:rPr>
                <w:rFonts w:hint="eastAsia" w:ascii="宋体" w:hAnsi="宋体"/>
                <w:color w:val="auto"/>
                <w:highlight w:val="none"/>
              </w:rPr>
            </w:pPr>
            <w:r>
              <w:rPr>
                <w:rFonts w:hint="eastAsia" w:ascii="宋体" w:hAnsi="宋体" w:eastAsia="宋体"/>
                <w:color w:val="auto"/>
                <w:szCs w:val="21"/>
                <w:highlight w:val="none"/>
                <w:lang w:val="en-US" w:eastAsia="zh-CN"/>
              </w:rPr>
              <w:t>6</w:t>
            </w:r>
          </w:p>
        </w:tc>
        <w:tc>
          <w:tcPr>
            <w:tcW w:w="5191" w:type="dxa"/>
            <w:noWrap w:val="0"/>
            <w:vAlign w:val="center"/>
          </w:tcPr>
          <w:p w14:paraId="1A561989">
            <w:pPr>
              <w:tabs>
                <w:tab w:val="left" w:pos="720"/>
              </w:tabs>
              <w:snapToGrid w:val="0"/>
              <w:rPr>
                <w:rFonts w:hint="eastAsia" w:ascii="宋体" w:hAnsi="宋体"/>
                <w:color w:val="auto"/>
                <w:highlight w:val="none"/>
              </w:rPr>
            </w:pPr>
            <w:r>
              <w:rPr>
                <w:rFonts w:hint="eastAsia" w:ascii="宋体" w:hAnsi="宋体"/>
                <w:color w:val="auto"/>
                <w:highlight w:val="none"/>
              </w:rPr>
              <w:t>关于联合体投标：本项目接受联合体投标。</w:t>
            </w:r>
          </w:p>
          <w:p w14:paraId="1E7F2308">
            <w:pPr>
              <w:tabs>
                <w:tab w:val="left" w:pos="720"/>
              </w:tabs>
              <w:snapToGrid w:val="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rPr>
              <w:t>1）允许联合体投标，只接受不多于2家单位，如投标人组成联合体，联合体应当在投标登记前组成，并按要求签署盖章签订《联合体协议书》（附件一）。投标人拟任本工程项目负责人应为主办方正式员工。《联合体协议书》应明确约定各方拟承担的工作和责任。投标截止后联合体增减、更换成员的，其投标无效。</w:t>
            </w:r>
          </w:p>
          <w:p w14:paraId="22B26223">
            <w:pPr>
              <w:tabs>
                <w:tab w:val="left" w:pos="720"/>
              </w:tabs>
              <w:snapToGrid w:val="0"/>
              <w:rPr>
                <w:rFonts w:hint="eastAsia" w:ascii="宋体" w:hAnsi="宋体" w:cs="宋体"/>
                <w:color w:val="auto"/>
                <w:kern w:val="0"/>
                <w:highlight w:val="none"/>
              </w:rPr>
            </w:pPr>
            <w:r>
              <w:rPr>
                <w:rFonts w:hint="eastAsia" w:ascii="宋体" w:hAnsi="宋体"/>
                <w:color w:val="auto"/>
                <w:highlight w:val="none"/>
              </w:rPr>
              <w:t>（2）联合体各方（包括主办方及联合体成员）不得再单独或与其他单位组成联合体参与本项目投标。出现上述情况者，其投标和与此有关的联合体的投标将被拒绝。</w:t>
            </w:r>
          </w:p>
        </w:tc>
        <w:tc>
          <w:tcPr>
            <w:tcW w:w="627" w:type="dxa"/>
            <w:noWrap w:val="0"/>
            <w:vAlign w:val="center"/>
          </w:tcPr>
          <w:p w14:paraId="2861F259">
            <w:pPr>
              <w:tabs>
                <w:tab w:val="left" w:pos="720"/>
              </w:tabs>
              <w:snapToGrid w:val="0"/>
              <w:jc w:val="center"/>
              <w:rPr>
                <w:rFonts w:ascii="宋体" w:hAnsi="宋体"/>
                <w:color w:val="auto"/>
                <w:szCs w:val="21"/>
                <w:highlight w:val="none"/>
              </w:rPr>
            </w:pPr>
          </w:p>
        </w:tc>
        <w:tc>
          <w:tcPr>
            <w:tcW w:w="690" w:type="dxa"/>
            <w:noWrap w:val="0"/>
            <w:vAlign w:val="center"/>
          </w:tcPr>
          <w:p w14:paraId="2F902ABB">
            <w:pPr>
              <w:tabs>
                <w:tab w:val="left" w:pos="720"/>
              </w:tabs>
              <w:snapToGrid w:val="0"/>
              <w:jc w:val="center"/>
              <w:rPr>
                <w:rFonts w:ascii="宋体" w:hAnsi="宋体"/>
                <w:color w:val="auto"/>
                <w:szCs w:val="21"/>
                <w:highlight w:val="none"/>
              </w:rPr>
            </w:pPr>
          </w:p>
        </w:tc>
        <w:tc>
          <w:tcPr>
            <w:tcW w:w="689" w:type="dxa"/>
            <w:noWrap w:val="0"/>
            <w:vAlign w:val="center"/>
          </w:tcPr>
          <w:p w14:paraId="706E5F89">
            <w:pPr>
              <w:tabs>
                <w:tab w:val="left" w:pos="720"/>
              </w:tabs>
              <w:snapToGrid w:val="0"/>
              <w:jc w:val="center"/>
              <w:rPr>
                <w:rFonts w:ascii="宋体" w:hAnsi="宋体"/>
                <w:color w:val="auto"/>
                <w:szCs w:val="21"/>
                <w:highlight w:val="none"/>
              </w:rPr>
            </w:pPr>
          </w:p>
        </w:tc>
        <w:tc>
          <w:tcPr>
            <w:tcW w:w="779" w:type="dxa"/>
            <w:noWrap w:val="0"/>
            <w:vAlign w:val="center"/>
          </w:tcPr>
          <w:p w14:paraId="5D046FCE">
            <w:pPr>
              <w:tabs>
                <w:tab w:val="left" w:pos="720"/>
              </w:tabs>
              <w:snapToGrid w:val="0"/>
              <w:jc w:val="center"/>
              <w:rPr>
                <w:rFonts w:ascii="宋体" w:hAnsi="宋体"/>
                <w:color w:val="auto"/>
                <w:szCs w:val="21"/>
                <w:highlight w:val="none"/>
              </w:rPr>
            </w:pPr>
          </w:p>
        </w:tc>
        <w:tc>
          <w:tcPr>
            <w:tcW w:w="779" w:type="dxa"/>
            <w:noWrap w:val="0"/>
            <w:vAlign w:val="center"/>
          </w:tcPr>
          <w:p w14:paraId="4AABE5CF">
            <w:pPr>
              <w:tabs>
                <w:tab w:val="left" w:pos="720"/>
              </w:tabs>
              <w:snapToGrid w:val="0"/>
              <w:jc w:val="center"/>
              <w:rPr>
                <w:rFonts w:ascii="宋体" w:hAnsi="宋体"/>
                <w:color w:val="auto"/>
                <w:szCs w:val="21"/>
                <w:highlight w:val="none"/>
              </w:rPr>
            </w:pPr>
          </w:p>
        </w:tc>
      </w:tr>
      <w:tr w14:paraId="169E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8" w:type="dxa"/>
            <w:noWrap w:val="0"/>
            <w:vAlign w:val="center"/>
          </w:tcPr>
          <w:p w14:paraId="5581A74F">
            <w:pPr>
              <w:tabs>
                <w:tab w:val="left" w:pos="720"/>
              </w:tabs>
              <w:snapToGrid w:val="0"/>
              <w:jc w:val="center"/>
              <w:rPr>
                <w:rFonts w:hint="eastAsia" w:ascii="宋体" w:hAnsi="宋体"/>
                <w:color w:val="auto"/>
                <w:highlight w:val="none"/>
              </w:rPr>
            </w:pPr>
            <w:r>
              <w:rPr>
                <w:rFonts w:hint="eastAsia" w:ascii="宋体" w:hAnsi="宋体"/>
                <w:color w:val="auto"/>
                <w:highlight w:val="none"/>
              </w:rPr>
              <w:t>结论</w:t>
            </w:r>
          </w:p>
        </w:tc>
        <w:tc>
          <w:tcPr>
            <w:tcW w:w="5191" w:type="dxa"/>
            <w:noWrap w:val="0"/>
            <w:vAlign w:val="center"/>
          </w:tcPr>
          <w:p w14:paraId="42D9CC8A">
            <w:pPr>
              <w:tabs>
                <w:tab w:val="left" w:pos="720"/>
              </w:tabs>
              <w:snapToGrid w:val="0"/>
              <w:jc w:val="left"/>
              <w:rPr>
                <w:rFonts w:hint="eastAsia" w:ascii="宋体" w:hAnsi="宋体" w:cs="宋体"/>
                <w:color w:val="auto"/>
                <w:kern w:val="0"/>
                <w:highlight w:val="none"/>
              </w:rPr>
            </w:pPr>
            <w:r>
              <w:rPr>
                <w:rFonts w:hint="eastAsia" w:ascii="宋体" w:hAnsi="宋体" w:cs="宋体"/>
                <w:color w:val="auto"/>
                <w:kern w:val="0"/>
                <w:highlight w:val="none"/>
              </w:rPr>
              <w:t>通过/不通过</w:t>
            </w:r>
          </w:p>
        </w:tc>
        <w:tc>
          <w:tcPr>
            <w:tcW w:w="627" w:type="dxa"/>
            <w:noWrap w:val="0"/>
            <w:vAlign w:val="center"/>
          </w:tcPr>
          <w:p w14:paraId="7085F34E">
            <w:pPr>
              <w:tabs>
                <w:tab w:val="left" w:pos="720"/>
              </w:tabs>
              <w:snapToGrid w:val="0"/>
              <w:jc w:val="center"/>
              <w:rPr>
                <w:rFonts w:ascii="宋体" w:hAnsi="宋体"/>
                <w:color w:val="auto"/>
                <w:szCs w:val="21"/>
                <w:highlight w:val="none"/>
              </w:rPr>
            </w:pPr>
          </w:p>
        </w:tc>
        <w:tc>
          <w:tcPr>
            <w:tcW w:w="690" w:type="dxa"/>
            <w:noWrap w:val="0"/>
            <w:vAlign w:val="center"/>
          </w:tcPr>
          <w:p w14:paraId="5B76D021">
            <w:pPr>
              <w:tabs>
                <w:tab w:val="left" w:pos="720"/>
              </w:tabs>
              <w:snapToGrid w:val="0"/>
              <w:jc w:val="center"/>
              <w:rPr>
                <w:rFonts w:ascii="宋体" w:hAnsi="宋体"/>
                <w:color w:val="auto"/>
                <w:szCs w:val="21"/>
                <w:highlight w:val="none"/>
              </w:rPr>
            </w:pPr>
          </w:p>
        </w:tc>
        <w:tc>
          <w:tcPr>
            <w:tcW w:w="689" w:type="dxa"/>
            <w:noWrap w:val="0"/>
            <w:vAlign w:val="center"/>
          </w:tcPr>
          <w:p w14:paraId="123C40BE">
            <w:pPr>
              <w:tabs>
                <w:tab w:val="left" w:pos="720"/>
              </w:tabs>
              <w:snapToGrid w:val="0"/>
              <w:jc w:val="center"/>
              <w:rPr>
                <w:rFonts w:ascii="宋体" w:hAnsi="宋体"/>
                <w:color w:val="auto"/>
                <w:szCs w:val="21"/>
                <w:highlight w:val="none"/>
              </w:rPr>
            </w:pPr>
          </w:p>
        </w:tc>
        <w:tc>
          <w:tcPr>
            <w:tcW w:w="779" w:type="dxa"/>
            <w:noWrap w:val="0"/>
            <w:vAlign w:val="center"/>
          </w:tcPr>
          <w:p w14:paraId="33339D0E">
            <w:pPr>
              <w:tabs>
                <w:tab w:val="left" w:pos="720"/>
              </w:tabs>
              <w:snapToGrid w:val="0"/>
              <w:jc w:val="center"/>
              <w:rPr>
                <w:rFonts w:ascii="宋体" w:hAnsi="宋体"/>
                <w:color w:val="auto"/>
                <w:szCs w:val="21"/>
                <w:highlight w:val="none"/>
              </w:rPr>
            </w:pPr>
          </w:p>
        </w:tc>
        <w:tc>
          <w:tcPr>
            <w:tcW w:w="779" w:type="dxa"/>
            <w:noWrap w:val="0"/>
            <w:vAlign w:val="center"/>
          </w:tcPr>
          <w:p w14:paraId="68B03DC1">
            <w:pPr>
              <w:tabs>
                <w:tab w:val="left" w:pos="720"/>
              </w:tabs>
              <w:snapToGrid w:val="0"/>
              <w:jc w:val="center"/>
              <w:rPr>
                <w:rFonts w:ascii="宋体" w:hAnsi="宋体"/>
                <w:color w:val="auto"/>
                <w:szCs w:val="21"/>
                <w:highlight w:val="none"/>
              </w:rPr>
            </w:pPr>
          </w:p>
        </w:tc>
      </w:tr>
    </w:tbl>
    <w:p w14:paraId="1D8B2E5B">
      <w:pPr>
        <w:tabs>
          <w:tab w:val="left" w:pos="720"/>
        </w:tabs>
        <w:snapToGrid w:val="0"/>
        <w:rPr>
          <w:rFonts w:ascii="宋体" w:hAnsi="宋体"/>
          <w:color w:val="auto"/>
          <w:szCs w:val="21"/>
          <w:highlight w:val="none"/>
        </w:rPr>
      </w:pPr>
      <w:r>
        <w:rPr>
          <w:rFonts w:hint="eastAsia" w:ascii="宋体" w:hAnsi="宋体"/>
          <w:color w:val="auto"/>
          <w:szCs w:val="21"/>
          <w:highlight w:val="none"/>
        </w:rPr>
        <w:t>备注：</w:t>
      </w:r>
    </w:p>
    <w:p w14:paraId="3645A346">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1、“结论”一栏应写“通过”“不通过”。</w:t>
      </w:r>
    </w:p>
    <w:p w14:paraId="5B4B385F">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2、每一项目符合的打“○”，不符合的打“×”。出现一个“×”的结论为“不通过”。</w:t>
      </w:r>
    </w:p>
    <w:p w14:paraId="27821B52">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3、表中全部条件满足为“通过”，同意进入下一阶段评审。</w:t>
      </w:r>
    </w:p>
    <w:p w14:paraId="705757FB">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4、若评委意见不一致时，则按少数服从多数的原则，决定该投标人是否通过资格审查，进入下一阶段评审。</w:t>
      </w:r>
    </w:p>
    <w:p w14:paraId="1EE0CB2C">
      <w:pPr>
        <w:adjustRightInd w:val="0"/>
        <w:snapToGrid w:val="0"/>
        <w:ind w:firstLine="411" w:firstLineChars="196"/>
        <w:rPr>
          <w:rFonts w:ascii="宋体" w:hAnsi="宋体"/>
          <w:bCs/>
          <w:color w:val="auto"/>
          <w:highlight w:val="none"/>
        </w:rPr>
      </w:pPr>
    </w:p>
    <w:p w14:paraId="7000DA93">
      <w:pPr>
        <w:adjustRightInd w:val="0"/>
        <w:snapToGrid w:val="0"/>
        <w:ind w:firstLine="411" w:firstLineChars="196"/>
        <w:rPr>
          <w:rFonts w:ascii="宋体" w:hAnsi="宋体"/>
          <w:bCs/>
          <w:color w:val="auto"/>
          <w:highlight w:val="none"/>
        </w:rPr>
      </w:pPr>
      <w:r>
        <w:rPr>
          <w:rFonts w:hint="eastAsia" w:ascii="宋体" w:hAnsi="宋体"/>
          <w:bCs/>
          <w:color w:val="auto"/>
          <w:highlight w:val="none"/>
        </w:rPr>
        <w:t>专家签名：                                       日期：</w:t>
      </w:r>
    </w:p>
    <w:p w14:paraId="452A6CF2">
      <w:pPr>
        <w:rPr>
          <w:rFonts w:ascii="宋体" w:hAnsi="宋体"/>
          <w:color w:val="auto"/>
          <w:sz w:val="18"/>
          <w:szCs w:val="18"/>
          <w:highlight w:val="none"/>
        </w:rPr>
      </w:pPr>
      <w:r>
        <w:rPr>
          <w:rFonts w:ascii="宋体" w:hAnsi="宋体"/>
          <w:color w:val="auto"/>
          <w:sz w:val="18"/>
          <w:szCs w:val="18"/>
          <w:highlight w:val="none"/>
        </w:rPr>
        <w:br w:type="page"/>
      </w:r>
    </w:p>
    <w:p w14:paraId="7A0F1384">
      <w:pPr>
        <w:pStyle w:val="5"/>
        <w:jc w:val="left"/>
        <w:rPr>
          <w:b w:val="0"/>
          <w:color w:val="auto"/>
          <w:sz w:val="24"/>
          <w:highlight w:val="none"/>
        </w:rPr>
      </w:pPr>
      <w:bookmarkStart w:id="35" w:name="_Toc8229524"/>
      <w:r>
        <w:rPr>
          <w:rFonts w:hint="eastAsia"/>
          <w:b w:val="0"/>
          <w:color w:val="auto"/>
          <w:sz w:val="24"/>
          <w:highlight w:val="none"/>
        </w:rPr>
        <w:t>附表二</w:t>
      </w:r>
      <w:bookmarkEnd w:id="35"/>
    </w:p>
    <w:p w14:paraId="18AD1014">
      <w:pPr>
        <w:spacing w:line="400" w:lineRule="exact"/>
        <w:jc w:val="center"/>
        <w:rPr>
          <w:rFonts w:ascii="宋体" w:hAnsi="宋体"/>
          <w:b/>
          <w:bCs/>
          <w:color w:val="auto"/>
          <w:sz w:val="36"/>
          <w:highlight w:val="none"/>
        </w:rPr>
      </w:pPr>
      <w:r>
        <w:rPr>
          <w:rFonts w:hint="eastAsia" w:ascii="宋体" w:hAnsi="宋体"/>
          <w:b/>
          <w:bCs/>
          <w:color w:val="auto"/>
          <w:sz w:val="36"/>
          <w:highlight w:val="none"/>
        </w:rPr>
        <w:t>投标文件有效性审查表</w:t>
      </w:r>
    </w:p>
    <w:p w14:paraId="1D83067A">
      <w:pPr>
        <w:spacing w:line="400" w:lineRule="exact"/>
        <w:jc w:val="center"/>
        <w:rPr>
          <w:rFonts w:ascii="宋体" w:hAnsi="宋体"/>
          <w:b/>
          <w:bCs/>
          <w:color w:val="auto"/>
          <w:sz w:val="28"/>
          <w:highlight w:val="none"/>
        </w:rPr>
      </w:pPr>
    </w:p>
    <w:tbl>
      <w:tblPr>
        <w:tblStyle w:val="31"/>
        <w:tblW w:w="945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319"/>
        <w:gridCol w:w="4981"/>
        <w:gridCol w:w="1050"/>
        <w:gridCol w:w="1050"/>
        <w:gridCol w:w="1050"/>
      </w:tblGrid>
      <w:tr w14:paraId="6838D82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319" w:type="dxa"/>
            <w:tcBorders>
              <w:right w:val="single" w:color="auto" w:sz="4" w:space="0"/>
            </w:tcBorders>
            <w:noWrap w:val="0"/>
            <w:vAlign w:val="center"/>
          </w:tcPr>
          <w:p w14:paraId="69769764">
            <w:pPr>
              <w:jc w:val="center"/>
              <w:rPr>
                <w:rFonts w:ascii="宋体" w:hAnsi="宋体" w:cs="宋体"/>
                <w:color w:val="auto"/>
                <w:szCs w:val="21"/>
                <w:highlight w:val="none"/>
              </w:rPr>
            </w:pPr>
            <w:r>
              <w:rPr>
                <w:rFonts w:hint="eastAsia" w:ascii="宋体" w:hAnsi="宋体"/>
                <w:color w:val="auto"/>
                <w:szCs w:val="21"/>
                <w:highlight w:val="none"/>
              </w:rPr>
              <w:t>序号</w:t>
            </w:r>
          </w:p>
        </w:tc>
        <w:tc>
          <w:tcPr>
            <w:tcW w:w="4981" w:type="dxa"/>
            <w:tcBorders>
              <w:left w:val="single" w:color="auto" w:sz="4" w:space="0"/>
              <w:tl2br w:val="single" w:color="auto" w:sz="4" w:space="0"/>
            </w:tcBorders>
            <w:noWrap w:val="0"/>
            <w:vAlign w:val="center"/>
          </w:tcPr>
          <w:p w14:paraId="75CD140C">
            <w:pPr>
              <w:jc w:val="center"/>
              <w:rPr>
                <w:rFonts w:ascii="宋体" w:hAnsi="宋体"/>
                <w:color w:val="auto"/>
                <w:szCs w:val="21"/>
                <w:highlight w:val="none"/>
              </w:rPr>
            </w:pPr>
            <w:r>
              <w:rPr>
                <w:rFonts w:hint="eastAsia" w:ascii="宋体" w:hAnsi="宋体"/>
                <w:color w:val="auto"/>
                <w:szCs w:val="21"/>
                <w:highlight w:val="none"/>
              </w:rPr>
              <w:t xml:space="preserve">                     投标人名称</w:t>
            </w:r>
          </w:p>
          <w:p w14:paraId="5867A532">
            <w:pPr>
              <w:jc w:val="left"/>
              <w:rPr>
                <w:rFonts w:ascii="宋体" w:hAnsi="宋体"/>
                <w:color w:val="auto"/>
                <w:szCs w:val="21"/>
                <w:highlight w:val="none"/>
              </w:rPr>
            </w:pPr>
            <w:r>
              <w:rPr>
                <w:rFonts w:hint="eastAsia" w:ascii="宋体" w:hAnsi="宋体" w:cs="宋体"/>
                <w:color w:val="auto"/>
                <w:szCs w:val="21"/>
                <w:highlight w:val="none"/>
              </w:rPr>
              <w:t>评审内容</w:t>
            </w:r>
          </w:p>
        </w:tc>
        <w:tc>
          <w:tcPr>
            <w:tcW w:w="1050" w:type="dxa"/>
            <w:noWrap w:val="0"/>
            <w:vAlign w:val="center"/>
          </w:tcPr>
          <w:p w14:paraId="1B7EB078">
            <w:pPr>
              <w:jc w:val="center"/>
              <w:rPr>
                <w:rFonts w:ascii="宋体" w:hAnsi="宋体" w:cs="宋体"/>
                <w:color w:val="auto"/>
                <w:szCs w:val="21"/>
                <w:highlight w:val="none"/>
              </w:rPr>
            </w:pPr>
          </w:p>
        </w:tc>
        <w:tc>
          <w:tcPr>
            <w:tcW w:w="1050" w:type="dxa"/>
            <w:noWrap w:val="0"/>
            <w:vAlign w:val="center"/>
          </w:tcPr>
          <w:p w14:paraId="5325C736">
            <w:pPr>
              <w:jc w:val="center"/>
              <w:rPr>
                <w:rFonts w:ascii="宋体" w:hAnsi="宋体" w:cs="宋体"/>
                <w:color w:val="auto"/>
                <w:szCs w:val="21"/>
                <w:highlight w:val="none"/>
              </w:rPr>
            </w:pPr>
          </w:p>
        </w:tc>
        <w:tc>
          <w:tcPr>
            <w:tcW w:w="1050" w:type="dxa"/>
            <w:noWrap w:val="0"/>
            <w:vAlign w:val="center"/>
          </w:tcPr>
          <w:p w14:paraId="19089F34">
            <w:pPr>
              <w:jc w:val="center"/>
              <w:rPr>
                <w:rFonts w:ascii="宋体" w:hAnsi="宋体" w:cs="宋体"/>
                <w:color w:val="auto"/>
                <w:szCs w:val="21"/>
                <w:highlight w:val="none"/>
              </w:rPr>
            </w:pPr>
          </w:p>
        </w:tc>
      </w:tr>
      <w:tr w14:paraId="42ECCBA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bottom w:val="single" w:color="auto" w:sz="4" w:space="0"/>
            </w:tcBorders>
            <w:noWrap w:val="0"/>
            <w:vAlign w:val="center"/>
          </w:tcPr>
          <w:p w14:paraId="5902FBDE">
            <w:pPr>
              <w:jc w:val="center"/>
              <w:rPr>
                <w:rFonts w:ascii="宋体" w:hAnsi="宋体"/>
                <w:color w:val="auto"/>
                <w:szCs w:val="21"/>
                <w:highlight w:val="none"/>
              </w:rPr>
            </w:pPr>
            <w:r>
              <w:rPr>
                <w:rFonts w:hint="eastAsia" w:ascii="宋体" w:hAnsi="宋体"/>
                <w:color w:val="auto"/>
                <w:szCs w:val="21"/>
                <w:highlight w:val="none"/>
              </w:rPr>
              <w:t>1</w:t>
            </w:r>
          </w:p>
        </w:tc>
        <w:tc>
          <w:tcPr>
            <w:tcW w:w="4981" w:type="dxa"/>
            <w:tcBorders>
              <w:bottom w:val="single" w:color="auto" w:sz="4" w:space="0"/>
            </w:tcBorders>
            <w:noWrap w:val="0"/>
            <w:vAlign w:val="center"/>
          </w:tcPr>
          <w:p w14:paraId="03B4010F">
            <w:pPr>
              <w:widowControl/>
              <w:adjustRightInd w:val="0"/>
              <w:snapToGrid w:val="0"/>
              <w:spacing w:line="320" w:lineRule="exact"/>
              <w:ind w:left="31" w:leftChars="15" w:right="31" w:rightChars="15"/>
              <w:rPr>
                <w:rFonts w:ascii="宋体" w:hAnsi="宋体"/>
                <w:color w:val="auto"/>
                <w:szCs w:val="21"/>
                <w:highlight w:val="none"/>
              </w:rPr>
            </w:pPr>
            <w:r>
              <w:rPr>
                <w:rFonts w:hint="eastAsia" w:ascii="宋体" w:hAnsi="宋体"/>
                <w:color w:val="auto"/>
                <w:szCs w:val="21"/>
                <w:highlight w:val="none"/>
              </w:rPr>
              <w:t>投标文件按招标文件的要求进行合法签署；</w:t>
            </w:r>
          </w:p>
        </w:tc>
        <w:tc>
          <w:tcPr>
            <w:tcW w:w="1050" w:type="dxa"/>
            <w:noWrap w:val="0"/>
            <w:vAlign w:val="center"/>
          </w:tcPr>
          <w:p w14:paraId="52C5A2E0">
            <w:pPr>
              <w:jc w:val="center"/>
              <w:rPr>
                <w:rFonts w:ascii="宋体" w:hAnsi="宋体" w:cs="宋体"/>
                <w:color w:val="auto"/>
                <w:szCs w:val="21"/>
                <w:highlight w:val="none"/>
              </w:rPr>
            </w:pPr>
          </w:p>
        </w:tc>
        <w:tc>
          <w:tcPr>
            <w:tcW w:w="1050" w:type="dxa"/>
            <w:noWrap w:val="0"/>
            <w:vAlign w:val="center"/>
          </w:tcPr>
          <w:p w14:paraId="2F119A06">
            <w:pPr>
              <w:jc w:val="center"/>
              <w:rPr>
                <w:rFonts w:ascii="宋体" w:hAnsi="宋体" w:cs="宋体"/>
                <w:color w:val="auto"/>
                <w:szCs w:val="21"/>
                <w:highlight w:val="none"/>
              </w:rPr>
            </w:pPr>
          </w:p>
        </w:tc>
        <w:tc>
          <w:tcPr>
            <w:tcW w:w="1050" w:type="dxa"/>
            <w:noWrap w:val="0"/>
            <w:vAlign w:val="center"/>
          </w:tcPr>
          <w:p w14:paraId="37CF51BF">
            <w:pPr>
              <w:jc w:val="center"/>
              <w:rPr>
                <w:rFonts w:ascii="宋体" w:hAnsi="宋体" w:cs="宋体"/>
                <w:color w:val="auto"/>
                <w:szCs w:val="21"/>
                <w:highlight w:val="none"/>
              </w:rPr>
            </w:pPr>
          </w:p>
        </w:tc>
      </w:tr>
      <w:tr w14:paraId="701F6F5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top w:val="single" w:color="auto" w:sz="4" w:space="0"/>
            </w:tcBorders>
            <w:noWrap w:val="0"/>
            <w:vAlign w:val="center"/>
          </w:tcPr>
          <w:p w14:paraId="5EBB626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981" w:type="dxa"/>
            <w:tcBorders>
              <w:top w:val="single" w:color="auto" w:sz="4" w:space="0"/>
            </w:tcBorders>
            <w:noWrap w:val="0"/>
            <w:vAlign w:val="center"/>
          </w:tcPr>
          <w:p w14:paraId="0C066127">
            <w:pPr>
              <w:tabs>
                <w:tab w:val="left" w:pos="720"/>
              </w:tabs>
              <w:snapToGrid w:val="0"/>
              <w:spacing w:before="60" w:beforeLines="25" w:after="60" w:afterLines="25" w:line="320" w:lineRule="exact"/>
              <w:rPr>
                <w:rFonts w:ascii="宋体" w:hAnsi="宋体" w:cs="宋体"/>
                <w:color w:val="auto"/>
                <w:szCs w:val="21"/>
                <w:highlight w:val="none"/>
              </w:rPr>
            </w:pPr>
            <w:r>
              <w:rPr>
                <w:rFonts w:hint="eastAsia" w:ascii="宋体" w:hAnsi="宋体"/>
                <w:color w:val="auto"/>
                <w:szCs w:val="21"/>
                <w:highlight w:val="none"/>
              </w:rPr>
              <w:t>投标文件所列投标人名称与投标登记时一致；</w:t>
            </w:r>
          </w:p>
        </w:tc>
        <w:tc>
          <w:tcPr>
            <w:tcW w:w="1050" w:type="dxa"/>
            <w:noWrap w:val="0"/>
            <w:vAlign w:val="center"/>
          </w:tcPr>
          <w:p w14:paraId="4FB6BE1B">
            <w:pPr>
              <w:jc w:val="center"/>
              <w:rPr>
                <w:rFonts w:ascii="宋体" w:hAnsi="宋体"/>
                <w:color w:val="auto"/>
                <w:szCs w:val="21"/>
                <w:highlight w:val="none"/>
              </w:rPr>
            </w:pPr>
          </w:p>
        </w:tc>
        <w:tc>
          <w:tcPr>
            <w:tcW w:w="1050" w:type="dxa"/>
            <w:noWrap w:val="0"/>
            <w:vAlign w:val="center"/>
          </w:tcPr>
          <w:p w14:paraId="7777F862">
            <w:pPr>
              <w:jc w:val="center"/>
              <w:rPr>
                <w:rFonts w:ascii="宋体" w:hAnsi="宋体"/>
                <w:color w:val="auto"/>
                <w:szCs w:val="21"/>
                <w:highlight w:val="none"/>
              </w:rPr>
            </w:pPr>
          </w:p>
        </w:tc>
        <w:tc>
          <w:tcPr>
            <w:tcW w:w="1050" w:type="dxa"/>
            <w:noWrap w:val="0"/>
            <w:vAlign w:val="center"/>
          </w:tcPr>
          <w:p w14:paraId="7F916F33">
            <w:pPr>
              <w:jc w:val="center"/>
              <w:rPr>
                <w:rFonts w:ascii="宋体" w:hAnsi="宋体"/>
                <w:color w:val="auto"/>
                <w:szCs w:val="21"/>
                <w:highlight w:val="none"/>
              </w:rPr>
            </w:pPr>
          </w:p>
        </w:tc>
      </w:tr>
      <w:tr w14:paraId="19A8F06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bottom w:val="single" w:color="auto" w:sz="4" w:space="0"/>
            </w:tcBorders>
            <w:noWrap w:val="0"/>
            <w:vAlign w:val="center"/>
          </w:tcPr>
          <w:p w14:paraId="4DD08FDB">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981" w:type="dxa"/>
            <w:tcBorders>
              <w:bottom w:val="single" w:color="auto" w:sz="4" w:space="0"/>
            </w:tcBorders>
            <w:noWrap w:val="0"/>
            <w:vAlign w:val="center"/>
          </w:tcPr>
          <w:p w14:paraId="10539F73">
            <w:pPr>
              <w:tabs>
                <w:tab w:val="left" w:pos="720"/>
              </w:tabs>
              <w:snapToGrid w:val="0"/>
              <w:spacing w:before="60" w:beforeLines="25" w:after="60" w:afterLines="25" w:line="320" w:lineRule="exact"/>
              <w:rPr>
                <w:rFonts w:ascii="宋体" w:hAnsi="宋体" w:cs="宋体"/>
                <w:color w:val="auto"/>
                <w:szCs w:val="21"/>
                <w:highlight w:val="none"/>
              </w:rPr>
            </w:pPr>
            <w:r>
              <w:rPr>
                <w:rFonts w:hint="eastAsia" w:ascii="宋体" w:hAnsi="宋体" w:cs="宋体"/>
                <w:color w:val="auto"/>
                <w:kern w:val="0"/>
                <w:highlight w:val="none"/>
              </w:rPr>
              <w:t>投标报价符合招标文件第14.5项的要求。</w:t>
            </w:r>
          </w:p>
        </w:tc>
        <w:tc>
          <w:tcPr>
            <w:tcW w:w="1050" w:type="dxa"/>
            <w:noWrap w:val="0"/>
            <w:vAlign w:val="center"/>
          </w:tcPr>
          <w:p w14:paraId="2F1685F8">
            <w:pPr>
              <w:jc w:val="center"/>
              <w:rPr>
                <w:rFonts w:ascii="宋体" w:hAnsi="宋体" w:cs="宋体"/>
                <w:color w:val="auto"/>
                <w:szCs w:val="21"/>
                <w:highlight w:val="none"/>
              </w:rPr>
            </w:pPr>
          </w:p>
        </w:tc>
        <w:tc>
          <w:tcPr>
            <w:tcW w:w="1050" w:type="dxa"/>
            <w:noWrap w:val="0"/>
            <w:vAlign w:val="center"/>
          </w:tcPr>
          <w:p w14:paraId="6AC20149">
            <w:pPr>
              <w:jc w:val="center"/>
              <w:rPr>
                <w:rFonts w:ascii="宋体" w:hAnsi="宋体" w:cs="宋体"/>
                <w:color w:val="auto"/>
                <w:szCs w:val="21"/>
                <w:highlight w:val="none"/>
              </w:rPr>
            </w:pPr>
          </w:p>
        </w:tc>
        <w:tc>
          <w:tcPr>
            <w:tcW w:w="1050" w:type="dxa"/>
            <w:noWrap w:val="0"/>
            <w:vAlign w:val="center"/>
          </w:tcPr>
          <w:p w14:paraId="7E91CD36">
            <w:pPr>
              <w:jc w:val="center"/>
              <w:rPr>
                <w:rFonts w:ascii="宋体" w:hAnsi="宋体" w:cs="宋体"/>
                <w:color w:val="auto"/>
                <w:szCs w:val="21"/>
                <w:highlight w:val="none"/>
              </w:rPr>
            </w:pPr>
          </w:p>
        </w:tc>
      </w:tr>
      <w:tr w14:paraId="4E9F796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bottom w:val="single" w:color="auto" w:sz="4" w:space="0"/>
            </w:tcBorders>
            <w:noWrap w:val="0"/>
            <w:vAlign w:val="center"/>
          </w:tcPr>
          <w:p w14:paraId="7F07497F">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4981" w:type="dxa"/>
            <w:tcBorders>
              <w:bottom w:val="single" w:color="auto" w:sz="4" w:space="0"/>
            </w:tcBorders>
            <w:noWrap w:val="0"/>
            <w:vAlign w:val="center"/>
          </w:tcPr>
          <w:p w14:paraId="08551541">
            <w:pPr>
              <w:tabs>
                <w:tab w:val="left" w:pos="720"/>
              </w:tabs>
              <w:snapToGrid w:val="0"/>
              <w:spacing w:before="60" w:beforeLines="25" w:after="60" w:afterLines="25" w:line="320" w:lineRule="exact"/>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highlight w:val="none"/>
              </w:rPr>
              <w:t>投标人与本项目其他投标人加密打包投标文件电脑机器特征码不一致的(以</w:t>
            </w:r>
            <w:r>
              <w:rPr>
                <w:rFonts w:hint="eastAsia" w:ascii="宋体" w:hAnsi="宋体" w:eastAsia="宋体" w:cs="宋体"/>
                <w:color w:val="auto"/>
                <w:kern w:val="0"/>
                <w:highlight w:val="none"/>
                <w:lang w:eastAsia="zh-CN"/>
              </w:rPr>
              <w:t>广州交易集团有限公司（广州公共资源交易中心）</w:t>
            </w:r>
            <w:r>
              <w:rPr>
                <w:rFonts w:hint="eastAsia" w:ascii="宋体" w:hAnsi="宋体" w:eastAsia="宋体" w:cs="宋体"/>
                <w:color w:val="auto"/>
                <w:kern w:val="0"/>
                <w:highlight w:val="none"/>
              </w:rPr>
              <w:t>交易平台</w:t>
            </w:r>
            <w:r>
              <w:rPr>
                <w:rFonts w:hint="eastAsia" w:ascii="宋体" w:hAnsi="宋体" w:eastAsia="宋体" w:cs="宋体"/>
                <w:color w:val="auto"/>
                <w:kern w:val="0"/>
                <w:highlight w:val="none"/>
                <w:lang w:eastAsia="zh-CN"/>
              </w:rPr>
              <w:t>开标</w:t>
            </w:r>
            <w:r>
              <w:rPr>
                <w:rFonts w:hint="eastAsia" w:ascii="宋体" w:hAnsi="宋体" w:eastAsia="宋体" w:cs="宋体"/>
                <w:color w:val="auto"/>
                <w:kern w:val="0"/>
                <w:highlight w:val="none"/>
              </w:rPr>
              <w:t>系统的检索信息为准)</w:t>
            </w:r>
          </w:p>
        </w:tc>
        <w:tc>
          <w:tcPr>
            <w:tcW w:w="1050" w:type="dxa"/>
            <w:noWrap w:val="0"/>
            <w:vAlign w:val="center"/>
          </w:tcPr>
          <w:p w14:paraId="1ED2D33E">
            <w:pPr>
              <w:jc w:val="center"/>
              <w:rPr>
                <w:rFonts w:ascii="宋体" w:hAnsi="宋体" w:cs="宋体"/>
                <w:color w:val="auto"/>
                <w:szCs w:val="21"/>
                <w:highlight w:val="none"/>
              </w:rPr>
            </w:pPr>
          </w:p>
        </w:tc>
        <w:tc>
          <w:tcPr>
            <w:tcW w:w="1050" w:type="dxa"/>
            <w:noWrap w:val="0"/>
            <w:vAlign w:val="center"/>
          </w:tcPr>
          <w:p w14:paraId="0A55A427">
            <w:pPr>
              <w:jc w:val="center"/>
              <w:rPr>
                <w:rFonts w:ascii="宋体" w:hAnsi="宋体" w:cs="宋体"/>
                <w:color w:val="auto"/>
                <w:szCs w:val="21"/>
                <w:highlight w:val="none"/>
              </w:rPr>
            </w:pPr>
          </w:p>
        </w:tc>
        <w:tc>
          <w:tcPr>
            <w:tcW w:w="1050" w:type="dxa"/>
            <w:noWrap w:val="0"/>
            <w:vAlign w:val="center"/>
          </w:tcPr>
          <w:p w14:paraId="2B3DB236">
            <w:pPr>
              <w:jc w:val="center"/>
              <w:rPr>
                <w:rFonts w:ascii="宋体" w:hAnsi="宋体" w:cs="宋体"/>
                <w:color w:val="auto"/>
                <w:szCs w:val="21"/>
                <w:highlight w:val="none"/>
              </w:rPr>
            </w:pPr>
          </w:p>
        </w:tc>
      </w:tr>
      <w:tr w14:paraId="07151EA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top w:val="single" w:color="auto" w:sz="4" w:space="0"/>
              <w:bottom w:val="single" w:color="auto" w:sz="4" w:space="0"/>
            </w:tcBorders>
            <w:noWrap w:val="0"/>
            <w:vAlign w:val="center"/>
          </w:tcPr>
          <w:p w14:paraId="73375CF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4981" w:type="dxa"/>
            <w:noWrap w:val="0"/>
            <w:vAlign w:val="center"/>
          </w:tcPr>
          <w:p w14:paraId="2DB58B36">
            <w:pPr>
              <w:tabs>
                <w:tab w:val="left" w:pos="720"/>
              </w:tabs>
              <w:snapToGrid w:val="0"/>
              <w:spacing w:before="60" w:beforeLines="25" w:after="60" w:afterLines="25" w:line="320" w:lineRule="exact"/>
              <w:rPr>
                <w:rFonts w:ascii="宋体" w:hAnsi="宋体" w:cs="宋体"/>
                <w:color w:val="auto"/>
                <w:szCs w:val="21"/>
                <w:highlight w:val="none"/>
              </w:rPr>
            </w:pPr>
            <w:r>
              <w:rPr>
                <w:rFonts w:hint="eastAsia"/>
                <w:color w:val="auto"/>
                <w:szCs w:val="21"/>
                <w:highlight w:val="none"/>
              </w:rPr>
              <w:t>不存在串通投标情形（串通投标情形以《中华人民共和国招标投标法实施条例》的规定为准）。</w:t>
            </w:r>
          </w:p>
        </w:tc>
        <w:tc>
          <w:tcPr>
            <w:tcW w:w="1050" w:type="dxa"/>
            <w:noWrap w:val="0"/>
            <w:vAlign w:val="center"/>
          </w:tcPr>
          <w:p w14:paraId="1E7A6295">
            <w:pPr>
              <w:jc w:val="center"/>
              <w:rPr>
                <w:rFonts w:ascii="宋体" w:hAnsi="宋体" w:cs="宋体"/>
                <w:color w:val="auto"/>
                <w:szCs w:val="21"/>
                <w:highlight w:val="none"/>
              </w:rPr>
            </w:pPr>
          </w:p>
        </w:tc>
        <w:tc>
          <w:tcPr>
            <w:tcW w:w="1050" w:type="dxa"/>
            <w:noWrap w:val="0"/>
            <w:vAlign w:val="center"/>
          </w:tcPr>
          <w:p w14:paraId="41AC28D1">
            <w:pPr>
              <w:jc w:val="center"/>
              <w:rPr>
                <w:rFonts w:ascii="宋体" w:hAnsi="宋体" w:cs="宋体"/>
                <w:color w:val="auto"/>
                <w:szCs w:val="21"/>
                <w:highlight w:val="none"/>
              </w:rPr>
            </w:pPr>
          </w:p>
        </w:tc>
        <w:tc>
          <w:tcPr>
            <w:tcW w:w="1050" w:type="dxa"/>
            <w:noWrap w:val="0"/>
            <w:vAlign w:val="center"/>
          </w:tcPr>
          <w:p w14:paraId="34171009">
            <w:pPr>
              <w:jc w:val="center"/>
              <w:rPr>
                <w:rFonts w:ascii="宋体" w:hAnsi="宋体" w:cs="宋体"/>
                <w:color w:val="auto"/>
                <w:szCs w:val="21"/>
                <w:highlight w:val="none"/>
              </w:rPr>
            </w:pPr>
          </w:p>
        </w:tc>
      </w:tr>
      <w:tr w14:paraId="796A8B7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top w:val="single" w:color="auto" w:sz="4" w:space="0"/>
              <w:bottom w:val="single" w:color="auto" w:sz="4" w:space="0"/>
            </w:tcBorders>
            <w:noWrap w:val="0"/>
            <w:vAlign w:val="center"/>
          </w:tcPr>
          <w:p w14:paraId="53AB4824">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4981" w:type="dxa"/>
            <w:noWrap w:val="0"/>
            <w:vAlign w:val="center"/>
          </w:tcPr>
          <w:p w14:paraId="655C61EB">
            <w:pPr>
              <w:tabs>
                <w:tab w:val="left" w:pos="720"/>
              </w:tabs>
              <w:snapToGrid w:val="0"/>
              <w:spacing w:before="60" w:beforeLines="25" w:after="60" w:afterLines="25" w:line="320" w:lineRule="exact"/>
              <w:rPr>
                <w:rFonts w:hint="eastAsia"/>
                <w:color w:val="auto"/>
                <w:szCs w:val="21"/>
                <w:highlight w:val="none"/>
              </w:rPr>
            </w:pPr>
            <w:r>
              <w:rPr>
                <w:rFonts w:hint="eastAsia"/>
                <w:color w:val="auto"/>
                <w:szCs w:val="21"/>
                <w:highlight w:val="none"/>
              </w:rPr>
              <w:t>本招标文件明确规定可以废标的其他情形。</w:t>
            </w:r>
          </w:p>
        </w:tc>
        <w:tc>
          <w:tcPr>
            <w:tcW w:w="1050" w:type="dxa"/>
            <w:noWrap w:val="0"/>
            <w:vAlign w:val="center"/>
          </w:tcPr>
          <w:p w14:paraId="3C040F0A">
            <w:pPr>
              <w:jc w:val="center"/>
              <w:rPr>
                <w:rFonts w:ascii="宋体" w:hAnsi="宋体" w:cs="宋体"/>
                <w:color w:val="auto"/>
                <w:szCs w:val="21"/>
                <w:highlight w:val="none"/>
              </w:rPr>
            </w:pPr>
          </w:p>
        </w:tc>
        <w:tc>
          <w:tcPr>
            <w:tcW w:w="1050" w:type="dxa"/>
            <w:noWrap w:val="0"/>
            <w:vAlign w:val="center"/>
          </w:tcPr>
          <w:p w14:paraId="21804680">
            <w:pPr>
              <w:jc w:val="center"/>
              <w:rPr>
                <w:rFonts w:ascii="宋体" w:hAnsi="宋体" w:cs="宋体"/>
                <w:color w:val="auto"/>
                <w:szCs w:val="21"/>
                <w:highlight w:val="none"/>
              </w:rPr>
            </w:pPr>
          </w:p>
        </w:tc>
        <w:tc>
          <w:tcPr>
            <w:tcW w:w="1050" w:type="dxa"/>
            <w:noWrap w:val="0"/>
            <w:vAlign w:val="center"/>
          </w:tcPr>
          <w:p w14:paraId="4EB42071">
            <w:pPr>
              <w:jc w:val="center"/>
              <w:rPr>
                <w:rFonts w:ascii="宋体" w:hAnsi="宋体" w:cs="宋体"/>
                <w:color w:val="auto"/>
                <w:szCs w:val="21"/>
                <w:highlight w:val="none"/>
              </w:rPr>
            </w:pPr>
          </w:p>
        </w:tc>
      </w:tr>
      <w:tr w14:paraId="191DB78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319" w:type="dxa"/>
            <w:tcBorders>
              <w:top w:val="single" w:color="auto" w:sz="4" w:space="0"/>
              <w:bottom w:val="single" w:color="auto" w:sz="4" w:space="0"/>
            </w:tcBorders>
            <w:noWrap w:val="0"/>
            <w:vAlign w:val="center"/>
          </w:tcPr>
          <w:p w14:paraId="70641C20">
            <w:pPr>
              <w:jc w:val="center"/>
              <w:rPr>
                <w:rFonts w:ascii="宋体" w:hAnsi="宋体" w:cs="宋体"/>
                <w:color w:val="auto"/>
                <w:szCs w:val="21"/>
                <w:highlight w:val="none"/>
              </w:rPr>
            </w:pPr>
            <w:r>
              <w:rPr>
                <w:rFonts w:hint="eastAsia" w:ascii="宋体" w:hAnsi="宋体" w:cs="宋体"/>
                <w:color w:val="auto"/>
                <w:szCs w:val="21"/>
                <w:highlight w:val="none"/>
              </w:rPr>
              <w:t>结论</w:t>
            </w:r>
          </w:p>
        </w:tc>
        <w:tc>
          <w:tcPr>
            <w:tcW w:w="4981" w:type="dxa"/>
            <w:noWrap w:val="0"/>
            <w:vAlign w:val="center"/>
          </w:tcPr>
          <w:p w14:paraId="553ACC3F">
            <w:pPr>
              <w:tabs>
                <w:tab w:val="left" w:pos="720"/>
              </w:tabs>
              <w:snapToGrid w:val="0"/>
              <w:spacing w:before="60" w:beforeLines="25" w:after="60" w:afterLines="25" w:line="320" w:lineRule="exact"/>
              <w:rPr>
                <w:rFonts w:ascii="宋体" w:hAnsi="宋体" w:cs="宋体"/>
                <w:color w:val="auto"/>
                <w:kern w:val="0"/>
                <w:highlight w:val="none"/>
              </w:rPr>
            </w:pPr>
            <w:r>
              <w:rPr>
                <w:rFonts w:hint="eastAsia" w:ascii="宋体" w:hAnsi="宋体" w:cs="宋体"/>
                <w:color w:val="auto"/>
                <w:kern w:val="0"/>
                <w:highlight w:val="none"/>
              </w:rPr>
              <w:t>通过/不通过</w:t>
            </w:r>
          </w:p>
        </w:tc>
        <w:tc>
          <w:tcPr>
            <w:tcW w:w="1050" w:type="dxa"/>
            <w:noWrap w:val="0"/>
            <w:vAlign w:val="center"/>
          </w:tcPr>
          <w:p w14:paraId="4438FB1E">
            <w:pPr>
              <w:jc w:val="center"/>
              <w:rPr>
                <w:rFonts w:ascii="宋体" w:hAnsi="宋体" w:cs="宋体"/>
                <w:color w:val="auto"/>
                <w:szCs w:val="21"/>
                <w:highlight w:val="none"/>
              </w:rPr>
            </w:pPr>
          </w:p>
        </w:tc>
        <w:tc>
          <w:tcPr>
            <w:tcW w:w="1050" w:type="dxa"/>
            <w:noWrap w:val="0"/>
            <w:vAlign w:val="center"/>
          </w:tcPr>
          <w:p w14:paraId="7610DA9E">
            <w:pPr>
              <w:jc w:val="center"/>
              <w:rPr>
                <w:rFonts w:ascii="宋体" w:hAnsi="宋体" w:cs="宋体"/>
                <w:color w:val="auto"/>
                <w:szCs w:val="21"/>
                <w:highlight w:val="none"/>
              </w:rPr>
            </w:pPr>
          </w:p>
        </w:tc>
        <w:tc>
          <w:tcPr>
            <w:tcW w:w="1050" w:type="dxa"/>
            <w:noWrap w:val="0"/>
            <w:vAlign w:val="center"/>
          </w:tcPr>
          <w:p w14:paraId="15327985">
            <w:pPr>
              <w:jc w:val="center"/>
              <w:rPr>
                <w:rFonts w:ascii="宋体" w:hAnsi="宋体" w:cs="宋体"/>
                <w:color w:val="auto"/>
                <w:szCs w:val="21"/>
                <w:highlight w:val="none"/>
              </w:rPr>
            </w:pPr>
          </w:p>
        </w:tc>
      </w:tr>
    </w:tbl>
    <w:p w14:paraId="51413422">
      <w:pPr>
        <w:tabs>
          <w:tab w:val="left" w:pos="720"/>
        </w:tabs>
        <w:snapToGrid w:val="0"/>
        <w:rPr>
          <w:rFonts w:hint="eastAsia" w:ascii="宋体" w:hAnsi="宋体" w:eastAsia="宋体"/>
          <w:b/>
          <w:bCs/>
          <w:color w:val="auto"/>
          <w:szCs w:val="21"/>
          <w:highlight w:val="none"/>
          <w:lang w:eastAsia="zh-CN"/>
        </w:rPr>
      </w:pPr>
      <w:r>
        <w:rPr>
          <w:rFonts w:hint="eastAsia" w:ascii="宋体" w:hAnsi="宋体"/>
          <w:color w:val="auto"/>
          <w:szCs w:val="21"/>
          <w:highlight w:val="none"/>
        </w:rPr>
        <w:t>备注：</w:t>
      </w:r>
    </w:p>
    <w:p w14:paraId="6778F38D">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1、“结论”一栏应写“通过”“不通过”。</w:t>
      </w:r>
    </w:p>
    <w:p w14:paraId="23B5F2AF">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2、每一项目符合的打“○”，不符合的打“×”。出现一个“×”的结论为“不通过”。</w:t>
      </w:r>
    </w:p>
    <w:p w14:paraId="4D63ECC6">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3、表中全部条件满足为“通过”，同意进入下一阶段评审。</w:t>
      </w:r>
    </w:p>
    <w:p w14:paraId="7A7F5842">
      <w:pPr>
        <w:tabs>
          <w:tab w:val="left" w:pos="720"/>
        </w:tabs>
        <w:snapToGrid w:val="0"/>
        <w:ind w:firstLine="420" w:firstLineChars="200"/>
        <w:rPr>
          <w:rFonts w:ascii="宋体" w:hAnsi="宋体"/>
          <w:color w:val="auto"/>
          <w:szCs w:val="21"/>
          <w:highlight w:val="none"/>
        </w:rPr>
      </w:pPr>
      <w:r>
        <w:rPr>
          <w:rFonts w:hint="eastAsia" w:ascii="宋体" w:hAnsi="宋体"/>
          <w:color w:val="auto"/>
          <w:szCs w:val="21"/>
          <w:highlight w:val="none"/>
        </w:rPr>
        <w:t>4、若评委意见不一致时，则按少数服从多数的原则，决定该投标人是否通过有效性审查，进入下一阶段评审。</w:t>
      </w:r>
    </w:p>
    <w:p w14:paraId="3C4C77B3">
      <w:pPr>
        <w:adjustRightInd w:val="0"/>
        <w:snapToGrid w:val="0"/>
        <w:spacing w:line="240" w:lineRule="atLeast"/>
        <w:rPr>
          <w:rFonts w:ascii="宋体" w:hAnsi="宋体"/>
          <w:bCs/>
          <w:color w:val="auto"/>
          <w:highlight w:val="none"/>
        </w:rPr>
      </w:pPr>
    </w:p>
    <w:p w14:paraId="315E54D7">
      <w:pPr>
        <w:adjustRightInd w:val="0"/>
        <w:snapToGrid w:val="0"/>
        <w:spacing w:line="240" w:lineRule="atLeast"/>
        <w:ind w:firstLine="630" w:firstLineChars="300"/>
        <w:rPr>
          <w:rFonts w:ascii="宋体" w:hAnsi="宋体"/>
          <w:bCs/>
          <w:color w:val="auto"/>
          <w:highlight w:val="none"/>
        </w:rPr>
      </w:pPr>
    </w:p>
    <w:p w14:paraId="7D7B40FD">
      <w:pPr>
        <w:adjustRightInd w:val="0"/>
        <w:snapToGrid w:val="0"/>
        <w:ind w:firstLine="411" w:firstLineChars="196"/>
        <w:rPr>
          <w:rFonts w:hint="eastAsia" w:ascii="宋体" w:hAnsi="宋体"/>
          <w:bCs/>
          <w:color w:val="auto"/>
          <w:highlight w:val="none"/>
        </w:rPr>
      </w:pPr>
      <w:r>
        <w:rPr>
          <w:rFonts w:hint="eastAsia" w:ascii="宋体" w:hAnsi="宋体"/>
          <w:bCs/>
          <w:color w:val="auto"/>
          <w:highlight w:val="none"/>
        </w:rPr>
        <w:t>专家签名：                                       日期：</w:t>
      </w:r>
    </w:p>
    <w:p w14:paraId="1DAD32E9">
      <w:pPr>
        <w:adjustRightInd w:val="0"/>
        <w:snapToGrid w:val="0"/>
        <w:ind w:firstLine="411" w:firstLineChars="196"/>
        <w:rPr>
          <w:rFonts w:hint="eastAsia" w:ascii="宋体" w:hAnsi="宋体"/>
          <w:bCs/>
          <w:color w:val="auto"/>
          <w:highlight w:val="none"/>
        </w:rPr>
      </w:pPr>
    </w:p>
    <w:p w14:paraId="6C19E2B8">
      <w:pPr>
        <w:pStyle w:val="5"/>
        <w:jc w:val="left"/>
        <w:rPr>
          <w:rFonts w:hint="eastAsia" w:ascii="宋体" w:hAnsi="宋体"/>
          <w:color w:val="auto"/>
          <w:sz w:val="24"/>
          <w:highlight w:val="none"/>
        </w:rPr>
      </w:pPr>
      <w:r>
        <w:rPr>
          <w:rFonts w:hint="eastAsia"/>
          <w:b w:val="0"/>
          <w:color w:val="auto"/>
          <w:sz w:val="24"/>
          <w:highlight w:val="none"/>
        </w:rPr>
        <w:br w:type="page"/>
      </w:r>
      <w:r>
        <w:rPr>
          <w:rFonts w:hint="eastAsia"/>
          <w:b w:val="0"/>
          <w:color w:val="auto"/>
          <w:sz w:val="24"/>
          <w:highlight w:val="none"/>
        </w:rPr>
        <w:t>附表三</w:t>
      </w:r>
    </w:p>
    <w:p w14:paraId="7591CAD3">
      <w:pPr>
        <w:jc w:val="center"/>
        <w:rPr>
          <w:rFonts w:hint="eastAsia"/>
          <w:b/>
          <w:color w:val="auto"/>
          <w:sz w:val="32"/>
          <w:szCs w:val="32"/>
          <w:highlight w:val="none"/>
        </w:rPr>
      </w:pPr>
      <w:r>
        <w:rPr>
          <w:rFonts w:hint="eastAsia"/>
          <w:b/>
          <w:color w:val="auto"/>
          <w:sz w:val="32"/>
          <w:szCs w:val="32"/>
          <w:highlight w:val="none"/>
        </w:rPr>
        <w:t>综合评分表</w:t>
      </w:r>
    </w:p>
    <w:tbl>
      <w:tblPr>
        <w:tblStyle w:val="31"/>
        <w:tblpPr w:leftFromText="180" w:rightFromText="180" w:vertAnchor="text" w:horzAnchor="page" w:tblpX="1502" w:tblpY="395"/>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985"/>
        <w:gridCol w:w="1701"/>
        <w:gridCol w:w="6379"/>
      </w:tblGrid>
      <w:tr w14:paraId="2A5E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blHeader/>
        </w:trPr>
        <w:tc>
          <w:tcPr>
            <w:tcW w:w="428" w:type="dxa"/>
            <w:noWrap w:val="0"/>
            <w:vAlign w:val="center"/>
          </w:tcPr>
          <w:p w14:paraId="773E6A71">
            <w:pPr>
              <w:tabs>
                <w:tab w:val="left" w:pos="720"/>
              </w:tabs>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686" w:type="dxa"/>
            <w:gridSpan w:val="2"/>
            <w:noWrap w:val="0"/>
            <w:vAlign w:val="center"/>
          </w:tcPr>
          <w:p w14:paraId="7487EED3">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评审项目及权重</w:t>
            </w:r>
          </w:p>
        </w:tc>
        <w:tc>
          <w:tcPr>
            <w:tcW w:w="6379" w:type="dxa"/>
            <w:noWrap w:val="0"/>
            <w:vAlign w:val="center"/>
          </w:tcPr>
          <w:p w14:paraId="781EA94B">
            <w:pPr>
              <w:tabs>
                <w:tab w:val="left" w:pos="720"/>
              </w:tabs>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评分细则</w:t>
            </w:r>
          </w:p>
        </w:tc>
      </w:tr>
      <w:tr w14:paraId="3E29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28" w:type="dxa"/>
            <w:vMerge w:val="restart"/>
            <w:noWrap w:val="0"/>
            <w:vAlign w:val="center"/>
          </w:tcPr>
          <w:p w14:paraId="7ACB1369">
            <w:pPr>
              <w:tabs>
                <w:tab w:val="left" w:pos="720"/>
              </w:tabs>
              <w:snapToGrid w:val="0"/>
              <w:spacing w:line="360" w:lineRule="auto"/>
              <w:jc w:val="center"/>
              <w:rPr>
                <w:rFonts w:ascii="宋体" w:hAnsi="宋体" w:eastAsia="宋体" w:cs="宋体"/>
                <w:b/>
                <w:color w:val="auto"/>
                <w:szCs w:val="21"/>
                <w:highlight w:val="none"/>
              </w:rPr>
            </w:pPr>
            <w:r>
              <w:rPr>
                <w:rFonts w:hint="eastAsia" w:ascii="宋体" w:hAnsi="宋体" w:eastAsia="宋体" w:cs="宋体"/>
                <w:color w:val="auto"/>
                <w:szCs w:val="21"/>
                <w:highlight w:val="none"/>
              </w:rPr>
              <w:t>一</w:t>
            </w:r>
          </w:p>
        </w:tc>
        <w:tc>
          <w:tcPr>
            <w:tcW w:w="985" w:type="dxa"/>
            <w:vMerge w:val="restart"/>
            <w:noWrap w:val="0"/>
            <w:vAlign w:val="center"/>
          </w:tcPr>
          <w:p w14:paraId="0DCDB988">
            <w:pPr>
              <w:tabs>
                <w:tab w:val="left" w:pos="720"/>
              </w:tabs>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资信业绩部分</w:t>
            </w:r>
          </w:p>
          <w:p w14:paraId="1B0E742F">
            <w:pPr>
              <w:tabs>
                <w:tab w:val="left" w:pos="720"/>
              </w:tabs>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36</w:t>
            </w:r>
            <w:r>
              <w:rPr>
                <w:rFonts w:hint="eastAsia" w:ascii="宋体" w:hAnsi="宋体" w:eastAsia="宋体" w:cs="宋体"/>
                <w:b/>
                <w:bCs/>
                <w:color w:val="auto"/>
                <w:kern w:val="0"/>
                <w:szCs w:val="21"/>
                <w:highlight w:val="none"/>
              </w:rPr>
              <w:t>分)</w:t>
            </w:r>
          </w:p>
        </w:tc>
        <w:tc>
          <w:tcPr>
            <w:tcW w:w="1701" w:type="dxa"/>
            <w:noWrap w:val="0"/>
            <w:vAlign w:val="center"/>
          </w:tcPr>
          <w:p w14:paraId="5664686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信誉情况（</w:t>
            </w:r>
            <w:r>
              <w:rPr>
                <w:rFonts w:hint="eastAsia" w:ascii="宋体" w:hAnsi="宋体" w:eastAsia="宋体" w:cs="宋体"/>
                <w:color w:val="auto"/>
                <w:kern w:val="0"/>
                <w:szCs w:val="21"/>
                <w:highlight w:val="none"/>
                <w:lang w:val="en-US" w:eastAsia="zh-CN"/>
              </w:rPr>
              <w:t>6分</w:t>
            </w:r>
            <w:r>
              <w:rPr>
                <w:rFonts w:hint="eastAsia" w:ascii="宋体" w:hAnsi="宋体" w:eastAsia="宋体" w:cs="宋体"/>
                <w:color w:val="auto"/>
                <w:kern w:val="0"/>
                <w:szCs w:val="21"/>
                <w:highlight w:val="none"/>
              </w:rPr>
              <w:t>）</w:t>
            </w:r>
          </w:p>
        </w:tc>
        <w:tc>
          <w:tcPr>
            <w:tcW w:w="6379" w:type="dxa"/>
            <w:noWrap w:val="0"/>
            <w:vAlign w:val="center"/>
          </w:tcPr>
          <w:p w14:paraId="61E419B3">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1.投标人企业资信等级为AAA级及以上得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分，AAA级以下得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p w14:paraId="5A10A7B4">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2.投标人为A级纳税人得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分，B级得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p w14:paraId="528F49F2">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3.投标人具有诚信经营</w:t>
            </w:r>
            <w:r>
              <w:rPr>
                <w:rFonts w:hint="eastAsia" w:ascii="宋体" w:hAnsi="宋体" w:eastAsia="宋体" w:cs="宋体"/>
                <w:color w:val="auto"/>
                <w:kern w:val="0"/>
                <w:szCs w:val="21"/>
                <w:highlight w:val="none"/>
                <w:lang w:val="en-US" w:eastAsia="zh-CN"/>
              </w:rPr>
              <w:t>示范单位</w:t>
            </w:r>
            <w:r>
              <w:rPr>
                <w:rFonts w:hint="eastAsia" w:ascii="宋体" w:hAnsi="宋体" w:eastAsia="宋体" w:cs="宋体"/>
                <w:color w:val="auto"/>
                <w:kern w:val="0"/>
                <w:szCs w:val="21"/>
                <w:highlight w:val="none"/>
              </w:rPr>
              <w:t>AAA级及以上证书得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分，AAA级以下证书得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p w14:paraId="7158A2A7">
            <w:pPr>
              <w:widowControl/>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注：</w:t>
            </w:r>
            <w:r>
              <w:rPr>
                <w:rFonts w:hint="eastAsia" w:ascii="宋体" w:hAnsi="宋体" w:eastAsia="宋体" w:cs="宋体"/>
                <w:color w:val="auto"/>
                <w:kern w:val="0"/>
                <w:szCs w:val="21"/>
                <w:highlight w:val="none"/>
              </w:rPr>
              <w:t>以上提供证书复印件并加盖单位公章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若为联合体，指联合体主办方</w:t>
            </w:r>
            <w:r>
              <w:rPr>
                <w:rFonts w:hint="eastAsia" w:ascii="宋体" w:hAnsi="宋体" w:eastAsia="宋体" w:cs="宋体"/>
                <w:color w:val="auto"/>
                <w:kern w:val="0"/>
                <w:szCs w:val="21"/>
                <w:highlight w:val="none"/>
                <w:lang w:eastAsia="zh-CN"/>
              </w:rPr>
              <w:t>），否则不得分。</w:t>
            </w:r>
          </w:p>
        </w:tc>
      </w:tr>
      <w:tr w14:paraId="1A42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28" w:type="dxa"/>
            <w:vMerge w:val="continue"/>
            <w:noWrap w:val="0"/>
            <w:vAlign w:val="center"/>
          </w:tcPr>
          <w:p w14:paraId="526FB142">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36996A29">
            <w:pPr>
              <w:tabs>
                <w:tab w:val="left" w:pos="720"/>
              </w:tabs>
              <w:snapToGrid w:val="0"/>
              <w:spacing w:line="360" w:lineRule="auto"/>
              <w:jc w:val="center"/>
              <w:rPr>
                <w:rFonts w:ascii="宋体" w:hAnsi="宋体" w:eastAsia="宋体" w:cs="宋体"/>
                <w:b/>
                <w:bCs/>
                <w:color w:val="auto"/>
                <w:kern w:val="0"/>
                <w:szCs w:val="21"/>
                <w:highlight w:val="none"/>
              </w:rPr>
            </w:pPr>
          </w:p>
        </w:tc>
        <w:tc>
          <w:tcPr>
            <w:tcW w:w="1701" w:type="dxa"/>
            <w:noWrap w:val="0"/>
            <w:vAlign w:val="center"/>
          </w:tcPr>
          <w:p w14:paraId="49B8E832">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业绩情况（</w:t>
            </w:r>
            <w:r>
              <w:rPr>
                <w:rFonts w:hint="eastAsia" w:ascii="宋体" w:hAnsi="宋体" w:eastAsia="宋体" w:cs="宋体"/>
                <w:color w:val="auto"/>
                <w:kern w:val="0"/>
                <w:szCs w:val="21"/>
                <w:highlight w:val="none"/>
                <w:lang w:val="en-US" w:eastAsia="zh-CN"/>
              </w:rPr>
              <w:t>20分</w:t>
            </w:r>
            <w:r>
              <w:rPr>
                <w:rFonts w:hint="eastAsia" w:ascii="宋体" w:hAnsi="宋体" w:eastAsia="宋体" w:cs="宋体"/>
                <w:color w:val="auto"/>
                <w:kern w:val="0"/>
                <w:szCs w:val="21"/>
                <w:highlight w:val="none"/>
              </w:rPr>
              <w:t>）</w:t>
            </w:r>
          </w:p>
        </w:tc>
        <w:tc>
          <w:tcPr>
            <w:tcW w:w="6379" w:type="dxa"/>
            <w:noWrap w:val="0"/>
            <w:vAlign w:val="center"/>
          </w:tcPr>
          <w:p w14:paraId="59E8347C">
            <w:pPr>
              <w:widowControl/>
              <w:jc w:val="left"/>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2022年10月1日至投标截止日，承担过1项单项合同价350万元或以上规划编制或土地报批（用地组卷）的类似项目业绩，每个业绩得10分（若为联合体，指联合体主办方）。</w:t>
            </w:r>
          </w:p>
          <w:p w14:paraId="24282FDA">
            <w:pPr>
              <w:widowControl/>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注：①项目业绩需提供合同文本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合同文本须同时提供合同关键页（首页、签署页、合同服务内</w:t>
            </w:r>
            <w:r>
              <w:rPr>
                <w:rFonts w:hint="eastAsia" w:ascii="宋体" w:hAnsi="宋体" w:eastAsia="宋体" w:cs="宋体"/>
                <w:color w:val="auto"/>
                <w:kern w:val="0"/>
                <w:szCs w:val="21"/>
                <w:highlight w:val="none"/>
                <w:lang w:val="en-US" w:eastAsia="zh-CN"/>
              </w:rPr>
              <w:t>容</w:t>
            </w:r>
            <w:r>
              <w:rPr>
                <w:rFonts w:hint="eastAsia" w:ascii="宋体" w:hAnsi="宋体" w:eastAsia="宋体" w:cs="宋体"/>
                <w:color w:val="auto"/>
                <w:kern w:val="0"/>
                <w:szCs w:val="21"/>
                <w:highlight w:val="none"/>
              </w:rPr>
              <w:t>及范围页、合同金额页扫描件），所提供的扫描件须加盖投标人电子签章。</w:t>
            </w:r>
          </w:p>
          <w:p w14:paraId="2731D06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②时间以合同签订日期为准。</w:t>
            </w:r>
          </w:p>
          <w:p w14:paraId="2476CC1D">
            <w:pPr>
              <w:widowControl/>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③一份合同只算为一项业绩，原合同及其补充合同只算一项业绩</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同一合同不重复计算。</w:t>
            </w:r>
          </w:p>
        </w:tc>
      </w:tr>
      <w:tr w14:paraId="21A3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8" w:type="dxa"/>
            <w:vMerge w:val="continue"/>
            <w:noWrap w:val="0"/>
            <w:vAlign w:val="center"/>
          </w:tcPr>
          <w:p w14:paraId="54E59480">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02D0FBA2">
            <w:pPr>
              <w:tabs>
                <w:tab w:val="left" w:pos="720"/>
              </w:tabs>
              <w:snapToGrid w:val="0"/>
              <w:spacing w:line="360" w:lineRule="auto"/>
              <w:jc w:val="center"/>
              <w:rPr>
                <w:rFonts w:ascii="宋体" w:hAnsi="宋体" w:eastAsia="宋体" w:cs="宋体"/>
                <w:b/>
                <w:bCs/>
                <w:color w:val="auto"/>
                <w:kern w:val="0"/>
                <w:szCs w:val="21"/>
                <w:highlight w:val="none"/>
              </w:rPr>
            </w:pPr>
          </w:p>
        </w:tc>
        <w:tc>
          <w:tcPr>
            <w:tcW w:w="1701" w:type="dxa"/>
            <w:vMerge w:val="restart"/>
            <w:noWrap w:val="0"/>
            <w:vAlign w:val="center"/>
          </w:tcPr>
          <w:p w14:paraId="4F3FBBB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拟投入人员团 队（10分）</w:t>
            </w:r>
          </w:p>
        </w:tc>
        <w:tc>
          <w:tcPr>
            <w:tcW w:w="6379" w:type="dxa"/>
            <w:noWrap w:val="0"/>
            <w:vAlign w:val="center"/>
          </w:tcPr>
          <w:p w14:paraId="21525BA0">
            <w:pPr>
              <w:widowControl/>
              <w:jc w:val="left"/>
              <w:textAlignment w:val="center"/>
              <w:rPr>
                <w:rFonts w:hint="eastAsia" w:ascii="宋体" w:hAnsi="宋体" w:eastAsia="宋体" w:cs="宋体"/>
                <w:color w:val="auto"/>
                <w:szCs w:val="21"/>
                <w:highlight w:val="none"/>
              </w:rPr>
            </w:pPr>
            <w:r>
              <w:rPr>
                <w:rStyle w:val="58"/>
                <w:rFonts w:hint="eastAsia" w:eastAsia="宋体"/>
                <w:i w:val="0"/>
                <w:color w:val="auto"/>
                <w:sz w:val="21"/>
                <w:szCs w:val="21"/>
                <w:highlight w:val="none"/>
                <w:u w:val="none"/>
                <w:lang w:val="en-US" w:eastAsia="zh-CN"/>
              </w:rPr>
              <w:t>1、</w:t>
            </w:r>
            <w:r>
              <w:rPr>
                <w:rFonts w:hint="eastAsia" w:ascii="宋体" w:hAnsi="宋体" w:eastAsia="宋体" w:cs="宋体"/>
                <w:color w:val="auto"/>
                <w:szCs w:val="21"/>
                <w:highlight w:val="none"/>
              </w:rPr>
              <w:t>项目负责人 （5分）：</w:t>
            </w:r>
          </w:p>
          <w:p w14:paraId="5DAC43D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项目负责人须同时具备城市规划、测绘、土地资源管理类高级工程师(或以上)职称的人员得5分；有2个得3分，有1个得1分，其余不得分（若为联合体，指联合体主办方）。</w:t>
            </w:r>
          </w:p>
          <w:p w14:paraId="2A67AA3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注：提供项目负责人职称证书</w:t>
            </w:r>
            <w:r>
              <w:rPr>
                <w:rFonts w:hint="eastAsia" w:ascii="宋体" w:hAnsi="宋体" w:eastAsia="宋体" w:cs="宋体"/>
                <w:color w:val="auto"/>
                <w:szCs w:val="21"/>
                <w:highlight w:val="none"/>
                <w:lang w:val="en-US" w:eastAsia="zh-CN"/>
              </w:rPr>
              <w:t>扫描件等证明材料</w:t>
            </w:r>
            <w:r>
              <w:rPr>
                <w:rFonts w:hint="eastAsia" w:ascii="宋体" w:hAnsi="宋体" w:eastAsia="宋体" w:cs="宋体"/>
                <w:color w:val="auto"/>
                <w:szCs w:val="21"/>
                <w:highlight w:val="none"/>
              </w:rPr>
              <w:t>，所提供的投入人员必须为投标单位正式员工，未提供相关证明材料得0分(提供递交投标文件截止时间前半年内连续不少于三个月社保证明文件）否则不得分。</w:t>
            </w:r>
          </w:p>
        </w:tc>
      </w:tr>
      <w:tr w14:paraId="4B32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28" w:type="dxa"/>
            <w:vMerge w:val="continue"/>
            <w:noWrap w:val="0"/>
            <w:vAlign w:val="center"/>
          </w:tcPr>
          <w:p w14:paraId="732EC938">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19FF7945">
            <w:pPr>
              <w:tabs>
                <w:tab w:val="left" w:pos="720"/>
              </w:tabs>
              <w:snapToGrid w:val="0"/>
              <w:spacing w:line="360" w:lineRule="auto"/>
              <w:jc w:val="center"/>
              <w:rPr>
                <w:rFonts w:ascii="宋体" w:hAnsi="宋体" w:eastAsia="宋体" w:cs="宋体"/>
                <w:b/>
                <w:bCs/>
                <w:color w:val="auto"/>
                <w:kern w:val="0"/>
                <w:szCs w:val="21"/>
                <w:highlight w:val="none"/>
              </w:rPr>
            </w:pPr>
          </w:p>
        </w:tc>
        <w:tc>
          <w:tcPr>
            <w:tcW w:w="1701" w:type="dxa"/>
            <w:vMerge w:val="continue"/>
            <w:noWrap w:val="0"/>
            <w:vAlign w:val="center"/>
          </w:tcPr>
          <w:p w14:paraId="75F93D2B">
            <w:pPr>
              <w:widowControl/>
              <w:jc w:val="center"/>
              <w:textAlignment w:val="center"/>
              <w:rPr>
                <w:rFonts w:ascii="宋体" w:hAnsi="宋体" w:eastAsia="宋体" w:cs="宋体"/>
                <w:color w:val="auto"/>
                <w:szCs w:val="21"/>
                <w:highlight w:val="none"/>
              </w:rPr>
            </w:pPr>
          </w:p>
        </w:tc>
        <w:tc>
          <w:tcPr>
            <w:tcW w:w="6379" w:type="dxa"/>
            <w:noWrap w:val="0"/>
            <w:vAlign w:val="center"/>
          </w:tcPr>
          <w:p w14:paraId="791303E6">
            <w:pPr>
              <w:widowControl/>
              <w:tabs>
                <w:tab w:val="left" w:pos="312"/>
              </w:tabs>
              <w:jc w:val="left"/>
              <w:textAlignment w:val="center"/>
              <w:rPr>
                <w:rStyle w:val="58"/>
                <w:rFonts w:hint="default"/>
                <w:color w:val="auto"/>
                <w:sz w:val="21"/>
                <w:szCs w:val="21"/>
                <w:highlight w:val="none"/>
                <w:u w:val="none"/>
              </w:rPr>
            </w:pPr>
            <w:r>
              <w:rPr>
                <w:rStyle w:val="58"/>
                <w:rFonts w:hint="default"/>
                <w:color w:val="auto"/>
                <w:sz w:val="21"/>
                <w:szCs w:val="21"/>
                <w:highlight w:val="none"/>
                <w:u w:val="none"/>
              </w:rPr>
              <w:t>2、主要参与人员（不含项目负责人）（5分）</w:t>
            </w:r>
          </w:p>
          <w:p w14:paraId="47664FA4">
            <w:pPr>
              <w:widowControl/>
              <w:tabs>
                <w:tab w:val="left" w:pos="312"/>
              </w:tabs>
              <w:jc w:val="left"/>
              <w:textAlignment w:val="center"/>
              <w:rPr>
                <w:rStyle w:val="58"/>
                <w:rFonts w:hint="default"/>
                <w:color w:val="auto"/>
                <w:sz w:val="21"/>
                <w:szCs w:val="21"/>
                <w:highlight w:val="none"/>
                <w:u w:val="none"/>
              </w:rPr>
            </w:pPr>
            <w:r>
              <w:rPr>
                <w:rStyle w:val="58"/>
                <w:rFonts w:hint="default"/>
                <w:color w:val="auto"/>
                <w:sz w:val="21"/>
                <w:szCs w:val="21"/>
                <w:highlight w:val="none"/>
                <w:u w:val="none"/>
              </w:rPr>
              <w:t>实施团队配置</w:t>
            </w:r>
            <w:r>
              <w:rPr>
                <w:rStyle w:val="58"/>
                <w:rFonts w:hint="eastAsia"/>
                <w:color w:val="auto"/>
                <w:sz w:val="21"/>
                <w:szCs w:val="21"/>
                <w:highlight w:val="none"/>
                <w:u w:val="none"/>
                <w:lang w:val="en-US" w:eastAsia="zh-CN"/>
              </w:rPr>
              <w:t>6</w:t>
            </w:r>
            <w:r>
              <w:rPr>
                <w:rStyle w:val="58"/>
                <w:rFonts w:hint="default"/>
                <w:color w:val="auto"/>
                <w:sz w:val="21"/>
                <w:szCs w:val="21"/>
                <w:highlight w:val="none"/>
                <w:u w:val="none"/>
              </w:rPr>
              <w:t>名（含）以上具有注册测绘师或注册城乡规划师人员，得5分；配置3名具有注册测绘师或注册城乡规划师人员，得3分，其他不得分（若为联合体，指联合体主办方）。</w:t>
            </w:r>
          </w:p>
          <w:p w14:paraId="5CEADC45">
            <w:pPr>
              <w:widowControl/>
              <w:tabs>
                <w:tab w:val="left" w:pos="312"/>
              </w:tabs>
              <w:jc w:val="left"/>
              <w:textAlignment w:val="center"/>
              <w:rPr>
                <w:rStyle w:val="58"/>
                <w:rFonts w:hint="default"/>
                <w:color w:val="auto"/>
                <w:sz w:val="21"/>
                <w:szCs w:val="21"/>
                <w:highlight w:val="none"/>
                <w:u w:val="none"/>
              </w:rPr>
            </w:pPr>
            <w:r>
              <w:rPr>
                <w:rStyle w:val="58"/>
                <w:rFonts w:hint="default"/>
                <w:color w:val="auto"/>
                <w:sz w:val="21"/>
                <w:szCs w:val="21"/>
                <w:highlight w:val="none"/>
                <w:u w:val="none"/>
              </w:rPr>
              <w:t>注：须提供人员汇总表及上述职业注册资格证书扫描件等证明资料，所提供的投入人员必须为投标单位正式员工，未提供相关证明材料得0分(提供递交投标文件截止时间前半年内连续不少于三个月社保证明文件）否则不得分。</w:t>
            </w:r>
          </w:p>
        </w:tc>
      </w:tr>
      <w:tr w14:paraId="18E5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dxa"/>
            <w:vMerge w:val="restart"/>
            <w:noWrap w:val="0"/>
            <w:vAlign w:val="center"/>
          </w:tcPr>
          <w:p w14:paraId="1FDC9285">
            <w:pPr>
              <w:tabs>
                <w:tab w:val="left" w:pos="720"/>
              </w:tabs>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985" w:type="dxa"/>
            <w:vMerge w:val="restart"/>
            <w:noWrap w:val="0"/>
            <w:vAlign w:val="center"/>
          </w:tcPr>
          <w:p w14:paraId="2E44C3F2">
            <w:pPr>
              <w:tabs>
                <w:tab w:val="left" w:pos="720"/>
              </w:tabs>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服务方案部分（</w:t>
            </w:r>
            <w:r>
              <w:rPr>
                <w:rFonts w:hint="eastAsia" w:ascii="宋体" w:hAnsi="宋体" w:eastAsia="宋体" w:cs="宋体"/>
                <w:b/>
                <w:bCs/>
                <w:color w:val="auto"/>
                <w:kern w:val="0"/>
                <w:szCs w:val="21"/>
                <w:highlight w:val="none"/>
                <w:lang w:val="en-US" w:eastAsia="zh-CN"/>
              </w:rPr>
              <w:t>54</w:t>
            </w:r>
            <w:r>
              <w:rPr>
                <w:rFonts w:hint="eastAsia" w:ascii="宋体" w:hAnsi="宋体" w:eastAsia="宋体" w:cs="宋体"/>
                <w:b/>
                <w:bCs/>
                <w:color w:val="auto"/>
                <w:kern w:val="0"/>
                <w:szCs w:val="21"/>
                <w:highlight w:val="none"/>
              </w:rPr>
              <w:t>分）</w:t>
            </w:r>
          </w:p>
        </w:tc>
        <w:tc>
          <w:tcPr>
            <w:tcW w:w="1701" w:type="dxa"/>
            <w:noWrap w:val="0"/>
            <w:vAlign w:val="center"/>
          </w:tcPr>
          <w:p w14:paraId="27E55FA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现状情况的认识（5分）</w:t>
            </w:r>
          </w:p>
        </w:tc>
        <w:tc>
          <w:tcPr>
            <w:tcW w:w="6379" w:type="dxa"/>
            <w:noWrap w:val="0"/>
            <w:vAlign w:val="center"/>
          </w:tcPr>
          <w:p w14:paraId="1EFDC1C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投标人对项目及所在区域现状及规划信息数据掌握是否全面、准确。</w:t>
            </w:r>
          </w:p>
          <w:p w14:paraId="6720DE1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（1）对项目地块工作开展背景情况的了解；</w:t>
            </w:r>
          </w:p>
          <w:p w14:paraId="782B4AC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（2）对项目地块及所在区域建设现状的了解；</w:t>
            </w:r>
          </w:p>
          <w:p w14:paraId="0479AAD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（3）对项目地块及所在区域人口、经济、土地权属的了解；</w:t>
            </w:r>
          </w:p>
          <w:p w14:paraId="497044F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（4）对项目所在区域重点项目的了解；</w:t>
            </w:r>
          </w:p>
          <w:p w14:paraId="1D4F2794">
            <w:pPr>
              <w:widowControl/>
              <w:ind w:firstLine="210" w:firstLineChars="1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①对项目工作内容了解全面的，认识清晰得5分；</w:t>
            </w:r>
          </w:p>
          <w:p w14:paraId="4E4442CA">
            <w:pPr>
              <w:widowControl/>
              <w:ind w:firstLine="210" w:firstLineChars="1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②对项目工作内容有较全面了解，认识基本清晰的得3分；</w:t>
            </w:r>
          </w:p>
          <w:p w14:paraId="1B3E4947">
            <w:pPr>
              <w:widowControl/>
              <w:ind w:firstLine="210" w:firstLineChars="1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③对项目工作内容了解一般的得1分。</w:t>
            </w:r>
          </w:p>
          <w:p w14:paraId="168BD4A6">
            <w:pPr>
              <w:widowControl/>
              <w:ind w:firstLine="210" w:firstLineChars="100"/>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④对本项目工作内容了解有误、认识错误或无相关技术方案的不得分。</w:t>
            </w:r>
          </w:p>
        </w:tc>
      </w:tr>
      <w:tr w14:paraId="0864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dxa"/>
            <w:vMerge w:val="continue"/>
            <w:noWrap w:val="0"/>
            <w:vAlign w:val="center"/>
          </w:tcPr>
          <w:p w14:paraId="1F7B7E98">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322BF363">
            <w:pPr>
              <w:tabs>
                <w:tab w:val="left" w:pos="720"/>
              </w:tabs>
              <w:snapToGrid w:val="0"/>
              <w:spacing w:line="360" w:lineRule="auto"/>
              <w:jc w:val="center"/>
              <w:rPr>
                <w:rFonts w:ascii="宋体" w:hAnsi="宋体" w:eastAsia="宋体" w:cs="宋体"/>
                <w:b/>
                <w:color w:val="auto"/>
                <w:szCs w:val="21"/>
                <w:highlight w:val="none"/>
              </w:rPr>
            </w:pPr>
          </w:p>
        </w:tc>
        <w:tc>
          <w:tcPr>
            <w:tcW w:w="1701" w:type="dxa"/>
            <w:noWrap w:val="0"/>
            <w:vAlign w:val="center"/>
          </w:tcPr>
          <w:p w14:paraId="2982400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相关政策及规划解读（5分）</w:t>
            </w:r>
          </w:p>
        </w:tc>
        <w:tc>
          <w:tcPr>
            <w:tcW w:w="6379" w:type="dxa"/>
            <w:noWrap w:val="0"/>
            <w:vAlign w:val="center"/>
          </w:tcPr>
          <w:p w14:paraId="2197EF2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投标人对阳江市相关政策和规范的解读，以及对项目地块所在区域相关规划解读是否深刻、到位且有针对性。</w:t>
            </w:r>
          </w:p>
          <w:p w14:paraId="6747AAF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（1）对包括但不限于阳江市及阳春市征地政策、留用地政策、土地政策等政策的解读深刻是否深刻、到位且有针对性；</w:t>
            </w:r>
          </w:p>
          <w:p w14:paraId="6A0FAB6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（2）对本区域国土空间规划、城市总体规划、控制性详细规划、土地利用总体规划、村庄规划、饮用水源保护区区划规划、城市环境总体规划、工业产业区块规划等相关规划的解读是否深刻、到位且有针对性。</w:t>
            </w:r>
          </w:p>
          <w:p w14:paraId="1C04C498">
            <w:pPr>
              <w:widowControl/>
              <w:ind w:firstLine="210" w:firstLineChars="1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①解读深刻、到位，有针对性的，得5分；</w:t>
            </w:r>
          </w:p>
          <w:p w14:paraId="38561291">
            <w:pPr>
              <w:widowControl/>
              <w:ind w:firstLine="210" w:firstLineChars="1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②解读较深刻、到位，较有针对性的，得3分；</w:t>
            </w:r>
          </w:p>
          <w:p w14:paraId="52924A8C">
            <w:pPr>
              <w:widowControl/>
              <w:ind w:firstLine="210" w:firstLineChars="1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③解读一般深刻、到位，具有一定针对性的，得1分。</w:t>
            </w:r>
          </w:p>
          <w:p w14:paraId="4C45D327">
            <w:pPr>
              <w:widowControl/>
              <w:ind w:firstLine="210" w:firstLineChars="100"/>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④解读错误或无相关技术方案的不得分。</w:t>
            </w:r>
          </w:p>
        </w:tc>
      </w:tr>
      <w:tr w14:paraId="4AB0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8" w:type="dxa"/>
            <w:vMerge w:val="continue"/>
            <w:noWrap w:val="0"/>
            <w:vAlign w:val="center"/>
          </w:tcPr>
          <w:p w14:paraId="7E1AF309">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4BF13667">
            <w:pPr>
              <w:tabs>
                <w:tab w:val="left" w:pos="720"/>
              </w:tabs>
              <w:snapToGrid w:val="0"/>
              <w:spacing w:line="360" w:lineRule="auto"/>
              <w:jc w:val="center"/>
              <w:rPr>
                <w:rFonts w:ascii="宋体" w:hAnsi="宋体" w:eastAsia="宋体" w:cs="宋体"/>
                <w:b/>
                <w:color w:val="auto"/>
                <w:szCs w:val="21"/>
                <w:highlight w:val="none"/>
              </w:rPr>
            </w:pPr>
          </w:p>
        </w:tc>
        <w:tc>
          <w:tcPr>
            <w:tcW w:w="1701" w:type="dxa"/>
            <w:noWrap w:val="0"/>
            <w:vAlign w:val="center"/>
          </w:tcPr>
          <w:p w14:paraId="248B41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项目技术方案</w:t>
            </w:r>
          </w:p>
          <w:p w14:paraId="11AA561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379" w:type="dxa"/>
            <w:noWrap w:val="0"/>
            <w:vAlign w:val="center"/>
          </w:tcPr>
          <w:p w14:paraId="27EF01C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根据投标人编制项目技术方案，从对项目的分析研究、项目工作目标、工作思路、技术路线、工作内容等进行横向比较。</w:t>
            </w:r>
          </w:p>
          <w:p w14:paraId="4619E08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①方案详细科学、可行性高得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14:paraId="6C3478E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②方案比较完善、有一定可行性得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p w14:paraId="68D0051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③方案一般、可行性一般得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3692A73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④方案不完整、难以实行得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r>
      <w:tr w14:paraId="003A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28" w:type="dxa"/>
            <w:vMerge w:val="continue"/>
            <w:noWrap w:val="0"/>
            <w:vAlign w:val="center"/>
          </w:tcPr>
          <w:p w14:paraId="7B515AE5">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36E829D8">
            <w:pPr>
              <w:tabs>
                <w:tab w:val="left" w:pos="720"/>
              </w:tabs>
              <w:snapToGrid w:val="0"/>
              <w:spacing w:line="360" w:lineRule="auto"/>
              <w:jc w:val="center"/>
              <w:rPr>
                <w:rFonts w:ascii="宋体" w:hAnsi="宋体" w:eastAsia="宋体" w:cs="宋体"/>
                <w:b/>
                <w:bCs/>
                <w:color w:val="auto"/>
                <w:kern w:val="0"/>
                <w:szCs w:val="21"/>
                <w:highlight w:val="none"/>
              </w:rPr>
            </w:pPr>
          </w:p>
        </w:tc>
        <w:tc>
          <w:tcPr>
            <w:tcW w:w="1701" w:type="dxa"/>
            <w:noWrap w:val="0"/>
            <w:vAlign w:val="center"/>
          </w:tcPr>
          <w:p w14:paraId="7531945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项目技术重点、难点分析及应对措施（10分）</w:t>
            </w:r>
          </w:p>
        </w:tc>
        <w:tc>
          <w:tcPr>
            <w:tcW w:w="6379" w:type="dxa"/>
            <w:noWrap w:val="0"/>
            <w:vAlign w:val="center"/>
          </w:tcPr>
          <w:p w14:paraId="150C0C6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根据投标人对本项目总体认识，实施过程中的重难点及应对措施方案等内容进行横向比较。</w:t>
            </w:r>
          </w:p>
          <w:p w14:paraId="71DFF85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①投标人对项目重点、难点分析全面、合理，提出合理化建 议方案，实施措施切实可行得10分；</w:t>
            </w:r>
          </w:p>
          <w:p w14:paraId="79D247B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②投标人对项目重点、难点分析比较合理，提出方案有一定 可行性得7分；</w:t>
            </w:r>
          </w:p>
          <w:p w14:paraId="7DB258F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③投标人对项目重点、难点分析一般，提出方案可行性一般 得4分；</w:t>
            </w:r>
          </w:p>
          <w:p w14:paraId="0698754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④投标人对项目重点、难点分析不到位得1分。</w:t>
            </w:r>
          </w:p>
        </w:tc>
      </w:tr>
      <w:tr w14:paraId="082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28" w:type="dxa"/>
            <w:vMerge w:val="continue"/>
            <w:noWrap w:val="0"/>
            <w:vAlign w:val="center"/>
          </w:tcPr>
          <w:p w14:paraId="45579120">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40456138">
            <w:pPr>
              <w:tabs>
                <w:tab w:val="left" w:pos="720"/>
              </w:tabs>
              <w:snapToGrid w:val="0"/>
              <w:spacing w:line="360" w:lineRule="auto"/>
              <w:jc w:val="center"/>
              <w:rPr>
                <w:rFonts w:ascii="宋体" w:hAnsi="宋体" w:eastAsia="宋体" w:cs="宋体"/>
                <w:b/>
                <w:bCs/>
                <w:color w:val="auto"/>
                <w:kern w:val="0"/>
                <w:szCs w:val="21"/>
                <w:highlight w:val="none"/>
              </w:rPr>
            </w:pPr>
          </w:p>
        </w:tc>
        <w:tc>
          <w:tcPr>
            <w:tcW w:w="1701" w:type="dxa"/>
            <w:noWrap w:val="0"/>
            <w:vAlign w:val="center"/>
          </w:tcPr>
          <w:p w14:paraId="4E5CAB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项目编制工作</w:t>
            </w:r>
          </w:p>
          <w:p w14:paraId="6316F07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进度计划（</w:t>
            </w:r>
            <w:r>
              <w:rPr>
                <w:rFonts w:hint="eastAsia" w:ascii="宋体" w:hAnsi="宋体" w:eastAsia="宋体" w:cs="宋体"/>
                <w:color w:val="auto"/>
                <w:szCs w:val="21"/>
                <w:highlight w:val="none"/>
                <w:lang w:val="en-US" w:eastAsia="zh-CN"/>
              </w:rPr>
              <w:t>8</w:t>
            </w:r>
          </w:p>
          <w:p w14:paraId="5213147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6379" w:type="dxa"/>
            <w:noWrap w:val="0"/>
            <w:vAlign w:val="center"/>
          </w:tcPr>
          <w:p w14:paraId="61DFF72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根据投标人对本项目的项目实施进度计划、节点控制和保障 措施进行评审，横向比较后打分。</w:t>
            </w:r>
          </w:p>
          <w:p w14:paraId="5650319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①投标人对本项目编制的工作进度计划方案合理、切实可行得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p w14:paraId="4E07972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②投标人对本项目编制的工作进度计划方案比较合理、有一定可行性得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623099E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③投标人对本项目编制的工作进度计划方案一般、可行性一般得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1A167E2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④投标人对本项目编制的工作进度计划方案不合理得</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2633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Merge w:val="continue"/>
            <w:noWrap w:val="0"/>
            <w:vAlign w:val="center"/>
          </w:tcPr>
          <w:p w14:paraId="535B113B">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2079C305">
            <w:pPr>
              <w:tabs>
                <w:tab w:val="left" w:pos="720"/>
              </w:tabs>
              <w:snapToGrid w:val="0"/>
              <w:spacing w:line="360" w:lineRule="auto"/>
              <w:jc w:val="center"/>
              <w:rPr>
                <w:rFonts w:ascii="宋体" w:hAnsi="宋体" w:eastAsia="宋体" w:cs="宋体"/>
                <w:b/>
                <w:bCs/>
                <w:color w:val="auto"/>
                <w:kern w:val="0"/>
                <w:szCs w:val="21"/>
                <w:highlight w:val="none"/>
              </w:rPr>
            </w:pPr>
          </w:p>
        </w:tc>
        <w:tc>
          <w:tcPr>
            <w:tcW w:w="1701" w:type="dxa"/>
            <w:noWrap w:val="0"/>
            <w:vAlign w:val="center"/>
          </w:tcPr>
          <w:p w14:paraId="058FD1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项目质量保证</w:t>
            </w:r>
          </w:p>
          <w:p w14:paraId="630E58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6379" w:type="dxa"/>
            <w:noWrap w:val="0"/>
            <w:vAlign w:val="center"/>
          </w:tcPr>
          <w:p w14:paraId="7C6EBAA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根据投标人对本项目制定的质量保证措施和质量管理制度、实施方法和流程进行评审，横向比较后打分。</w:t>
            </w:r>
          </w:p>
          <w:p w14:paraId="5D5B4E4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投标人成果质量保证措施全面、合理，具有针对性得5分；投标人成果质量保证措施比较合理，有一定针对性得3分；投标人成果质量保证措施一般，针对性不强得2分；</w:t>
            </w:r>
          </w:p>
          <w:p w14:paraId="348155D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投标人成果质量保证措施不合理得1分。</w:t>
            </w:r>
          </w:p>
        </w:tc>
      </w:tr>
      <w:tr w14:paraId="3C83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Merge w:val="continue"/>
            <w:noWrap w:val="0"/>
            <w:vAlign w:val="center"/>
          </w:tcPr>
          <w:p w14:paraId="2F141ABE">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33772B26">
            <w:pPr>
              <w:tabs>
                <w:tab w:val="left" w:pos="720"/>
              </w:tabs>
              <w:snapToGrid w:val="0"/>
              <w:spacing w:line="360" w:lineRule="auto"/>
              <w:jc w:val="center"/>
              <w:rPr>
                <w:rFonts w:ascii="宋体" w:hAnsi="宋体" w:eastAsia="宋体" w:cs="宋体"/>
                <w:b/>
                <w:bCs/>
                <w:color w:val="auto"/>
                <w:kern w:val="0"/>
                <w:szCs w:val="21"/>
                <w:highlight w:val="none"/>
              </w:rPr>
            </w:pPr>
          </w:p>
        </w:tc>
        <w:tc>
          <w:tcPr>
            <w:tcW w:w="1701" w:type="dxa"/>
            <w:noWrap w:val="0"/>
            <w:vAlign w:val="center"/>
          </w:tcPr>
          <w:p w14:paraId="210C23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服务响应时间</w:t>
            </w:r>
          </w:p>
          <w:p w14:paraId="7C8E298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6379" w:type="dxa"/>
            <w:noWrap w:val="0"/>
            <w:vAlign w:val="center"/>
          </w:tcPr>
          <w:p w14:paraId="1713C58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（1）投标人对本招标项目服务响应时间，自接到通知1小时 内（含1小时）到达项目地点的，得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19B63A7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（2）投标人对本招标项目服务响应时间，自接到通知1-2小 时内（含2小时）到达项目地点的，得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4011603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（3）投标人对本招标项目服务响应时间，自接到通知超过2 小时到达涉及的各个项目地点的，不得分。</w:t>
            </w:r>
          </w:p>
          <w:p w14:paraId="128BCE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本项最高得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4998DB1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注：须提供承诺函，格式自拟，内容同时承诺中标后未达到以上要求按合同价的2%支付违约金。承诺函须加盖公章及法定代表人或其授权代表签字（或盖私章），若未按要求承诺，不得分。</w:t>
            </w:r>
          </w:p>
        </w:tc>
      </w:tr>
      <w:tr w14:paraId="1FB3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Merge w:val="continue"/>
            <w:noWrap w:val="0"/>
            <w:vAlign w:val="center"/>
          </w:tcPr>
          <w:p w14:paraId="429CABD1">
            <w:pPr>
              <w:tabs>
                <w:tab w:val="left" w:pos="720"/>
              </w:tabs>
              <w:snapToGrid w:val="0"/>
              <w:spacing w:line="360" w:lineRule="auto"/>
              <w:jc w:val="center"/>
              <w:rPr>
                <w:rFonts w:ascii="宋体" w:hAnsi="宋体" w:eastAsia="宋体" w:cs="宋体"/>
                <w:color w:val="auto"/>
                <w:szCs w:val="21"/>
                <w:highlight w:val="none"/>
              </w:rPr>
            </w:pPr>
          </w:p>
        </w:tc>
        <w:tc>
          <w:tcPr>
            <w:tcW w:w="985" w:type="dxa"/>
            <w:vMerge w:val="continue"/>
            <w:noWrap w:val="0"/>
            <w:vAlign w:val="center"/>
          </w:tcPr>
          <w:p w14:paraId="68AB3B58">
            <w:pPr>
              <w:tabs>
                <w:tab w:val="left" w:pos="720"/>
              </w:tabs>
              <w:snapToGrid w:val="0"/>
              <w:spacing w:line="360" w:lineRule="auto"/>
              <w:jc w:val="center"/>
              <w:rPr>
                <w:rFonts w:ascii="宋体" w:hAnsi="宋体" w:eastAsia="宋体" w:cs="宋体"/>
                <w:b/>
                <w:bCs/>
                <w:color w:val="auto"/>
                <w:kern w:val="0"/>
                <w:szCs w:val="21"/>
                <w:highlight w:val="none"/>
              </w:rPr>
            </w:pPr>
          </w:p>
        </w:tc>
        <w:tc>
          <w:tcPr>
            <w:tcW w:w="1701" w:type="dxa"/>
            <w:noWrap w:val="0"/>
            <w:vAlign w:val="center"/>
          </w:tcPr>
          <w:p w14:paraId="7ABD5C9D">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后续服务（</w:t>
            </w:r>
            <w:r>
              <w:rPr>
                <w:rFonts w:hint="eastAsia" w:ascii="宋体" w:hAnsi="宋体" w:eastAsia="宋体" w:cs="宋体"/>
                <w:color w:val="auto"/>
                <w:szCs w:val="21"/>
                <w:highlight w:val="none"/>
                <w:lang w:val="en-US" w:eastAsia="zh-CN"/>
              </w:rPr>
              <w:t>6</w:t>
            </w:r>
          </w:p>
          <w:p w14:paraId="346B3DD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6379" w:type="dxa"/>
            <w:noWrap w:val="0"/>
            <w:vAlign w:val="center"/>
          </w:tcPr>
          <w:p w14:paraId="642F7EE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根据投标人对整个项目的服务承诺，后期能否及时、准确地 满足跟踪服务、本地化服务、后续服务等特殊要求。横向比较后打分，优秀</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分、良好</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分、一般1分、未提供得0分。</w:t>
            </w:r>
          </w:p>
        </w:tc>
      </w:tr>
      <w:tr w14:paraId="675C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noWrap w:val="0"/>
            <w:vAlign w:val="center"/>
          </w:tcPr>
          <w:p w14:paraId="0B4F1671">
            <w:pPr>
              <w:tabs>
                <w:tab w:val="left" w:pos="720"/>
              </w:tabs>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686" w:type="dxa"/>
            <w:gridSpan w:val="2"/>
            <w:noWrap w:val="0"/>
            <w:vAlign w:val="center"/>
          </w:tcPr>
          <w:p w14:paraId="6C38E96E">
            <w:pPr>
              <w:tabs>
                <w:tab w:val="left" w:pos="720"/>
              </w:tabs>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投标报价得分</w:t>
            </w:r>
          </w:p>
          <w:p w14:paraId="08C8189E">
            <w:pPr>
              <w:tabs>
                <w:tab w:val="left" w:pos="720"/>
              </w:tabs>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（10分）</w:t>
            </w:r>
          </w:p>
        </w:tc>
        <w:tc>
          <w:tcPr>
            <w:tcW w:w="6379" w:type="dxa"/>
            <w:noWrap w:val="0"/>
            <w:vAlign w:val="center"/>
          </w:tcPr>
          <w:p w14:paraId="540E4B7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（一）评标基准价（PC）的计算：</w:t>
            </w:r>
          </w:p>
          <w:p w14:paraId="46603379">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通过资格审查及有效性审查且投标报价位于[最高投标限价×80%，最高投标限价]区间的有效投标人参与评标基准价的计算。①当区间内的有效投标人大于5名时，去掉一个最高价和一个最低价，取区间内余下投标报价的算术平均值作为评标基准价；②当区间内的有效投标人为 1～5名时，取区间内所有投标报价的算术平均值作为评标基准价；③当区间内的有效投标人为0名时，按最高投标限价×80%计算作为评标基准价。</w:t>
            </w:r>
          </w:p>
          <w:p w14:paraId="4125F646">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2、评标基准价精确到小数点后两位。</w:t>
            </w:r>
          </w:p>
          <w:p w14:paraId="483B7FB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（二）投标报价的偏差率计算公式：</w:t>
            </w:r>
          </w:p>
          <w:p w14:paraId="19A20C6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偏差率=（投标报价-评标基准价）/评标基准价*100%</w:t>
            </w:r>
          </w:p>
          <w:p w14:paraId="28DB51A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偏差率四舍五入保留2位小数，所有不足1%的差价按插值法计算。</w:t>
            </w:r>
          </w:p>
          <w:p w14:paraId="7354CC1B">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（三）报价得分：</w:t>
            </w:r>
          </w:p>
          <w:p w14:paraId="0747C814">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1、当投标人投标报价等于评标基准价时得10分。</w:t>
            </w:r>
          </w:p>
          <w:p w14:paraId="030EDE18">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2、当投标人投标报价位于[最高投标限价×80%，最高投标限价]时，每高于评标基准价1%，扣0.3分；每低于评标基准价1%，扣0.2分；扣至0分为止。</w:t>
            </w:r>
          </w:p>
          <w:p w14:paraId="02AE239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3、当投标人投标报价小于最高投标限价×80%时，每低于评标基准价1%，扣1分；扣至0分为止。</w:t>
            </w:r>
          </w:p>
          <w:p w14:paraId="7FB562C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4、报价得分精确到小数点后两位。</w:t>
            </w:r>
          </w:p>
        </w:tc>
      </w:tr>
      <w:tr w14:paraId="0FDC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noWrap w:val="0"/>
            <w:vAlign w:val="center"/>
          </w:tcPr>
          <w:p w14:paraId="370A7C55">
            <w:pPr>
              <w:tabs>
                <w:tab w:val="left" w:pos="720"/>
              </w:tabs>
              <w:snapToGrid w:val="0"/>
              <w:spacing w:line="360" w:lineRule="auto"/>
              <w:jc w:val="center"/>
              <w:rPr>
                <w:rFonts w:hint="eastAsia" w:ascii="宋体" w:hAnsi="宋体" w:eastAsia="宋体" w:cs="宋体"/>
                <w:color w:val="auto"/>
                <w:szCs w:val="21"/>
                <w:highlight w:val="none"/>
              </w:rPr>
            </w:pPr>
          </w:p>
        </w:tc>
        <w:tc>
          <w:tcPr>
            <w:tcW w:w="2686" w:type="dxa"/>
            <w:gridSpan w:val="2"/>
            <w:noWrap w:val="0"/>
            <w:vAlign w:val="center"/>
          </w:tcPr>
          <w:p w14:paraId="1D7A0901">
            <w:pPr>
              <w:tabs>
                <w:tab w:val="left" w:pos="720"/>
              </w:tabs>
              <w:snapToGrid w:val="0"/>
              <w:spacing w:line="360" w:lineRule="auto"/>
              <w:jc w:val="center"/>
              <w:rPr>
                <w:rFonts w:hint="eastAsia" w:ascii="宋体" w:hAnsi="宋体" w:eastAsia="宋体" w:cs="宋体"/>
                <w:b/>
                <w:bCs/>
                <w:color w:val="auto"/>
                <w:kern w:val="0"/>
                <w:szCs w:val="21"/>
                <w:highlight w:val="none"/>
              </w:rPr>
            </w:pPr>
          </w:p>
        </w:tc>
        <w:tc>
          <w:tcPr>
            <w:tcW w:w="6379" w:type="dxa"/>
            <w:noWrap w:val="0"/>
            <w:vAlign w:val="center"/>
          </w:tcPr>
          <w:p w14:paraId="655763FF">
            <w:pPr>
              <w:widowControl/>
              <w:jc w:val="left"/>
              <w:textAlignment w:val="center"/>
              <w:rPr>
                <w:rFonts w:hint="eastAsia" w:ascii="宋体" w:hAnsi="宋体" w:eastAsia="宋体" w:cs="宋体"/>
                <w:color w:val="auto"/>
                <w:kern w:val="0"/>
                <w:szCs w:val="21"/>
                <w:highlight w:val="none"/>
              </w:rPr>
            </w:pPr>
          </w:p>
        </w:tc>
      </w:tr>
    </w:tbl>
    <w:p w14:paraId="7FD23CFA">
      <w:pPr>
        <w:adjustRightInd w:val="0"/>
        <w:snapToGrid w:val="0"/>
        <w:ind w:firstLine="411" w:firstLineChars="196"/>
        <w:jc w:val="left"/>
        <w:rPr>
          <w:rFonts w:ascii="宋体" w:hAnsi="宋体"/>
          <w:bCs/>
          <w:color w:val="auto"/>
          <w:highlight w:val="none"/>
        </w:rPr>
      </w:pPr>
    </w:p>
    <w:p w14:paraId="1F280288">
      <w:pPr>
        <w:snapToGrid w:val="0"/>
        <w:spacing w:line="360" w:lineRule="auto"/>
        <w:rPr>
          <w:rFonts w:ascii="宋体" w:hAnsi="宋体"/>
          <w:bCs/>
          <w:color w:val="auto"/>
          <w:sz w:val="24"/>
          <w:highlight w:val="none"/>
        </w:rPr>
        <w:sectPr>
          <w:footerReference r:id="rId8" w:type="first"/>
          <w:footerReference r:id="rId7" w:type="default"/>
          <w:pgSz w:w="11906" w:h="16838"/>
          <w:pgMar w:top="1418" w:right="1389" w:bottom="1418" w:left="1389" w:header="851" w:footer="567" w:gutter="0"/>
          <w:pgNumType w:fmt="decimal"/>
          <w:cols w:space="720" w:num="1"/>
          <w:titlePg/>
          <w:docGrid w:linePitch="286" w:charSpace="0"/>
        </w:sectPr>
      </w:pPr>
    </w:p>
    <w:p w14:paraId="29DEF808">
      <w:pPr>
        <w:rPr>
          <w:rFonts w:ascii="宋体" w:hAnsi="宋体" w:cs="仿宋_GB2312"/>
          <w:color w:val="auto"/>
          <w:szCs w:val="21"/>
          <w:highlight w:val="none"/>
        </w:rPr>
      </w:pPr>
    </w:p>
    <w:p w14:paraId="63685566">
      <w:pPr>
        <w:pStyle w:val="5"/>
        <w:jc w:val="left"/>
        <w:rPr>
          <w:b w:val="0"/>
          <w:color w:val="auto"/>
          <w:sz w:val="24"/>
          <w:highlight w:val="none"/>
        </w:rPr>
      </w:pPr>
      <w:bookmarkStart w:id="36" w:name="_Toc8229526"/>
      <w:r>
        <w:rPr>
          <w:rFonts w:hint="eastAsia"/>
          <w:b w:val="0"/>
          <w:color w:val="auto"/>
          <w:sz w:val="24"/>
          <w:highlight w:val="none"/>
        </w:rPr>
        <w:t>附表四</w:t>
      </w:r>
      <w:bookmarkEnd w:id="36"/>
    </w:p>
    <w:p w14:paraId="7168A0F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报价得分计算表</w:t>
      </w:r>
    </w:p>
    <w:p w14:paraId="627ED180">
      <w:pPr>
        <w:rPr>
          <w:rFonts w:ascii="宋体" w:hAnsi="宋体"/>
          <w:bCs/>
          <w:color w:val="auto"/>
          <w:sz w:val="24"/>
          <w:highlight w:val="none"/>
        </w:rPr>
      </w:pPr>
      <w:r>
        <w:rPr>
          <w:rFonts w:hint="eastAsia" w:ascii="宋体" w:hAnsi="宋体" w:cs="宋体"/>
          <w:bCs/>
          <w:color w:val="auto"/>
          <w:sz w:val="24"/>
          <w:highlight w:val="none"/>
        </w:rPr>
        <w:t xml:space="preserve">项目名称:                                 </w:t>
      </w:r>
      <w:r>
        <w:rPr>
          <w:rFonts w:hint="eastAsia" w:ascii="宋体" w:hAnsi="宋体"/>
          <w:color w:val="auto"/>
          <w:sz w:val="24"/>
          <w:highlight w:val="none"/>
        </w:rPr>
        <w:t xml:space="preserve"> </w:t>
      </w:r>
      <w:r>
        <w:rPr>
          <w:rFonts w:hint="eastAsia" w:ascii="宋体" w:hAnsi="宋体"/>
          <w:color w:val="auto"/>
          <w:sz w:val="24"/>
          <w:highlight w:val="none"/>
          <w:lang w:eastAsia="zh-CN"/>
        </w:rPr>
        <w:t>投标最高限价</w:t>
      </w:r>
      <w:r>
        <w:rPr>
          <w:rFonts w:hint="eastAsia" w:ascii="宋体" w:hAnsi="宋体"/>
          <w:color w:val="auto"/>
          <w:sz w:val="24"/>
          <w:highlight w:val="none"/>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184"/>
        <w:gridCol w:w="1184"/>
        <w:gridCol w:w="1184"/>
        <w:gridCol w:w="1185"/>
        <w:gridCol w:w="1185"/>
        <w:gridCol w:w="1185"/>
        <w:gridCol w:w="1185"/>
        <w:gridCol w:w="1185"/>
        <w:gridCol w:w="1185"/>
        <w:gridCol w:w="1178"/>
        <w:gridCol w:w="7"/>
      </w:tblGrid>
      <w:tr w14:paraId="0564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91" w:type="dxa"/>
            <w:noWrap w:val="0"/>
            <w:vAlign w:val="center"/>
          </w:tcPr>
          <w:p w14:paraId="69B992E3">
            <w:pPr>
              <w:spacing w:line="380" w:lineRule="exact"/>
              <w:jc w:val="center"/>
              <w:rPr>
                <w:rFonts w:ascii="宋体" w:hAnsi="宋体"/>
                <w:color w:val="auto"/>
                <w:szCs w:val="21"/>
                <w:highlight w:val="none"/>
              </w:rPr>
            </w:pPr>
            <w:r>
              <w:rPr>
                <w:rFonts w:hint="eastAsia" w:ascii="宋体" w:hAnsi="宋体"/>
                <w:color w:val="auto"/>
                <w:szCs w:val="21"/>
                <w:highlight w:val="none"/>
              </w:rPr>
              <w:t>投标人名称</w:t>
            </w:r>
          </w:p>
        </w:tc>
        <w:tc>
          <w:tcPr>
            <w:tcW w:w="1184" w:type="dxa"/>
            <w:noWrap w:val="0"/>
            <w:vAlign w:val="center"/>
          </w:tcPr>
          <w:p w14:paraId="50B3A655">
            <w:pPr>
              <w:spacing w:line="380" w:lineRule="exact"/>
              <w:jc w:val="left"/>
              <w:rPr>
                <w:rFonts w:ascii="宋体" w:hAnsi="宋体"/>
                <w:color w:val="auto"/>
                <w:szCs w:val="21"/>
                <w:highlight w:val="none"/>
              </w:rPr>
            </w:pPr>
          </w:p>
        </w:tc>
        <w:tc>
          <w:tcPr>
            <w:tcW w:w="1184" w:type="dxa"/>
            <w:noWrap w:val="0"/>
            <w:vAlign w:val="center"/>
          </w:tcPr>
          <w:p w14:paraId="676203CD">
            <w:pPr>
              <w:spacing w:line="380" w:lineRule="exact"/>
              <w:jc w:val="left"/>
              <w:rPr>
                <w:rFonts w:ascii="宋体" w:hAnsi="宋体"/>
                <w:color w:val="auto"/>
                <w:szCs w:val="21"/>
                <w:highlight w:val="none"/>
              </w:rPr>
            </w:pPr>
          </w:p>
        </w:tc>
        <w:tc>
          <w:tcPr>
            <w:tcW w:w="1184" w:type="dxa"/>
            <w:noWrap w:val="0"/>
            <w:vAlign w:val="center"/>
          </w:tcPr>
          <w:p w14:paraId="4F5B4BE7">
            <w:pPr>
              <w:spacing w:line="380" w:lineRule="exact"/>
              <w:jc w:val="left"/>
              <w:rPr>
                <w:rFonts w:ascii="宋体" w:hAnsi="宋体"/>
                <w:color w:val="auto"/>
                <w:szCs w:val="21"/>
                <w:highlight w:val="none"/>
              </w:rPr>
            </w:pPr>
          </w:p>
        </w:tc>
        <w:tc>
          <w:tcPr>
            <w:tcW w:w="1185" w:type="dxa"/>
            <w:noWrap w:val="0"/>
            <w:vAlign w:val="center"/>
          </w:tcPr>
          <w:p w14:paraId="10C4DAE1">
            <w:pPr>
              <w:spacing w:line="380" w:lineRule="exact"/>
              <w:jc w:val="left"/>
              <w:rPr>
                <w:rFonts w:ascii="宋体" w:hAnsi="宋体"/>
                <w:color w:val="auto"/>
                <w:szCs w:val="21"/>
                <w:highlight w:val="none"/>
              </w:rPr>
            </w:pPr>
          </w:p>
        </w:tc>
        <w:tc>
          <w:tcPr>
            <w:tcW w:w="1185" w:type="dxa"/>
            <w:noWrap w:val="0"/>
            <w:vAlign w:val="center"/>
          </w:tcPr>
          <w:p w14:paraId="0382DD4C">
            <w:pPr>
              <w:spacing w:line="380" w:lineRule="exact"/>
              <w:jc w:val="left"/>
              <w:rPr>
                <w:rFonts w:ascii="宋体" w:hAnsi="宋体"/>
                <w:color w:val="auto"/>
                <w:szCs w:val="21"/>
                <w:highlight w:val="none"/>
              </w:rPr>
            </w:pPr>
          </w:p>
        </w:tc>
        <w:tc>
          <w:tcPr>
            <w:tcW w:w="1185" w:type="dxa"/>
            <w:noWrap w:val="0"/>
            <w:vAlign w:val="center"/>
          </w:tcPr>
          <w:p w14:paraId="10F60428">
            <w:pPr>
              <w:spacing w:line="380" w:lineRule="exact"/>
              <w:jc w:val="left"/>
              <w:rPr>
                <w:rFonts w:ascii="宋体" w:hAnsi="宋体"/>
                <w:color w:val="auto"/>
                <w:szCs w:val="21"/>
                <w:highlight w:val="none"/>
              </w:rPr>
            </w:pPr>
          </w:p>
        </w:tc>
        <w:tc>
          <w:tcPr>
            <w:tcW w:w="1185" w:type="dxa"/>
            <w:noWrap w:val="0"/>
            <w:vAlign w:val="center"/>
          </w:tcPr>
          <w:p w14:paraId="1CCC9B2B">
            <w:pPr>
              <w:spacing w:line="380" w:lineRule="exact"/>
              <w:jc w:val="left"/>
              <w:rPr>
                <w:rFonts w:ascii="宋体" w:hAnsi="宋体"/>
                <w:color w:val="auto"/>
                <w:szCs w:val="21"/>
                <w:highlight w:val="none"/>
              </w:rPr>
            </w:pPr>
          </w:p>
        </w:tc>
        <w:tc>
          <w:tcPr>
            <w:tcW w:w="1185" w:type="dxa"/>
            <w:noWrap w:val="0"/>
            <w:vAlign w:val="center"/>
          </w:tcPr>
          <w:p w14:paraId="6699AD87">
            <w:pPr>
              <w:spacing w:line="380" w:lineRule="exact"/>
              <w:jc w:val="left"/>
              <w:rPr>
                <w:rFonts w:ascii="宋体" w:hAnsi="宋体"/>
                <w:color w:val="auto"/>
                <w:szCs w:val="21"/>
                <w:highlight w:val="none"/>
              </w:rPr>
            </w:pPr>
          </w:p>
        </w:tc>
        <w:tc>
          <w:tcPr>
            <w:tcW w:w="1185" w:type="dxa"/>
            <w:noWrap w:val="0"/>
            <w:vAlign w:val="center"/>
          </w:tcPr>
          <w:p w14:paraId="415A914D">
            <w:pPr>
              <w:spacing w:line="380" w:lineRule="exact"/>
              <w:jc w:val="left"/>
              <w:rPr>
                <w:rFonts w:ascii="宋体" w:hAnsi="宋体"/>
                <w:color w:val="auto"/>
                <w:szCs w:val="21"/>
                <w:highlight w:val="none"/>
              </w:rPr>
            </w:pPr>
          </w:p>
        </w:tc>
        <w:tc>
          <w:tcPr>
            <w:tcW w:w="1185" w:type="dxa"/>
            <w:gridSpan w:val="2"/>
            <w:noWrap w:val="0"/>
            <w:vAlign w:val="center"/>
          </w:tcPr>
          <w:p w14:paraId="2808A498">
            <w:pPr>
              <w:spacing w:line="380" w:lineRule="exact"/>
              <w:jc w:val="left"/>
              <w:rPr>
                <w:rFonts w:ascii="宋体" w:hAnsi="宋体"/>
                <w:color w:val="auto"/>
                <w:szCs w:val="21"/>
                <w:highlight w:val="none"/>
              </w:rPr>
            </w:pPr>
          </w:p>
        </w:tc>
      </w:tr>
      <w:tr w14:paraId="366B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91" w:type="dxa"/>
            <w:noWrap w:val="0"/>
            <w:vAlign w:val="center"/>
          </w:tcPr>
          <w:p w14:paraId="74B9D6F1">
            <w:pPr>
              <w:spacing w:line="380" w:lineRule="exact"/>
              <w:jc w:val="center"/>
              <w:rPr>
                <w:rFonts w:hint="eastAsia" w:ascii="宋体" w:hAnsi="宋体"/>
                <w:color w:val="auto"/>
                <w:szCs w:val="21"/>
                <w:highlight w:val="none"/>
              </w:rPr>
            </w:pPr>
            <w:r>
              <w:rPr>
                <w:rFonts w:hint="eastAsia" w:ascii="宋体" w:hAnsi="宋体"/>
                <w:color w:val="auto"/>
                <w:szCs w:val="21"/>
                <w:highlight w:val="none"/>
              </w:rPr>
              <w:t>投标报价PT</w:t>
            </w:r>
          </w:p>
          <w:p w14:paraId="23ED6A20">
            <w:pPr>
              <w:spacing w:line="380" w:lineRule="exact"/>
              <w:jc w:val="center"/>
              <w:rPr>
                <w:rFonts w:ascii="宋体" w:hAnsi="宋体"/>
                <w:color w:val="auto"/>
                <w:szCs w:val="21"/>
                <w:highlight w:val="none"/>
              </w:rPr>
            </w:pPr>
            <w:r>
              <w:rPr>
                <w:rFonts w:hint="eastAsia" w:ascii="宋体" w:hAnsi="宋体"/>
                <w:color w:val="auto"/>
                <w:szCs w:val="21"/>
                <w:highlight w:val="none"/>
              </w:rPr>
              <w:t>(万元)</w:t>
            </w:r>
          </w:p>
        </w:tc>
        <w:tc>
          <w:tcPr>
            <w:tcW w:w="1184" w:type="dxa"/>
            <w:noWrap w:val="0"/>
            <w:vAlign w:val="center"/>
          </w:tcPr>
          <w:p w14:paraId="3D1C8754">
            <w:pPr>
              <w:spacing w:line="380" w:lineRule="exact"/>
              <w:jc w:val="left"/>
              <w:rPr>
                <w:rFonts w:ascii="宋体" w:hAnsi="宋体"/>
                <w:color w:val="auto"/>
                <w:szCs w:val="21"/>
                <w:highlight w:val="none"/>
              </w:rPr>
            </w:pPr>
          </w:p>
        </w:tc>
        <w:tc>
          <w:tcPr>
            <w:tcW w:w="1184" w:type="dxa"/>
            <w:noWrap w:val="0"/>
            <w:vAlign w:val="center"/>
          </w:tcPr>
          <w:p w14:paraId="313E832E">
            <w:pPr>
              <w:spacing w:line="380" w:lineRule="exact"/>
              <w:jc w:val="left"/>
              <w:rPr>
                <w:rFonts w:ascii="宋体" w:hAnsi="宋体"/>
                <w:color w:val="auto"/>
                <w:szCs w:val="21"/>
                <w:highlight w:val="none"/>
              </w:rPr>
            </w:pPr>
          </w:p>
        </w:tc>
        <w:tc>
          <w:tcPr>
            <w:tcW w:w="1184" w:type="dxa"/>
            <w:noWrap w:val="0"/>
            <w:vAlign w:val="center"/>
          </w:tcPr>
          <w:p w14:paraId="3445F07A">
            <w:pPr>
              <w:spacing w:line="380" w:lineRule="exact"/>
              <w:jc w:val="left"/>
              <w:rPr>
                <w:rFonts w:ascii="宋体" w:hAnsi="宋体"/>
                <w:color w:val="auto"/>
                <w:szCs w:val="21"/>
                <w:highlight w:val="none"/>
              </w:rPr>
            </w:pPr>
          </w:p>
        </w:tc>
        <w:tc>
          <w:tcPr>
            <w:tcW w:w="1185" w:type="dxa"/>
            <w:noWrap w:val="0"/>
            <w:vAlign w:val="center"/>
          </w:tcPr>
          <w:p w14:paraId="4B9C4570">
            <w:pPr>
              <w:spacing w:line="380" w:lineRule="exact"/>
              <w:jc w:val="left"/>
              <w:rPr>
                <w:rFonts w:ascii="宋体" w:hAnsi="宋体"/>
                <w:color w:val="auto"/>
                <w:szCs w:val="21"/>
                <w:highlight w:val="none"/>
              </w:rPr>
            </w:pPr>
          </w:p>
        </w:tc>
        <w:tc>
          <w:tcPr>
            <w:tcW w:w="1185" w:type="dxa"/>
            <w:noWrap w:val="0"/>
            <w:vAlign w:val="center"/>
          </w:tcPr>
          <w:p w14:paraId="2AFABD88">
            <w:pPr>
              <w:spacing w:line="380" w:lineRule="exact"/>
              <w:jc w:val="left"/>
              <w:rPr>
                <w:rFonts w:ascii="宋体" w:hAnsi="宋体"/>
                <w:color w:val="auto"/>
                <w:szCs w:val="21"/>
                <w:highlight w:val="none"/>
              </w:rPr>
            </w:pPr>
          </w:p>
        </w:tc>
        <w:tc>
          <w:tcPr>
            <w:tcW w:w="1185" w:type="dxa"/>
            <w:noWrap w:val="0"/>
            <w:vAlign w:val="center"/>
          </w:tcPr>
          <w:p w14:paraId="10FE931E">
            <w:pPr>
              <w:spacing w:line="380" w:lineRule="exact"/>
              <w:jc w:val="left"/>
              <w:rPr>
                <w:rFonts w:ascii="宋体" w:hAnsi="宋体"/>
                <w:color w:val="auto"/>
                <w:szCs w:val="21"/>
                <w:highlight w:val="none"/>
              </w:rPr>
            </w:pPr>
          </w:p>
        </w:tc>
        <w:tc>
          <w:tcPr>
            <w:tcW w:w="1185" w:type="dxa"/>
            <w:noWrap w:val="0"/>
            <w:vAlign w:val="center"/>
          </w:tcPr>
          <w:p w14:paraId="3276B91E">
            <w:pPr>
              <w:spacing w:line="380" w:lineRule="exact"/>
              <w:jc w:val="left"/>
              <w:rPr>
                <w:rFonts w:ascii="宋体" w:hAnsi="宋体"/>
                <w:color w:val="auto"/>
                <w:szCs w:val="21"/>
                <w:highlight w:val="none"/>
              </w:rPr>
            </w:pPr>
          </w:p>
        </w:tc>
        <w:tc>
          <w:tcPr>
            <w:tcW w:w="1185" w:type="dxa"/>
            <w:noWrap w:val="0"/>
            <w:vAlign w:val="center"/>
          </w:tcPr>
          <w:p w14:paraId="32CBDFBB">
            <w:pPr>
              <w:spacing w:line="380" w:lineRule="exact"/>
              <w:jc w:val="left"/>
              <w:rPr>
                <w:rFonts w:ascii="宋体" w:hAnsi="宋体"/>
                <w:color w:val="auto"/>
                <w:szCs w:val="21"/>
                <w:highlight w:val="none"/>
              </w:rPr>
            </w:pPr>
          </w:p>
        </w:tc>
        <w:tc>
          <w:tcPr>
            <w:tcW w:w="1185" w:type="dxa"/>
            <w:noWrap w:val="0"/>
            <w:vAlign w:val="center"/>
          </w:tcPr>
          <w:p w14:paraId="2FA9AFE4">
            <w:pPr>
              <w:spacing w:line="380" w:lineRule="exact"/>
              <w:jc w:val="left"/>
              <w:rPr>
                <w:rFonts w:ascii="宋体" w:hAnsi="宋体"/>
                <w:color w:val="auto"/>
                <w:szCs w:val="21"/>
                <w:highlight w:val="none"/>
              </w:rPr>
            </w:pPr>
          </w:p>
        </w:tc>
        <w:tc>
          <w:tcPr>
            <w:tcW w:w="1185" w:type="dxa"/>
            <w:gridSpan w:val="2"/>
            <w:noWrap w:val="0"/>
            <w:vAlign w:val="center"/>
          </w:tcPr>
          <w:p w14:paraId="216FE20C">
            <w:pPr>
              <w:spacing w:line="380" w:lineRule="exact"/>
              <w:jc w:val="left"/>
              <w:rPr>
                <w:rFonts w:ascii="宋体" w:hAnsi="宋体"/>
                <w:color w:val="auto"/>
                <w:szCs w:val="21"/>
                <w:highlight w:val="none"/>
              </w:rPr>
            </w:pPr>
          </w:p>
        </w:tc>
      </w:tr>
      <w:tr w14:paraId="26CB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60" w:hRule="atLeast"/>
        </w:trPr>
        <w:tc>
          <w:tcPr>
            <w:tcW w:w="1791" w:type="dxa"/>
            <w:noWrap w:val="0"/>
            <w:vAlign w:val="center"/>
          </w:tcPr>
          <w:p w14:paraId="21AF1D04">
            <w:pPr>
              <w:spacing w:line="380" w:lineRule="exact"/>
              <w:jc w:val="center"/>
              <w:rPr>
                <w:rFonts w:ascii="宋体" w:hAnsi="宋体"/>
                <w:color w:val="auto"/>
                <w:szCs w:val="21"/>
                <w:highlight w:val="none"/>
              </w:rPr>
            </w:pPr>
            <w:r>
              <w:rPr>
                <w:rFonts w:hint="eastAsia" w:ascii="宋体" w:hAnsi="宋体"/>
                <w:color w:val="auto"/>
                <w:szCs w:val="21"/>
                <w:highlight w:val="none"/>
                <w:lang w:eastAsia="zh-CN"/>
              </w:rPr>
              <w:t>评标基准价</w:t>
            </w:r>
            <w:r>
              <w:rPr>
                <w:rFonts w:hint="eastAsia" w:ascii="宋体" w:hAnsi="宋体"/>
                <w:color w:val="auto"/>
                <w:szCs w:val="21"/>
                <w:highlight w:val="none"/>
              </w:rPr>
              <w:t>PC(万元)</w:t>
            </w:r>
          </w:p>
        </w:tc>
        <w:tc>
          <w:tcPr>
            <w:tcW w:w="11840" w:type="dxa"/>
            <w:gridSpan w:val="10"/>
            <w:noWrap w:val="0"/>
            <w:vAlign w:val="center"/>
          </w:tcPr>
          <w:p w14:paraId="6FA882F5">
            <w:pPr>
              <w:spacing w:line="380" w:lineRule="exact"/>
              <w:jc w:val="left"/>
              <w:rPr>
                <w:rFonts w:ascii="宋体" w:hAnsi="宋体"/>
                <w:color w:val="auto"/>
                <w:szCs w:val="21"/>
                <w:highlight w:val="none"/>
              </w:rPr>
            </w:pPr>
          </w:p>
        </w:tc>
      </w:tr>
      <w:tr w14:paraId="1DFC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91" w:type="dxa"/>
            <w:noWrap w:val="0"/>
            <w:vAlign w:val="center"/>
          </w:tcPr>
          <w:p w14:paraId="05CF6A71">
            <w:pPr>
              <w:spacing w:line="380" w:lineRule="exact"/>
              <w:jc w:val="center"/>
              <w:rPr>
                <w:rFonts w:ascii="宋体" w:hAnsi="宋体"/>
                <w:color w:val="auto"/>
                <w:szCs w:val="21"/>
                <w:highlight w:val="none"/>
              </w:rPr>
            </w:pPr>
            <w:r>
              <w:rPr>
                <w:rFonts w:hint="eastAsia" w:ascii="宋体" w:hAnsi="宋体"/>
                <w:color w:val="auto"/>
                <w:szCs w:val="21"/>
                <w:highlight w:val="none"/>
              </w:rPr>
              <w:t>偏差率((PT-PC)/PC)(%)</w:t>
            </w:r>
          </w:p>
        </w:tc>
        <w:tc>
          <w:tcPr>
            <w:tcW w:w="1184" w:type="dxa"/>
            <w:noWrap w:val="0"/>
            <w:vAlign w:val="center"/>
          </w:tcPr>
          <w:p w14:paraId="093EC373">
            <w:pPr>
              <w:spacing w:line="380" w:lineRule="exact"/>
              <w:jc w:val="left"/>
              <w:rPr>
                <w:rFonts w:ascii="宋体" w:hAnsi="宋体"/>
                <w:color w:val="auto"/>
                <w:szCs w:val="21"/>
                <w:highlight w:val="none"/>
              </w:rPr>
            </w:pPr>
          </w:p>
        </w:tc>
        <w:tc>
          <w:tcPr>
            <w:tcW w:w="1184" w:type="dxa"/>
            <w:noWrap w:val="0"/>
            <w:vAlign w:val="center"/>
          </w:tcPr>
          <w:p w14:paraId="63D37E84">
            <w:pPr>
              <w:spacing w:line="380" w:lineRule="exact"/>
              <w:jc w:val="left"/>
              <w:rPr>
                <w:rFonts w:ascii="宋体" w:hAnsi="宋体"/>
                <w:color w:val="auto"/>
                <w:szCs w:val="21"/>
                <w:highlight w:val="none"/>
              </w:rPr>
            </w:pPr>
          </w:p>
        </w:tc>
        <w:tc>
          <w:tcPr>
            <w:tcW w:w="1184" w:type="dxa"/>
            <w:noWrap w:val="0"/>
            <w:vAlign w:val="center"/>
          </w:tcPr>
          <w:p w14:paraId="6BA910CA">
            <w:pPr>
              <w:spacing w:line="380" w:lineRule="exact"/>
              <w:jc w:val="left"/>
              <w:rPr>
                <w:rFonts w:ascii="宋体" w:hAnsi="宋体"/>
                <w:color w:val="auto"/>
                <w:szCs w:val="21"/>
                <w:highlight w:val="none"/>
              </w:rPr>
            </w:pPr>
          </w:p>
        </w:tc>
        <w:tc>
          <w:tcPr>
            <w:tcW w:w="1185" w:type="dxa"/>
            <w:noWrap w:val="0"/>
            <w:vAlign w:val="center"/>
          </w:tcPr>
          <w:p w14:paraId="11EA6429">
            <w:pPr>
              <w:spacing w:line="380" w:lineRule="exact"/>
              <w:jc w:val="left"/>
              <w:rPr>
                <w:rFonts w:ascii="宋体" w:hAnsi="宋体"/>
                <w:color w:val="auto"/>
                <w:szCs w:val="21"/>
                <w:highlight w:val="none"/>
              </w:rPr>
            </w:pPr>
          </w:p>
        </w:tc>
        <w:tc>
          <w:tcPr>
            <w:tcW w:w="1185" w:type="dxa"/>
            <w:noWrap w:val="0"/>
            <w:vAlign w:val="center"/>
          </w:tcPr>
          <w:p w14:paraId="35B8A218">
            <w:pPr>
              <w:spacing w:line="380" w:lineRule="exact"/>
              <w:jc w:val="left"/>
              <w:rPr>
                <w:rFonts w:ascii="宋体" w:hAnsi="宋体"/>
                <w:color w:val="auto"/>
                <w:szCs w:val="21"/>
                <w:highlight w:val="none"/>
              </w:rPr>
            </w:pPr>
          </w:p>
        </w:tc>
        <w:tc>
          <w:tcPr>
            <w:tcW w:w="1185" w:type="dxa"/>
            <w:noWrap w:val="0"/>
            <w:vAlign w:val="center"/>
          </w:tcPr>
          <w:p w14:paraId="2F69D037">
            <w:pPr>
              <w:spacing w:line="380" w:lineRule="exact"/>
              <w:jc w:val="left"/>
              <w:rPr>
                <w:rFonts w:ascii="宋体" w:hAnsi="宋体"/>
                <w:color w:val="auto"/>
                <w:szCs w:val="21"/>
                <w:highlight w:val="none"/>
              </w:rPr>
            </w:pPr>
          </w:p>
        </w:tc>
        <w:tc>
          <w:tcPr>
            <w:tcW w:w="1185" w:type="dxa"/>
            <w:noWrap w:val="0"/>
            <w:vAlign w:val="center"/>
          </w:tcPr>
          <w:p w14:paraId="4188CB47">
            <w:pPr>
              <w:spacing w:line="380" w:lineRule="exact"/>
              <w:jc w:val="left"/>
              <w:rPr>
                <w:rFonts w:ascii="宋体" w:hAnsi="宋体"/>
                <w:color w:val="auto"/>
                <w:szCs w:val="21"/>
                <w:highlight w:val="none"/>
              </w:rPr>
            </w:pPr>
          </w:p>
        </w:tc>
        <w:tc>
          <w:tcPr>
            <w:tcW w:w="1185" w:type="dxa"/>
            <w:noWrap w:val="0"/>
            <w:vAlign w:val="center"/>
          </w:tcPr>
          <w:p w14:paraId="0F3F0513">
            <w:pPr>
              <w:spacing w:line="380" w:lineRule="exact"/>
              <w:jc w:val="left"/>
              <w:rPr>
                <w:rFonts w:ascii="宋体" w:hAnsi="宋体"/>
                <w:color w:val="auto"/>
                <w:szCs w:val="21"/>
                <w:highlight w:val="none"/>
              </w:rPr>
            </w:pPr>
          </w:p>
        </w:tc>
        <w:tc>
          <w:tcPr>
            <w:tcW w:w="1185" w:type="dxa"/>
            <w:noWrap w:val="0"/>
            <w:vAlign w:val="center"/>
          </w:tcPr>
          <w:p w14:paraId="65192938">
            <w:pPr>
              <w:spacing w:line="380" w:lineRule="exact"/>
              <w:jc w:val="left"/>
              <w:rPr>
                <w:rFonts w:ascii="宋体" w:hAnsi="宋体"/>
                <w:color w:val="auto"/>
                <w:szCs w:val="21"/>
                <w:highlight w:val="none"/>
              </w:rPr>
            </w:pPr>
          </w:p>
        </w:tc>
        <w:tc>
          <w:tcPr>
            <w:tcW w:w="1185" w:type="dxa"/>
            <w:gridSpan w:val="2"/>
            <w:noWrap w:val="0"/>
            <w:vAlign w:val="center"/>
          </w:tcPr>
          <w:p w14:paraId="67CD9D2F">
            <w:pPr>
              <w:spacing w:line="380" w:lineRule="exact"/>
              <w:jc w:val="left"/>
              <w:rPr>
                <w:rFonts w:ascii="宋体" w:hAnsi="宋体"/>
                <w:color w:val="auto"/>
                <w:szCs w:val="21"/>
                <w:highlight w:val="none"/>
              </w:rPr>
            </w:pPr>
          </w:p>
        </w:tc>
      </w:tr>
      <w:tr w14:paraId="4800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91" w:type="dxa"/>
            <w:noWrap w:val="0"/>
            <w:vAlign w:val="center"/>
          </w:tcPr>
          <w:p w14:paraId="4E2FAFDC">
            <w:pPr>
              <w:spacing w:line="380" w:lineRule="exact"/>
              <w:jc w:val="center"/>
              <w:rPr>
                <w:rFonts w:ascii="宋体" w:hAnsi="宋体"/>
                <w:color w:val="auto"/>
                <w:szCs w:val="21"/>
                <w:highlight w:val="none"/>
              </w:rPr>
            </w:pPr>
            <w:r>
              <w:rPr>
                <w:rFonts w:hint="eastAsia" w:ascii="宋体" w:hAnsi="宋体"/>
                <w:color w:val="auto"/>
                <w:szCs w:val="21"/>
                <w:highlight w:val="none"/>
              </w:rPr>
              <w:t>减分(A)</w:t>
            </w:r>
          </w:p>
        </w:tc>
        <w:tc>
          <w:tcPr>
            <w:tcW w:w="1184" w:type="dxa"/>
            <w:noWrap w:val="0"/>
            <w:vAlign w:val="center"/>
          </w:tcPr>
          <w:p w14:paraId="5EC8FE02">
            <w:pPr>
              <w:spacing w:line="380" w:lineRule="exact"/>
              <w:jc w:val="left"/>
              <w:rPr>
                <w:rFonts w:ascii="宋体" w:hAnsi="宋体"/>
                <w:color w:val="auto"/>
                <w:szCs w:val="21"/>
                <w:highlight w:val="none"/>
              </w:rPr>
            </w:pPr>
          </w:p>
        </w:tc>
        <w:tc>
          <w:tcPr>
            <w:tcW w:w="1184" w:type="dxa"/>
            <w:noWrap w:val="0"/>
            <w:vAlign w:val="center"/>
          </w:tcPr>
          <w:p w14:paraId="6F6B6B2B">
            <w:pPr>
              <w:spacing w:line="380" w:lineRule="exact"/>
              <w:jc w:val="left"/>
              <w:rPr>
                <w:rFonts w:ascii="宋体" w:hAnsi="宋体"/>
                <w:color w:val="auto"/>
                <w:szCs w:val="21"/>
                <w:highlight w:val="none"/>
              </w:rPr>
            </w:pPr>
          </w:p>
        </w:tc>
        <w:tc>
          <w:tcPr>
            <w:tcW w:w="1184" w:type="dxa"/>
            <w:noWrap w:val="0"/>
            <w:vAlign w:val="center"/>
          </w:tcPr>
          <w:p w14:paraId="0D2B291A">
            <w:pPr>
              <w:spacing w:line="380" w:lineRule="exact"/>
              <w:jc w:val="left"/>
              <w:rPr>
                <w:rFonts w:ascii="宋体" w:hAnsi="宋体"/>
                <w:color w:val="auto"/>
                <w:szCs w:val="21"/>
                <w:highlight w:val="none"/>
              </w:rPr>
            </w:pPr>
          </w:p>
        </w:tc>
        <w:tc>
          <w:tcPr>
            <w:tcW w:w="1185" w:type="dxa"/>
            <w:noWrap w:val="0"/>
            <w:vAlign w:val="center"/>
          </w:tcPr>
          <w:p w14:paraId="047403CD">
            <w:pPr>
              <w:spacing w:line="380" w:lineRule="exact"/>
              <w:jc w:val="left"/>
              <w:rPr>
                <w:rFonts w:ascii="宋体" w:hAnsi="宋体"/>
                <w:color w:val="auto"/>
                <w:szCs w:val="21"/>
                <w:highlight w:val="none"/>
              </w:rPr>
            </w:pPr>
          </w:p>
        </w:tc>
        <w:tc>
          <w:tcPr>
            <w:tcW w:w="1185" w:type="dxa"/>
            <w:noWrap w:val="0"/>
            <w:vAlign w:val="center"/>
          </w:tcPr>
          <w:p w14:paraId="7C253A5D">
            <w:pPr>
              <w:spacing w:line="380" w:lineRule="exact"/>
              <w:jc w:val="left"/>
              <w:rPr>
                <w:rFonts w:ascii="宋体" w:hAnsi="宋体"/>
                <w:color w:val="auto"/>
                <w:szCs w:val="21"/>
                <w:highlight w:val="none"/>
              </w:rPr>
            </w:pPr>
          </w:p>
        </w:tc>
        <w:tc>
          <w:tcPr>
            <w:tcW w:w="1185" w:type="dxa"/>
            <w:noWrap w:val="0"/>
            <w:vAlign w:val="center"/>
          </w:tcPr>
          <w:p w14:paraId="0325B42A">
            <w:pPr>
              <w:spacing w:line="380" w:lineRule="exact"/>
              <w:jc w:val="left"/>
              <w:rPr>
                <w:rFonts w:ascii="宋体" w:hAnsi="宋体"/>
                <w:color w:val="auto"/>
                <w:szCs w:val="21"/>
                <w:highlight w:val="none"/>
              </w:rPr>
            </w:pPr>
          </w:p>
        </w:tc>
        <w:tc>
          <w:tcPr>
            <w:tcW w:w="1185" w:type="dxa"/>
            <w:noWrap w:val="0"/>
            <w:vAlign w:val="center"/>
          </w:tcPr>
          <w:p w14:paraId="2D67364D">
            <w:pPr>
              <w:spacing w:line="380" w:lineRule="exact"/>
              <w:jc w:val="left"/>
              <w:rPr>
                <w:rFonts w:ascii="宋体" w:hAnsi="宋体"/>
                <w:color w:val="auto"/>
                <w:szCs w:val="21"/>
                <w:highlight w:val="none"/>
              </w:rPr>
            </w:pPr>
          </w:p>
        </w:tc>
        <w:tc>
          <w:tcPr>
            <w:tcW w:w="1185" w:type="dxa"/>
            <w:noWrap w:val="0"/>
            <w:vAlign w:val="center"/>
          </w:tcPr>
          <w:p w14:paraId="3CBC8654">
            <w:pPr>
              <w:spacing w:line="380" w:lineRule="exact"/>
              <w:jc w:val="left"/>
              <w:rPr>
                <w:rFonts w:ascii="宋体" w:hAnsi="宋体"/>
                <w:color w:val="auto"/>
                <w:szCs w:val="21"/>
                <w:highlight w:val="none"/>
              </w:rPr>
            </w:pPr>
          </w:p>
        </w:tc>
        <w:tc>
          <w:tcPr>
            <w:tcW w:w="1185" w:type="dxa"/>
            <w:noWrap w:val="0"/>
            <w:vAlign w:val="center"/>
          </w:tcPr>
          <w:p w14:paraId="0F8A1D92">
            <w:pPr>
              <w:spacing w:line="380" w:lineRule="exact"/>
              <w:jc w:val="left"/>
              <w:rPr>
                <w:rFonts w:ascii="宋体" w:hAnsi="宋体"/>
                <w:color w:val="auto"/>
                <w:szCs w:val="21"/>
                <w:highlight w:val="none"/>
              </w:rPr>
            </w:pPr>
          </w:p>
        </w:tc>
        <w:tc>
          <w:tcPr>
            <w:tcW w:w="1185" w:type="dxa"/>
            <w:gridSpan w:val="2"/>
            <w:noWrap w:val="0"/>
            <w:vAlign w:val="center"/>
          </w:tcPr>
          <w:p w14:paraId="4E55F76E">
            <w:pPr>
              <w:spacing w:line="380" w:lineRule="exact"/>
              <w:jc w:val="left"/>
              <w:rPr>
                <w:rFonts w:ascii="宋体" w:hAnsi="宋体"/>
                <w:color w:val="auto"/>
                <w:szCs w:val="21"/>
                <w:highlight w:val="none"/>
              </w:rPr>
            </w:pPr>
          </w:p>
        </w:tc>
      </w:tr>
      <w:tr w14:paraId="32E2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91" w:type="dxa"/>
            <w:noWrap w:val="0"/>
            <w:vAlign w:val="center"/>
          </w:tcPr>
          <w:p w14:paraId="71C1CF6B">
            <w:pPr>
              <w:spacing w:line="380" w:lineRule="exact"/>
              <w:jc w:val="center"/>
              <w:rPr>
                <w:rFonts w:ascii="宋体" w:hAnsi="宋体"/>
                <w:color w:val="auto"/>
                <w:szCs w:val="21"/>
                <w:highlight w:val="none"/>
              </w:rPr>
            </w:pPr>
            <w:r>
              <w:rPr>
                <w:rFonts w:hint="eastAsia" w:ascii="宋体" w:hAnsi="宋体"/>
                <w:color w:val="auto"/>
                <w:szCs w:val="21"/>
                <w:highlight w:val="none"/>
              </w:rPr>
              <w:t>得分(I=10-A)</w:t>
            </w:r>
          </w:p>
        </w:tc>
        <w:tc>
          <w:tcPr>
            <w:tcW w:w="1184" w:type="dxa"/>
            <w:noWrap w:val="0"/>
            <w:vAlign w:val="center"/>
          </w:tcPr>
          <w:p w14:paraId="3C448E8F">
            <w:pPr>
              <w:spacing w:line="380" w:lineRule="exact"/>
              <w:jc w:val="left"/>
              <w:rPr>
                <w:rFonts w:ascii="宋体" w:hAnsi="宋体"/>
                <w:color w:val="auto"/>
                <w:szCs w:val="21"/>
                <w:highlight w:val="none"/>
              </w:rPr>
            </w:pPr>
          </w:p>
        </w:tc>
        <w:tc>
          <w:tcPr>
            <w:tcW w:w="1184" w:type="dxa"/>
            <w:noWrap w:val="0"/>
            <w:vAlign w:val="center"/>
          </w:tcPr>
          <w:p w14:paraId="59B2D76D">
            <w:pPr>
              <w:spacing w:line="380" w:lineRule="exact"/>
              <w:jc w:val="left"/>
              <w:rPr>
                <w:rFonts w:ascii="宋体" w:hAnsi="宋体"/>
                <w:color w:val="auto"/>
                <w:szCs w:val="21"/>
                <w:highlight w:val="none"/>
              </w:rPr>
            </w:pPr>
          </w:p>
        </w:tc>
        <w:tc>
          <w:tcPr>
            <w:tcW w:w="1184" w:type="dxa"/>
            <w:noWrap w:val="0"/>
            <w:vAlign w:val="center"/>
          </w:tcPr>
          <w:p w14:paraId="7BAFD022">
            <w:pPr>
              <w:spacing w:line="380" w:lineRule="exact"/>
              <w:jc w:val="left"/>
              <w:rPr>
                <w:rFonts w:ascii="宋体" w:hAnsi="宋体"/>
                <w:color w:val="auto"/>
                <w:szCs w:val="21"/>
                <w:highlight w:val="none"/>
              </w:rPr>
            </w:pPr>
          </w:p>
        </w:tc>
        <w:tc>
          <w:tcPr>
            <w:tcW w:w="1185" w:type="dxa"/>
            <w:noWrap w:val="0"/>
            <w:vAlign w:val="center"/>
          </w:tcPr>
          <w:p w14:paraId="1FAA4ABD">
            <w:pPr>
              <w:spacing w:line="380" w:lineRule="exact"/>
              <w:jc w:val="left"/>
              <w:rPr>
                <w:rFonts w:ascii="宋体" w:hAnsi="宋体"/>
                <w:color w:val="auto"/>
                <w:szCs w:val="21"/>
                <w:highlight w:val="none"/>
              </w:rPr>
            </w:pPr>
          </w:p>
        </w:tc>
        <w:tc>
          <w:tcPr>
            <w:tcW w:w="1185" w:type="dxa"/>
            <w:noWrap w:val="0"/>
            <w:vAlign w:val="center"/>
          </w:tcPr>
          <w:p w14:paraId="506EFBFF">
            <w:pPr>
              <w:spacing w:line="380" w:lineRule="exact"/>
              <w:jc w:val="left"/>
              <w:rPr>
                <w:rFonts w:ascii="宋体" w:hAnsi="宋体"/>
                <w:color w:val="auto"/>
                <w:szCs w:val="21"/>
                <w:highlight w:val="none"/>
              </w:rPr>
            </w:pPr>
          </w:p>
        </w:tc>
        <w:tc>
          <w:tcPr>
            <w:tcW w:w="1185" w:type="dxa"/>
            <w:noWrap w:val="0"/>
            <w:vAlign w:val="center"/>
          </w:tcPr>
          <w:p w14:paraId="21B6F755">
            <w:pPr>
              <w:spacing w:line="380" w:lineRule="exact"/>
              <w:jc w:val="left"/>
              <w:rPr>
                <w:rFonts w:ascii="宋体" w:hAnsi="宋体"/>
                <w:color w:val="auto"/>
                <w:szCs w:val="21"/>
                <w:highlight w:val="none"/>
              </w:rPr>
            </w:pPr>
          </w:p>
        </w:tc>
        <w:tc>
          <w:tcPr>
            <w:tcW w:w="1185" w:type="dxa"/>
            <w:noWrap w:val="0"/>
            <w:vAlign w:val="center"/>
          </w:tcPr>
          <w:p w14:paraId="33849399">
            <w:pPr>
              <w:spacing w:line="380" w:lineRule="exact"/>
              <w:jc w:val="left"/>
              <w:rPr>
                <w:rFonts w:ascii="宋体" w:hAnsi="宋体"/>
                <w:color w:val="auto"/>
                <w:szCs w:val="21"/>
                <w:highlight w:val="none"/>
              </w:rPr>
            </w:pPr>
          </w:p>
        </w:tc>
        <w:tc>
          <w:tcPr>
            <w:tcW w:w="1185" w:type="dxa"/>
            <w:noWrap w:val="0"/>
            <w:vAlign w:val="center"/>
          </w:tcPr>
          <w:p w14:paraId="5D00EA34">
            <w:pPr>
              <w:spacing w:line="380" w:lineRule="exact"/>
              <w:jc w:val="left"/>
              <w:rPr>
                <w:rFonts w:ascii="宋体" w:hAnsi="宋体"/>
                <w:color w:val="auto"/>
                <w:szCs w:val="21"/>
                <w:highlight w:val="none"/>
              </w:rPr>
            </w:pPr>
          </w:p>
        </w:tc>
        <w:tc>
          <w:tcPr>
            <w:tcW w:w="1185" w:type="dxa"/>
            <w:noWrap w:val="0"/>
            <w:vAlign w:val="center"/>
          </w:tcPr>
          <w:p w14:paraId="5D8ED18F">
            <w:pPr>
              <w:spacing w:line="380" w:lineRule="exact"/>
              <w:jc w:val="left"/>
              <w:rPr>
                <w:rFonts w:ascii="宋体" w:hAnsi="宋体"/>
                <w:color w:val="auto"/>
                <w:szCs w:val="21"/>
                <w:highlight w:val="none"/>
              </w:rPr>
            </w:pPr>
          </w:p>
        </w:tc>
        <w:tc>
          <w:tcPr>
            <w:tcW w:w="1185" w:type="dxa"/>
            <w:gridSpan w:val="2"/>
            <w:noWrap w:val="0"/>
            <w:vAlign w:val="center"/>
          </w:tcPr>
          <w:p w14:paraId="4960EEC8">
            <w:pPr>
              <w:spacing w:line="380" w:lineRule="exact"/>
              <w:jc w:val="left"/>
              <w:rPr>
                <w:rFonts w:ascii="宋体" w:hAnsi="宋体"/>
                <w:color w:val="auto"/>
                <w:szCs w:val="21"/>
                <w:highlight w:val="none"/>
              </w:rPr>
            </w:pPr>
          </w:p>
        </w:tc>
      </w:tr>
    </w:tbl>
    <w:p w14:paraId="75F33E0E">
      <w:pPr>
        <w:numPr>
          <w:ilvl w:val="0"/>
          <w:numId w:val="10"/>
        </w:numPr>
        <w:jc w:val="left"/>
        <w:rPr>
          <w:rFonts w:ascii="宋体" w:hAnsi="宋体" w:cs="仿宋_GB2312"/>
          <w:color w:val="auto"/>
          <w:sz w:val="21"/>
          <w:szCs w:val="21"/>
          <w:highlight w:val="none"/>
        </w:rPr>
      </w:pPr>
      <w:r>
        <w:rPr>
          <w:rFonts w:hint="eastAsia" w:ascii="宋体" w:hAnsi="宋体" w:cs="仿宋_GB2312"/>
          <w:color w:val="auto"/>
          <w:sz w:val="21"/>
          <w:szCs w:val="21"/>
          <w:highlight w:val="none"/>
          <w:lang w:eastAsia="zh-CN"/>
        </w:rPr>
        <w:t>评标基准价</w:t>
      </w:r>
      <w:r>
        <w:rPr>
          <w:rFonts w:hint="eastAsia" w:ascii="宋体" w:hAnsi="宋体" w:cs="仿宋_GB2312"/>
          <w:color w:val="auto"/>
          <w:sz w:val="21"/>
          <w:szCs w:val="21"/>
          <w:highlight w:val="none"/>
        </w:rPr>
        <w:t>（PC）的计算：</w:t>
      </w:r>
      <w:r>
        <w:rPr>
          <w:rFonts w:hint="eastAsia" w:ascii="宋体" w:hAnsi="宋体" w:cs="仿宋_GB2312"/>
          <w:color w:val="auto"/>
          <w:szCs w:val="21"/>
          <w:highlight w:val="none"/>
        </w:rPr>
        <w:t>通过资格审查及有效性审查且投标报价位于[最高投标限价×80%，最高投标限价]区间的有效投标人参与评标基准价的计算。①当区间内的有效投标人大于5名时，去掉一个最高价和一个最低价，取区间内余下投标报价的算术平均值作为评标基准价；②当区间内的有效投标人为 1～5名时，取区间内所有投标报价的算术平均值作为评标基准价；③当区间内的有效投标人为0名时，按最高投标限价×80%计算作为评标基准价</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评标基准价精确到小数点后两位。</w:t>
      </w:r>
    </w:p>
    <w:p w14:paraId="39E022BD">
      <w:pPr>
        <w:numPr>
          <w:ilvl w:val="0"/>
          <w:numId w:val="10"/>
        </w:numPr>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投标报价得分：当投标人投标报价等于评标基准价时得10分</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当投标人投标报价位于[最高投标限价×80%，最高投标限价]时，每高于评标基准价1%，扣0.</w:t>
      </w:r>
      <w:r>
        <w:rPr>
          <w:rFonts w:hint="eastAsia" w:ascii="宋体" w:hAnsi="宋体" w:cs="仿宋_GB2312"/>
          <w:color w:val="auto"/>
          <w:sz w:val="21"/>
          <w:szCs w:val="21"/>
          <w:highlight w:val="none"/>
          <w:lang w:val="en-US" w:eastAsia="zh-CN"/>
        </w:rPr>
        <w:t>3</w:t>
      </w:r>
      <w:r>
        <w:rPr>
          <w:rFonts w:hint="eastAsia" w:ascii="宋体" w:hAnsi="宋体" w:cs="仿宋_GB2312"/>
          <w:color w:val="auto"/>
          <w:sz w:val="21"/>
          <w:szCs w:val="21"/>
          <w:highlight w:val="none"/>
        </w:rPr>
        <w:t>分；每低于评标基准价1%，扣0.</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分；扣至0分为止</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当投标人投标报价小于最高投标限价×80%时，每低于评标基准价1%，扣1分；扣至0分为止</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报价得分精确到小数点后两位。</w:t>
      </w:r>
    </w:p>
    <w:p w14:paraId="27FAFED8">
      <w:pPr>
        <w:pStyle w:val="223"/>
        <w:spacing w:line="264" w:lineRule="auto"/>
        <w:jc w:val="both"/>
        <w:rPr>
          <w:rFonts w:ascii="宋体" w:hAnsi="宋体"/>
          <w:color w:val="auto"/>
          <w:sz w:val="44"/>
          <w:highlight w:val="none"/>
        </w:rPr>
        <w:sectPr>
          <w:footerReference r:id="rId10" w:type="first"/>
          <w:footerReference r:id="rId9" w:type="default"/>
          <w:pgSz w:w="16838" w:h="11906" w:orient="landscape"/>
          <w:pgMar w:top="1797" w:right="1417" w:bottom="1417" w:left="1417" w:header="851" w:footer="850" w:gutter="0"/>
          <w:pgNumType w:fmt="decimal"/>
          <w:cols w:space="720" w:num="1"/>
          <w:titlePg/>
          <w:docGrid w:linePitch="286" w:charSpace="0"/>
        </w:sectPr>
      </w:pPr>
    </w:p>
    <w:p w14:paraId="5EA9E88D">
      <w:pPr>
        <w:pStyle w:val="223"/>
        <w:spacing w:line="264" w:lineRule="auto"/>
        <w:rPr>
          <w:rFonts w:hint="eastAsia" w:ascii="宋体" w:hAnsi="宋体" w:cs="宋体"/>
          <w:color w:val="auto"/>
          <w:sz w:val="44"/>
          <w:highlight w:val="none"/>
        </w:rPr>
      </w:pPr>
      <w:bookmarkStart w:id="37" w:name="_Toc8229527"/>
    </w:p>
    <w:p w14:paraId="0373D83E">
      <w:pPr>
        <w:pStyle w:val="223"/>
        <w:spacing w:line="264" w:lineRule="auto"/>
        <w:rPr>
          <w:rFonts w:ascii="宋体" w:hAnsi="宋体" w:cs="宋体"/>
          <w:color w:val="auto"/>
          <w:sz w:val="44"/>
          <w:highlight w:val="none"/>
        </w:rPr>
      </w:pPr>
      <w:bookmarkStart w:id="38" w:name="_Toc18547"/>
      <w:r>
        <w:rPr>
          <w:rFonts w:hint="eastAsia" w:ascii="宋体" w:hAnsi="宋体" w:cs="宋体"/>
          <w:color w:val="auto"/>
          <w:sz w:val="44"/>
          <w:highlight w:val="none"/>
        </w:rPr>
        <w:t>第三章  合同格式</w:t>
      </w:r>
      <w:bookmarkEnd w:id="37"/>
      <w:bookmarkEnd w:id="38"/>
    </w:p>
    <w:p w14:paraId="7A722F30">
      <w:pPr>
        <w:autoSpaceDE w:val="0"/>
        <w:autoSpaceDN w:val="0"/>
        <w:spacing w:line="300" w:lineRule="auto"/>
        <w:rPr>
          <w:rFonts w:hint="default" w:ascii="Times New Roman" w:hAnsi="Times New Roman" w:cs="Times New Roman"/>
          <w:b/>
          <w:color w:val="auto"/>
          <w:sz w:val="32"/>
          <w:szCs w:val="32"/>
          <w:highlight w:val="none"/>
        </w:rPr>
      </w:pPr>
    </w:p>
    <w:p w14:paraId="5C4E0ECC">
      <w:pPr>
        <w:pStyle w:val="223"/>
        <w:spacing w:line="264" w:lineRule="auto"/>
        <w:outlineLvl w:val="9"/>
        <w:rPr>
          <w:rFonts w:hint="eastAsia"/>
          <w:color w:val="auto"/>
          <w:highlight w:val="none"/>
        </w:rPr>
      </w:pPr>
      <w:r>
        <w:rPr>
          <w:rFonts w:hint="eastAsia" w:ascii="Times New Roman" w:hAnsi="Times New Roman" w:cs="Times New Roman"/>
          <w:b/>
          <w:color w:val="auto"/>
          <w:sz w:val="28"/>
          <w:szCs w:val="28"/>
          <w:highlight w:val="none"/>
          <w:lang w:eastAsia="zh-CN"/>
        </w:rPr>
        <w:t>（另册提供）</w:t>
      </w:r>
      <w:bookmarkStart w:id="39" w:name="_Toc8229528"/>
      <w:r>
        <w:rPr>
          <w:rFonts w:hint="eastAsia"/>
          <w:color w:val="auto"/>
          <w:highlight w:val="none"/>
        </w:rPr>
        <w:br w:type="page"/>
      </w:r>
    </w:p>
    <w:p w14:paraId="5FB36AF8">
      <w:pPr>
        <w:pStyle w:val="223"/>
        <w:spacing w:line="264" w:lineRule="auto"/>
        <w:rPr>
          <w:rFonts w:hint="eastAsia" w:ascii="宋体" w:hAnsi="宋体" w:eastAsia="宋体" w:cs="宋体"/>
          <w:b/>
          <w:bCs/>
          <w:color w:val="auto"/>
          <w:sz w:val="44"/>
          <w:highlight w:val="none"/>
        </w:rPr>
      </w:pPr>
      <w:bookmarkStart w:id="40" w:name="_Toc905"/>
      <w:r>
        <w:rPr>
          <w:rFonts w:hint="eastAsia" w:ascii="宋体" w:hAnsi="宋体" w:eastAsia="宋体" w:cs="宋体"/>
          <w:b/>
          <w:bCs/>
          <w:color w:val="auto"/>
          <w:sz w:val="44"/>
          <w:highlight w:val="none"/>
        </w:rPr>
        <w:t>第四章  投标文件格式</w:t>
      </w:r>
      <w:bookmarkEnd w:id="39"/>
      <w:bookmarkEnd w:id="40"/>
    </w:p>
    <w:p w14:paraId="36CCC0FD">
      <w:pPr>
        <w:spacing w:line="264" w:lineRule="auto"/>
        <w:rPr>
          <w:rFonts w:ascii="宋体" w:hAnsi="宋体"/>
          <w:b/>
          <w:bCs/>
          <w:color w:val="auto"/>
          <w:sz w:val="28"/>
          <w:szCs w:val="32"/>
          <w:highlight w:val="none"/>
        </w:rPr>
      </w:pPr>
    </w:p>
    <w:p w14:paraId="640D3C09">
      <w:pPr>
        <w:pStyle w:val="5"/>
        <w:jc w:val="both"/>
        <w:rPr>
          <w:rFonts w:cs="宋体"/>
          <w:color w:val="auto"/>
          <w:kern w:val="0"/>
          <w:szCs w:val="28"/>
          <w:highlight w:val="none"/>
        </w:rPr>
      </w:pPr>
      <w:r>
        <w:rPr>
          <w:color w:val="auto"/>
          <w:highlight w:val="none"/>
        </w:rPr>
        <w:br w:type="page"/>
      </w:r>
      <w:bookmarkStart w:id="41" w:name="_Toc7361045"/>
      <w:bookmarkStart w:id="42" w:name="_Toc8229529"/>
      <w:bookmarkStart w:id="43" w:name="_Toc346800661"/>
      <w:bookmarkStart w:id="44" w:name="_Toc346713357"/>
      <w:bookmarkStart w:id="45" w:name="_Toc176282172"/>
      <w:r>
        <w:rPr>
          <w:rFonts w:hint="eastAsia" w:cs="宋体"/>
          <w:color w:val="auto"/>
          <w:kern w:val="0"/>
          <w:highlight w:val="none"/>
        </w:rPr>
        <w:t>格式一：</w:t>
      </w:r>
      <w:bookmarkEnd w:id="41"/>
      <w:bookmarkEnd w:id="42"/>
      <w:bookmarkStart w:id="46" w:name="_Toc8229530"/>
      <w:bookmarkStart w:id="47" w:name="_Toc7361046"/>
      <w:r>
        <w:rPr>
          <w:color w:val="auto"/>
          <w:szCs w:val="28"/>
          <w:highlight w:val="none"/>
        </w:rPr>
        <w:t>投标函及投标函附录</w:t>
      </w:r>
      <w:bookmarkEnd w:id="46"/>
      <w:bookmarkEnd w:id="47"/>
    </w:p>
    <w:p w14:paraId="65D6B33D">
      <w:pPr>
        <w:spacing w:line="44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投  标  函</w:t>
      </w:r>
    </w:p>
    <w:p w14:paraId="461B5BE7">
      <w:pPr>
        <w:spacing w:line="440" w:lineRule="exact"/>
        <w:jc w:val="left"/>
        <w:rPr>
          <w:rFonts w:ascii="宋体" w:hAnsi="宋体"/>
          <w:b/>
          <w:bCs/>
          <w:color w:val="auto"/>
          <w:szCs w:val="21"/>
          <w:highlight w:val="none"/>
          <w:u w:val="single"/>
        </w:rPr>
      </w:pPr>
      <w:r>
        <w:rPr>
          <w:rFonts w:hint="eastAsia" w:ascii="宋体" w:hAnsi="宋体"/>
          <w:b/>
          <w:bCs/>
          <w:color w:val="auto"/>
          <w:szCs w:val="21"/>
          <w:highlight w:val="none"/>
        </w:rPr>
        <w:t>致：</w:t>
      </w:r>
      <w:r>
        <w:rPr>
          <w:rFonts w:hint="eastAsia" w:ascii="宋体" w:hAnsi="宋体"/>
          <w:b/>
          <w:bCs/>
          <w:color w:val="auto"/>
          <w:szCs w:val="21"/>
          <w:highlight w:val="none"/>
          <w:u w:val="single"/>
        </w:rPr>
        <w:t xml:space="preserve">                </w:t>
      </w:r>
    </w:p>
    <w:p w14:paraId="03F88411">
      <w:pPr>
        <w:numPr>
          <w:ilvl w:val="0"/>
          <w:numId w:val="11"/>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在研究了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项目招标文件和考察了工程现场后，我方愿意按人民币</w:t>
      </w:r>
      <w:r>
        <w:rPr>
          <w:rFonts w:hint="eastAsia" w:ascii="宋体" w:hAnsi="宋体"/>
          <w:color w:val="auto"/>
          <w:szCs w:val="21"/>
          <w:highlight w:val="none"/>
          <w:u w:val="single"/>
        </w:rPr>
        <w:t xml:space="preserve">       万元（</w:t>
      </w:r>
      <w:r>
        <w:rPr>
          <w:rFonts w:hint="eastAsia" w:ascii="宋体" w:hAnsi="宋体"/>
          <w:color w:val="auto"/>
          <w:kern w:val="0"/>
          <w:szCs w:val="21"/>
          <w:highlight w:val="none"/>
          <w:u w:val="single"/>
        </w:rPr>
        <w:t>大写：</w:t>
      </w:r>
      <w:r>
        <w:rPr>
          <w:rFonts w:hint="eastAsia" w:ascii="宋体" w:hAnsi="宋体"/>
          <w:color w:val="auto"/>
          <w:szCs w:val="21"/>
          <w:highlight w:val="none"/>
          <w:u w:val="single"/>
        </w:rPr>
        <w:t xml:space="preserve">          ），相应下浮率为     </w:t>
      </w:r>
      <w:r>
        <w:rPr>
          <w:rFonts w:hint="eastAsia" w:ascii="宋体" w:hAnsi="宋体"/>
          <w:color w:val="auto"/>
          <w:szCs w:val="21"/>
          <w:highlight w:val="none"/>
        </w:rPr>
        <w:t>%的投标总报价，遵照招标文件的要求承担本项目的</w:t>
      </w:r>
      <w:r>
        <w:rPr>
          <w:rFonts w:hint="eastAsia" w:ascii="宋体" w:hAnsi="宋体"/>
          <w:color w:val="auto"/>
          <w:szCs w:val="21"/>
          <w:highlight w:val="none"/>
          <w:lang w:val="en-US" w:eastAsia="zh-CN"/>
        </w:rPr>
        <w:t>临时用地土地报批服务工作</w:t>
      </w:r>
      <w:r>
        <w:rPr>
          <w:rFonts w:hint="eastAsia" w:ascii="宋体" w:hAnsi="宋体"/>
          <w:color w:val="auto"/>
          <w:szCs w:val="21"/>
          <w:highlight w:val="none"/>
        </w:rPr>
        <w:t xml:space="preserve">。 </w:t>
      </w:r>
    </w:p>
    <w:p w14:paraId="29CC3394">
      <w:pPr>
        <w:numPr>
          <w:ilvl w:val="0"/>
          <w:numId w:val="11"/>
        </w:numPr>
        <w:tabs>
          <w:tab w:val="left" w:pos="0"/>
          <w:tab w:val="clear" w:pos="1185"/>
        </w:tabs>
        <w:spacing w:line="440" w:lineRule="exact"/>
        <w:ind w:left="0" w:firstLine="465"/>
        <w:jc w:val="left"/>
        <w:rPr>
          <w:rFonts w:ascii="宋体" w:hAnsi="宋体"/>
          <w:color w:val="auto"/>
          <w:szCs w:val="21"/>
          <w:highlight w:val="none"/>
        </w:rPr>
      </w:pPr>
      <w:r>
        <w:rPr>
          <w:rFonts w:hint="eastAsia" w:ascii="宋体" w:hAnsi="宋体"/>
          <w:color w:val="auto"/>
          <w:szCs w:val="21"/>
          <w:highlight w:val="none"/>
        </w:rPr>
        <w:t>如果贵方接受我方的投标，我方将保证在接到业主的进驻通知后7天内进驻现场并开展工作，按照合同规定完成本项目的临时用地土地报批服务。</w:t>
      </w:r>
    </w:p>
    <w:p w14:paraId="07C545D4">
      <w:pPr>
        <w:numPr>
          <w:ilvl w:val="0"/>
          <w:numId w:val="11"/>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我方同意在从递交投标文件之日起90天的投标文件有效期内严格遵守本投标书的各项承诺。在此期限届满之前，本投标书始终将对我方具有约束力，并随时接受中标。</w:t>
      </w:r>
    </w:p>
    <w:p w14:paraId="19C5D5A7">
      <w:pPr>
        <w:numPr>
          <w:ilvl w:val="0"/>
          <w:numId w:val="11"/>
        </w:numPr>
        <w:tabs>
          <w:tab w:val="left" w:pos="0"/>
          <w:tab w:val="clear" w:pos="1185"/>
        </w:tabs>
        <w:spacing w:line="440" w:lineRule="exact"/>
        <w:ind w:left="0" w:firstLine="465"/>
        <w:jc w:val="left"/>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val="en-US" w:eastAsia="zh-CN"/>
        </w:rPr>
        <w:t>临时用地土地报批</w:t>
      </w:r>
      <w:r>
        <w:rPr>
          <w:rFonts w:hint="eastAsia" w:ascii="宋体" w:hAnsi="宋体"/>
          <w:color w:val="auto"/>
          <w:szCs w:val="21"/>
          <w:highlight w:val="none"/>
        </w:rPr>
        <w:t>服务合同协议书正式签署生效之前，本投标书连同贵方的中标通知书将构成贵我双方之间共同遵守的文件，对双方具有约束力。</w:t>
      </w:r>
    </w:p>
    <w:p w14:paraId="420BE662">
      <w:pPr>
        <w:numPr>
          <w:ilvl w:val="0"/>
          <w:numId w:val="11"/>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我方理解，贵方不一定接受最低标价的投标或贵方接到的其他任何投标。同时也理解，贵方不负担我方的任何投标费用。</w:t>
      </w:r>
    </w:p>
    <w:p w14:paraId="01DE2A6A">
      <w:pPr>
        <w:numPr>
          <w:ilvl w:val="0"/>
          <w:numId w:val="11"/>
        </w:numPr>
        <w:tabs>
          <w:tab w:val="left" w:pos="0"/>
          <w:tab w:val="clear" w:pos="1185"/>
        </w:tabs>
        <w:spacing w:line="440" w:lineRule="exact"/>
        <w:ind w:left="0" w:firstLine="465"/>
        <w:jc w:val="left"/>
        <w:rPr>
          <w:rFonts w:hint="eastAsia" w:ascii="宋体" w:hAnsi="宋体"/>
          <w:color w:val="auto"/>
          <w:szCs w:val="21"/>
          <w:highlight w:val="none"/>
        </w:rPr>
      </w:pPr>
      <w:r>
        <w:rPr>
          <w:rFonts w:hint="eastAsia" w:ascii="宋体" w:hAnsi="宋体"/>
          <w:color w:val="auto"/>
          <w:szCs w:val="21"/>
          <w:highlight w:val="none"/>
        </w:rPr>
        <w:t>如果贵方接受我方的投标，我方承诺严格执行招标文件中临时用地土地报批服务单位的责任与义务；临时用地土地报批服务合同的生效、终止、变更、暂停与中止；临时用地土地报批服务的费用与支付；临时用地土地报批服务单位的违约；争端的解决等合同条款。</w:t>
      </w:r>
    </w:p>
    <w:p w14:paraId="77D09643">
      <w:pPr>
        <w:numPr>
          <w:ilvl w:val="0"/>
          <w:numId w:val="11"/>
        </w:numPr>
        <w:tabs>
          <w:tab w:val="left" w:pos="0"/>
          <w:tab w:val="clear" w:pos="1185"/>
        </w:tabs>
        <w:spacing w:line="440" w:lineRule="exact"/>
        <w:ind w:left="0" w:firstLine="465"/>
        <w:jc w:val="left"/>
        <w:rPr>
          <w:rFonts w:hint="eastAsia" w:ascii="宋体" w:hAnsi="宋体"/>
          <w:color w:val="auto"/>
          <w:szCs w:val="21"/>
          <w:highlight w:val="none"/>
        </w:rPr>
      </w:pPr>
      <w:r>
        <w:rPr>
          <w:rFonts w:hint="eastAsia" w:ascii="宋体" w:hAnsi="宋体" w:cs="宋体"/>
          <w:color w:val="auto"/>
          <w:kern w:val="0"/>
          <w:sz w:val="21"/>
          <w:szCs w:val="21"/>
          <w:highlight w:val="none"/>
        </w:rPr>
        <w:t>如我司通过本项目的资格审查或成为本项目中标候选人，我司同意并授权招标人将我司响应招标文件（或资格预审文件）要求的资格能力条件（资质、营业执照等证书名称、等级、编号，人员、业绩）、投标文件商务部分（报价、临时用地土地报批服务方案等涉及商业秘密的内容除外）等资料进行公示</w:t>
      </w:r>
      <w:r>
        <w:rPr>
          <w:rFonts w:hint="eastAsia" w:ascii="宋体" w:hAnsi="宋体" w:cs="宋体"/>
          <w:color w:val="auto"/>
          <w:kern w:val="0"/>
          <w:sz w:val="21"/>
          <w:szCs w:val="21"/>
          <w:highlight w:val="none"/>
          <w:lang w:eastAsia="zh-CN"/>
        </w:rPr>
        <w:t>。</w:t>
      </w:r>
    </w:p>
    <w:p w14:paraId="55AD0786">
      <w:pPr>
        <w:spacing w:line="440" w:lineRule="exact"/>
        <w:ind w:firstLine="422" w:firstLineChars="200"/>
        <w:rPr>
          <w:rFonts w:hint="eastAsia" w:ascii="宋体" w:hAnsi="宋体"/>
          <w:b/>
          <w:bCs/>
          <w:color w:val="auto"/>
          <w:szCs w:val="21"/>
          <w:highlight w:val="none"/>
        </w:rPr>
      </w:pPr>
    </w:p>
    <w:p w14:paraId="79071C19">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投标人：（</w:t>
      </w:r>
      <w:r>
        <w:rPr>
          <w:rFonts w:hint="eastAsia" w:ascii="宋体" w:hAnsi="宋体"/>
          <w:b/>
          <w:bCs/>
          <w:color w:val="auto"/>
          <w:szCs w:val="21"/>
          <w:highlight w:val="none"/>
          <w:u w:val="single"/>
        </w:rPr>
        <w:t xml:space="preserve">全称）（盖章）  </w:t>
      </w:r>
    </w:p>
    <w:p w14:paraId="7DA03C8A">
      <w:pPr>
        <w:spacing w:line="44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法定代表人或其授权的代理人：</w:t>
      </w:r>
      <w:r>
        <w:rPr>
          <w:rFonts w:hint="eastAsia" w:ascii="宋体" w:hAnsi="宋体"/>
          <w:b/>
          <w:bCs/>
          <w:color w:val="auto"/>
          <w:szCs w:val="21"/>
          <w:highlight w:val="none"/>
          <w:u w:val="single"/>
        </w:rPr>
        <w:t>（签字）</w:t>
      </w:r>
    </w:p>
    <w:p w14:paraId="4082E817">
      <w:pPr>
        <w:spacing w:line="440" w:lineRule="exact"/>
        <w:ind w:firstLine="422" w:firstLineChars="200"/>
        <w:rPr>
          <w:rFonts w:ascii="宋体" w:hAnsi="宋体"/>
          <w:b/>
          <w:bCs/>
          <w:color w:val="auto"/>
          <w:szCs w:val="21"/>
          <w:highlight w:val="none"/>
          <w:u w:val="single"/>
        </w:rPr>
      </w:pPr>
      <w:r>
        <w:rPr>
          <w:rFonts w:hint="eastAsia" w:ascii="宋体" w:hAnsi="宋体"/>
          <w:b/>
          <w:bCs/>
          <w:color w:val="auto"/>
          <w:szCs w:val="21"/>
          <w:highlight w:val="none"/>
        </w:rPr>
        <w:t>投标人地址：</w:t>
      </w:r>
      <w:r>
        <w:rPr>
          <w:rFonts w:hint="eastAsia" w:ascii="宋体" w:hAnsi="宋体"/>
          <w:b/>
          <w:bCs/>
          <w:color w:val="auto"/>
          <w:szCs w:val="21"/>
          <w:highlight w:val="none"/>
          <w:u w:val="single"/>
        </w:rPr>
        <w:t xml:space="preserve">                 </w:t>
      </w:r>
    </w:p>
    <w:p w14:paraId="700169BE">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邮政编码：</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w:t>
      </w:r>
    </w:p>
    <w:p w14:paraId="4BA73CD0">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电   话：</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w:t>
      </w:r>
    </w:p>
    <w:p w14:paraId="31702232">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传   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w:t>
      </w:r>
    </w:p>
    <w:p w14:paraId="083C5590">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年 </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月</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日</w:t>
      </w:r>
    </w:p>
    <w:p w14:paraId="4109F7F9">
      <w:pPr>
        <w:spacing w:line="360" w:lineRule="auto"/>
        <w:rPr>
          <w:rFonts w:ascii="宋体" w:hAnsi="宋体"/>
          <w:b/>
          <w:color w:val="auto"/>
          <w:sz w:val="36"/>
          <w:szCs w:val="36"/>
          <w:highlight w:val="none"/>
        </w:rPr>
        <w:sectPr>
          <w:footerReference r:id="rId13" w:type="first"/>
          <w:headerReference r:id="rId11" w:type="default"/>
          <w:footerReference r:id="rId12" w:type="default"/>
          <w:pgSz w:w="11906" w:h="16838"/>
          <w:pgMar w:top="1417" w:right="1417" w:bottom="1417" w:left="1797" w:header="851" w:footer="850" w:gutter="0"/>
          <w:pgNumType w:fmt="decimal"/>
          <w:cols w:space="720" w:num="1"/>
          <w:titlePg/>
          <w:docGrid w:linePitch="312" w:charSpace="0"/>
        </w:sectPr>
      </w:pPr>
    </w:p>
    <w:p w14:paraId="338A9D21">
      <w:pPr>
        <w:jc w:val="center"/>
        <w:rPr>
          <w:rFonts w:ascii="宋体" w:hAnsi="宋体"/>
          <w:b/>
          <w:color w:val="auto"/>
          <w:sz w:val="36"/>
          <w:szCs w:val="36"/>
          <w:highlight w:val="none"/>
        </w:rPr>
      </w:pPr>
      <w:r>
        <w:rPr>
          <w:rFonts w:hint="eastAsia" w:ascii="宋体" w:hAnsi="宋体"/>
          <w:b/>
          <w:color w:val="auto"/>
          <w:sz w:val="36"/>
          <w:szCs w:val="36"/>
          <w:highlight w:val="none"/>
        </w:rPr>
        <w:t>投标函附录</w:t>
      </w:r>
    </w:p>
    <w:tbl>
      <w:tblPr>
        <w:tblStyle w:val="31"/>
        <w:tblpPr w:leftFromText="180" w:rightFromText="180" w:vertAnchor="text" w:horzAnchor="margin" w:tblpXSpec="center" w:tblpY="2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873"/>
        <w:gridCol w:w="1143"/>
        <w:gridCol w:w="5"/>
        <w:gridCol w:w="1885"/>
      </w:tblGrid>
      <w:tr w14:paraId="0B88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6A0F7D7F">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工 程 名 称</w:t>
            </w:r>
          </w:p>
        </w:tc>
        <w:tc>
          <w:tcPr>
            <w:tcW w:w="5906" w:type="dxa"/>
            <w:gridSpan w:val="4"/>
            <w:tcBorders>
              <w:top w:val="single" w:color="auto" w:sz="4" w:space="0"/>
              <w:left w:val="single" w:color="auto" w:sz="4" w:space="0"/>
              <w:bottom w:val="single" w:color="auto" w:sz="4" w:space="0"/>
              <w:right w:val="single" w:color="auto" w:sz="4" w:space="0"/>
            </w:tcBorders>
            <w:noWrap w:val="0"/>
            <w:vAlign w:val="top"/>
          </w:tcPr>
          <w:p w14:paraId="7C499DE8">
            <w:pPr>
              <w:autoSpaceDE w:val="0"/>
              <w:autoSpaceDN w:val="0"/>
              <w:adjustRightInd w:val="0"/>
              <w:jc w:val="center"/>
              <w:rPr>
                <w:rFonts w:hint="eastAsia" w:ascii="宋体" w:hAnsi="宋体" w:eastAsia="宋体" w:cs="宋体"/>
                <w:bCs/>
                <w:color w:val="auto"/>
                <w:sz w:val="21"/>
                <w:szCs w:val="21"/>
                <w:highlight w:val="none"/>
                <w:lang w:val="zh-CN"/>
              </w:rPr>
            </w:pPr>
          </w:p>
        </w:tc>
      </w:tr>
      <w:tr w14:paraId="6CAF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5D6F1D5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投标报价下浮率</w:t>
            </w:r>
          </w:p>
        </w:tc>
        <w:tc>
          <w:tcPr>
            <w:tcW w:w="5906" w:type="dxa"/>
            <w:gridSpan w:val="4"/>
            <w:tcBorders>
              <w:top w:val="single" w:color="auto" w:sz="4" w:space="0"/>
              <w:left w:val="single" w:color="auto" w:sz="4" w:space="0"/>
              <w:bottom w:val="single" w:color="auto" w:sz="4" w:space="0"/>
              <w:right w:val="single" w:color="auto" w:sz="4" w:space="0"/>
            </w:tcBorders>
            <w:noWrap w:val="0"/>
            <w:vAlign w:val="center"/>
          </w:tcPr>
          <w:p w14:paraId="06FD5A0B">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6E14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274" w:type="dxa"/>
            <w:vMerge w:val="restart"/>
            <w:tcBorders>
              <w:top w:val="single" w:color="auto" w:sz="4" w:space="0"/>
              <w:left w:val="single" w:color="auto" w:sz="4" w:space="0"/>
              <w:right w:val="single" w:color="auto" w:sz="4" w:space="0"/>
            </w:tcBorders>
            <w:noWrap w:val="0"/>
            <w:vAlign w:val="center"/>
          </w:tcPr>
          <w:p w14:paraId="7E35787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投标总报价</w:t>
            </w:r>
          </w:p>
        </w:tc>
        <w:tc>
          <w:tcPr>
            <w:tcW w:w="5906" w:type="dxa"/>
            <w:gridSpan w:val="4"/>
            <w:tcBorders>
              <w:top w:val="single" w:color="auto" w:sz="4" w:space="0"/>
              <w:left w:val="single" w:color="auto" w:sz="4" w:space="0"/>
              <w:right w:val="single" w:color="auto" w:sz="4" w:space="0"/>
            </w:tcBorders>
            <w:noWrap w:val="0"/>
            <w:vAlign w:val="center"/>
          </w:tcPr>
          <w:p w14:paraId="007FC854">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r>
      <w:tr w14:paraId="132E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274" w:type="dxa"/>
            <w:vMerge w:val="continue"/>
            <w:tcBorders>
              <w:left w:val="single" w:color="auto" w:sz="4" w:space="0"/>
              <w:bottom w:val="single" w:color="auto" w:sz="4" w:space="0"/>
              <w:right w:val="single" w:color="auto" w:sz="4" w:space="0"/>
            </w:tcBorders>
            <w:noWrap w:val="0"/>
            <w:vAlign w:val="center"/>
          </w:tcPr>
          <w:p w14:paraId="66EF3CF2">
            <w:pPr>
              <w:jc w:val="center"/>
              <w:rPr>
                <w:rFonts w:hint="eastAsia" w:ascii="宋体" w:hAnsi="宋体" w:eastAsia="宋体" w:cs="宋体"/>
                <w:bCs/>
                <w:color w:val="auto"/>
                <w:sz w:val="21"/>
                <w:szCs w:val="21"/>
                <w:highlight w:val="none"/>
                <w:lang w:val="zh-CN"/>
              </w:rPr>
            </w:pPr>
          </w:p>
        </w:tc>
        <w:tc>
          <w:tcPr>
            <w:tcW w:w="4016" w:type="dxa"/>
            <w:gridSpan w:val="2"/>
            <w:tcBorders>
              <w:top w:val="single" w:color="auto" w:sz="4" w:space="0"/>
              <w:left w:val="single" w:color="auto" w:sz="4" w:space="0"/>
              <w:bottom w:val="single" w:color="auto" w:sz="4" w:space="0"/>
              <w:right w:val="single" w:color="auto" w:sz="4" w:space="0"/>
            </w:tcBorders>
            <w:noWrap w:val="0"/>
            <w:vAlign w:val="center"/>
          </w:tcPr>
          <w:p w14:paraId="16F8465A">
            <w:pPr>
              <w:autoSpaceDE w:val="0"/>
              <w:autoSpaceDN w:val="0"/>
              <w:adjustRightInd w:val="0"/>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700524BC">
            <w:pPr>
              <w:autoSpaceDE w:val="0"/>
              <w:autoSpaceDN w:val="0"/>
              <w:adjustRightInd w:val="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18"/>
                <w:szCs w:val="18"/>
                <w:highlight w:val="none"/>
                <w:lang w:val="zh-CN"/>
              </w:rPr>
              <w:t>该项目金额应按</w:t>
            </w:r>
            <w:r>
              <w:rPr>
                <w:rFonts w:hint="eastAsia" w:ascii="宋体" w:hAnsi="宋体" w:eastAsia="宋体" w:cs="宋体"/>
                <w:color w:val="auto"/>
                <w:sz w:val="18"/>
                <w:szCs w:val="18"/>
                <w:highlight w:val="none"/>
                <w:u w:val="single"/>
                <w:lang w:val="zh-CN"/>
              </w:rPr>
              <w:t>53</w:t>
            </w:r>
            <w:r>
              <w:rPr>
                <w:rFonts w:hint="eastAsia" w:ascii="宋体" w:hAnsi="宋体" w:eastAsia="宋体" w:cs="宋体"/>
                <w:color w:val="auto"/>
                <w:sz w:val="18"/>
                <w:szCs w:val="18"/>
                <w:highlight w:val="none"/>
                <w:u w:val="single"/>
                <w:lang w:val="en-US" w:eastAsia="zh-CN"/>
              </w:rPr>
              <w:t>4</w:t>
            </w:r>
            <w:r>
              <w:rPr>
                <w:rFonts w:hint="eastAsia" w:ascii="宋体" w:hAnsi="宋体" w:eastAsia="宋体" w:cs="宋体"/>
                <w:color w:val="auto"/>
                <w:sz w:val="18"/>
                <w:szCs w:val="18"/>
                <w:highlight w:val="none"/>
                <w:u w:val="single"/>
                <w:lang w:val="zh-CN"/>
              </w:rPr>
              <w:t>.506</w:t>
            </w:r>
            <w:r>
              <w:rPr>
                <w:rFonts w:hint="eastAsia" w:ascii="宋体" w:hAnsi="宋体" w:eastAsia="宋体" w:cs="宋体"/>
                <w:color w:val="auto"/>
                <w:sz w:val="18"/>
                <w:szCs w:val="18"/>
                <w:highlight w:val="none"/>
                <w:lang w:val="zh-CN"/>
              </w:rPr>
              <w:t>万元×（1－投标下浮率）计取。</w:t>
            </w:r>
          </w:p>
        </w:tc>
      </w:tr>
      <w:tr w14:paraId="2AD9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761663E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其中：</w:t>
            </w:r>
          </w:p>
        </w:tc>
      </w:tr>
      <w:tr w14:paraId="1D97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1F6E0D68">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临时使用林地报批技术服务</w:t>
            </w:r>
          </w:p>
        </w:tc>
        <w:tc>
          <w:tcPr>
            <w:tcW w:w="4021" w:type="dxa"/>
            <w:gridSpan w:val="3"/>
            <w:tcBorders>
              <w:top w:val="single" w:color="auto" w:sz="4" w:space="0"/>
              <w:left w:val="single" w:color="auto" w:sz="4" w:space="0"/>
              <w:bottom w:val="single" w:color="auto" w:sz="4" w:space="0"/>
              <w:right w:val="single" w:color="auto" w:sz="4" w:space="0"/>
            </w:tcBorders>
            <w:noWrap w:val="0"/>
            <w:vAlign w:val="center"/>
          </w:tcPr>
          <w:p w14:paraId="6D06E8CB">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0B4C5FCB">
            <w:pPr>
              <w:autoSpaceDE w:val="0"/>
              <w:autoSpaceDN w:val="0"/>
              <w:adjustRightInd w:val="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18"/>
                <w:szCs w:val="18"/>
                <w:highlight w:val="none"/>
                <w:lang w:val="zh-CN"/>
              </w:rPr>
              <w:t>该项目金额应按</w:t>
            </w:r>
            <w:r>
              <w:rPr>
                <w:rFonts w:hint="eastAsia" w:ascii="宋体" w:hAnsi="宋体" w:eastAsia="宋体" w:cs="宋体"/>
                <w:color w:val="auto"/>
                <w:sz w:val="18"/>
                <w:szCs w:val="18"/>
                <w:highlight w:val="none"/>
                <w:u w:val="single"/>
                <w:lang w:val="zh-CN"/>
              </w:rPr>
              <w:t>84.336</w:t>
            </w:r>
            <w:r>
              <w:rPr>
                <w:rFonts w:hint="eastAsia" w:ascii="宋体" w:hAnsi="宋体" w:eastAsia="宋体" w:cs="宋体"/>
                <w:color w:val="auto"/>
                <w:sz w:val="18"/>
                <w:szCs w:val="18"/>
                <w:highlight w:val="none"/>
                <w:lang w:val="zh-CN"/>
              </w:rPr>
              <w:t>万元×（1－投标下浮率）计取。</w:t>
            </w:r>
          </w:p>
        </w:tc>
      </w:tr>
      <w:tr w14:paraId="56E8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7B64CCE6">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临时用地土地复垦方案技术服务</w:t>
            </w:r>
          </w:p>
        </w:tc>
        <w:tc>
          <w:tcPr>
            <w:tcW w:w="4021" w:type="dxa"/>
            <w:gridSpan w:val="3"/>
            <w:tcBorders>
              <w:top w:val="single" w:color="auto" w:sz="4" w:space="0"/>
              <w:left w:val="single" w:color="auto" w:sz="4" w:space="0"/>
              <w:bottom w:val="single" w:color="auto" w:sz="4" w:space="0"/>
              <w:right w:val="single" w:color="auto" w:sz="4" w:space="0"/>
            </w:tcBorders>
            <w:noWrap w:val="0"/>
            <w:vAlign w:val="center"/>
          </w:tcPr>
          <w:p w14:paraId="62C197CE">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6A39F2C1">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18"/>
                <w:szCs w:val="18"/>
                <w:highlight w:val="none"/>
                <w:lang w:val="zh-CN"/>
              </w:rPr>
              <w:t>该项目金额应按</w:t>
            </w:r>
            <w:r>
              <w:rPr>
                <w:rFonts w:hint="eastAsia" w:ascii="宋体" w:hAnsi="宋体" w:eastAsia="宋体" w:cs="宋体"/>
                <w:color w:val="auto"/>
                <w:sz w:val="18"/>
                <w:szCs w:val="18"/>
                <w:highlight w:val="none"/>
                <w:u w:val="single"/>
                <w:lang w:val="zh-CN"/>
              </w:rPr>
              <w:t>64.86</w:t>
            </w:r>
            <w:r>
              <w:rPr>
                <w:rFonts w:hint="eastAsia" w:ascii="宋体" w:hAnsi="宋体" w:eastAsia="宋体" w:cs="宋体"/>
                <w:color w:val="auto"/>
                <w:sz w:val="18"/>
                <w:szCs w:val="18"/>
                <w:highlight w:val="none"/>
                <w:lang w:val="zh-CN"/>
              </w:rPr>
              <w:t>万元×（1－投标下浮率）计取。</w:t>
            </w:r>
          </w:p>
        </w:tc>
      </w:tr>
      <w:tr w14:paraId="10C6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2C428E10">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1:500地形、放桩定界测绘服务</w:t>
            </w:r>
          </w:p>
        </w:tc>
        <w:tc>
          <w:tcPr>
            <w:tcW w:w="4021" w:type="dxa"/>
            <w:gridSpan w:val="3"/>
            <w:tcBorders>
              <w:top w:val="single" w:color="auto" w:sz="4" w:space="0"/>
              <w:left w:val="single" w:color="auto" w:sz="4" w:space="0"/>
              <w:bottom w:val="single" w:color="auto" w:sz="4" w:space="0"/>
              <w:right w:val="single" w:color="auto" w:sz="4" w:space="0"/>
            </w:tcBorders>
            <w:noWrap w:val="0"/>
            <w:vAlign w:val="center"/>
          </w:tcPr>
          <w:p w14:paraId="74E8E127">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1EA5A1B5">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18"/>
                <w:szCs w:val="18"/>
                <w:highlight w:val="none"/>
                <w:lang w:val="zh-CN"/>
              </w:rPr>
              <w:t>该项目金额应按</w:t>
            </w:r>
            <w:r>
              <w:rPr>
                <w:rFonts w:hint="eastAsia" w:ascii="宋体" w:hAnsi="宋体" w:eastAsia="宋体" w:cs="宋体"/>
                <w:color w:val="auto"/>
                <w:sz w:val="18"/>
                <w:szCs w:val="18"/>
                <w:highlight w:val="none"/>
                <w:u w:val="single"/>
                <w:lang w:val="zh-CN"/>
              </w:rPr>
              <w:t>385.31</w:t>
            </w:r>
            <w:r>
              <w:rPr>
                <w:rFonts w:hint="eastAsia" w:ascii="宋体" w:hAnsi="宋体" w:eastAsia="宋体" w:cs="宋体"/>
                <w:color w:val="auto"/>
                <w:sz w:val="18"/>
                <w:szCs w:val="18"/>
                <w:highlight w:val="none"/>
                <w:lang w:val="zh-CN"/>
              </w:rPr>
              <w:t>万元×（1－投标下浮率）计取。</w:t>
            </w:r>
          </w:p>
        </w:tc>
      </w:tr>
      <w:tr w14:paraId="02F6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662C4841">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服务期</w:t>
            </w:r>
          </w:p>
        </w:tc>
        <w:tc>
          <w:tcPr>
            <w:tcW w:w="5906" w:type="dxa"/>
            <w:gridSpan w:val="4"/>
            <w:tcBorders>
              <w:top w:val="single" w:color="auto" w:sz="4" w:space="0"/>
              <w:left w:val="single" w:color="auto" w:sz="4" w:space="0"/>
              <w:bottom w:val="single" w:color="auto" w:sz="4" w:space="0"/>
              <w:right w:val="single" w:color="auto" w:sz="4" w:space="0"/>
            </w:tcBorders>
            <w:noWrap w:val="0"/>
            <w:vAlign w:val="center"/>
          </w:tcPr>
          <w:p w14:paraId="662A83EC">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按招标文件要求</w:t>
            </w:r>
          </w:p>
        </w:tc>
      </w:tr>
      <w:tr w14:paraId="7A97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585098CD">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质量标准</w:t>
            </w:r>
          </w:p>
        </w:tc>
        <w:tc>
          <w:tcPr>
            <w:tcW w:w="5906" w:type="dxa"/>
            <w:gridSpan w:val="4"/>
            <w:tcBorders>
              <w:top w:val="single" w:color="auto" w:sz="4" w:space="0"/>
              <w:left w:val="single" w:color="auto" w:sz="4" w:space="0"/>
              <w:bottom w:val="single" w:color="auto" w:sz="4" w:space="0"/>
              <w:right w:val="single" w:color="auto" w:sz="4" w:space="0"/>
            </w:tcBorders>
            <w:noWrap w:val="0"/>
            <w:vAlign w:val="center"/>
          </w:tcPr>
          <w:p w14:paraId="3CFDD004">
            <w:pPr>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按招标文件要求</w:t>
            </w:r>
          </w:p>
        </w:tc>
      </w:tr>
      <w:tr w14:paraId="0353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274" w:type="dxa"/>
            <w:vMerge w:val="restart"/>
            <w:tcBorders>
              <w:top w:val="single" w:color="auto" w:sz="4" w:space="0"/>
              <w:left w:val="single" w:color="auto" w:sz="4" w:space="0"/>
              <w:bottom w:val="single" w:color="auto" w:sz="4" w:space="0"/>
              <w:right w:val="single" w:color="auto" w:sz="4" w:space="0"/>
            </w:tcBorders>
            <w:noWrap w:val="0"/>
            <w:vAlign w:val="center"/>
          </w:tcPr>
          <w:p w14:paraId="6C5B9510">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委派的项目负责人</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4C6E9C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33" w:type="dxa"/>
            <w:gridSpan w:val="3"/>
            <w:tcBorders>
              <w:top w:val="single" w:color="auto" w:sz="4" w:space="0"/>
              <w:left w:val="single" w:color="auto" w:sz="4" w:space="0"/>
              <w:bottom w:val="single" w:color="auto" w:sz="4" w:space="0"/>
              <w:right w:val="single" w:color="auto" w:sz="4" w:space="0"/>
            </w:tcBorders>
            <w:noWrap w:val="0"/>
            <w:vAlign w:val="top"/>
          </w:tcPr>
          <w:p w14:paraId="45B40F28">
            <w:pPr>
              <w:autoSpaceDE w:val="0"/>
              <w:autoSpaceDN w:val="0"/>
              <w:adjustRightInd w:val="0"/>
              <w:jc w:val="center"/>
              <w:rPr>
                <w:rFonts w:hint="eastAsia" w:ascii="宋体" w:hAnsi="宋体" w:eastAsia="宋体" w:cs="宋体"/>
                <w:b/>
                <w:bCs/>
                <w:color w:val="auto"/>
                <w:sz w:val="21"/>
                <w:szCs w:val="21"/>
                <w:highlight w:val="none"/>
                <w:lang w:val="zh-CN"/>
              </w:rPr>
            </w:pPr>
          </w:p>
        </w:tc>
      </w:tr>
      <w:tr w14:paraId="1D4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274" w:type="dxa"/>
            <w:vMerge w:val="continue"/>
            <w:tcBorders>
              <w:top w:val="single" w:color="auto" w:sz="4" w:space="0"/>
              <w:left w:val="single" w:color="auto" w:sz="4" w:space="0"/>
              <w:bottom w:val="single" w:color="auto" w:sz="4" w:space="0"/>
              <w:right w:val="single" w:color="auto" w:sz="4" w:space="0"/>
            </w:tcBorders>
            <w:noWrap w:val="0"/>
            <w:vAlign w:val="center"/>
          </w:tcPr>
          <w:p w14:paraId="3CF32EE8">
            <w:pPr>
              <w:jc w:val="center"/>
              <w:rPr>
                <w:rFonts w:hint="eastAsia" w:ascii="宋体" w:hAnsi="宋体" w:eastAsia="宋体" w:cs="宋体"/>
                <w:bCs/>
                <w:color w:val="auto"/>
                <w:sz w:val="21"/>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3D2F01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3033" w:type="dxa"/>
            <w:gridSpan w:val="3"/>
            <w:tcBorders>
              <w:top w:val="single" w:color="auto" w:sz="4" w:space="0"/>
              <w:left w:val="single" w:color="auto" w:sz="4" w:space="0"/>
              <w:bottom w:val="single" w:color="auto" w:sz="4" w:space="0"/>
              <w:right w:val="single" w:color="auto" w:sz="4" w:space="0"/>
            </w:tcBorders>
            <w:noWrap w:val="0"/>
            <w:vAlign w:val="top"/>
          </w:tcPr>
          <w:p w14:paraId="4549AC7A">
            <w:pPr>
              <w:autoSpaceDE w:val="0"/>
              <w:autoSpaceDN w:val="0"/>
              <w:adjustRightInd w:val="0"/>
              <w:jc w:val="center"/>
              <w:rPr>
                <w:rFonts w:hint="eastAsia" w:ascii="宋体" w:hAnsi="宋体" w:eastAsia="宋体" w:cs="宋体"/>
                <w:b/>
                <w:bCs/>
                <w:color w:val="auto"/>
                <w:sz w:val="21"/>
                <w:szCs w:val="21"/>
                <w:highlight w:val="none"/>
                <w:lang w:val="zh-CN"/>
              </w:rPr>
            </w:pPr>
          </w:p>
        </w:tc>
      </w:tr>
      <w:tr w14:paraId="5679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29AB10AC">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 标 单 位</w:t>
            </w:r>
          </w:p>
          <w:p w14:paraId="03A9B04A">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（盖章）</w:t>
            </w:r>
          </w:p>
        </w:tc>
        <w:tc>
          <w:tcPr>
            <w:tcW w:w="5906" w:type="dxa"/>
            <w:gridSpan w:val="4"/>
            <w:tcBorders>
              <w:top w:val="single" w:color="auto" w:sz="4" w:space="0"/>
              <w:left w:val="single" w:color="auto" w:sz="4" w:space="0"/>
              <w:bottom w:val="single" w:color="auto" w:sz="4" w:space="0"/>
              <w:right w:val="single" w:color="auto" w:sz="4" w:space="0"/>
            </w:tcBorders>
            <w:noWrap w:val="0"/>
            <w:vAlign w:val="top"/>
          </w:tcPr>
          <w:p w14:paraId="1D5E50D5">
            <w:pPr>
              <w:jc w:val="center"/>
              <w:rPr>
                <w:rFonts w:hint="eastAsia" w:ascii="宋体" w:hAnsi="宋体" w:eastAsia="宋体" w:cs="宋体"/>
                <w:b/>
                <w:bCs/>
                <w:color w:val="auto"/>
                <w:sz w:val="21"/>
                <w:szCs w:val="21"/>
                <w:highlight w:val="none"/>
                <w:lang w:val="zh-CN"/>
              </w:rPr>
            </w:pPr>
          </w:p>
        </w:tc>
      </w:tr>
      <w:tr w14:paraId="4D7E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7653EF6E">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投标单位法定代表人</w:t>
            </w:r>
          </w:p>
          <w:p w14:paraId="077AA22D">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（签字或签章）</w:t>
            </w:r>
          </w:p>
        </w:tc>
        <w:tc>
          <w:tcPr>
            <w:tcW w:w="5906" w:type="dxa"/>
            <w:gridSpan w:val="4"/>
            <w:tcBorders>
              <w:top w:val="single" w:color="auto" w:sz="4" w:space="0"/>
              <w:left w:val="single" w:color="auto" w:sz="4" w:space="0"/>
              <w:bottom w:val="single" w:color="auto" w:sz="4" w:space="0"/>
              <w:right w:val="single" w:color="auto" w:sz="4" w:space="0"/>
            </w:tcBorders>
            <w:noWrap w:val="0"/>
            <w:vAlign w:val="top"/>
          </w:tcPr>
          <w:p w14:paraId="14269334">
            <w:pPr>
              <w:jc w:val="center"/>
              <w:rPr>
                <w:rFonts w:hint="eastAsia" w:ascii="宋体" w:hAnsi="宋体" w:eastAsia="宋体" w:cs="宋体"/>
                <w:b/>
                <w:bCs/>
                <w:color w:val="auto"/>
                <w:sz w:val="21"/>
                <w:szCs w:val="21"/>
                <w:highlight w:val="none"/>
                <w:lang w:val="zh-CN"/>
              </w:rPr>
            </w:pPr>
          </w:p>
        </w:tc>
      </w:tr>
      <w:tr w14:paraId="4A95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7EDCDEC1">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项目负责人（签字）</w:t>
            </w:r>
          </w:p>
        </w:tc>
        <w:tc>
          <w:tcPr>
            <w:tcW w:w="5906" w:type="dxa"/>
            <w:gridSpan w:val="4"/>
            <w:tcBorders>
              <w:top w:val="single" w:color="auto" w:sz="4" w:space="0"/>
              <w:left w:val="single" w:color="auto" w:sz="4" w:space="0"/>
              <w:bottom w:val="single" w:color="auto" w:sz="4" w:space="0"/>
              <w:right w:val="single" w:color="auto" w:sz="4" w:space="0"/>
            </w:tcBorders>
            <w:noWrap w:val="0"/>
            <w:vAlign w:val="top"/>
          </w:tcPr>
          <w:p w14:paraId="776289A9">
            <w:pPr>
              <w:jc w:val="center"/>
              <w:rPr>
                <w:rFonts w:hint="eastAsia" w:ascii="宋体" w:hAnsi="宋体" w:eastAsia="宋体" w:cs="宋体"/>
                <w:b/>
                <w:bCs/>
                <w:color w:val="auto"/>
                <w:sz w:val="21"/>
                <w:szCs w:val="21"/>
                <w:highlight w:val="none"/>
                <w:lang w:val="zh-CN"/>
              </w:rPr>
            </w:pPr>
          </w:p>
        </w:tc>
      </w:tr>
      <w:tr w14:paraId="2F6A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274" w:type="dxa"/>
            <w:tcBorders>
              <w:top w:val="single" w:color="auto" w:sz="4" w:space="0"/>
              <w:left w:val="single" w:color="auto" w:sz="4" w:space="0"/>
              <w:bottom w:val="single" w:color="auto" w:sz="4" w:space="0"/>
              <w:right w:val="single" w:color="auto" w:sz="4" w:space="0"/>
            </w:tcBorders>
            <w:noWrap w:val="0"/>
            <w:vAlign w:val="center"/>
          </w:tcPr>
          <w:p w14:paraId="3A88D2EB">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授权委托人（签字）</w:t>
            </w:r>
          </w:p>
        </w:tc>
        <w:tc>
          <w:tcPr>
            <w:tcW w:w="5906" w:type="dxa"/>
            <w:gridSpan w:val="4"/>
            <w:tcBorders>
              <w:top w:val="single" w:color="auto" w:sz="4" w:space="0"/>
              <w:left w:val="single" w:color="auto" w:sz="4" w:space="0"/>
              <w:bottom w:val="single" w:color="auto" w:sz="4" w:space="0"/>
              <w:right w:val="single" w:color="auto" w:sz="4" w:space="0"/>
            </w:tcBorders>
            <w:noWrap w:val="0"/>
            <w:vAlign w:val="top"/>
          </w:tcPr>
          <w:p w14:paraId="21B7B7C2">
            <w:pPr>
              <w:jc w:val="center"/>
              <w:rPr>
                <w:rFonts w:hint="eastAsia" w:ascii="宋体" w:hAnsi="宋体" w:eastAsia="宋体" w:cs="宋体"/>
                <w:b/>
                <w:bCs/>
                <w:color w:val="auto"/>
                <w:sz w:val="21"/>
                <w:szCs w:val="21"/>
                <w:highlight w:val="none"/>
                <w:lang w:val="zh-CN"/>
              </w:rPr>
            </w:pPr>
          </w:p>
        </w:tc>
      </w:tr>
    </w:tbl>
    <w:p w14:paraId="0694E89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投标报价以万元为单位，精确至小数点后四位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下浮率精确至小数点后</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位。</w:t>
      </w:r>
    </w:p>
    <w:p w14:paraId="0F4C4448">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2、投标下浮率=（投标最高限价-投标报价）/投标最高限价×100%</w:t>
      </w:r>
    </w:p>
    <w:p w14:paraId="4428CD99">
      <w:pPr>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3、如投标报价与投标下浮率取值不一致的，以投标下浮率为准。</w:t>
      </w:r>
    </w:p>
    <w:p w14:paraId="63DA2D93">
      <w:pPr>
        <w:spacing w:line="400" w:lineRule="exact"/>
        <w:rPr>
          <w:rFonts w:hint="eastAsia" w:ascii="宋体" w:hAnsi="宋体" w:eastAsia="宋体" w:cs="宋体"/>
          <w:color w:val="auto"/>
          <w:sz w:val="21"/>
          <w:szCs w:val="21"/>
          <w:highlight w:val="none"/>
        </w:rPr>
      </w:pPr>
    </w:p>
    <w:p w14:paraId="290F0962">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单位名称：（盖公章）</w:t>
      </w:r>
      <w:r>
        <w:rPr>
          <w:rFonts w:hint="eastAsia" w:ascii="宋体" w:hAnsi="宋体" w:eastAsia="宋体" w:cs="宋体"/>
          <w:color w:val="auto"/>
          <w:sz w:val="21"/>
          <w:szCs w:val="21"/>
          <w:highlight w:val="none"/>
          <w:u w:val="single"/>
        </w:rPr>
        <w:t xml:space="preserve">                       </w:t>
      </w:r>
    </w:p>
    <w:p w14:paraId="35ADADCB">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法定代表人或委托代理人：（签字或盖章）</w:t>
      </w:r>
      <w:r>
        <w:rPr>
          <w:rFonts w:hint="eastAsia" w:ascii="宋体" w:hAnsi="宋体" w:eastAsia="宋体" w:cs="宋体"/>
          <w:color w:val="auto"/>
          <w:sz w:val="21"/>
          <w:szCs w:val="21"/>
          <w:highlight w:val="none"/>
          <w:u w:val="single"/>
        </w:rPr>
        <w:t xml:space="preserve">                   </w:t>
      </w:r>
    </w:p>
    <w:p w14:paraId="6E6C1D21">
      <w:pPr>
        <w:spacing w:line="400" w:lineRule="exact"/>
        <w:rPr>
          <w:rFonts w:ascii="宋体" w:hAnsi="宋体"/>
          <w:b/>
          <w:color w:val="auto"/>
          <w:sz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4867F22">
      <w:pPr>
        <w:pStyle w:val="5"/>
        <w:jc w:val="both"/>
        <w:rPr>
          <w:color w:val="auto"/>
          <w:highlight w:val="none"/>
        </w:rPr>
      </w:pPr>
      <w:bookmarkStart w:id="48" w:name="_Toc8229531"/>
      <w:bookmarkStart w:id="49" w:name="_Toc7361047"/>
      <w:r>
        <w:rPr>
          <w:rFonts w:hint="eastAsia"/>
          <w:b/>
          <w:bCs/>
          <w:color w:val="auto"/>
          <w:sz w:val="28"/>
          <w:szCs w:val="28"/>
          <w:highlight w:val="none"/>
        </w:rPr>
        <w:br w:type="page"/>
      </w:r>
      <w:r>
        <w:rPr>
          <w:rFonts w:hint="eastAsia" w:cs="宋体"/>
          <w:color w:val="auto"/>
          <w:kern w:val="0"/>
          <w:szCs w:val="28"/>
          <w:highlight w:val="none"/>
        </w:rPr>
        <w:t>格式二：</w:t>
      </w:r>
      <w:r>
        <w:rPr>
          <w:color w:val="auto"/>
          <w:highlight w:val="none"/>
        </w:rPr>
        <w:t>法定代表人身份证明</w:t>
      </w:r>
      <w:r>
        <w:rPr>
          <w:rFonts w:hint="eastAsia"/>
          <w:color w:val="auto"/>
          <w:highlight w:val="none"/>
        </w:rPr>
        <w:t>及</w:t>
      </w:r>
      <w:r>
        <w:rPr>
          <w:color w:val="auto"/>
          <w:highlight w:val="none"/>
        </w:rPr>
        <w:t>授权委托书</w:t>
      </w:r>
      <w:bookmarkEnd w:id="48"/>
      <w:bookmarkEnd w:id="49"/>
    </w:p>
    <w:p w14:paraId="2A8EBD0F">
      <w:pPr>
        <w:jc w:val="center"/>
        <w:rPr>
          <w:b/>
          <w:color w:val="auto"/>
          <w:sz w:val="32"/>
          <w:szCs w:val="32"/>
          <w:highlight w:val="none"/>
        </w:rPr>
      </w:pPr>
      <w:bookmarkStart w:id="50" w:name="_Toc531610933"/>
      <w:bookmarkStart w:id="51" w:name="_Toc516843128"/>
      <w:r>
        <w:rPr>
          <w:b/>
          <w:color w:val="auto"/>
          <w:sz w:val="32"/>
          <w:szCs w:val="32"/>
          <w:highlight w:val="none"/>
        </w:rPr>
        <w:t>法定代表人身份证明</w:t>
      </w:r>
      <w:bookmarkEnd w:id="50"/>
      <w:bookmarkEnd w:id="51"/>
    </w:p>
    <w:p w14:paraId="6941601E">
      <w:pPr>
        <w:spacing w:line="433" w:lineRule="auto"/>
        <w:ind w:right="8802"/>
        <w:rPr>
          <w:rFonts w:ascii="宋体" w:hAnsi="宋体"/>
          <w:color w:val="auto"/>
          <w:highlight w:val="none"/>
        </w:rPr>
      </w:pPr>
      <w:r>
        <w:rPr>
          <w:rFonts w:ascii="宋体" w:hAnsi="宋体"/>
          <w:color w:val="auto"/>
          <w:sz w:val="20"/>
          <w:highlight w:val="none"/>
        </w:rPr>
        <w:t xml:space="preserve"> </w:t>
      </w:r>
      <w:r>
        <w:rPr>
          <w:rFonts w:ascii="宋体" w:hAnsi="宋体"/>
          <w:color w:val="auto"/>
          <w:highlight w:val="none"/>
        </w:rPr>
        <w:t xml:space="preserve"> </w:t>
      </w:r>
    </w:p>
    <w:p w14:paraId="386D7DCE">
      <w:pPr>
        <w:spacing w:line="400" w:lineRule="exact"/>
        <w:rPr>
          <w:rFonts w:ascii="宋体" w:hAnsi="宋体"/>
          <w:color w:val="auto"/>
          <w:sz w:val="21"/>
          <w:szCs w:val="21"/>
          <w:highlight w:val="none"/>
        </w:rPr>
      </w:pPr>
      <w:bookmarkStart w:id="52" w:name="_Toc221952014"/>
      <w:r>
        <w:rPr>
          <w:rFonts w:ascii="宋体" w:hAnsi="宋体"/>
          <w:color w:val="auto"/>
          <w:sz w:val="21"/>
          <w:szCs w:val="21"/>
          <w:highlight w:val="none"/>
        </w:rPr>
        <w:t>投标人名称：</w:t>
      </w:r>
      <w:bookmarkEnd w:id="52"/>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72CBB1CD">
      <w:pPr>
        <w:spacing w:line="400" w:lineRule="exact"/>
        <w:rPr>
          <w:rFonts w:ascii="宋体" w:hAnsi="宋体"/>
          <w:color w:val="auto"/>
          <w:sz w:val="21"/>
          <w:szCs w:val="21"/>
          <w:highlight w:val="none"/>
        </w:rPr>
      </w:pPr>
      <w:bookmarkStart w:id="53" w:name="_Toc221952015"/>
      <w:r>
        <w:rPr>
          <w:rFonts w:ascii="宋体" w:hAnsi="宋体"/>
          <w:color w:val="auto"/>
          <w:sz w:val="21"/>
          <w:szCs w:val="21"/>
          <w:highlight w:val="none"/>
        </w:rPr>
        <w:t>单位性质：</w:t>
      </w:r>
      <w:bookmarkEnd w:id="53"/>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4443CCBE">
      <w:pPr>
        <w:spacing w:line="400" w:lineRule="exact"/>
        <w:rPr>
          <w:rFonts w:ascii="宋体" w:hAnsi="宋体"/>
          <w:color w:val="auto"/>
          <w:sz w:val="21"/>
          <w:szCs w:val="21"/>
          <w:highlight w:val="none"/>
        </w:rPr>
      </w:pPr>
      <w:bookmarkStart w:id="54" w:name="_Toc221952016"/>
      <w:r>
        <w:rPr>
          <w:rFonts w:ascii="宋体" w:hAnsi="宋体"/>
          <w:color w:val="auto"/>
          <w:sz w:val="21"/>
          <w:szCs w:val="21"/>
          <w:highlight w:val="none"/>
        </w:rPr>
        <w:t>地址：</w:t>
      </w:r>
      <w:bookmarkEnd w:id="54"/>
      <w:r>
        <w:rPr>
          <w:rFonts w:ascii="宋体" w:hAnsi="宋体"/>
          <w:color w:val="auto"/>
          <w:sz w:val="21"/>
          <w:szCs w:val="21"/>
          <w:highlight w:val="none"/>
          <w:u w:val="single"/>
        </w:rPr>
        <w:t xml:space="preserve">                                   </w:t>
      </w:r>
    </w:p>
    <w:p w14:paraId="597F028A">
      <w:pPr>
        <w:spacing w:line="400" w:lineRule="exact"/>
        <w:rPr>
          <w:rFonts w:ascii="宋体" w:hAnsi="宋体"/>
          <w:color w:val="auto"/>
          <w:sz w:val="21"/>
          <w:szCs w:val="21"/>
          <w:highlight w:val="none"/>
        </w:rPr>
      </w:pPr>
      <w:bookmarkStart w:id="55" w:name="_Toc221952017"/>
      <w:r>
        <w:rPr>
          <w:rFonts w:ascii="宋体" w:hAnsi="宋体"/>
          <w:color w:val="auto"/>
          <w:sz w:val="21"/>
          <w:szCs w:val="21"/>
          <w:highlight w:val="none"/>
        </w:rPr>
        <w:t>成立时间：</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年</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月</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日</w:t>
      </w:r>
      <w:bookmarkEnd w:id="55"/>
    </w:p>
    <w:p w14:paraId="0D35B832">
      <w:pPr>
        <w:spacing w:line="400" w:lineRule="exact"/>
        <w:rPr>
          <w:rFonts w:ascii="宋体" w:hAnsi="宋体"/>
          <w:color w:val="auto"/>
          <w:sz w:val="21"/>
          <w:szCs w:val="21"/>
          <w:highlight w:val="none"/>
        </w:rPr>
      </w:pPr>
      <w:bookmarkStart w:id="56" w:name="_Toc221952018"/>
      <w:r>
        <w:rPr>
          <w:rFonts w:ascii="宋体" w:hAnsi="宋体"/>
          <w:color w:val="auto"/>
          <w:sz w:val="21"/>
          <w:szCs w:val="21"/>
          <w:highlight w:val="none"/>
        </w:rPr>
        <w:t>经营期限：</w:t>
      </w:r>
      <w:bookmarkEnd w:id="56"/>
      <w:r>
        <w:rPr>
          <w:rFonts w:ascii="宋体" w:hAnsi="宋体"/>
          <w:color w:val="auto"/>
          <w:sz w:val="21"/>
          <w:szCs w:val="21"/>
          <w:highlight w:val="none"/>
          <w:u w:val="single"/>
        </w:rPr>
        <w:t xml:space="preserve">                               </w:t>
      </w:r>
    </w:p>
    <w:p w14:paraId="355BEA65">
      <w:pPr>
        <w:spacing w:line="400" w:lineRule="exact"/>
        <w:rPr>
          <w:rFonts w:ascii="宋体" w:hAnsi="宋体"/>
          <w:color w:val="auto"/>
          <w:sz w:val="21"/>
          <w:szCs w:val="21"/>
          <w:highlight w:val="none"/>
          <w:u w:val="single"/>
        </w:rPr>
      </w:pPr>
      <w:bookmarkStart w:id="57" w:name="_Toc221952019"/>
      <w:r>
        <w:rPr>
          <w:rFonts w:ascii="宋体" w:hAnsi="宋体"/>
          <w:color w:val="auto"/>
          <w:sz w:val="21"/>
          <w:szCs w:val="21"/>
          <w:highlight w:val="none"/>
        </w:rPr>
        <w:t>姓名：</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性别：</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年龄：</w:t>
      </w:r>
      <w:r>
        <w:rPr>
          <w:rFonts w:ascii="宋体" w:hAnsi="宋体"/>
          <w:color w:val="auto"/>
          <w:sz w:val="21"/>
          <w:szCs w:val="21"/>
          <w:highlight w:val="none"/>
          <w:u w:val="single"/>
        </w:rPr>
        <w:t xml:space="preserve">        </w:t>
      </w:r>
      <w:r>
        <w:rPr>
          <w:rFonts w:hint="eastAsia" w:ascii="宋体" w:hAnsi="宋体"/>
          <w:color w:val="auto"/>
          <w:sz w:val="21"/>
          <w:szCs w:val="21"/>
          <w:highlight w:val="none"/>
        </w:rPr>
        <w:t>身份证号码：</w:t>
      </w:r>
      <w:r>
        <w:rPr>
          <w:rFonts w:hint="eastAsia" w:ascii="宋体" w:hAnsi="宋体"/>
          <w:color w:val="auto"/>
          <w:sz w:val="21"/>
          <w:szCs w:val="21"/>
          <w:highlight w:val="none"/>
          <w:u w:val="single"/>
        </w:rPr>
        <w:t xml:space="preserve">                    </w:t>
      </w:r>
    </w:p>
    <w:p w14:paraId="71B2B999">
      <w:pPr>
        <w:spacing w:line="400" w:lineRule="exact"/>
        <w:rPr>
          <w:rFonts w:ascii="宋体" w:hAnsi="宋体"/>
          <w:color w:val="auto"/>
          <w:sz w:val="21"/>
          <w:szCs w:val="21"/>
          <w:highlight w:val="none"/>
        </w:rPr>
      </w:pPr>
      <w:r>
        <w:rPr>
          <w:rFonts w:ascii="宋体" w:hAnsi="宋体"/>
          <w:color w:val="auto"/>
          <w:sz w:val="21"/>
          <w:szCs w:val="21"/>
          <w:highlight w:val="none"/>
        </w:rPr>
        <w:t>职务：</w:t>
      </w:r>
      <w:bookmarkEnd w:id="57"/>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bookmarkStart w:id="58" w:name="_Toc221952020"/>
      <w:r>
        <w:rPr>
          <w:rFonts w:ascii="宋体" w:hAnsi="宋体"/>
          <w:color w:val="auto"/>
          <w:sz w:val="21"/>
          <w:szCs w:val="21"/>
          <w:highlight w:val="none"/>
        </w:rPr>
        <w:t>系</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(投标人名称)的法定代表人。</w:t>
      </w:r>
      <w:bookmarkEnd w:id="58"/>
    </w:p>
    <w:p w14:paraId="0D8D30C3">
      <w:pPr>
        <w:spacing w:line="400" w:lineRule="exact"/>
        <w:ind w:firstLine="420" w:firstLineChars="200"/>
        <w:rPr>
          <w:rFonts w:ascii="宋体" w:hAnsi="宋体"/>
          <w:color w:val="auto"/>
          <w:sz w:val="21"/>
          <w:szCs w:val="21"/>
          <w:highlight w:val="none"/>
        </w:rPr>
      </w:pPr>
      <w:r>
        <w:rPr>
          <w:rFonts w:ascii="宋体" w:hAnsi="宋体" w:cs="宋体"/>
          <w:color w:val="auto"/>
          <w:sz w:val="21"/>
          <w:szCs w:val="21"/>
          <w:highlight w:val="none"/>
        </w:rPr>
        <w:t>特此证明。</w:t>
      </w:r>
    </w:p>
    <w:p w14:paraId="16C4881F">
      <w:pPr>
        <w:spacing w:after="184"/>
        <w:rPr>
          <w:rFonts w:ascii="宋体" w:hAnsi="宋体"/>
          <w:color w:val="auto"/>
          <w:sz w:val="21"/>
          <w:szCs w:val="21"/>
          <w:highlight w:val="none"/>
        </w:rPr>
      </w:pPr>
    </w:p>
    <w:p w14:paraId="11A6EFE1">
      <w:pPr>
        <w:spacing w:after="153" w:line="265" w:lineRule="auto"/>
        <w:ind w:left="-5" w:right="103" w:hanging="10"/>
        <w:rPr>
          <w:rFonts w:ascii="宋体" w:hAnsi="宋体"/>
          <w:b/>
          <w:color w:val="auto"/>
          <w:sz w:val="21"/>
          <w:szCs w:val="21"/>
          <w:highlight w:val="none"/>
        </w:rPr>
      </w:pPr>
      <w:r>
        <w:rPr>
          <w:rFonts w:ascii="宋体" w:hAnsi="宋体" w:cs="宋体"/>
          <w:b/>
          <w:color w:val="auto"/>
          <w:sz w:val="21"/>
          <w:szCs w:val="21"/>
          <w:highlight w:val="none"/>
        </w:rPr>
        <w:t>附：法定代表人身份证。</w:t>
      </w:r>
    </w:p>
    <w:p w14:paraId="7CD1F809">
      <w:pPr>
        <w:spacing w:after="182"/>
        <w:rPr>
          <w:rFonts w:hint="eastAsia" w:ascii="宋体" w:hAnsi="宋体"/>
          <w:color w:val="auto"/>
          <w:sz w:val="21"/>
          <w:szCs w:val="21"/>
          <w:highlight w:val="none"/>
        </w:rPr>
      </w:pPr>
    </w:p>
    <w:p w14:paraId="6B4772DD">
      <w:pPr>
        <w:spacing w:after="155" w:line="265" w:lineRule="auto"/>
        <w:ind w:left="-5" w:right="103" w:hanging="10"/>
        <w:rPr>
          <w:rFonts w:ascii="宋体" w:hAnsi="宋体" w:cs="宋体"/>
          <w:color w:val="auto"/>
          <w:sz w:val="21"/>
          <w:szCs w:val="21"/>
          <w:highlight w:val="none"/>
        </w:rPr>
      </w:pPr>
      <w:r>
        <w:rPr>
          <w:rFonts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本身份证明需由投标人加盖单位公章。</w:t>
      </w:r>
    </w:p>
    <w:p w14:paraId="4E1EA46E">
      <w:pPr>
        <w:pStyle w:val="258"/>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联合体投标的，本证明书由联合体</w:t>
      </w:r>
      <w:r>
        <w:rPr>
          <w:rFonts w:hint="eastAsia" w:ascii="宋体" w:hAnsi="宋体" w:eastAsia="宋体" w:cs="宋体"/>
          <w:color w:val="auto"/>
          <w:sz w:val="21"/>
          <w:szCs w:val="21"/>
          <w:highlight w:val="none"/>
          <w:lang w:val="en-US" w:eastAsia="zh-CN"/>
        </w:rPr>
        <w:t>主办</w:t>
      </w:r>
      <w:r>
        <w:rPr>
          <w:rFonts w:hint="eastAsia" w:ascii="宋体" w:hAnsi="宋体" w:eastAsia="宋体" w:cs="宋体"/>
          <w:color w:val="auto"/>
          <w:sz w:val="21"/>
          <w:szCs w:val="21"/>
          <w:highlight w:val="none"/>
        </w:rPr>
        <w:t>方出具。</w:t>
      </w:r>
    </w:p>
    <w:p w14:paraId="75BE56D6">
      <w:pPr>
        <w:spacing w:after="155" w:line="265" w:lineRule="auto"/>
        <w:ind w:left="-5" w:right="103" w:hanging="10"/>
        <w:rPr>
          <w:rFonts w:ascii="宋体" w:hAnsi="宋体" w:cs="宋体"/>
          <w:color w:val="auto"/>
          <w:sz w:val="21"/>
          <w:szCs w:val="21"/>
          <w:highlight w:val="none"/>
        </w:rPr>
      </w:pPr>
    </w:p>
    <w:p w14:paraId="0E7CCF43">
      <w:pPr>
        <w:spacing w:after="175"/>
        <w:rPr>
          <w:rFonts w:ascii="宋体" w:hAnsi="宋体"/>
          <w:color w:val="auto"/>
          <w:sz w:val="21"/>
          <w:szCs w:val="21"/>
          <w:highlight w:val="none"/>
        </w:rPr>
      </w:pPr>
      <w:r>
        <w:rPr>
          <w:rFonts w:ascii="宋体" w:hAnsi="宋体"/>
          <w:color w:val="auto"/>
          <w:sz w:val="21"/>
          <w:szCs w:val="21"/>
          <w:highlight w:val="none"/>
        </w:rPr>
        <w:t xml:space="preserve"> </w:t>
      </w:r>
    </w:p>
    <w:p w14:paraId="4F80C0EA">
      <w:pPr>
        <w:spacing w:after="177"/>
        <w:rPr>
          <w:rFonts w:ascii="宋体" w:hAnsi="宋体"/>
          <w:color w:val="auto"/>
          <w:sz w:val="21"/>
          <w:szCs w:val="21"/>
          <w:highlight w:val="none"/>
        </w:rPr>
      </w:pPr>
      <w:r>
        <w:rPr>
          <w:rFonts w:ascii="宋体" w:hAnsi="宋体"/>
          <w:color w:val="auto"/>
          <w:sz w:val="21"/>
          <w:szCs w:val="21"/>
          <w:highlight w:val="none"/>
        </w:rPr>
        <w:t xml:space="preserve"> </w:t>
      </w:r>
    </w:p>
    <w:p w14:paraId="3BC6DDF2">
      <w:pPr>
        <w:tabs>
          <w:tab w:val="center" w:pos="2956"/>
          <w:tab w:val="center" w:pos="7052"/>
        </w:tabs>
        <w:spacing w:after="146" w:line="265" w:lineRule="auto"/>
        <w:rPr>
          <w:rFonts w:ascii="宋体" w:hAnsi="宋体"/>
          <w:color w:val="auto"/>
          <w:sz w:val="21"/>
          <w:szCs w:val="21"/>
          <w:highlight w:val="none"/>
        </w:rPr>
      </w:pPr>
      <w:r>
        <w:rPr>
          <w:rFonts w:ascii="宋体" w:hAnsi="宋体"/>
          <w:color w:val="auto"/>
          <w:sz w:val="21"/>
          <w:szCs w:val="21"/>
          <w:highlight w:val="none"/>
        </w:rPr>
        <w:tab/>
      </w:r>
      <w:r>
        <w:rPr>
          <w:rFonts w:ascii="宋体" w:hAnsi="宋体"/>
          <w:color w:val="auto"/>
          <w:sz w:val="21"/>
          <w:szCs w:val="21"/>
          <w:highlight w:val="none"/>
        </w:rPr>
        <w:t xml:space="preserve">                              </w:t>
      </w:r>
      <w:r>
        <w:rPr>
          <w:rFonts w:ascii="宋体" w:hAnsi="宋体" w:cs="宋体"/>
          <w:color w:val="auto"/>
          <w:sz w:val="21"/>
          <w:szCs w:val="21"/>
          <w:highlight w:val="none"/>
        </w:rPr>
        <w:t>投标人：</w:t>
      </w:r>
      <w:r>
        <w:rPr>
          <w:rFonts w:ascii="宋体" w:hAnsi="宋体"/>
          <w:color w:val="auto"/>
          <w:sz w:val="21"/>
          <w:szCs w:val="21"/>
          <w:highlight w:val="none"/>
          <w:u w:val="single" w:color="000000"/>
        </w:rPr>
        <w:t xml:space="preserve">           </w:t>
      </w:r>
      <w:r>
        <w:rPr>
          <w:rFonts w:ascii="宋体" w:hAnsi="宋体"/>
          <w:color w:val="auto"/>
          <w:sz w:val="21"/>
          <w:szCs w:val="21"/>
          <w:highlight w:val="none"/>
          <w:u w:val="single" w:color="000000"/>
        </w:rPr>
        <w:tab/>
      </w:r>
      <w:r>
        <w:rPr>
          <w:rFonts w:ascii="宋体" w:hAnsi="宋体" w:cs="宋体"/>
          <w:color w:val="auto"/>
          <w:sz w:val="21"/>
          <w:szCs w:val="21"/>
          <w:highlight w:val="none"/>
        </w:rPr>
        <w:t>（盖单位章）</w:t>
      </w:r>
      <w:r>
        <w:rPr>
          <w:rFonts w:ascii="宋体" w:hAnsi="宋体"/>
          <w:color w:val="auto"/>
          <w:sz w:val="21"/>
          <w:szCs w:val="21"/>
          <w:highlight w:val="none"/>
        </w:rPr>
        <w:t xml:space="preserve"> </w:t>
      </w:r>
    </w:p>
    <w:p w14:paraId="2049093E">
      <w:pPr>
        <w:spacing w:after="177"/>
        <w:rPr>
          <w:rFonts w:ascii="宋体" w:hAnsi="宋体"/>
          <w:color w:val="auto"/>
          <w:sz w:val="21"/>
          <w:szCs w:val="21"/>
          <w:highlight w:val="none"/>
        </w:rPr>
      </w:pPr>
      <w:r>
        <w:rPr>
          <w:rFonts w:ascii="宋体" w:hAnsi="宋体"/>
          <w:color w:val="auto"/>
          <w:sz w:val="21"/>
          <w:szCs w:val="21"/>
          <w:highlight w:val="none"/>
        </w:rPr>
        <w:t xml:space="preserve"> </w:t>
      </w:r>
    </w:p>
    <w:p w14:paraId="6DFBD50E">
      <w:pPr>
        <w:spacing w:after="146" w:line="265" w:lineRule="auto"/>
        <w:ind w:left="10" w:right="1712" w:hanging="10"/>
        <w:jc w:val="right"/>
        <w:rPr>
          <w:rFonts w:ascii="宋体" w:hAnsi="宋体"/>
          <w:color w:val="auto"/>
          <w:sz w:val="24"/>
          <w:highlight w:val="none"/>
        </w:rPr>
      </w:pP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年</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月</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日</w:t>
      </w:r>
      <w:r>
        <w:rPr>
          <w:rFonts w:ascii="宋体" w:hAnsi="宋体"/>
          <w:color w:val="auto"/>
          <w:sz w:val="24"/>
          <w:highlight w:val="none"/>
        </w:rPr>
        <w:t xml:space="preserve"> </w:t>
      </w:r>
    </w:p>
    <w:p w14:paraId="5F6BF40B">
      <w:pPr>
        <w:spacing w:after="192"/>
        <w:rPr>
          <w:rFonts w:ascii="宋体" w:hAnsi="宋体"/>
          <w:color w:val="auto"/>
          <w:sz w:val="24"/>
          <w:highlight w:val="none"/>
        </w:rPr>
      </w:pPr>
      <w:r>
        <w:rPr>
          <w:rFonts w:ascii="宋体" w:hAnsi="宋体"/>
          <w:color w:val="auto"/>
          <w:sz w:val="24"/>
          <w:highlight w:val="none"/>
        </w:rPr>
        <w:t xml:space="preserve"> </w:t>
      </w:r>
    </w:p>
    <w:p w14:paraId="4A61633B">
      <w:pPr>
        <w:spacing w:after="192"/>
        <w:rPr>
          <w:rFonts w:ascii="宋体" w:hAnsi="宋体"/>
          <w:color w:val="auto"/>
          <w:sz w:val="24"/>
          <w:highlight w:val="none"/>
        </w:rPr>
      </w:pPr>
    </w:p>
    <w:p w14:paraId="7F2FC135">
      <w:pPr>
        <w:spacing w:after="192"/>
        <w:rPr>
          <w:rFonts w:hint="eastAsia" w:ascii="宋体" w:hAnsi="宋体"/>
          <w:color w:val="auto"/>
          <w:sz w:val="24"/>
          <w:highlight w:val="none"/>
        </w:rPr>
      </w:pPr>
    </w:p>
    <w:p w14:paraId="5E8E08D7">
      <w:pPr>
        <w:spacing w:after="192"/>
        <w:rPr>
          <w:rFonts w:hint="eastAsia" w:ascii="宋体" w:hAnsi="宋体"/>
          <w:color w:val="auto"/>
          <w:sz w:val="24"/>
          <w:highlight w:val="none"/>
        </w:rPr>
      </w:pPr>
    </w:p>
    <w:p w14:paraId="643ADEFF">
      <w:pPr>
        <w:spacing w:after="192"/>
        <w:rPr>
          <w:rFonts w:hint="eastAsia" w:ascii="宋体" w:hAnsi="宋体"/>
          <w:color w:val="auto"/>
          <w:sz w:val="24"/>
          <w:highlight w:val="none"/>
        </w:rPr>
      </w:pPr>
    </w:p>
    <w:p w14:paraId="4A4F31EE">
      <w:pPr>
        <w:spacing w:after="192"/>
        <w:rPr>
          <w:rFonts w:hint="eastAsia" w:ascii="宋体" w:hAnsi="宋体"/>
          <w:color w:val="auto"/>
          <w:sz w:val="24"/>
          <w:highlight w:val="none"/>
        </w:rPr>
      </w:pPr>
    </w:p>
    <w:p w14:paraId="06C03AA6">
      <w:pPr>
        <w:spacing w:after="192"/>
        <w:rPr>
          <w:rFonts w:hint="eastAsia" w:ascii="宋体" w:hAnsi="宋体"/>
          <w:color w:val="auto"/>
          <w:sz w:val="24"/>
          <w:highlight w:val="none"/>
        </w:rPr>
      </w:pPr>
    </w:p>
    <w:p w14:paraId="41D3ECE1">
      <w:pPr>
        <w:rPr>
          <w:rFonts w:hint="eastAsia"/>
          <w:color w:val="auto"/>
          <w:highlight w:val="none"/>
        </w:rPr>
      </w:pPr>
    </w:p>
    <w:p w14:paraId="35C46591">
      <w:pPr>
        <w:spacing w:after="192"/>
        <w:rPr>
          <w:rFonts w:hint="eastAsia" w:ascii="宋体" w:hAnsi="宋体"/>
          <w:color w:val="auto"/>
          <w:sz w:val="24"/>
          <w:highlight w:val="none"/>
        </w:rPr>
      </w:pPr>
    </w:p>
    <w:p w14:paraId="0BCD841D">
      <w:pPr>
        <w:spacing w:after="192"/>
        <w:rPr>
          <w:rFonts w:hint="eastAsia" w:ascii="宋体" w:hAnsi="宋体"/>
          <w:color w:val="auto"/>
          <w:sz w:val="24"/>
          <w:highlight w:val="none"/>
        </w:rPr>
      </w:pPr>
    </w:p>
    <w:p w14:paraId="1122AACD">
      <w:pPr>
        <w:ind w:right="1604"/>
        <w:jc w:val="right"/>
        <w:rPr>
          <w:rFonts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ascii="宋体" w:hAnsi="宋体"/>
          <w:color w:val="auto"/>
          <w:sz w:val="24"/>
          <w:highlight w:val="none"/>
        </w:rPr>
        <w:t xml:space="preserve"> </w:t>
      </w:r>
    </w:p>
    <w:p w14:paraId="10107C78">
      <w:pPr>
        <w:jc w:val="center"/>
        <w:rPr>
          <w:b/>
          <w:color w:val="auto"/>
          <w:sz w:val="32"/>
          <w:szCs w:val="32"/>
          <w:highlight w:val="none"/>
        </w:rPr>
      </w:pPr>
      <w:bookmarkStart w:id="59" w:name="_Toc531610934"/>
      <w:bookmarkStart w:id="60" w:name="_Toc516843129"/>
      <w:r>
        <w:rPr>
          <w:b/>
          <w:color w:val="auto"/>
          <w:sz w:val="32"/>
          <w:szCs w:val="32"/>
          <w:highlight w:val="none"/>
        </w:rPr>
        <w:t>授权委托书</w:t>
      </w:r>
      <w:bookmarkEnd w:id="59"/>
      <w:bookmarkEnd w:id="60"/>
    </w:p>
    <w:p w14:paraId="53B1AC61">
      <w:pPr>
        <w:spacing w:after="181"/>
        <w:rPr>
          <w:rFonts w:ascii="宋体" w:hAnsi="宋体"/>
          <w:color w:val="auto"/>
          <w:highlight w:val="none"/>
        </w:rPr>
      </w:pPr>
      <w:r>
        <w:rPr>
          <w:rFonts w:ascii="宋体" w:hAnsi="宋体"/>
          <w:color w:val="auto"/>
          <w:highlight w:val="none"/>
        </w:rPr>
        <w:t xml:space="preserve"> </w:t>
      </w:r>
    </w:p>
    <w:p w14:paraId="4EE30CDA">
      <w:pPr>
        <w:spacing w:after="30" w:line="369" w:lineRule="auto"/>
        <w:ind w:left="-15" w:right="197" w:firstLine="410"/>
        <w:rPr>
          <w:rFonts w:ascii="宋体" w:hAnsi="宋体"/>
          <w:color w:val="auto"/>
          <w:sz w:val="21"/>
          <w:szCs w:val="21"/>
          <w:highlight w:val="none"/>
        </w:rPr>
      </w:pPr>
      <w:r>
        <w:rPr>
          <w:rFonts w:ascii="宋体" w:hAnsi="宋体" w:cs="宋体"/>
          <w:color w:val="auto"/>
          <w:sz w:val="21"/>
          <w:szCs w:val="21"/>
          <w:highlight w:val="none"/>
        </w:rPr>
        <w:t>本人</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（姓名）系</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（投标人名称）的法定代表人，现委托</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（姓名）为我方代理人。代理人根据授权，以我方名义签署、澄清确认、递交、撤回、修改</w:t>
      </w:r>
      <w:r>
        <w:rPr>
          <w:rFonts w:hint="eastAsia" w:ascii="宋体" w:hAnsi="宋体" w:cs="宋体"/>
          <w:color w:val="auto"/>
          <w:sz w:val="21"/>
          <w:szCs w:val="21"/>
          <w:highlight w:val="none"/>
          <w:u w:val="single"/>
        </w:rPr>
        <w:t xml:space="preserve">         （项目名称）     </w:t>
      </w:r>
      <w:r>
        <w:rPr>
          <w:rFonts w:ascii="宋体" w:hAnsi="宋体" w:cs="宋体"/>
          <w:color w:val="auto"/>
          <w:sz w:val="21"/>
          <w:szCs w:val="21"/>
          <w:highlight w:val="none"/>
        </w:rPr>
        <w:t>投标文件、签订合同和处理有关事宜，其法律后果由我方承担。</w:t>
      </w:r>
      <w:r>
        <w:rPr>
          <w:rFonts w:ascii="宋体" w:hAnsi="宋体"/>
          <w:color w:val="auto"/>
          <w:sz w:val="21"/>
          <w:szCs w:val="21"/>
          <w:highlight w:val="none"/>
        </w:rPr>
        <w:t xml:space="preserve"> </w:t>
      </w:r>
    </w:p>
    <w:p w14:paraId="7C22AC41">
      <w:pPr>
        <w:spacing w:after="149" w:line="265" w:lineRule="auto"/>
        <w:ind w:left="-5" w:right="103" w:hanging="10"/>
        <w:rPr>
          <w:rFonts w:ascii="宋体" w:hAnsi="宋体"/>
          <w:color w:val="auto"/>
          <w:sz w:val="21"/>
          <w:szCs w:val="21"/>
          <w:highlight w:val="none"/>
        </w:rPr>
      </w:pPr>
      <w:r>
        <w:rPr>
          <w:rFonts w:ascii="宋体" w:hAnsi="宋体" w:cs="宋体"/>
          <w:color w:val="auto"/>
          <w:sz w:val="21"/>
          <w:szCs w:val="21"/>
          <w:highlight w:val="none"/>
        </w:rPr>
        <w:t>委托期限：</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w:t>
      </w:r>
      <w:r>
        <w:rPr>
          <w:rFonts w:ascii="宋体" w:hAnsi="宋体"/>
          <w:color w:val="auto"/>
          <w:sz w:val="21"/>
          <w:szCs w:val="21"/>
          <w:highlight w:val="none"/>
        </w:rPr>
        <w:t xml:space="preserve"> </w:t>
      </w:r>
    </w:p>
    <w:p w14:paraId="3EDD7DB5">
      <w:pPr>
        <w:spacing w:after="153" w:line="265" w:lineRule="auto"/>
        <w:ind w:left="430" w:right="103" w:hanging="10"/>
        <w:rPr>
          <w:rFonts w:ascii="宋体" w:hAnsi="宋体"/>
          <w:color w:val="auto"/>
          <w:sz w:val="21"/>
          <w:szCs w:val="21"/>
          <w:highlight w:val="none"/>
        </w:rPr>
      </w:pPr>
      <w:r>
        <w:rPr>
          <w:rFonts w:ascii="宋体" w:hAnsi="宋体" w:cs="宋体"/>
          <w:color w:val="auto"/>
          <w:sz w:val="21"/>
          <w:szCs w:val="21"/>
          <w:highlight w:val="none"/>
        </w:rPr>
        <w:t>代理人无转委托权。</w:t>
      </w:r>
      <w:r>
        <w:rPr>
          <w:rFonts w:ascii="宋体" w:hAnsi="宋体"/>
          <w:color w:val="auto"/>
          <w:sz w:val="21"/>
          <w:szCs w:val="21"/>
          <w:highlight w:val="none"/>
        </w:rPr>
        <w:t xml:space="preserve"> </w:t>
      </w:r>
    </w:p>
    <w:p w14:paraId="759F12F9">
      <w:pPr>
        <w:spacing w:after="184"/>
        <w:ind w:left="420"/>
        <w:rPr>
          <w:rFonts w:ascii="宋体" w:hAnsi="宋体"/>
          <w:color w:val="auto"/>
          <w:sz w:val="21"/>
          <w:szCs w:val="21"/>
          <w:highlight w:val="none"/>
        </w:rPr>
      </w:pPr>
      <w:r>
        <w:rPr>
          <w:rFonts w:ascii="宋体" w:hAnsi="宋体"/>
          <w:color w:val="auto"/>
          <w:sz w:val="21"/>
          <w:szCs w:val="21"/>
          <w:highlight w:val="none"/>
        </w:rPr>
        <w:t xml:space="preserve"> </w:t>
      </w:r>
    </w:p>
    <w:p w14:paraId="53958925">
      <w:pPr>
        <w:spacing w:after="153" w:line="265" w:lineRule="auto"/>
        <w:ind w:left="-5" w:right="103" w:hanging="10"/>
        <w:rPr>
          <w:rFonts w:ascii="宋体" w:hAnsi="宋体"/>
          <w:b/>
          <w:color w:val="auto"/>
          <w:sz w:val="21"/>
          <w:szCs w:val="21"/>
          <w:highlight w:val="none"/>
        </w:rPr>
      </w:pPr>
      <w:r>
        <w:rPr>
          <w:rFonts w:ascii="宋体" w:hAnsi="宋体" w:cs="宋体"/>
          <w:b/>
          <w:color w:val="auto"/>
          <w:sz w:val="21"/>
          <w:szCs w:val="21"/>
          <w:highlight w:val="none"/>
        </w:rPr>
        <w:t>附：委托代理人身份证</w:t>
      </w:r>
      <w:r>
        <w:rPr>
          <w:rFonts w:hint="eastAsia" w:ascii="宋体" w:hAnsi="宋体" w:cs="宋体"/>
          <w:b/>
          <w:color w:val="auto"/>
          <w:sz w:val="21"/>
          <w:szCs w:val="21"/>
          <w:highlight w:val="none"/>
        </w:rPr>
        <w:t>。</w:t>
      </w:r>
    </w:p>
    <w:p w14:paraId="67551615">
      <w:pPr>
        <w:spacing w:after="182"/>
        <w:rPr>
          <w:rFonts w:ascii="宋体" w:hAnsi="宋体"/>
          <w:color w:val="auto"/>
          <w:sz w:val="21"/>
          <w:szCs w:val="21"/>
          <w:highlight w:val="none"/>
        </w:rPr>
      </w:pPr>
      <w:r>
        <w:rPr>
          <w:rFonts w:ascii="宋体" w:hAnsi="宋体"/>
          <w:color w:val="auto"/>
          <w:sz w:val="21"/>
          <w:szCs w:val="21"/>
          <w:highlight w:val="none"/>
        </w:rPr>
        <w:t xml:space="preserve"> </w:t>
      </w:r>
    </w:p>
    <w:p w14:paraId="08C4C568">
      <w:pPr>
        <w:spacing w:line="265" w:lineRule="auto"/>
        <w:ind w:left="-5" w:right="103" w:hanging="10"/>
        <w:rPr>
          <w:rFonts w:ascii="宋体" w:hAnsi="宋体"/>
          <w:color w:val="auto"/>
          <w:sz w:val="21"/>
          <w:szCs w:val="21"/>
          <w:highlight w:val="none"/>
        </w:rPr>
      </w:pPr>
      <w:r>
        <w:rPr>
          <w:rFonts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本授权委托书需由投标人加盖单位公章并由其法定代表人和委托代理人签字。</w:t>
      </w:r>
      <w:r>
        <w:rPr>
          <w:rFonts w:ascii="宋体" w:hAnsi="宋体"/>
          <w:color w:val="auto"/>
          <w:sz w:val="21"/>
          <w:szCs w:val="21"/>
          <w:highlight w:val="none"/>
        </w:rPr>
        <w:t xml:space="preserve"> </w:t>
      </w:r>
    </w:p>
    <w:p w14:paraId="5B4406A4">
      <w:pPr>
        <w:spacing w:line="265" w:lineRule="auto"/>
        <w:ind w:left="0" w:leftChars="0" w:right="103"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w:t>
      </w:r>
      <w:r>
        <w:rPr>
          <w:rFonts w:hint="eastAsia" w:ascii="宋体" w:hAnsi="宋体"/>
          <w:color w:val="auto"/>
          <w:szCs w:val="21"/>
          <w:highlight w:val="none"/>
        </w:rPr>
        <w:t>联合体投标的，本授权书由联合体</w:t>
      </w:r>
      <w:r>
        <w:rPr>
          <w:rFonts w:hint="eastAsia" w:ascii="宋体" w:hAnsi="宋体"/>
          <w:color w:val="auto"/>
          <w:szCs w:val="21"/>
          <w:highlight w:val="none"/>
          <w:lang w:val="en-US" w:eastAsia="zh-CN"/>
        </w:rPr>
        <w:t>主办</w:t>
      </w:r>
      <w:r>
        <w:rPr>
          <w:rFonts w:hint="eastAsia" w:ascii="宋体" w:hAnsi="宋体"/>
          <w:color w:val="auto"/>
          <w:szCs w:val="21"/>
          <w:highlight w:val="none"/>
        </w:rPr>
        <w:t>方出具，并由联合体</w:t>
      </w:r>
      <w:r>
        <w:rPr>
          <w:rFonts w:hint="eastAsia" w:ascii="宋体" w:hAnsi="宋体"/>
          <w:color w:val="auto"/>
          <w:szCs w:val="21"/>
          <w:highlight w:val="none"/>
          <w:lang w:val="en-US" w:eastAsia="zh-CN"/>
        </w:rPr>
        <w:t>主办</w:t>
      </w:r>
      <w:r>
        <w:rPr>
          <w:rFonts w:hint="eastAsia" w:ascii="宋体" w:hAnsi="宋体"/>
          <w:color w:val="auto"/>
          <w:szCs w:val="21"/>
          <w:highlight w:val="none"/>
        </w:rPr>
        <w:t>方签字、盖章即可。</w:t>
      </w:r>
    </w:p>
    <w:p w14:paraId="0F6112FF">
      <w:pPr>
        <w:spacing w:line="265" w:lineRule="auto"/>
        <w:ind w:left="-5" w:right="103" w:hanging="10"/>
        <w:rPr>
          <w:rFonts w:ascii="宋体" w:hAnsi="宋体"/>
          <w:color w:val="auto"/>
          <w:sz w:val="21"/>
          <w:szCs w:val="21"/>
          <w:highlight w:val="none"/>
        </w:rPr>
      </w:pPr>
    </w:p>
    <w:p w14:paraId="65342FD8">
      <w:pPr>
        <w:spacing w:line="265" w:lineRule="auto"/>
        <w:ind w:left="-5" w:right="103" w:hanging="10"/>
        <w:rPr>
          <w:rFonts w:ascii="宋体" w:hAnsi="宋体"/>
          <w:color w:val="auto"/>
          <w:sz w:val="21"/>
          <w:szCs w:val="21"/>
          <w:highlight w:val="none"/>
        </w:rPr>
      </w:pPr>
    </w:p>
    <w:p w14:paraId="54F412E1">
      <w:pPr>
        <w:spacing w:line="265" w:lineRule="auto"/>
        <w:ind w:left="-5" w:right="103" w:hanging="10"/>
        <w:rPr>
          <w:rFonts w:ascii="宋体" w:hAnsi="宋体"/>
          <w:color w:val="auto"/>
          <w:sz w:val="21"/>
          <w:szCs w:val="21"/>
          <w:highlight w:val="none"/>
        </w:rPr>
      </w:pPr>
    </w:p>
    <w:p w14:paraId="2F45C90F">
      <w:pPr>
        <w:spacing w:line="265" w:lineRule="auto"/>
        <w:ind w:left="-5" w:right="103" w:hanging="10"/>
        <w:rPr>
          <w:rFonts w:ascii="宋体" w:hAnsi="宋体"/>
          <w:color w:val="auto"/>
          <w:sz w:val="21"/>
          <w:szCs w:val="21"/>
          <w:highlight w:val="none"/>
        </w:rPr>
      </w:pPr>
    </w:p>
    <w:p w14:paraId="23B701EF">
      <w:pPr>
        <w:wordWrap w:val="0"/>
        <w:spacing w:after="146" w:line="265" w:lineRule="auto"/>
        <w:ind w:left="10" w:leftChars="5" w:right="200" w:firstLine="1995" w:firstLineChars="95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投 标 人：                            （盖单位章）</w:t>
      </w:r>
    </w:p>
    <w:p w14:paraId="6784D1D5">
      <w:pPr>
        <w:spacing w:after="146" w:line="265" w:lineRule="auto"/>
        <w:ind w:left="10" w:right="200" w:hanging="10"/>
        <w:rPr>
          <w:rFonts w:ascii="宋体" w:hAnsi="宋体"/>
          <w:color w:val="auto"/>
          <w:sz w:val="21"/>
          <w:szCs w:val="21"/>
          <w:highlight w:val="none"/>
          <w:u w:val="single" w:color="000000"/>
        </w:rPr>
      </w:pPr>
    </w:p>
    <w:p w14:paraId="501983A4">
      <w:pPr>
        <w:wordWrap w:val="0"/>
        <w:spacing w:after="146" w:line="265" w:lineRule="auto"/>
        <w:ind w:left="10" w:leftChars="5" w:right="305" w:firstLine="1890" w:firstLineChars="90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法定代表人：                         （签字或签章）</w:t>
      </w:r>
    </w:p>
    <w:p w14:paraId="3CFDB16A">
      <w:pPr>
        <w:spacing w:after="146" w:line="265" w:lineRule="auto"/>
        <w:ind w:left="10" w:right="200" w:hanging="10"/>
        <w:rPr>
          <w:rFonts w:ascii="宋体" w:hAnsi="宋体"/>
          <w:color w:val="auto"/>
          <w:sz w:val="21"/>
          <w:szCs w:val="21"/>
          <w:highlight w:val="none"/>
          <w:u w:val="single" w:color="000000"/>
        </w:rPr>
      </w:pPr>
    </w:p>
    <w:p w14:paraId="518E18E0">
      <w:pPr>
        <w:wordWrap w:val="0"/>
        <w:spacing w:after="146" w:line="265" w:lineRule="auto"/>
        <w:ind w:left="10" w:leftChars="5" w:right="200" w:firstLine="1890" w:firstLineChars="90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 xml:space="preserve">身份证号码：                                    </w:t>
      </w:r>
    </w:p>
    <w:p w14:paraId="203C8125">
      <w:pPr>
        <w:spacing w:after="146" w:line="265" w:lineRule="auto"/>
        <w:ind w:left="10" w:right="200" w:hanging="10"/>
        <w:rPr>
          <w:rFonts w:ascii="宋体" w:hAnsi="宋体"/>
          <w:color w:val="auto"/>
          <w:sz w:val="21"/>
          <w:szCs w:val="21"/>
          <w:highlight w:val="none"/>
          <w:u w:val="single" w:color="000000"/>
        </w:rPr>
      </w:pPr>
    </w:p>
    <w:p w14:paraId="55D33669">
      <w:pPr>
        <w:wordWrap w:val="0"/>
        <w:spacing w:after="146" w:line="265" w:lineRule="auto"/>
        <w:ind w:left="10" w:leftChars="5" w:right="200" w:firstLine="1890" w:firstLineChars="90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委托代理人 ：                            （签字）</w:t>
      </w:r>
    </w:p>
    <w:p w14:paraId="2B286FA5">
      <w:pPr>
        <w:spacing w:after="146" w:line="265" w:lineRule="auto"/>
        <w:ind w:left="10" w:right="200" w:hanging="10"/>
        <w:rPr>
          <w:rFonts w:ascii="宋体" w:hAnsi="宋体"/>
          <w:color w:val="auto"/>
          <w:sz w:val="21"/>
          <w:szCs w:val="21"/>
          <w:highlight w:val="none"/>
          <w:u w:val="single" w:color="000000"/>
        </w:rPr>
      </w:pPr>
    </w:p>
    <w:p w14:paraId="21074171">
      <w:pPr>
        <w:wordWrap w:val="0"/>
        <w:spacing w:after="146" w:line="265" w:lineRule="auto"/>
        <w:ind w:left="10" w:leftChars="5" w:right="200" w:firstLine="1890" w:firstLineChars="900"/>
        <w:rPr>
          <w:rFonts w:ascii="宋体" w:hAnsi="宋体"/>
          <w:color w:val="auto"/>
          <w:sz w:val="21"/>
          <w:szCs w:val="21"/>
          <w:highlight w:val="none"/>
          <w:u w:val="single" w:color="000000"/>
        </w:rPr>
      </w:pPr>
      <w:r>
        <w:rPr>
          <w:rFonts w:hint="eastAsia" w:ascii="宋体" w:hAnsi="宋体"/>
          <w:color w:val="auto"/>
          <w:sz w:val="21"/>
          <w:szCs w:val="21"/>
          <w:highlight w:val="none"/>
          <w:u w:val="single" w:color="000000"/>
        </w:rPr>
        <w:t xml:space="preserve">身份证号码：                                 </w:t>
      </w:r>
    </w:p>
    <w:p w14:paraId="0A395502">
      <w:pPr>
        <w:spacing w:line="265" w:lineRule="auto"/>
        <w:ind w:left="-5" w:right="103" w:hanging="10"/>
        <w:rPr>
          <w:rFonts w:ascii="宋体" w:hAnsi="宋体"/>
          <w:color w:val="auto"/>
          <w:sz w:val="21"/>
          <w:szCs w:val="21"/>
          <w:highlight w:val="none"/>
        </w:rPr>
      </w:pPr>
    </w:p>
    <w:p w14:paraId="35026D07">
      <w:pPr>
        <w:spacing w:after="146" w:line="265" w:lineRule="auto"/>
        <w:ind w:left="10" w:right="200" w:hanging="10"/>
        <w:jc w:val="right"/>
        <w:rPr>
          <w:rFonts w:ascii="宋体" w:hAnsi="宋体"/>
          <w:color w:val="auto"/>
          <w:sz w:val="21"/>
          <w:szCs w:val="21"/>
          <w:highlight w:val="none"/>
        </w:rPr>
      </w:pP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年</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月</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日</w:t>
      </w:r>
      <w:r>
        <w:rPr>
          <w:rFonts w:ascii="宋体" w:hAnsi="宋体"/>
          <w:color w:val="auto"/>
          <w:sz w:val="21"/>
          <w:szCs w:val="21"/>
          <w:highlight w:val="none"/>
        </w:rPr>
        <w:t xml:space="preserve"> </w:t>
      </w:r>
    </w:p>
    <w:p w14:paraId="57CCABC7">
      <w:pPr>
        <w:spacing w:line="360" w:lineRule="auto"/>
        <w:jc w:val="center"/>
        <w:rPr>
          <w:rFonts w:ascii="宋体" w:hAnsi="宋体"/>
          <w:b/>
          <w:color w:val="auto"/>
          <w:sz w:val="32"/>
          <w:szCs w:val="32"/>
          <w:highlight w:val="none"/>
        </w:rPr>
      </w:pPr>
    </w:p>
    <w:p w14:paraId="4B22EDDD">
      <w:pPr>
        <w:spacing w:line="360" w:lineRule="auto"/>
        <w:rPr>
          <w:rFonts w:ascii="宋体" w:hAnsi="宋体"/>
          <w:b/>
          <w:color w:val="auto"/>
          <w:sz w:val="32"/>
          <w:szCs w:val="32"/>
          <w:highlight w:val="none"/>
        </w:rPr>
      </w:pPr>
    </w:p>
    <w:p w14:paraId="6B2F4992">
      <w:pPr>
        <w:spacing w:line="400" w:lineRule="exact"/>
        <w:rPr>
          <w:rFonts w:ascii="宋体" w:hAnsi="宋体"/>
          <w:color w:val="auto"/>
          <w:sz w:val="24"/>
          <w:highlight w:val="none"/>
        </w:rPr>
        <w:sectPr>
          <w:pgSz w:w="11906" w:h="16838"/>
          <w:pgMar w:top="1417" w:right="1417" w:bottom="1417" w:left="1797" w:header="851" w:footer="850" w:gutter="0"/>
          <w:pgNumType w:fmt="decimal"/>
          <w:cols w:space="720" w:num="1"/>
          <w:titlePg/>
          <w:docGrid w:linePitch="312" w:charSpace="0"/>
        </w:sectPr>
      </w:pPr>
    </w:p>
    <w:p w14:paraId="6B30D58B">
      <w:pPr>
        <w:pStyle w:val="5"/>
        <w:jc w:val="left"/>
        <w:rPr>
          <w:color w:val="auto"/>
          <w:szCs w:val="36"/>
          <w:highlight w:val="none"/>
        </w:rPr>
      </w:pPr>
      <w:bookmarkStart w:id="61" w:name="_Toc8229532"/>
      <w:bookmarkStart w:id="62" w:name="_Toc7361048"/>
      <w:r>
        <w:rPr>
          <w:rFonts w:hint="eastAsia" w:cs="宋体"/>
          <w:color w:val="auto"/>
          <w:kern w:val="0"/>
          <w:highlight w:val="none"/>
        </w:rPr>
        <w:t>格式三：</w:t>
      </w:r>
      <w:r>
        <w:rPr>
          <w:rFonts w:hint="eastAsia" w:ascii="Times New Roman" w:hAnsi="Times New Roman" w:eastAsia="宋体" w:cs="Times New Roman"/>
          <w:b/>
          <w:bCs/>
          <w:color w:val="auto"/>
          <w:kern w:val="2"/>
          <w:sz w:val="28"/>
          <w:szCs w:val="28"/>
          <w:highlight w:val="none"/>
          <w:lang w:val="en-US" w:eastAsia="zh-CN" w:bidi="ar-SA"/>
        </w:rPr>
        <w:t>《投标人声明》和《投标人廉洁承诺书》</w:t>
      </w:r>
    </w:p>
    <w:p w14:paraId="4B3843CA">
      <w:pPr>
        <w:jc w:val="center"/>
        <w:rPr>
          <w:rFonts w:ascii="宋体" w:hAnsi="宋体"/>
          <w:b/>
          <w:color w:val="auto"/>
          <w:sz w:val="32"/>
          <w:highlight w:val="none"/>
        </w:rPr>
      </w:pPr>
      <w:r>
        <w:rPr>
          <w:rFonts w:hint="eastAsia" w:ascii="宋体" w:hAnsi="宋体"/>
          <w:b/>
          <w:color w:val="auto"/>
          <w:sz w:val="32"/>
          <w:highlight w:val="none"/>
        </w:rPr>
        <w:t>投标人声明</w:t>
      </w:r>
    </w:p>
    <w:p w14:paraId="1AABA455">
      <w:pPr>
        <w:adjustRightInd w:val="0"/>
        <w:snapToGrid w:val="0"/>
        <w:spacing w:line="360" w:lineRule="auto"/>
        <w:ind w:firstLine="480" w:firstLineChars="200"/>
        <w:rPr>
          <w:rFonts w:ascii="宋体" w:hAnsi="宋体" w:cs="宋体"/>
          <w:color w:val="auto"/>
          <w:kern w:val="0"/>
          <w:sz w:val="24"/>
          <w:highlight w:val="none"/>
        </w:rPr>
      </w:pPr>
    </w:p>
    <w:p w14:paraId="2721BD7C">
      <w:pPr>
        <w:adjustRightInd w:val="0"/>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阳江</w:t>
      </w:r>
      <w:r>
        <w:rPr>
          <w:rFonts w:hint="eastAsia" w:ascii="宋体" w:hAnsi="宋体" w:cs="宋体"/>
          <w:color w:val="auto"/>
          <w:kern w:val="0"/>
          <w:sz w:val="21"/>
          <w:szCs w:val="21"/>
          <w:highlight w:val="none"/>
          <w:lang w:eastAsia="zh-CN"/>
        </w:rPr>
        <w:t>市水务局、</w:t>
      </w:r>
      <w:r>
        <w:rPr>
          <w:rFonts w:hint="eastAsia" w:ascii="宋体" w:hAnsi="宋体" w:cs="宋体"/>
          <w:color w:val="auto"/>
          <w:kern w:val="0"/>
          <w:sz w:val="21"/>
          <w:szCs w:val="21"/>
          <w:highlight w:val="none"/>
        </w:rPr>
        <w:t>阳江市碧源水资源开发有限公司：</w:t>
      </w:r>
    </w:p>
    <w:p w14:paraId="2E4444EC">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本公司就参加</w:t>
      </w:r>
      <w:r>
        <w:rPr>
          <w:rFonts w:hint="eastAsia" w:ascii="宋体" w:hAnsi="宋体" w:eastAsia="宋体" w:cs="宋体"/>
          <w:color w:val="auto"/>
          <w:highlight w:val="none"/>
          <w:u w:val="single"/>
        </w:rPr>
        <w:t xml:space="preserve">   </w:t>
      </w:r>
      <w:r>
        <w:rPr>
          <w:rFonts w:hint="eastAsia" w:ascii="宋体" w:hAnsi="宋体"/>
          <w:color w:val="auto"/>
          <w:szCs w:val="21"/>
          <w:highlight w:val="none"/>
          <w:u w:val="single"/>
        </w:rPr>
        <w:t>（项目名称）</w:t>
      </w:r>
      <w:r>
        <w:rPr>
          <w:rFonts w:hint="eastAsia" w:ascii="宋体" w:hAnsi="宋体" w:eastAsia="宋体" w:cs="宋体"/>
          <w:color w:val="auto"/>
          <w:highlight w:val="none"/>
          <w:u w:val="single"/>
        </w:rPr>
        <w:t xml:space="preserve">     </w:t>
      </w:r>
      <w:r>
        <w:rPr>
          <w:rFonts w:hint="eastAsia" w:ascii="宋体" w:hAnsi="宋体" w:cs="宋体"/>
          <w:color w:val="auto"/>
          <w:kern w:val="0"/>
          <w:sz w:val="21"/>
          <w:szCs w:val="21"/>
          <w:highlight w:val="none"/>
        </w:rPr>
        <w:t>投标工作，作出郑重声明：</w:t>
      </w:r>
    </w:p>
    <w:p w14:paraId="518614DF">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一、本公司保证投标登记材料及其后提供的一切材料都是真实的。</w:t>
      </w:r>
    </w:p>
    <w:p w14:paraId="469A803D">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二、本公司保证不与其他单位围标、串标，不出让投标资格，不向招标人或评标委员会成员行贿。</w:t>
      </w:r>
    </w:p>
    <w:p w14:paraId="170BAA3F">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三、本公司没有处于被责令停业的状态；没有处于被建设行政主管部门取消投标资格的处罚期内；没有处于财产被接管、冻结、破产的状态；在</w:t>
      </w:r>
      <w:r>
        <w:rPr>
          <w:rFonts w:hint="eastAsia" w:ascii="宋体" w:hAnsi="宋体" w:cs="宋体"/>
          <w:color w:val="auto"/>
          <w:kern w:val="0"/>
          <w:sz w:val="21"/>
          <w:szCs w:val="21"/>
          <w:highlight w:val="none"/>
          <w:lang w:val="en-US" w:eastAsia="zh-CN"/>
        </w:rPr>
        <w:t>阳江</w:t>
      </w:r>
      <w:r>
        <w:rPr>
          <w:rFonts w:hint="eastAsia" w:ascii="宋体" w:hAnsi="宋体" w:cs="宋体"/>
          <w:color w:val="auto"/>
          <w:kern w:val="0"/>
          <w:sz w:val="21"/>
          <w:szCs w:val="21"/>
          <w:highlight w:val="none"/>
        </w:rPr>
        <w:t>市人民检察院行贿犯罪档案查询结果中，本公司没有在投标截止时间前两年内被人民法院判决犯有行贿罪的记录。</w:t>
      </w:r>
    </w:p>
    <w:p w14:paraId="55C9E0C8">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1A4F2DE2">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五、本公司</w:t>
      </w:r>
      <w:r>
        <w:rPr>
          <w:rFonts w:hint="eastAsia" w:ascii="宋体" w:hAnsi="宋体"/>
          <w:color w:val="auto"/>
          <w:sz w:val="21"/>
          <w:szCs w:val="21"/>
          <w:highlight w:val="none"/>
        </w:rPr>
        <w:t>未被</w:t>
      </w:r>
      <w:r>
        <w:rPr>
          <w:rFonts w:hint="eastAsia"/>
          <w:color w:val="auto"/>
          <w:sz w:val="21"/>
          <w:szCs w:val="21"/>
          <w:highlight w:val="none"/>
        </w:rPr>
        <w:t>“信用</w:t>
      </w:r>
      <w:r>
        <w:rPr>
          <w:rFonts w:hint="eastAsia"/>
          <w:color w:val="auto"/>
          <w:sz w:val="21"/>
          <w:szCs w:val="21"/>
          <w:highlight w:val="none"/>
          <w:lang w:val="en-US" w:eastAsia="zh-CN"/>
        </w:rPr>
        <w:t>中国</w:t>
      </w:r>
      <w:r>
        <w:rPr>
          <w:rFonts w:hint="eastAsia"/>
          <w:color w:val="auto"/>
          <w:sz w:val="21"/>
          <w:szCs w:val="21"/>
          <w:highlight w:val="none"/>
        </w:rPr>
        <w:t>”网站</w:t>
      </w:r>
      <w:r>
        <w:rPr>
          <w:rFonts w:hint="eastAsia" w:ascii="宋体" w:hAnsi="宋体"/>
          <w:color w:val="auto"/>
          <w:sz w:val="21"/>
          <w:szCs w:val="21"/>
          <w:highlight w:val="none"/>
        </w:rPr>
        <w:t>纳入</w:t>
      </w:r>
      <w:r>
        <w:rPr>
          <w:rFonts w:hint="eastAsia"/>
          <w:color w:val="auto"/>
          <w:sz w:val="21"/>
          <w:szCs w:val="21"/>
          <w:highlight w:val="none"/>
        </w:rPr>
        <w:t>失信被执行人名单（黑名单）。</w:t>
      </w:r>
    </w:p>
    <w:p w14:paraId="7A842CDA">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六、如我司通过本项目的资格审查或成为本项目中标候选人，我司同意并授权招标人将我司响应招标文件（或资格预审文件）要求的资格能力条件（资质、营业执照等证书名称、等级、编号，人员、业绩）、投标文件商务部分（报价、临时用地土地报批服务方案等涉及商业秘密的内容除外）等资料进行公示。</w:t>
      </w:r>
    </w:p>
    <w:p w14:paraId="03CF0291">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本公司违反上述保证，或本声明陈述与事实不符，经查实，本公司愿意接受公开通报，承担由此带来的法律后果，并自愿停止参加</w:t>
      </w:r>
      <w:r>
        <w:rPr>
          <w:rFonts w:hint="eastAsia" w:ascii="宋体" w:hAnsi="宋体" w:cs="宋体"/>
          <w:color w:val="auto"/>
          <w:kern w:val="0"/>
          <w:sz w:val="21"/>
          <w:szCs w:val="21"/>
          <w:highlight w:val="none"/>
          <w:lang w:val="en-US" w:eastAsia="zh-CN"/>
        </w:rPr>
        <w:t>阳江市</w:t>
      </w:r>
      <w:r>
        <w:rPr>
          <w:rFonts w:hint="eastAsia" w:ascii="宋体" w:hAnsi="宋体" w:cs="宋体"/>
          <w:color w:val="auto"/>
          <w:kern w:val="0"/>
          <w:sz w:val="21"/>
          <w:szCs w:val="21"/>
          <w:highlight w:val="none"/>
        </w:rPr>
        <w:t>行政辖区内的招标投标活动三个月。</w:t>
      </w:r>
    </w:p>
    <w:p w14:paraId="05F28AD9">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特此声明</w:t>
      </w:r>
      <w:r>
        <w:rPr>
          <w:rFonts w:hint="eastAsia" w:ascii="宋体" w:hAnsi="宋体" w:cs="宋体"/>
          <w:color w:val="auto"/>
          <w:kern w:val="0"/>
          <w:sz w:val="21"/>
          <w:szCs w:val="21"/>
          <w:highlight w:val="none"/>
          <w:lang w:eastAsia="zh-CN"/>
        </w:rPr>
        <w:t>。</w:t>
      </w:r>
    </w:p>
    <w:p w14:paraId="06266437">
      <w:pPr>
        <w:adjustRightInd w:val="0"/>
        <w:snapToGrid w:val="0"/>
        <w:ind w:left="0" w:leftChars="0" w:right="360" w:firstLine="4620" w:firstLineChars="2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声明企业：</w:t>
      </w:r>
    </w:p>
    <w:p w14:paraId="177A97C7">
      <w:pPr>
        <w:adjustRightInd w:val="0"/>
        <w:snapToGrid w:val="0"/>
        <w:ind w:right="360" w:firstLine="3099" w:firstLineChars="1476"/>
        <w:jc w:val="right"/>
        <w:rPr>
          <w:rFonts w:hint="eastAsia" w:ascii="宋体" w:hAnsi="宋体" w:cs="宋体"/>
          <w:color w:val="auto"/>
          <w:kern w:val="0"/>
          <w:sz w:val="21"/>
          <w:szCs w:val="21"/>
          <w:highlight w:val="none"/>
        </w:rPr>
      </w:pPr>
    </w:p>
    <w:p w14:paraId="54242D66">
      <w:pPr>
        <w:keepNext w:val="0"/>
        <w:keepLines w:val="0"/>
        <w:pageBreakBefore w:val="0"/>
        <w:widowControl w:val="0"/>
        <w:kinsoku/>
        <w:wordWrap/>
        <w:overflowPunct/>
        <w:topLinePunct w:val="0"/>
        <w:autoSpaceDE/>
        <w:autoSpaceDN/>
        <w:bidi w:val="0"/>
        <w:adjustRightInd w:val="0"/>
        <w:snapToGrid w:val="0"/>
        <w:spacing w:after="0" w:afterLines="100"/>
        <w:ind w:left="0" w:leftChars="0" w:right="363" w:firstLine="3578" w:firstLineChars="1704"/>
        <w:jc w:val="both"/>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法定代表人（签字）：</w:t>
      </w:r>
    </w:p>
    <w:p w14:paraId="37E08799">
      <w:pPr>
        <w:adjustRightInd w:val="0"/>
        <w:snapToGrid w:val="0"/>
        <w:ind w:left="0" w:leftChars="0" w:right="360" w:firstLine="3578" w:firstLineChars="1704"/>
        <w:jc w:val="both"/>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（签字）：</w:t>
      </w:r>
      <w:r>
        <w:rPr>
          <w:rFonts w:hint="eastAsia" w:ascii="宋体" w:hAnsi="宋体" w:cs="宋体"/>
          <w:color w:val="auto"/>
          <w:kern w:val="0"/>
          <w:sz w:val="21"/>
          <w:szCs w:val="21"/>
          <w:highlight w:val="none"/>
        </w:rPr>
        <w:t xml:space="preserve"> </w:t>
      </w:r>
    </w:p>
    <w:p w14:paraId="38308E12">
      <w:pPr>
        <w:adjustRightInd w:val="0"/>
        <w:snapToGrid w:val="0"/>
        <w:ind w:right="360" w:firstLine="3099" w:firstLineChars="1476"/>
        <w:jc w:val="right"/>
        <w:rPr>
          <w:rFonts w:ascii="宋体" w:hAnsi="宋体" w:cs="宋体"/>
          <w:color w:val="auto"/>
          <w:kern w:val="0"/>
          <w:sz w:val="21"/>
          <w:szCs w:val="21"/>
          <w:highlight w:val="none"/>
        </w:rPr>
      </w:pPr>
    </w:p>
    <w:p w14:paraId="2FB7076F">
      <w:pPr>
        <w:pStyle w:val="216"/>
        <w:tabs>
          <w:tab w:val="left" w:pos="1260"/>
          <w:tab w:val="left" w:pos="6030"/>
          <w:tab w:val="left" w:pos="6720"/>
        </w:tabs>
        <w:spacing w:line="600" w:lineRule="exact"/>
        <w:ind w:right="879"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（盖单位章）</w:t>
      </w:r>
    </w:p>
    <w:p w14:paraId="3C23CEF4">
      <w:pPr>
        <w:jc w:val="right"/>
        <w:rPr>
          <w:rFonts w:hint="eastAsia" w:ascii="宋体" w:hAnsi="宋体" w:cs="宋体"/>
          <w:color w:val="auto"/>
          <w:kern w:val="0"/>
          <w:sz w:val="21"/>
          <w:szCs w:val="21"/>
          <w:highlight w:val="none"/>
        </w:rPr>
      </w:pPr>
    </w:p>
    <w:p w14:paraId="0E1B5C04">
      <w:pPr>
        <w:jc w:val="righ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日期：    年   月   日</w:t>
      </w:r>
    </w:p>
    <w:p w14:paraId="3F862C2E">
      <w:pPr>
        <w:bidi w:val="0"/>
        <w:rPr>
          <w:rFonts w:hint="eastAsia"/>
          <w:color w:val="auto"/>
          <w:highlight w:val="none"/>
        </w:rPr>
      </w:pPr>
    </w:p>
    <w:p w14:paraId="04654C6D">
      <w:pPr>
        <w:rPr>
          <w:rFonts w:hint="eastAsia" w:ascii="宋体" w:hAnsi="宋体" w:cs="宋体"/>
          <w:color w:val="auto"/>
          <w:kern w:val="0"/>
          <w:sz w:val="21"/>
          <w:szCs w:val="21"/>
          <w:highlight w:val="none"/>
        </w:rPr>
      </w:pPr>
    </w:p>
    <w:p w14:paraId="0D4E4DFC">
      <w:pPr>
        <w:rPr>
          <w:color w:val="auto"/>
          <w:highlight w:val="none"/>
        </w:rPr>
      </w:pPr>
    </w:p>
    <w:p w14:paraId="2A3950CE">
      <w:pPr>
        <w:jc w:val="center"/>
        <w:rPr>
          <w:rFonts w:ascii="宋体" w:hAnsi="宋体"/>
          <w:b/>
          <w:color w:val="auto"/>
          <w:sz w:val="32"/>
          <w:highlight w:val="none"/>
        </w:rPr>
        <w:sectPr>
          <w:pgSz w:w="11906" w:h="16838"/>
          <w:pgMar w:top="1417" w:right="1417" w:bottom="1417" w:left="1797" w:header="851" w:footer="850" w:gutter="0"/>
          <w:pgNumType w:fmt="decimal"/>
          <w:cols w:space="720" w:num="1"/>
          <w:titlePg/>
        </w:sectPr>
      </w:pPr>
    </w:p>
    <w:p w14:paraId="3161923E">
      <w:pPr>
        <w:jc w:val="center"/>
        <w:rPr>
          <w:rFonts w:ascii="宋体" w:hAnsi="宋体"/>
          <w:b/>
          <w:color w:val="auto"/>
          <w:sz w:val="32"/>
          <w:highlight w:val="none"/>
        </w:rPr>
      </w:pPr>
      <w:r>
        <w:rPr>
          <w:rFonts w:ascii="宋体" w:hAnsi="宋体"/>
          <w:b/>
          <w:color w:val="auto"/>
          <w:sz w:val="32"/>
          <w:highlight w:val="none"/>
        </w:rPr>
        <w:t>投标人廉洁承诺书</w:t>
      </w:r>
      <w:bookmarkStart w:id="63" w:name="_Toc513825431"/>
    </w:p>
    <w:p w14:paraId="7DEAF8AA">
      <w:pPr>
        <w:jc w:val="center"/>
        <w:rPr>
          <w:rFonts w:ascii="宋体" w:hAnsi="宋体"/>
          <w:color w:val="auto"/>
          <w:sz w:val="32"/>
          <w:highlight w:val="none"/>
        </w:rPr>
      </w:pPr>
    </w:p>
    <w:p w14:paraId="22BDCB26">
      <w:pP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阳江</w:t>
      </w:r>
      <w:r>
        <w:rPr>
          <w:rFonts w:hint="eastAsia" w:ascii="宋体" w:hAnsi="宋体" w:cs="宋体"/>
          <w:color w:val="auto"/>
          <w:kern w:val="0"/>
          <w:sz w:val="21"/>
          <w:szCs w:val="21"/>
          <w:highlight w:val="none"/>
          <w:lang w:eastAsia="zh-CN"/>
        </w:rPr>
        <w:t>市水务局、</w:t>
      </w:r>
      <w:r>
        <w:rPr>
          <w:rFonts w:hint="eastAsia" w:ascii="宋体" w:hAnsi="宋体" w:cs="宋体"/>
          <w:color w:val="auto"/>
          <w:kern w:val="0"/>
          <w:sz w:val="21"/>
          <w:szCs w:val="21"/>
          <w:highlight w:val="none"/>
        </w:rPr>
        <w:t>阳江市碧源水资源开发有限公司</w:t>
      </w:r>
      <w:r>
        <w:rPr>
          <w:rFonts w:hint="eastAsia" w:ascii="宋体" w:hAnsi="宋体" w:eastAsia="宋体" w:cs="宋体"/>
          <w:color w:val="auto"/>
          <w:sz w:val="21"/>
          <w:szCs w:val="21"/>
          <w:highlight w:val="none"/>
        </w:rPr>
        <w:t>：</w:t>
      </w:r>
      <w:bookmarkEnd w:id="63"/>
    </w:p>
    <w:p w14:paraId="2BF3BAD8">
      <w:pPr>
        <w:rPr>
          <w:rFonts w:hint="eastAsia" w:ascii="宋体" w:hAnsi="宋体" w:eastAsia="宋体" w:cs="宋体"/>
          <w:color w:val="auto"/>
          <w:sz w:val="21"/>
          <w:szCs w:val="21"/>
          <w:highlight w:val="none"/>
        </w:rPr>
      </w:pPr>
    </w:p>
    <w:p w14:paraId="35F16CC6">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4" w:name="_Toc513825432"/>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bookmarkEnd w:id="64"/>
    </w:p>
    <w:p w14:paraId="0BD4C4D3">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5" w:name="_Toc513825433"/>
      <w:r>
        <w:rPr>
          <w:rFonts w:hint="eastAsia" w:ascii="宋体" w:hAnsi="宋体" w:eastAsia="宋体" w:cs="宋体"/>
          <w:color w:val="auto"/>
          <w:sz w:val="21"/>
          <w:szCs w:val="21"/>
          <w:highlight w:val="none"/>
        </w:rPr>
        <w:t>一、自觉遵守国家有关法律法规及廉洁规定。</w:t>
      </w:r>
      <w:bookmarkEnd w:id="65"/>
    </w:p>
    <w:p w14:paraId="5AD6B710">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6" w:name="_Toc513825434"/>
      <w:r>
        <w:rPr>
          <w:rFonts w:hint="eastAsia" w:ascii="宋体" w:hAnsi="宋体" w:eastAsia="宋体" w:cs="宋体"/>
          <w:color w:val="auto"/>
          <w:sz w:val="21"/>
          <w:szCs w:val="21"/>
          <w:highlight w:val="none"/>
        </w:rPr>
        <w:t>二、不与招标单位工作人员串通投标，损害国家利益、企业利益以及他人的合法利益；</w:t>
      </w:r>
      <w:bookmarkEnd w:id="66"/>
    </w:p>
    <w:p w14:paraId="6F79124D">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7" w:name="_Toc513825435"/>
      <w:r>
        <w:rPr>
          <w:rFonts w:hint="eastAsia" w:ascii="宋体" w:hAnsi="宋体" w:eastAsia="宋体" w:cs="宋体"/>
          <w:color w:val="auto"/>
          <w:sz w:val="21"/>
          <w:szCs w:val="21"/>
          <w:highlight w:val="none"/>
        </w:rPr>
        <w:t>三、不与其他单位围标、串标，不出让投标资格，不向招标人或评标委员会成员行贿。</w:t>
      </w:r>
      <w:bookmarkEnd w:id="67"/>
    </w:p>
    <w:p w14:paraId="406E1C9D">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8" w:name="_Toc513825436"/>
      <w:r>
        <w:rPr>
          <w:rFonts w:hint="eastAsia" w:ascii="宋体" w:hAnsi="宋体" w:eastAsia="宋体" w:cs="宋体"/>
          <w:color w:val="auto"/>
          <w:sz w:val="21"/>
          <w:szCs w:val="21"/>
          <w:highlight w:val="none"/>
        </w:rPr>
        <w:t>四、不以任何名义向参与招标、评标工作的有关人员提供高消费宴请及娱乐活动和赠送回扣、红包、礼金、购物卡、有价证券、贵重物品和好处费、感谢费等；</w:t>
      </w:r>
      <w:bookmarkEnd w:id="68"/>
      <w:r>
        <w:rPr>
          <w:rFonts w:hint="eastAsia" w:ascii="宋体" w:hAnsi="宋体" w:eastAsia="宋体" w:cs="宋体"/>
          <w:color w:val="auto"/>
          <w:sz w:val="21"/>
          <w:szCs w:val="21"/>
          <w:highlight w:val="none"/>
        </w:rPr>
        <w:t xml:space="preserve"> </w:t>
      </w:r>
    </w:p>
    <w:p w14:paraId="18B38175">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69" w:name="_Toc513825437"/>
      <w:r>
        <w:rPr>
          <w:rFonts w:hint="eastAsia" w:ascii="宋体" w:hAnsi="宋体" w:eastAsia="宋体" w:cs="宋体"/>
          <w:color w:val="auto"/>
          <w:sz w:val="21"/>
          <w:szCs w:val="21"/>
          <w:highlight w:val="none"/>
        </w:rPr>
        <w:t>五、不以任何名义为参与招标、评标工作的有关人员装修住房、婚丧嫁取、配偶子女的工作安排以及境内外旅游等提供方便；</w:t>
      </w:r>
      <w:bookmarkEnd w:id="69"/>
    </w:p>
    <w:p w14:paraId="119AB18E">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70" w:name="_Toc513825438"/>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bookmarkEnd w:id="70"/>
    </w:p>
    <w:p w14:paraId="0EEC8E0B">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bookmarkStart w:id="71" w:name="_Toc513825439"/>
      <w:r>
        <w:rPr>
          <w:rFonts w:hint="eastAsia" w:ascii="宋体" w:hAnsi="宋体" w:eastAsia="宋体" w:cs="宋体"/>
          <w:color w:val="auto"/>
          <w:sz w:val="21"/>
          <w:szCs w:val="21"/>
          <w:highlight w:val="none"/>
        </w:rPr>
        <w:t>本公司违反上述承诺，或本承诺陈述与事实不符，经查实，本公司愿意接受公开通报，承担由此带来的法律后果，并自愿停止参加</w:t>
      </w:r>
      <w:r>
        <w:rPr>
          <w:rFonts w:hint="eastAsia" w:ascii="宋体" w:hAnsi="宋体" w:eastAsia="宋体" w:cs="宋体"/>
          <w:color w:val="auto"/>
          <w:sz w:val="21"/>
          <w:szCs w:val="21"/>
          <w:highlight w:val="none"/>
          <w:lang w:val="en-US" w:eastAsia="zh-CN"/>
        </w:rPr>
        <w:t>阳江</w:t>
      </w:r>
      <w:r>
        <w:rPr>
          <w:rFonts w:hint="eastAsia" w:ascii="宋体" w:hAnsi="宋体" w:eastAsia="宋体" w:cs="宋体"/>
          <w:color w:val="auto"/>
          <w:sz w:val="21"/>
          <w:szCs w:val="21"/>
          <w:highlight w:val="none"/>
        </w:rPr>
        <w:t>市行政辖区内的招标投标活动三个月。</w:t>
      </w:r>
      <w:bookmarkEnd w:id="71"/>
    </w:p>
    <w:p w14:paraId="26C15E60">
      <w:pPr>
        <w:bidi w:val="0"/>
        <w:rPr>
          <w:rFonts w:hint="eastAsia"/>
          <w:color w:val="auto"/>
          <w:highlight w:val="none"/>
        </w:rPr>
      </w:pPr>
      <w:bookmarkStart w:id="72" w:name="_Toc513825440"/>
    </w:p>
    <w:p w14:paraId="3048816B">
      <w:pPr>
        <w:keepNext w:val="0"/>
        <w:keepLines w:val="0"/>
        <w:pageBreakBefore w:val="0"/>
        <w:widowControl w:val="0"/>
        <w:kinsoku/>
        <w:wordWrap/>
        <w:overflowPunct/>
        <w:topLinePunct w:val="0"/>
        <w:autoSpaceDE/>
        <w:autoSpaceDN/>
        <w:bidi w:val="0"/>
        <w:adjustRightInd/>
        <w:snapToGrid/>
        <w:spacing w:after="4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w:t>
      </w:r>
      <w:r>
        <w:rPr>
          <w:rFonts w:hint="eastAsia" w:ascii="宋体" w:hAnsi="宋体" w:eastAsia="宋体" w:cs="宋体"/>
          <w:color w:val="auto"/>
          <w:kern w:val="0"/>
          <w:sz w:val="21"/>
          <w:szCs w:val="21"/>
          <w:highlight w:val="none"/>
        </w:rPr>
        <w:t>承诺</w:t>
      </w:r>
      <w:bookmarkEnd w:id="72"/>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14:paraId="02C6D060">
      <w:pPr>
        <w:pStyle w:val="145"/>
        <w:rPr>
          <w:rFonts w:hint="eastAsia" w:ascii="宋体" w:hAnsi="宋体" w:eastAsia="宋体" w:cs="宋体"/>
          <w:color w:val="auto"/>
          <w:sz w:val="21"/>
          <w:szCs w:val="21"/>
          <w:highlight w:val="none"/>
        </w:rPr>
      </w:pPr>
    </w:p>
    <w:p w14:paraId="517BE3EF">
      <w:pPr>
        <w:pStyle w:val="145"/>
        <w:jc w:val="left"/>
        <w:rPr>
          <w:rFonts w:hint="eastAsia" w:ascii="宋体" w:hAnsi="宋体" w:eastAsia="宋体" w:cs="宋体"/>
          <w:color w:val="auto"/>
          <w:sz w:val="21"/>
          <w:szCs w:val="21"/>
          <w:highlight w:val="none"/>
        </w:rPr>
      </w:pPr>
      <w:bookmarkStart w:id="73" w:name="_Toc513825441"/>
      <w:r>
        <w:rPr>
          <w:rFonts w:hint="eastAsia" w:ascii="宋体" w:hAnsi="宋体" w:eastAsia="宋体" w:cs="宋体"/>
          <w:color w:val="auto"/>
          <w:sz w:val="21"/>
          <w:szCs w:val="21"/>
          <w:highlight w:val="none"/>
        </w:rPr>
        <w:t xml:space="preserve">                                              承诺企业：</w:t>
      </w:r>
      <w:bookmarkEnd w:id="73"/>
      <w:r>
        <w:rPr>
          <w:rFonts w:hint="eastAsia" w:ascii="宋体" w:hAnsi="宋体" w:eastAsia="宋体" w:cs="宋体"/>
          <w:color w:val="auto"/>
          <w:sz w:val="21"/>
          <w:szCs w:val="21"/>
          <w:highlight w:val="none"/>
        </w:rPr>
        <w:t xml:space="preserve">   (企业公章)</w:t>
      </w:r>
    </w:p>
    <w:p w14:paraId="56DB0B85">
      <w:pPr>
        <w:pStyle w:val="145"/>
        <w:jc w:val="right"/>
        <w:rPr>
          <w:rFonts w:hint="eastAsia" w:ascii="宋体" w:hAnsi="宋体" w:eastAsia="宋体" w:cs="宋体"/>
          <w:color w:val="auto"/>
          <w:sz w:val="21"/>
          <w:szCs w:val="21"/>
          <w:highlight w:val="none"/>
        </w:rPr>
      </w:pPr>
      <w:bookmarkStart w:id="74" w:name="_Toc513825443"/>
    </w:p>
    <w:p w14:paraId="0599B1A3">
      <w:pPr>
        <w:pStyle w:val="1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法定代表人（签字或盖章）：</w:t>
      </w:r>
      <w:bookmarkEnd w:id="74"/>
      <w:r>
        <w:rPr>
          <w:rFonts w:hint="eastAsia" w:ascii="宋体" w:hAnsi="宋体" w:eastAsia="宋体" w:cs="宋体"/>
          <w:color w:val="auto"/>
          <w:sz w:val="21"/>
          <w:szCs w:val="21"/>
          <w:highlight w:val="none"/>
        </w:rPr>
        <w:t xml:space="preserve">    </w:t>
      </w:r>
    </w:p>
    <w:p w14:paraId="5F920BB4">
      <w:pPr>
        <w:pStyle w:val="145"/>
        <w:jc w:val="right"/>
        <w:rPr>
          <w:rFonts w:hint="eastAsia" w:ascii="宋体" w:hAnsi="宋体" w:eastAsia="宋体" w:cs="宋体"/>
          <w:color w:val="auto"/>
          <w:sz w:val="21"/>
          <w:szCs w:val="21"/>
          <w:highlight w:val="none"/>
        </w:rPr>
      </w:pPr>
    </w:p>
    <w:p w14:paraId="3DF1CC3D">
      <w:pPr>
        <w:bidi w:val="0"/>
        <w:rPr>
          <w:rFonts w:hint="eastAsia"/>
          <w:color w:val="auto"/>
          <w:highlight w:val="none"/>
        </w:rPr>
      </w:pPr>
      <w:r>
        <w:rPr>
          <w:rFonts w:hint="eastAsia"/>
          <w:color w:val="auto"/>
          <w:highlight w:val="none"/>
        </w:rPr>
        <w:t xml:space="preserve">                                               </w:t>
      </w:r>
      <w:bookmarkStart w:id="75" w:name="_Toc513825442"/>
      <w:r>
        <w:rPr>
          <w:rFonts w:hint="eastAsia"/>
          <w:color w:val="auto"/>
          <w:highlight w:val="none"/>
        </w:rPr>
        <w:t>日期：  年   月   日</w:t>
      </w:r>
      <w:bookmarkEnd w:id="75"/>
    </w:p>
    <w:p w14:paraId="698B0493">
      <w:pPr>
        <w:pStyle w:val="5"/>
        <w:jc w:val="both"/>
        <w:rPr>
          <w:color w:val="auto"/>
          <w:kern w:val="0"/>
          <w:szCs w:val="28"/>
          <w:highlight w:val="none"/>
        </w:rPr>
      </w:pPr>
      <w:r>
        <w:rPr>
          <w:rFonts w:hint="eastAsia"/>
          <w:color w:val="auto"/>
          <w:kern w:val="0"/>
          <w:szCs w:val="28"/>
          <w:highlight w:val="none"/>
        </w:rPr>
        <w:br w:type="page"/>
      </w:r>
      <w:r>
        <w:rPr>
          <w:rFonts w:hint="eastAsia"/>
          <w:color w:val="auto"/>
          <w:kern w:val="0"/>
          <w:szCs w:val="28"/>
          <w:highlight w:val="none"/>
        </w:rPr>
        <w:t>格式四：投标人基本情况表</w:t>
      </w:r>
      <w:bookmarkEnd w:id="61"/>
      <w:bookmarkEnd w:id="62"/>
    </w:p>
    <w:tbl>
      <w:tblPr>
        <w:tblStyle w:val="31"/>
        <w:tblpPr w:leftFromText="180" w:rightFromText="180" w:vertAnchor="text" w:horzAnchor="margin" w:tblpY="764"/>
        <w:tblW w:w="0" w:type="auto"/>
        <w:tblInd w:w="0" w:type="dxa"/>
        <w:tblLayout w:type="fixed"/>
        <w:tblCellMar>
          <w:top w:w="0" w:type="dxa"/>
          <w:left w:w="108" w:type="dxa"/>
          <w:bottom w:w="46" w:type="dxa"/>
          <w:right w:w="43" w:type="dxa"/>
        </w:tblCellMar>
      </w:tblPr>
      <w:tblGrid>
        <w:gridCol w:w="2235"/>
        <w:gridCol w:w="898"/>
        <w:gridCol w:w="1027"/>
        <w:gridCol w:w="1287"/>
        <w:gridCol w:w="415"/>
        <w:gridCol w:w="871"/>
        <w:gridCol w:w="828"/>
        <w:gridCol w:w="286"/>
        <w:gridCol w:w="1229"/>
      </w:tblGrid>
      <w:tr w14:paraId="73BD4436">
        <w:tblPrEx>
          <w:tblCellMar>
            <w:top w:w="0" w:type="dxa"/>
            <w:left w:w="108" w:type="dxa"/>
            <w:bottom w:w="46" w:type="dxa"/>
            <w:right w:w="43" w:type="dxa"/>
          </w:tblCellMar>
        </w:tblPrEx>
        <w:trPr>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6D1CF759">
            <w:pPr>
              <w:ind w:right="62"/>
              <w:jc w:val="center"/>
              <w:rPr>
                <w:rFonts w:ascii="宋体" w:hAnsi="宋体"/>
                <w:color w:val="auto"/>
                <w:szCs w:val="21"/>
                <w:highlight w:val="none"/>
              </w:rPr>
            </w:pPr>
            <w:r>
              <w:rPr>
                <w:rFonts w:ascii="宋体" w:hAnsi="宋体" w:cs="宋体"/>
                <w:color w:val="auto"/>
                <w:szCs w:val="21"/>
                <w:highlight w:val="none"/>
              </w:rPr>
              <w:t>投标人名称</w:t>
            </w:r>
            <w:r>
              <w:rPr>
                <w:rFonts w:ascii="宋体" w:hAnsi="宋体"/>
                <w:color w:val="auto"/>
                <w:szCs w:val="21"/>
                <w:highlight w:val="none"/>
              </w:rPr>
              <w:t xml:space="preserve"> </w:t>
            </w:r>
          </w:p>
        </w:tc>
        <w:tc>
          <w:tcPr>
            <w:tcW w:w="6841" w:type="dxa"/>
            <w:gridSpan w:val="8"/>
            <w:tcBorders>
              <w:top w:val="single" w:color="000000" w:sz="4" w:space="0"/>
              <w:left w:val="single" w:color="000000" w:sz="4" w:space="0"/>
              <w:bottom w:val="single" w:color="000000" w:sz="4" w:space="0"/>
              <w:right w:val="single" w:color="000000" w:sz="4" w:space="0"/>
            </w:tcBorders>
            <w:noWrap w:val="0"/>
            <w:vAlign w:val="top"/>
          </w:tcPr>
          <w:p w14:paraId="2FF5782E">
            <w:pPr>
              <w:ind w:left="2415"/>
              <w:rPr>
                <w:rFonts w:ascii="宋体" w:hAnsi="宋体"/>
                <w:color w:val="auto"/>
                <w:szCs w:val="21"/>
                <w:highlight w:val="none"/>
              </w:rPr>
            </w:pPr>
            <w:r>
              <w:rPr>
                <w:rFonts w:ascii="宋体" w:hAnsi="宋体"/>
                <w:color w:val="auto"/>
                <w:szCs w:val="21"/>
                <w:highlight w:val="none"/>
              </w:rPr>
              <w:t xml:space="preserve"> </w:t>
            </w:r>
          </w:p>
        </w:tc>
      </w:tr>
      <w:tr w14:paraId="3FD9AA83">
        <w:tblPrEx>
          <w:tblCellMar>
            <w:top w:w="0" w:type="dxa"/>
            <w:left w:w="108" w:type="dxa"/>
            <w:bottom w:w="46" w:type="dxa"/>
            <w:right w:w="43" w:type="dxa"/>
          </w:tblCellMar>
        </w:tblPrEx>
        <w:trPr>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0BF33F80">
            <w:pPr>
              <w:ind w:right="62"/>
              <w:jc w:val="center"/>
              <w:rPr>
                <w:rFonts w:ascii="宋体" w:hAnsi="宋体"/>
                <w:color w:val="auto"/>
                <w:szCs w:val="21"/>
                <w:highlight w:val="none"/>
              </w:rPr>
            </w:pPr>
            <w:r>
              <w:rPr>
                <w:rFonts w:ascii="宋体" w:hAnsi="宋体" w:cs="宋体"/>
                <w:color w:val="auto"/>
                <w:szCs w:val="21"/>
                <w:highlight w:val="none"/>
              </w:rPr>
              <w:t>注册地址</w:t>
            </w:r>
            <w:r>
              <w:rPr>
                <w:rFonts w:ascii="宋体" w:hAnsi="宋体"/>
                <w:color w:val="auto"/>
                <w:szCs w:val="21"/>
                <w:highlight w:val="none"/>
              </w:rPr>
              <w:t xml:space="preserve"> </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top"/>
          </w:tcPr>
          <w:p w14:paraId="5A52C14D">
            <w:pPr>
              <w:ind w:left="600"/>
              <w:rPr>
                <w:rFonts w:ascii="宋体" w:hAnsi="宋体"/>
                <w:color w:val="auto"/>
                <w:szCs w:val="21"/>
                <w:highlight w:val="none"/>
              </w:rPr>
            </w:pP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7F916721">
            <w:pPr>
              <w:ind w:left="115"/>
              <w:rPr>
                <w:rFonts w:ascii="宋体" w:hAnsi="宋体"/>
                <w:color w:val="auto"/>
                <w:szCs w:val="21"/>
                <w:highlight w:val="none"/>
              </w:rPr>
            </w:pPr>
            <w:r>
              <w:rPr>
                <w:rFonts w:ascii="宋体" w:hAnsi="宋体" w:cs="宋体"/>
                <w:color w:val="auto"/>
                <w:szCs w:val="21"/>
                <w:highlight w:val="none"/>
              </w:rPr>
              <w:t>邮政编码</w:t>
            </w:r>
            <w:r>
              <w:rPr>
                <w:rFonts w:ascii="宋体" w:hAnsi="宋体"/>
                <w:color w:val="auto"/>
                <w:szCs w:val="21"/>
                <w:highlight w:val="none"/>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0AB58C1E">
            <w:pPr>
              <w:ind w:right="13"/>
              <w:jc w:val="center"/>
              <w:rPr>
                <w:rFonts w:ascii="宋体" w:hAnsi="宋体"/>
                <w:color w:val="auto"/>
                <w:szCs w:val="21"/>
                <w:highlight w:val="none"/>
              </w:rPr>
            </w:pPr>
            <w:r>
              <w:rPr>
                <w:rFonts w:ascii="宋体" w:hAnsi="宋体"/>
                <w:color w:val="auto"/>
                <w:szCs w:val="21"/>
                <w:highlight w:val="none"/>
              </w:rPr>
              <w:t xml:space="preserve"> </w:t>
            </w:r>
          </w:p>
        </w:tc>
      </w:tr>
      <w:tr w14:paraId="11E57567">
        <w:tblPrEx>
          <w:tblCellMar>
            <w:top w:w="0" w:type="dxa"/>
            <w:left w:w="108" w:type="dxa"/>
            <w:bottom w:w="46" w:type="dxa"/>
            <w:right w:w="43" w:type="dxa"/>
          </w:tblCellMar>
        </w:tblPrEx>
        <w:trPr>
          <w:trHeight w:val="451" w:hRule="atLeast"/>
        </w:trPr>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154EC7">
            <w:pPr>
              <w:ind w:right="62"/>
              <w:jc w:val="center"/>
              <w:rPr>
                <w:rFonts w:ascii="宋体" w:hAnsi="宋体"/>
                <w:color w:val="auto"/>
                <w:szCs w:val="21"/>
                <w:highlight w:val="none"/>
              </w:rPr>
            </w:pPr>
            <w:r>
              <w:rPr>
                <w:rFonts w:ascii="宋体" w:hAnsi="宋体" w:cs="宋体"/>
                <w:color w:val="auto"/>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4673D906">
            <w:pPr>
              <w:ind w:left="24"/>
              <w:rPr>
                <w:rFonts w:ascii="宋体" w:hAnsi="宋体"/>
                <w:color w:val="auto"/>
                <w:szCs w:val="21"/>
                <w:highlight w:val="none"/>
              </w:rPr>
            </w:pPr>
            <w:r>
              <w:rPr>
                <w:rFonts w:ascii="宋体" w:hAnsi="宋体" w:cs="宋体"/>
                <w:color w:val="auto"/>
                <w:szCs w:val="21"/>
                <w:highlight w:val="none"/>
              </w:rPr>
              <w:t>联系人</w:t>
            </w:r>
            <w:r>
              <w:rPr>
                <w:rFonts w:ascii="宋体" w:hAnsi="宋体"/>
                <w:color w:val="auto"/>
                <w:szCs w:val="21"/>
                <w:highlight w:val="none"/>
              </w:rPr>
              <w:t xml:space="preserve"> </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bottom"/>
          </w:tcPr>
          <w:p w14:paraId="1F24B048">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0F710ECA">
            <w:pPr>
              <w:ind w:right="65"/>
              <w:jc w:val="center"/>
              <w:rPr>
                <w:rFonts w:ascii="宋体" w:hAnsi="宋体"/>
                <w:color w:val="auto"/>
                <w:szCs w:val="21"/>
                <w:highlight w:val="none"/>
              </w:rPr>
            </w:pPr>
            <w:r>
              <w:rPr>
                <w:rFonts w:ascii="宋体" w:hAnsi="宋体" w:cs="宋体"/>
                <w:color w:val="auto"/>
                <w:szCs w:val="21"/>
                <w:highlight w:val="none"/>
              </w:rPr>
              <w:t>电</w:t>
            </w:r>
            <w:r>
              <w:rPr>
                <w:rFonts w:ascii="宋体" w:hAnsi="宋体"/>
                <w:color w:val="auto"/>
                <w:szCs w:val="21"/>
                <w:highlight w:val="none"/>
              </w:rPr>
              <w:t xml:space="preserve"> </w:t>
            </w:r>
            <w:r>
              <w:rPr>
                <w:rFonts w:ascii="宋体" w:hAnsi="宋体" w:cs="宋体"/>
                <w:color w:val="auto"/>
                <w:szCs w:val="21"/>
                <w:highlight w:val="none"/>
              </w:rPr>
              <w:t>话</w:t>
            </w:r>
            <w:r>
              <w:rPr>
                <w:rFonts w:ascii="宋体" w:hAnsi="宋体"/>
                <w:color w:val="auto"/>
                <w:szCs w:val="21"/>
                <w:highlight w:val="none"/>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5E65C46B">
            <w:pPr>
              <w:ind w:right="13"/>
              <w:jc w:val="center"/>
              <w:rPr>
                <w:rFonts w:ascii="宋体" w:hAnsi="宋体"/>
                <w:color w:val="auto"/>
                <w:szCs w:val="21"/>
                <w:highlight w:val="none"/>
              </w:rPr>
            </w:pPr>
            <w:r>
              <w:rPr>
                <w:rFonts w:ascii="宋体" w:hAnsi="宋体"/>
                <w:color w:val="auto"/>
                <w:szCs w:val="21"/>
                <w:highlight w:val="none"/>
              </w:rPr>
              <w:t xml:space="preserve"> </w:t>
            </w:r>
          </w:p>
        </w:tc>
      </w:tr>
      <w:tr w14:paraId="143410CF">
        <w:tblPrEx>
          <w:tblCellMar>
            <w:top w:w="0" w:type="dxa"/>
            <w:left w:w="108" w:type="dxa"/>
            <w:bottom w:w="46" w:type="dxa"/>
            <w:right w:w="43" w:type="dxa"/>
          </w:tblCellMar>
        </w:tblPrEx>
        <w:trPr>
          <w:trHeight w:val="449" w:hRule="atLeast"/>
        </w:trPr>
        <w:tc>
          <w:tcPr>
            <w:tcW w:w="2235" w:type="dxa"/>
            <w:vMerge w:val="continue"/>
            <w:tcBorders>
              <w:top w:val="nil"/>
              <w:left w:val="single" w:color="000000" w:sz="4" w:space="0"/>
              <w:bottom w:val="single" w:color="000000" w:sz="4" w:space="0"/>
              <w:right w:val="single" w:color="000000" w:sz="4" w:space="0"/>
            </w:tcBorders>
            <w:noWrap w:val="0"/>
            <w:vAlign w:val="top"/>
          </w:tcPr>
          <w:p w14:paraId="5290013E">
            <w:pPr>
              <w:rPr>
                <w:rFonts w:ascii="宋体" w:hAnsi="宋体"/>
                <w:color w:val="auto"/>
                <w:szCs w:val="21"/>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28C7E135">
            <w:pPr>
              <w:ind w:left="24"/>
              <w:rPr>
                <w:rFonts w:ascii="宋体" w:hAnsi="宋体"/>
                <w:color w:val="auto"/>
                <w:szCs w:val="21"/>
                <w:highlight w:val="none"/>
              </w:rPr>
            </w:pPr>
            <w:r>
              <w:rPr>
                <w:rFonts w:ascii="宋体" w:hAnsi="宋体" w:cs="宋体"/>
                <w:color w:val="auto"/>
                <w:szCs w:val="21"/>
                <w:highlight w:val="none"/>
              </w:rPr>
              <w:t>传</w:t>
            </w:r>
            <w:r>
              <w:rPr>
                <w:rFonts w:ascii="宋体" w:hAnsi="宋体"/>
                <w:color w:val="auto"/>
                <w:szCs w:val="21"/>
                <w:highlight w:val="none"/>
              </w:rPr>
              <w:t xml:space="preserve">  </w:t>
            </w:r>
            <w:r>
              <w:rPr>
                <w:rFonts w:ascii="宋体" w:hAnsi="宋体" w:cs="宋体"/>
                <w:color w:val="auto"/>
                <w:szCs w:val="21"/>
                <w:highlight w:val="none"/>
              </w:rPr>
              <w:t>真</w:t>
            </w:r>
            <w:r>
              <w:rPr>
                <w:rFonts w:ascii="宋体" w:hAnsi="宋体"/>
                <w:color w:val="auto"/>
                <w:szCs w:val="21"/>
                <w:highlight w:val="none"/>
              </w:rPr>
              <w:t xml:space="preserve"> </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bottom"/>
          </w:tcPr>
          <w:p w14:paraId="1938B238">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1BA1D985">
            <w:pPr>
              <w:ind w:right="65"/>
              <w:jc w:val="center"/>
              <w:rPr>
                <w:rFonts w:ascii="宋体" w:hAnsi="宋体"/>
                <w:color w:val="auto"/>
                <w:szCs w:val="21"/>
                <w:highlight w:val="none"/>
              </w:rPr>
            </w:pPr>
            <w:r>
              <w:rPr>
                <w:rFonts w:ascii="宋体" w:hAnsi="宋体" w:cs="宋体"/>
                <w:color w:val="auto"/>
                <w:szCs w:val="21"/>
                <w:highlight w:val="none"/>
              </w:rPr>
              <w:t>网</w:t>
            </w:r>
            <w:r>
              <w:rPr>
                <w:rFonts w:ascii="宋体" w:hAnsi="宋体"/>
                <w:color w:val="auto"/>
                <w:szCs w:val="21"/>
                <w:highlight w:val="none"/>
              </w:rPr>
              <w:t xml:space="preserve"> </w:t>
            </w:r>
            <w:r>
              <w:rPr>
                <w:rFonts w:ascii="宋体" w:hAnsi="宋体" w:cs="宋体"/>
                <w:color w:val="auto"/>
                <w:szCs w:val="21"/>
                <w:highlight w:val="none"/>
              </w:rPr>
              <w:t>址</w:t>
            </w:r>
            <w:r>
              <w:rPr>
                <w:rFonts w:ascii="宋体" w:hAnsi="宋体"/>
                <w:color w:val="auto"/>
                <w:szCs w:val="21"/>
                <w:highlight w:val="none"/>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bottom"/>
          </w:tcPr>
          <w:p w14:paraId="25A55973">
            <w:pPr>
              <w:ind w:right="13"/>
              <w:jc w:val="center"/>
              <w:rPr>
                <w:rFonts w:ascii="宋体" w:hAnsi="宋体"/>
                <w:color w:val="auto"/>
                <w:szCs w:val="21"/>
                <w:highlight w:val="none"/>
              </w:rPr>
            </w:pPr>
            <w:r>
              <w:rPr>
                <w:rFonts w:ascii="宋体" w:hAnsi="宋体"/>
                <w:color w:val="auto"/>
                <w:szCs w:val="21"/>
                <w:highlight w:val="none"/>
              </w:rPr>
              <w:t xml:space="preserve"> </w:t>
            </w:r>
          </w:p>
        </w:tc>
      </w:tr>
      <w:tr w14:paraId="4AA939E2">
        <w:tblPrEx>
          <w:tblCellMar>
            <w:top w:w="0" w:type="dxa"/>
            <w:left w:w="108" w:type="dxa"/>
            <w:bottom w:w="46" w:type="dxa"/>
            <w:right w:w="43" w:type="dxa"/>
          </w:tblCellMar>
        </w:tblPrEx>
        <w:trPr>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4705AF78">
            <w:pPr>
              <w:ind w:right="62"/>
              <w:jc w:val="center"/>
              <w:rPr>
                <w:rFonts w:ascii="宋体" w:hAnsi="宋体"/>
                <w:color w:val="auto"/>
                <w:szCs w:val="21"/>
                <w:highlight w:val="none"/>
              </w:rPr>
            </w:pPr>
            <w:r>
              <w:rPr>
                <w:rFonts w:ascii="宋体" w:hAnsi="宋体" w:cs="宋体"/>
                <w:color w:val="auto"/>
                <w:szCs w:val="21"/>
                <w:highlight w:val="none"/>
              </w:rPr>
              <w:t>法定代表人</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2D6E2A46">
            <w:pPr>
              <w:ind w:left="130"/>
              <w:rPr>
                <w:rFonts w:ascii="宋体" w:hAnsi="宋体"/>
                <w:color w:val="auto"/>
                <w:szCs w:val="21"/>
                <w:highlight w:val="none"/>
              </w:rPr>
            </w:pPr>
            <w:r>
              <w:rPr>
                <w:rFonts w:ascii="宋体" w:hAnsi="宋体" w:cs="宋体"/>
                <w:color w:val="auto"/>
                <w:szCs w:val="21"/>
                <w:highlight w:val="none"/>
              </w:rPr>
              <w:t>姓名</w:t>
            </w:r>
            <w:r>
              <w:rPr>
                <w:rFonts w:ascii="宋体" w:hAnsi="宋体"/>
                <w:color w:val="auto"/>
                <w:szCs w:val="21"/>
                <w:highlight w:val="none"/>
              </w:rPr>
              <w:t xml:space="preserve"> </w:t>
            </w:r>
          </w:p>
        </w:tc>
        <w:tc>
          <w:tcPr>
            <w:tcW w:w="1027" w:type="dxa"/>
            <w:tcBorders>
              <w:top w:val="single" w:color="000000" w:sz="4" w:space="0"/>
              <w:left w:val="single" w:color="000000" w:sz="4" w:space="0"/>
              <w:bottom w:val="single" w:color="000000" w:sz="4" w:space="0"/>
              <w:right w:val="single" w:color="000000" w:sz="4" w:space="0"/>
            </w:tcBorders>
            <w:noWrap w:val="0"/>
            <w:vAlign w:val="bottom"/>
          </w:tcPr>
          <w:p w14:paraId="6A08C2D2">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287" w:type="dxa"/>
            <w:tcBorders>
              <w:top w:val="single" w:color="000000" w:sz="4" w:space="0"/>
              <w:left w:val="single" w:color="000000" w:sz="4" w:space="0"/>
              <w:bottom w:val="single" w:color="000000" w:sz="4" w:space="0"/>
              <w:right w:val="single" w:color="000000" w:sz="4" w:space="0"/>
            </w:tcBorders>
            <w:noWrap w:val="0"/>
            <w:vAlign w:val="bottom"/>
          </w:tcPr>
          <w:p w14:paraId="5A9857EA">
            <w:pPr>
              <w:ind w:left="115"/>
              <w:rPr>
                <w:rFonts w:ascii="宋体" w:hAnsi="宋体"/>
                <w:color w:val="auto"/>
                <w:szCs w:val="21"/>
                <w:highlight w:val="none"/>
              </w:rPr>
            </w:pPr>
            <w:r>
              <w:rPr>
                <w:rFonts w:ascii="宋体" w:hAnsi="宋体" w:cs="宋体"/>
                <w:color w:val="auto"/>
                <w:szCs w:val="21"/>
                <w:highlight w:val="none"/>
              </w:rPr>
              <w:t>技术职称</w:t>
            </w: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6BBF3C95">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bottom"/>
          </w:tcPr>
          <w:p w14:paraId="5C571B06">
            <w:pPr>
              <w:ind w:right="65"/>
              <w:jc w:val="center"/>
              <w:rPr>
                <w:rFonts w:ascii="宋体" w:hAnsi="宋体"/>
                <w:color w:val="auto"/>
                <w:szCs w:val="21"/>
                <w:highlight w:val="none"/>
              </w:rPr>
            </w:pPr>
            <w:r>
              <w:rPr>
                <w:rFonts w:ascii="宋体" w:hAnsi="宋体" w:cs="宋体"/>
                <w:color w:val="auto"/>
                <w:szCs w:val="21"/>
                <w:highlight w:val="none"/>
              </w:rPr>
              <w:t>电话</w:t>
            </w:r>
            <w:r>
              <w:rPr>
                <w:rFonts w:ascii="宋体" w:hAnsi="宋体"/>
                <w:color w:val="auto"/>
                <w:szCs w:val="21"/>
                <w:highlight w:val="none"/>
              </w:rPr>
              <w:t xml:space="preserve"> </w:t>
            </w:r>
          </w:p>
        </w:tc>
        <w:tc>
          <w:tcPr>
            <w:tcW w:w="1229" w:type="dxa"/>
            <w:tcBorders>
              <w:top w:val="single" w:color="000000" w:sz="4" w:space="0"/>
              <w:left w:val="single" w:color="000000" w:sz="4" w:space="0"/>
              <w:bottom w:val="single" w:color="000000" w:sz="4" w:space="0"/>
              <w:right w:val="single" w:color="000000" w:sz="4" w:space="0"/>
            </w:tcBorders>
            <w:noWrap w:val="0"/>
            <w:vAlign w:val="bottom"/>
          </w:tcPr>
          <w:p w14:paraId="5F526FF7">
            <w:pPr>
              <w:ind w:right="11"/>
              <w:jc w:val="center"/>
              <w:rPr>
                <w:rFonts w:ascii="宋体" w:hAnsi="宋体"/>
                <w:color w:val="auto"/>
                <w:szCs w:val="21"/>
                <w:highlight w:val="none"/>
              </w:rPr>
            </w:pPr>
            <w:r>
              <w:rPr>
                <w:rFonts w:ascii="宋体" w:hAnsi="宋体"/>
                <w:color w:val="auto"/>
                <w:szCs w:val="21"/>
                <w:highlight w:val="none"/>
              </w:rPr>
              <w:t xml:space="preserve"> </w:t>
            </w:r>
          </w:p>
        </w:tc>
      </w:tr>
      <w:tr w14:paraId="194117A2">
        <w:tblPrEx>
          <w:tblCellMar>
            <w:top w:w="0" w:type="dxa"/>
            <w:left w:w="108" w:type="dxa"/>
            <w:bottom w:w="46" w:type="dxa"/>
            <w:right w:w="43" w:type="dxa"/>
          </w:tblCellMar>
        </w:tblPrEx>
        <w:trPr>
          <w:trHeight w:val="52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31323F91">
            <w:pPr>
              <w:ind w:right="62"/>
              <w:jc w:val="center"/>
              <w:rPr>
                <w:rFonts w:ascii="宋体" w:hAnsi="宋体"/>
                <w:color w:val="auto"/>
                <w:szCs w:val="21"/>
                <w:highlight w:val="none"/>
              </w:rPr>
            </w:pPr>
            <w:r>
              <w:rPr>
                <w:rFonts w:ascii="宋体" w:hAnsi="宋体" w:cs="宋体"/>
                <w:color w:val="auto"/>
                <w:szCs w:val="21"/>
                <w:highlight w:val="none"/>
              </w:rPr>
              <w:t>技术负责人</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57F532A1">
            <w:pPr>
              <w:ind w:left="130"/>
              <w:rPr>
                <w:rFonts w:ascii="宋体" w:hAnsi="宋体"/>
                <w:color w:val="auto"/>
                <w:szCs w:val="21"/>
                <w:highlight w:val="none"/>
              </w:rPr>
            </w:pPr>
            <w:r>
              <w:rPr>
                <w:rFonts w:ascii="宋体" w:hAnsi="宋体" w:cs="宋体"/>
                <w:color w:val="auto"/>
                <w:szCs w:val="21"/>
                <w:highlight w:val="none"/>
              </w:rPr>
              <w:t>姓名</w:t>
            </w:r>
            <w:r>
              <w:rPr>
                <w:rFonts w:ascii="宋体" w:hAnsi="宋体"/>
                <w:color w:val="auto"/>
                <w:szCs w:val="21"/>
                <w:highlight w:val="none"/>
              </w:rPr>
              <w:t xml:space="preserve"> </w:t>
            </w:r>
          </w:p>
        </w:tc>
        <w:tc>
          <w:tcPr>
            <w:tcW w:w="1027" w:type="dxa"/>
            <w:tcBorders>
              <w:top w:val="single" w:color="000000" w:sz="4" w:space="0"/>
              <w:left w:val="single" w:color="000000" w:sz="4" w:space="0"/>
              <w:bottom w:val="single" w:color="000000" w:sz="4" w:space="0"/>
              <w:right w:val="single" w:color="000000" w:sz="4" w:space="0"/>
            </w:tcBorders>
            <w:noWrap w:val="0"/>
            <w:vAlign w:val="bottom"/>
          </w:tcPr>
          <w:p w14:paraId="72523F97">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287" w:type="dxa"/>
            <w:tcBorders>
              <w:top w:val="single" w:color="000000" w:sz="4" w:space="0"/>
              <w:left w:val="single" w:color="000000" w:sz="4" w:space="0"/>
              <w:bottom w:val="single" w:color="000000" w:sz="4" w:space="0"/>
              <w:right w:val="single" w:color="000000" w:sz="4" w:space="0"/>
            </w:tcBorders>
            <w:noWrap w:val="0"/>
            <w:vAlign w:val="bottom"/>
          </w:tcPr>
          <w:p w14:paraId="30EA9E54">
            <w:pPr>
              <w:ind w:left="115"/>
              <w:rPr>
                <w:rFonts w:ascii="宋体" w:hAnsi="宋体"/>
                <w:color w:val="auto"/>
                <w:szCs w:val="21"/>
                <w:highlight w:val="none"/>
              </w:rPr>
            </w:pPr>
            <w:r>
              <w:rPr>
                <w:rFonts w:ascii="宋体" w:hAnsi="宋体" w:cs="宋体"/>
                <w:color w:val="auto"/>
                <w:szCs w:val="21"/>
                <w:highlight w:val="none"/>
              </w:rPr>
              <w:t>技术职称</w:t>
            </w:r>
            <w:r>
              <w:rPr>
                <w:rFonts w:ascii="宋体" w:hAnsi="宋体"/>
                <w:color w:val="auto"/>
                <w:szCs w:val="21"/>
                <w:highlight w:val="none"/>
              </w:rPr>
              <w:t xml:space="preserve"> </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bottom"/>
          </w:tcPr>
          <w:p w14:paraId="757F5837">
            <w:pPr>
              <w:ind w:right="12"/>
              <w:jc w:val="center"/>
              <w:rPr>
                <w:rFonts w:ascii="宋体" w:hAnsi="宋体"/>
                <w:color w:val="auto"/>
                <w:szCs w:val="21"/>
                <w:highlight w:val="none"/>
              </w:rPr>
            </w:pPr>
            <w:r>
              <w:rPr>
                <w:rFonts w:ascii="宋体" w:hAnsi="宋体"/>
                <w:color w:val="auto"/>
                <w:szCs w:val="21"/>
                <w:highlight w:val="none"/>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bottom"/>
          </w:tcPr>
          <w:p w14:paraId="28192774">
            <w:pPr>
              <w:ind w:right="65"/>
              <w:jc w:val="center"/>
              <w:rPr>
                <w:rFonts w:ascii="宋体" w:hAnsi="宋体"/>
                <w:color w:val="auto"/>
                <w:szCs w:val="21"/>
                <w:highlight w:val="none"/>
              </w:rPr>
            </w:pPr>
            <w:r>
              <w:rPr>
                <w:rFonts w:ascii="宋体" w:hAnsi="宋体" w:cs="宋体"/>
                <w:color w:val="auto"/>
                <w:szCs w:val="21"/>
                <w:highlight w:val="none"/>
              </w:rPr>
              <w:t>电话</w:t>
            </w:r>
            <w:r>
              <w:rPr>
                <w:rFonts w:ascii="宋体" w:hAnsi="宋体"/>
                <w:color w:val="auto"/>
                <w:szCs w:val="21"/>
                <w:highlight w:val="none"/>
              </w:rPr>
              <w:t xml:space="preserve"> </w:t>
            </w:r>
          </w:p>
        </w:tc>
        <w:tc>
          <w:tcPr>
            <w:tcW w:w="1229" w:type="dxa"/>
            <w:tcBorders>
              <w:top w:val="single" w:color="000000" w:sz="4" w:space="0"/>
              <w:left w:val="single" w:color="000000" w:sz="4" w:space="0"/>
              <w:bottom w:val="single" w:color="000000" w:sz="4" w:space="0"/>
              <w:right w:val="single" w:color="000000" w:sz="4" w:space="0"/>
            </w:tcBorders>
            <w:noWrap w:val="0"/>
            <w:vAlign w:val="bottom"/>
          </w:tcPr>
          <w:p w14:paraId="39F17525">
            <w:pPr>
              <w:ind w:right="11"/>
              <w:jc w:val="center"/>
              <w:rPr>
                <w:rFonts w:ascii="宋体" w:hAnsi="宋体"/>
                <w:color w:val="auto"/>
                <w:szCs w:val="21"/>
                <w:highlight w:val="none"/>
              </w:rPr>
            </w:pPr>
            <w:r>
              <w:rPr>
                <w:rFonts w:ascii="宋体" w:hAnsi="宋体"/>
                <w:color w:val="auto"/>
                <w:szCs w:val="21"/>
                <w:highlight w:val="none"/>
              </w:rPr>
              <w:t xml:space="preserve"> </w:t>
            </w:r>
          </w:p>
        </w:tc>
      </w:tr>
      <w:tr w14:paraId="736DFB86">
        <w:tblPrEx>
          <w:tblCellMar>
            <w:top w:w="0" w:type="dxa"/>
            <w:left w:w="108" w:type="dxa"/>
            <w:bottom w:w="46" w:type="dxa"/>
            <w:right w:w="43" w:type="dxa"/>
          </w:tblCellMar>
        </w:tblPrEx>
        <w:trPr>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7B584088">
            <w:pPr>
              <w:ind w:left="74"/>
              <w:rPr>
                <w:rFonts w:ascii="宋体" w:hAnsi="宋体"/>
                <w:color w:val="auto"/>
                <w:szCs w:val="21"/>
                <w:highlight w:val="none"/>
              </w:rPr>
            </w:pPr>
            <w:r>
              <w:rPr>
                <w:rFonts w:ascii="宋体" w:hAnsi="宋体" w:cs="宋体"/>
                <w:color w:val="auto"/>
                <w:szCs w:val="21"/>
                <w:highlight w:val="none"/>
              </w:rPr>
              <w:t>企业资质证书</w:t>
            </w:r>
            <w:r>
              <w:rPr>
                <w:rFonts w:ascii="宋体" w:hAnsi="宋体"/>
                <w:color w:val="auto"/>
                <w:szCs w:val="21"/>
                <w:highlight w:val="none"/>
              </w:rPr>
              <w:t xml:space="preserve"> </w:t>
            </w:r>
          </w:p>
        </w:tc>
        <w:tc>
          <w:tcPr>
            <w:tcW w:w="6841" w:type="dxa"/>
            <w:gridSpan w:val="8"/>
            <w:tcBorders>
              <w:top w:val="single" w:color="000000" w:sz="4" w:space="0"/>
              <w:left w:val="single" w:color="000000" w:sz="4" w:space="0"/>
              <w:bottom w:val="single" w:color="000000" w:sz="4" w:space="0"/>
              <w:right w:val="single" w:color="000000" w:sz="4" w:space="0"/>
            </w:tcBorders>
            <w:noWrap w:val="0"/>
            <w:vAlign w:val="center"/>
          </w:tcPr>
          <w:p w14:paraId="12E2A3BC">
            <w:pPr>
              <w:ind w:left="53"/>
              <w:jc w:val="both"/>
              <w:rPr>
                <w:rFonts w:ascii="宋体" w:hAnsi="宋体"/>
                <w:color w:val="auto"/>
                <w:szCs w:val="21"/>
                <w:highlight w:val="none"/>
              </w:rPr>
            </w:pPr>
            <w:r>
              <w:rPr>
                <w:rFonts w:ascii="宋体" w:hAnsi="宋体" w:cs="宋体"/>
                <w:color w:val="auto"/>
                <w:szCs w:val="21"/>
                <w:highlight w:val="none"/>
              </w:rPr>
              <w:t>类型：</w:t>
            </w:r>
            <w:r>
              <w:rPr>
                <w:rFonts w:ascii="宋体" w:hAnsi="宋体"/>
                <w:color w:val="auto"/>
                <w:szCs w:val="21"/>
                <w:highlight w:val="none"/>
              </w:rPr>
              <w:t xml:space="preserve">                    </w:t>
            </w:r>
            <w:r>
              <w:rPr>
                <w:rFonts w:ascii="宋体" w:hAnsi="宋体" w:cs="宋体"/>
                <w:color w:val="auto"/>
                <w:szCs w:val="21"/>
                <w:highlight w:val="none"/>
              </w:rPr>
              <w:t>等级：</w:t>
            </w:r>
            <w:r>
              <w:rPr>
                <w:rFonts w:ascii="宋体" w:hAnsi="宋体"/>
                <w:color w:val="auto"/>
                <w:szCs w:val="21"/>
                <w:highlight w:val="none"/>
              </w:rPr>
              <w:t xml:space="preserve">      </w:t>
            </w:r>
            <w:r>
              <w:rPr>
                <w:rFonts w:ascii="宋体" w:hAnsi="宋体" w:cs="宋体"/>
                <w:color w:val="auto"/>
                <w:szCs w:val="21"/>
                <w:highlight w:val="none"/>
              </w:rPr>
              <w:t>证书号：</w:t>
            </w:r>
            <w:r>
              <w:rPr>
                <w:rFonts w:ascii="宋体" w:hAnsi="宋体"/>
                <w:color w:val="auto"/>
                <w:szCs w:val="21"/>
                <w:highlight w:val="none"/>
              </w:rPr>
              <w:t xml:space="preserve"> </w:t>
            </w:r>
          </w:p>
        </w:tc>
      </w:tr>
      <w:tr w14:paraId="169C4A1A">
        <w:tblPrEx>
          <w:tblCellMar>
            <w:top w:w="0" w:type="dxa"/>
            <w:left w:w="108" w:type="dxa"/>
            <w:bottom w:w="46" w:type="dxa"/>
            <w:right w:w="43" w:type="dxa"/>
          </w:tblCellMar>
        </w:tblPrEx>
        <w:trPr>
          <w:trHeight w:val="890"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37841B0D">
            <w:pPr>
              <w:spacing w:after="149"/>
              <w:ind w:left="74"/>
              <w:rPr>
                <w:rFonts w:ascii="宋体" w:hAnsi="宋体"/>
                <w:color w:val="auto"/>
                <w:szCs w:val="21"/>
                <w:highlight w:val="none"/>
              </w:rPr>
            </w:pPr>
            <w:r>
              <w:rPr>
                <w:rFonts w:ascii="宋体" w:hAnsi="宋体" w:cs="宋体"/>
                <w:color w:val="auto"/>
                <w:szCs w:val="21"/>
                <w:highlight w:val="none"/>
              </w:rPr>
              <w:t>质量管理体系证书</w:t>
            </w:r>
          </w:p>
          <w:p w14:paraId="6683ED64">
            <w:pPr>
              <w:ind w:right="168"/>
              <w:jc w:val="center"/>
              <w:rPr>
                <w:rFonts w:ascii="宋体" w:hAnsi="宋体"/>
                <w:color w:val="auto"/>
                <w:szCs w:val="21"/>
                <w:highlight w:val="none"/>
              </w:rPr>
            </w:pPr>
            <w:r>
              <w:rPr>
                <w:rFonts w:ascii="宋体" w:hAnsi="宋体" w:cs="宋体"/>
                <w:color w:val="auto"/>
                <w:szCs w:val="21"/>
                <w:highlight w:val="none"/>
              </w:rPr>
              <w:t>（如有）</w:t>
            </w:r>
            <w:r>
              <w:rPr>
                <w:rFonts w:ascii="宋体" w:hAnsi="宋体"/>
                <w:color w:val="auto"/>
                <w:szCs w:val="21"/>
                <w:highlight w:val="none"/>
              </w:rPr>
              <w:t xml:space="preserve"> </w:t>
            </w:r>
          </w:p>
        </w:tc>
        <w:tc>
          <w:tcPr>
            <w:tcW w:w="6841" w:type="dxa"/>
            <w:gridSpan w:val="8"/>
            <w:tcBorders>
              <w:top w:val="single" w:color="000000" w:sz="4" w:space="0"/>
              <w:left w:val="single" w:color="000000" w:sz="4" w:space="0"/>
              <w:bottom w:val="single" w:color="000000" w:sz="4" w:space="0"/>
              <w:right w:val="single" w:color="000000" w:sz="4" w:space="0"/>
            </w:tcBorders>
            <w:noWrap w:val="0"/>
            <w:vAlign w:val="center"/>
          </w:tcPr>
          <w:p w14:paraId="6DFB77E7">
            <w:pPr>
              <w:ind w:left="53"/>
              <w:jc w:val="both"/>
              <w:rPr>
                <w:rFonts w:ascii="宋体" w:hAnsi="宋体"/>
                <w:color w:val="auto"/>
                <w:szCs w:val="21"/>
                <w:highlight w:val="none"/>
              </w:rPr>
            </w:pPr>
            <w:r>
              <w:rPr>
                <w:rFonts w:ascii="宋体" w:hAnsi="宋体" w:cs="宋体"/>
                <w:color w:val="auto"/>
                <w:szCs w:val="21"/>
                <w:highlight w:val="none"/>
              </w:rPr>
              <w:t>类型：</w:t>
            </w:r>
            <w:r>
              <w:rPr>
                <w:rFonts w:ascii="宋体" w:hAnsi="宋体"/>
                <w:color w:val="auto"/>
                <w:szCs w:val="21"/>
                <w:highlight w:val="none"/>
              </w:rPr>
              <w:t xml:space="preserve">                    </w:t>
            </w:r>
            <w:r>
              <w:rPr>
                <w:rFonts w:ascii="宋体" w:hAnsi="宋体" w:cs="宋体"/>
                <w:color w:val="auto"/>
                <w:szCs w:val="21"/>
                <w:highlight w:val="none"/>
              </w:rPr>
              <w:t>等级：</w:t>
            </w:r>
            <w:r>
              <w:rPr>
                <w:rFonts w:ascii="宋体" w:hAnsi="宋体"/>
                <w:color w:val="auto"/>
                <w:szCs w:val="21"/>
                <w:highlight w:val="none"/>
              </w:rPr>
              <w:t xml:space="preserve">      </w:t>
            </w:r>
            <w:r>
              <w:rPr>
                <w:rFonts w:ascii="宋体" w:hAnsi="宋体" w:cs="宋体"/>
                <w:color w:val="auto"/>
                <w:szCs w:val="21"/>
                <w:highlight w:val="none"/>
              </w:rPr>
              <w:t>证书号：</w:t>
            </w:r>
            <w:r>
              <w:rPr>
                <w:rFonts w:ascii="宋体" w:hAnsi="宋体"/>
                <w:color w:val="auto"/>
                <w:szCs w:val="21"/>
                <w:highlight w:val="none"/>
              </w:rPr>
              <w:t xml:space="preserve"> </w:t>
            </w:r>
          </w:p>
        </w:tc>
      </w:tr>
      <w:tr w14:paraId="165227E9">
        <w:tblPrEx>
          <w:tblCellMar>
            <w:top w:w="0" w:type="dxa"/>
            <w:left w:w="108" w:type="dxa"/>
            <w:bottom w:w="46" w:type="dxa"/>
            <w:right w:w="43" w:type="dxa"/>
          </w:tblCellMar>
        </w:tblPrEx>
        <w:trPr>
          <w:trHeight w:val="856"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275ADFF4">
            <w:pPr>
              <w:ind w:right="62"/>
              <w:jc w:val="center"/>
              <w:rPr>
                <w:rFonts w:ascii="宋体" w:hAnsi="宋体"/>
                <w:color w:val="auto"/>
                <w:szCs w:val="21"/>
                <w:highlight w:val="none"/>
              </w:rPr>
            </w:pPr>
            <w:r>
              <w:rPr>
                <w:rFonts w:hint="eastAsia" w:ascii="宋体" w:hAnsi="宋体" w:cs="宋体"/>
                <w:color w:val="auto"/>
                <w:szCs w:val="21"/>
                <w:highlight w:val="none"/>
              </w:rPr>
              <w:t>事业单位法人证书号或</w:t>
            </w:r>
            <w:r>
              <w:rPr>
                <w:rFonts w:ascii="宋体" w:hAnsi="宋体" w:cs="宋体"/>
                <w:color w:val="auto"/>
                <w:szCs w:val="21"/>
                <w:highlight w:val="none"/>
              </w:rPr>
              <w:t>营业执照号</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31F33774">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6ACD09C4">
            <w:pPr>
              <w:ind w:left="600"/>
              <w:rPr>
                <w:rFonts w:ascii="宋体" w:hAnsi="宋体"/>
                <w:color w:val="auto"/>
                <w:szCs w:val="21"/>
                <w:highlight w:val="none"/>
              </w:rPr>
            </w:pPr>
            <w:r>
              <w:rPr>
                <w:rFonts w:ascii="宋体" w:hAnsi="宋体"/>
                <w:color w:val="auto"/>
                <w:szCs w:val="21"/>
                <w:highlight w:val="none"/>
              </w:rPr>
              <w:t xml:space="preserve"> </w:t>
            </w:r>
          </w:p>
        </w:tc>
        <w:tc>
          <w:tcPr>
            <w:tcW w:w="3629" w:type="dxa"/>
            <w:gridSpan w:val="5"/>
            <w:tcBorders>
              <w:top w:val="single" w:color="000000" w:sz="4" w:space="0"/>
              <w:left w:val="single" w:color="000000" w:sz="4" w:space="0"/>
              <w:bottom w:val="single" w:color="000000" w:sz="4" w:space="0"/>
              <w:right w:val="single" w:color="000000" w:sz="4" w:space="0"/>
            </w:tcBorders>
            <w:noWrap w:val="0"/>
            <w:vAlign w:val="bottom"/>
          </w:tcPr>
          <w:p w14:paraId="6181B1F9">
            <w:pPr>
              <w:ind w:right="65"/>
              <w:jc w:val="center"/>
              <w:rPr>
                <w:rFonts w:ascii="宋体" w:hAnsi="宋体"/>
                <w:color w:val="auto"/>
                <w:szCs w:val="21"/>
                <w:highlight w:val="none"/>
              </w:rPr>
            </w:pPr>
            <w:r>
              <w:rPr>
                <w:rFonts w:ascii="宋体" w:hAnsi="宋体" w:cs="宋体"/>
                <w:color w:val="auto"/>
                <w:szCs w:val="21"/>
                <w:highlight w:val="none"/>
              </w:rPr>
              <w:t>员工总人数：</w:t>
            </w:r>
            <w:r>
              <w:rPr>
                <w:rFonts w:ascii="宋体" w:hAnsi="宋体"/>
                <w:color w:val="auto"/>
                <w:szCs w:val="21"/>
                <w:highlight w:val="none"/>
              </w:rPr>
              <w:t xml:space="preserve"> </w:t>
            </w:r>
          </w:p>
        </w:tc>
      </w:tr>
      <w:tr w14:paraId="293DACC3">
        <w:tblPrEx>
          <w:tblCellMar>
            <w:top w:w="0" w:type="dxa"/>
            <w:left w:w="108" w:type="dxa"/>
            <w:bottom w:w="46" w:type="dxa"/>
            <w:right w:w="43" w:type="dxa"/>
          </w:tblCellMar>
        </w:tblPrEx>
        <w:trPr>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208FC8D0">
            <w:pPr>
              <w:ind w:right="62"/>
              <w:jc w:val="center"/>
              <w:rPr>
                <w:rFonts w:ascii="宋体" w:hAnsi="宋体"/>
                <w:color w:val="auto"/>
                <w:szCs w:val="21"/>
                <w:highlight w:val="none"/>
              </w:rPr>
            </w:pPr>
            <w:r>
              <w:rPr>
                <w:rFonts w:ascii="宋体" w:hAnsi="宋体" w:cs="宋体"/>
                <w:color w:val="auto"/>
                <w:szCs w:val="21"/>
                <w:highlight w:val="none"/>
              </w:rPr>
              <w:t>注册资本</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11EA7AFA">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35D977DF">
            <w:pPr>
              <w:ind w:left="600"/>
              <w:rPr>
                <w:rFonts w:ascii="宋体" w:hAnsi="宋体"/>
                <w:color w:val="auto"/>
                <w:szCs w:val="21"/>
                <w:highlight w:val="none"/>
              </w:rPr>
            </w:pPr>
            <w:r>
              <w:rPr>
                <w:rFonts w:ascii="宋体" w:hAnsi="宋体"/>
                <w:color w:val="auto"/>
                <w:szCs w:val="21"/>
                <w:highlight w:val="none"/>
              </w:rPr>
              <w:t xml:space="preserve"> </w:t>
            </w:r>
          </w:p>
        </w:tc>
        <w:tc>
          <w:tcPr>
            <w:tcW w:w="4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4EF9E95">
            <w:pPr>
              <w:jc w:val="center"/>
              <w:rPr>
                <w:rFonts w:ascii="宋体" w:hAnsi="宋体"/>
                <w:color w:val="auto"/>
                <w:szCs w:val="21"/>
                <w:highlight w:val="none"/>
              </w:rPr>
            </w:pPr>
            <w:r>
              <w:rPr>
                <w:rFonts w:ascii="宋体" w:hAnsi="宋体" w:cs="宋体"/>
                <w:color w:val="auto"/>
                <w:szCs w:val="21"/>
                <w:highlight w:val="none"/>
              </w:rPr>
              <w:t>其中</w:t>
            </w: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695BE736">
            <w:pPr>
              <w:ind w:left="113"/>
              <w:rPr>
                <w:rFonts w:ascii="宋体" w:hAnsi="宋体"/>
                <w:color w:val="auto"/>
                <w:szCs w:val="21"/>
                <w:highlight w:val="none"/>
              </w:rPr>
            </w:pPr>
            <w:r>
              <w:rPr>
                <w:rFonts w:ascii="宋体" w:hAnsi="宋体" w:cs="宋体"/>
                <w:color w:val="auto"/>
                <w:szCs w:val="21"/>
                <w:highlight w:val="none"/>
              </w:rPr>
              <w:t>高级职称人员</w:t>
            </w:r>
            <w:r>
              <w:rPr>
                <w:rFonts w:ascii="宋体" w:hAnsi="宋体"/>
                <w:color w:val="auto"/>
                <w:szCs w:val="21"/>
                <w:highlight w:val="none"/>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3CCF2D65">
            <w:pPr>
              <w:ind w:right="14"/>
              <w:jc w:val="center"/>
              <w:rPr>
                <w:rFonts w:ascii="宋体" w:hAnsi="宋体"/>
                <w:color w:val="auto"/>
                <w:szCs w:val="21"/>
                <w:highlight w:val="none"/>
              </w:rPr>
            </w:pPr>
            <w:r>
              <w:rPr>
                <w:rFonts w:ascii="宋体" w:hAnsi="宋体"/>
                <w:color w:val="auto"/>
                <w:szCs w:val="21"/>
                <w:highlight w:val="none"/>
              </w:rPr>
              <w:t xml:space="preserve"> </w:t>
            </w:r>
          </w:p>
        </w:tc>
      </w:tr>
      <w:tr w14:paraId="3F0E9685">
        <w:tblPrEx>
          <w:tblCellMar>
            <w:top w:w="0" w:type="dxa"/>
            <w:left w:w="108" w:type="dxa"/>
            <w:bottom w:w="46" w:type="dxa"/>
            <w:right w:w="43" w:type="dxa"/>
          </w:tblCellMar>
        </w:tblPrEx>
        <w:trPr>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76F8B037">
            <w:pPr>
              <w:ind w:right="62"/>
              <w:jc w:val="center"/>
              <w:rPr>
                <w:rFonts w:ascii="宋体" w:hAnsi="宋体"/>
                <w:color w:val="auto"/>
                <w:szCs w:val="21"/>
                <w:highlight w:val="none"/>
              </w:rPr>
            </w:pPr>
            <w:r>
              <w:rPr>
                <w:rFonts w:ascii="宋体" w:hAnsi="宋体" w:cs="宋体"/>
                <w:color w:val="auto"/>
                <w:szCs w:val="21"/>
                <w:highlight w:val="none"/>
              </w:rPr>
              <w:t>成立日期</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283DDDCE">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76BACB82">
            <w:pPr>
              <w:ind w:left="600"/>
              <w:rPr>
                <w:rFonts w:ascii="宋体" w:hAnsi="宋体"/>
                <w:color w:val="auto"/>
                <w:szCs w:val="21"/>
                <w:highlight w:val="none"/>
              </w:rPr>
            </w:pPr>
            <w:r>
              <w:rPr>
                <w:rFonts w:ascii="宋体" w:hAnsi="宋体"/>
                <w:color w:val="auto"/>
                <w:szCs w:val="21"/>
                <w:highlight w:val="none"/>
              </w:rPr>
              <w:t xml:space="preserve"> </w:t>
            </w:r>
          </w:p>
        </w:tc>
        <w:tc>
          <w:tcPr>
            <w:tcW w:w="415" w:type="dxa"/>
            <w:vMerge w:val="continue"/>
            <w:tcBorders>
              <w:top w:val="nil"/>
              <w:left w:val="single" w:color="000000" w:sz="4" w:space="0"/>
              <w:bottom w:val="nil"/>
              <w:right w:val="single" w:color="000000" w:sz="4" w:space="0"/>
            </w:tcBorders>
            <w:noWrap w:val="0"/>
            <w:vAlign w:val="top"/>
          </w:tcPr>
          <w:p w14:paraId="6BFA10A0">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53928F72">
            <w:pPr>
              <w:ind w:left="113"/>
              <w:rPr>
                <w:rFonts w:ascii="宋体" w:hAnsi="宋体"/>
                <w:color w:val="auto"/>
                <w:szCs w:val="21"/>
                <w:highlight w:val="none"/>
              </w:rPr>
            </w:pPr>
            <w:r>
              <w:rPr>
                <w:rFonts w:ascii="宋体" w:hAnsi="宋体" w:cs="宋体"/>
                <w:color w:val="auto"/>
                <w:szCs w:val="21"/>
                <w:highlight w:val="none"/>
              </w:rPr>
              <w:t>中级职称人员</w:t>
            </w:r>
            <w:r>
              <w:rPr>
                <w:rFonts w:ascii="宋体" w:hAnsi="宋体"/>
                <w:color w:val="auto"/>
                <w:szCs w:val="21"/>
                <w:highlight w:val="none"/>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31A69586">
            <w:pPr>
              <w:ind w:right="14"/>
              <w:jc w:val="center"/>
              <w:rPr>
                <w:rFonts w:ascii="宋体" w:hAnsi="宋体"/>
                <w:color w:val="auto"/>
                <w:szCs w:val="21"/>
                <w:highlight w:val="none"/>
              </w:rPr>
            </w:pPr>
            <w:r>
              <w:rPr>
                <w:rFonts w:ascii="宋体" w:hAnsi="宋体"/>
                <w:color w:val="auto"/>
                <w:szCs w:val="21"/>
                <w:highlight w:val="none"/>
              </w:rPr>
              <w:t xml:space="preserve"> </w:t>
            </w:r>
          </w:p>
        </w:tc>
      </w:tr>
      <w:tr w14:paraId="14E8C3E8">
        <w:tblPrEx>
          <w:tblCellMar>
            <w:top w:w="0" w:type="dxa"/>
            <w:left w:w="108" w:type="dxa"/>
            <w:bottom w:w="46" w:type="dxa"/>
            <w:right w:w="43" w:type="dxa"/>
          </w:tblCellMar>
        </w:tblPrEx>
        <w:trPr>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48054CF9">
            <w:pPr>
              <w:ind w:left="74"/>
              <w:rPr>
                <w:rFonts w:ascii="宋体" w:hAnsi="宋体"/>
                <w:color w:val="auto"/>
                <w:szCs w:val="21"/>
                <w:highlight w:val="none"/>
              </w:rPr>
            </w:pPr>
            <w:r>
              <w:rPr>
                <w:rFonts w:ascii="宋体" w:hAnsi="宋体" w:cs="宋体"/>
                <w:color w:val="auto"/>
                <w:szCs w:val="21"/>
                <w:highlight w:val="none"/>
              </w:rPr>
              <w:t>基本账户开户银行</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350F2F75">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27494183">
            <w:pPr>
              <w:ind w:left="600"/>
              <w:rPr>
                <w:rFonts w:ascii="宋体" w:hAnsi="宋体"/>
                <w:color w:val="auto"/>
                <w:szCs w:val="21"/>
                <w:highlight w:val="none"/>
              </w:rPr>
            </w:pPr>
            <w:r>
              <w:rPr>
                <w:rFonts w:ascii="宋体" w:hAnsi="宋体"/>
                <w:color w:val="auto"/>
                <w:szCs w:val="21"/>
                <w:highlight w:val="none"/>
              </w:rPr>
              <w:t xml:space="preserve"> </w:t>
            </w:r>
          </w:p>
        </w:tc>
        <w:tc>
          <w:tcPr>
            <w:tcW w:w="415" w:type="dxa"/>
            <w:vMerge w:val="continue"/>
            <w:tcBorders>
              <w:top w:val="nil"/>
              <w:left w:val="single" w:color="000000" w:sz="4" w:space="0"/>
              <w:bottom w:val="nil"/>
              <w:right w:val="single" w:color="000000" w:sz="4" w:space="0"/>
            </w:tcBorders>
            <w:noWrap w:val="0"/>
            <w:vAlign w:val="top"/>
          </w:tcPr>
          <w:p w14:paraId="24A38EBF">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4DAE6FE8">
            <w:pPr>
              <w:ind w:left="113"/>
              <w:rPr>
                <w:rFonts w:ascii="宋体" w:hAnsi="宋体"/>
                <w:color w:val="auto"/>
                <w:szCs w:val="21"/>
                <w:highlight w:val="none"/>
              </w:rPr>
            </w:pPr>
            <w:r>
              <w:rPr>
                <w:rFonts w:ascii="宋体" w:hAnsi="宋体" w:cs="宋体"/>
                <w:color w:val="auto"/>
                <w:szCs w:val="21"/>
                <w:highlight w:val="none"/>
              </w:rPr>
              <w:t>技术人员数量</w:t>
            </w:r>
            <w:r>
              <w:rPr>
                <w:rFonts w:ascii="宋体" w:hAnsi="宋体"/>
                <w:color w:val="auto"/>
                <w:szCs w:val="21"/>
                <w:highlight w:val="none"/>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38C7DC45">
            <w:pPr>
              <w:ind w:right="14"/>
              <w:jc w:val="center"/>
              <w:rPr>
                <w:rFonts w:ascii="宋体" w:hAnsi="宋体"/>
                <w:color w:val="auto"/>
                <w:szCs w:val="21"/>
                <w:highlight w:val="none"/>
              </w:rPr>
            </w:pPr>
            <w:r>
              <w:rPr>
                <w:rFonts w:ascii="宋体" w:hAnsi="宋体"/>
                <w:color w:val="auto"/>
                <w:szCs w:val="21"/>
                <w:highlight w:val="none"/>
              </w:rPr>
              <w:t xml:space="preserve"> </w:t>
            </w:r>
          </w:p>
        </w:tc>
      </w:tr>
      <w:tr w14:paraId="4C210D3C">
        <w:tblPrEx>
          <w:tblCellMar>
            <w:top w:w="0" w:type="dxa"/>
            <w:left w:w="108" w:type="dxa"/>
            <w:bottom w:w="46" w:type="dxa"/>
            <w:right w:w="43" w:type="dxa"/>
          </w:tblCellMar>
        </w:tblPrEx>
        <w:trPr>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258EE4BD">
            <w:pPr>
              <w:ind w:left="74"/>
              <w:rPr>
                <w:rFonts w:ascii="宋体" w:hAnsi="宋体"/>
                <w:color w:val="auto"/>
                <w:szCs w:val="21"/>
                <w:highlight w:val="none"/>
              </w:rPr>
            </w:pPr>
            <w:r>
              <w:rPr>
                <w:rFonts w:ascii="宋体" w:hAnsi="宋体" w:cs="宋体"/>
                <w:color w:val="auto"/>
                <w:szCs w:val="21"/>
                <w:highlight w:val="none"/>
              </w:rPr>
              <w:t>基本账户银行账号</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72EA6BC9">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noWrap w:val="0"/>
            <w:vAlign w:val="bottom"/>
          </w:tcPr>
          <w:p w14:paraId="362FEE37">
            <w:pPr>
              <w:ind w:left="600"/>
              <w:rPr>
                <w:rFonts w:ascii="宋体" w:hAnsi="宋体"/>
                <w:color w:val="auto"/>
                <w:szCs w:val="21"/>
                <w:highlight w:val="none"/>
              </w:rPr>
            </w:pPr>
            <w:r>
              <w:rPr>
                <w:rFonts w:ascii="宋体" w:hAnsi="宋体"/>
                <w:color w:val="auto"/>
                <w:szCs w:val="21"/>
                <w:highlight w:val="none"/>
              </w:rPr>
              <w:t xml:space="preserve"> </w:t>
            </w:r>
          </w:p>
        </w:tc>
        <w:tc>
          <w:tcPr>
            <w:tcW w:w="415" w:type="dxa"/>
            <w:vMerge w:val="continue"/>
            <w:tcBorders>
              <w:top w:val="nil"/>
              <w:left w:val="single" w:color="000000" w:sz="4" w:space="0"/>
              <w:bottom w:val="single" w:color="000000" w:sz="4" w:space="0"/>
              <w:right w:val="single" w:color="000000" w:sz="4" w:space="0"/>
            </w:tcBorders>
            <w:noWrap w:val="0"/>
            <w:vAlign w:val="top"/>
          </w:tcPr>
          <w:p w14:paraId="02684FD6">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bottom"/>
          </w:tcPr>
          <w:p w14:paraId="14FA6795">
            <w:pPr>
              <w:ind w:left="113"/>
              <w:rPr>
                <w:rFonts w:ascii="宋体" w:hAnsi="宋体"/>
                <w:color w:val="auto"/>
                <w:szCs w:val="21"/>
                <w:highlight w:val="none"/>
              </w:rPr>
            </w:pPr>
            <w:r>
              <w:rPr>
                <w:rFonts w:ascii="宋体" w:hAnsi="宋体" w:cs="宋体"/>
                <w:color w:val="auto"/>
                <w:szCs w:val="21"/>
                <w:highlight w:val="none"/>
              </w:rPr>
              <w:t>各类注册人员</w:t>
            </w:r>
            <w:r>
              <w:rPr>
                <w:rFonts w:ascii="宋体" w:hAnsi="宋体"/>
                <w:color w:val="auto"/>
                <w:szCs w:val="21"/>
                <w:highlight w:val="none"/>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bottom"/>
          </w:tcPr>
          <w:p w14:paraId="607CA90E">
            <w:pPr>
              <w:ind w:right="14"/>
              <w:jc w:val="center"/>
              <w:rPr>
                <w:rFonts w:ascii="宋体" w:hAnsi="宋体"/>
                <w:color w:val="auto"/>
                <w:szCs w:val="21"/>
                <w:highlight w:val="none"/>
              </w:rPr>
            </w:pPr>
            <w:r>
              <w:rPr>
                <w:rFonts w:ascii="宋体" w:hAnsi="宋体"/>
                <w:color w:val="auto"/>
                <w:szCs w:val="21"/>
                <w:highlight w:val="none"/>
              </w:rPr>
              <w:t xml:space="preserve"> </w:t>
            </w:r>
          </w:p>
        </w:tc>
      </w:tr>
      <w:tr w14:paraId="0275E091">
        <w:tblPrEx>
          <w:tblCellMar>
            <w:top w:w="0" w:type="dxa"/>
            <w:left w:w="108" w:type="dxa"/>
            <w:bottom w:w="46" w:type="dxa"/>
            <w:right w:w="43" w:type="dxa"/>
          </w:tblCellMar>
        </w:tblPrEx>
        <w:trPr>
          <w:trHeight w:val="451"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7343BFAF">
            <w:pPr>
              <w:ind w:left="149"/>
              <w:jc w:val="center"/>
              <w:rPr>
                <w:rFonts w:ascii="宋体" w:hAnsi="宋体"/>
                <w:color w:val="auto"/>
                <w:szCs w:val="21"/>
                <w:highlight w:val="none"/>
              </w:rPr>
            </w:pPr>
            <w:r>
              <w:rPr>
                <w:rFonts w:ascii="宋体" w:hAnsi="宋体" w:cs="宋体"/>
                <w:color w:val="auto"/>
                <w:szCs w:val="21"/>
                <w:highlight w:val="none"/>
              </w:rPr>
              <w:t>经营范围</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710894CC">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278B932B">
            <w:pPr>
              <w:ind w:left="2415"/>
              <w:rPr>
                <w:rFonts w:ascii="宋体" w:hAnsi="宋体"/>
                <w:color w:val="auto"/>
                <w:szCs w:val="21"/>
                <w:highlight w:val="none"/>
              </w:rPr>
            </w:pPr>
            <w:r>
              <w:rPr>
                <w:rFonts w:ascii="宋体" w:hAnsi="宋体"/>
                <w:color w:val="auto"/>
                <w:szCs w:val="21"/>
                <w:highlight w:val="none"/>
              </w:rPr>
              <w:t xml:space="preserve"> </w:t>
            </w:r>
          </w:p>
        </w:tc>
      </w:tr>
      <w:tr w14:paraId="56AAA550">
        <w:tblPrEx>
          <w:tblCellMar>
            <w:top w:w="0" w:type="dxa"/>
            <w:left w:w="108" w:type="dxa"/>
            <w:bottom w:w="46" w:type="dxa"/>
            <w:right w:w="43" w:type="dxa"/>
          </w:tblCellMar>
        </w:tblPrEx>
        <w:trPr>
          <w:trHeight w:val="449" w:hRule="atLeast"/>
        </w:trPr>
        <w:tc>
          <w:tcPr>
            <w:tcW w:w="2235" w:type="dxa"/>
            <w:tcBorders>
              <w:top w:val="single" w:color="000000" w:sz="4" w:space="0"/>
              <w:left w:val="single" w:color="000000" w:sz="4" w:space="0"/>
              <w:bottom w:val="single" w:color="000000" w:sz="4" w:space="0"/>
              <w:right w:val="single" w:color="000000" w:sz="4" w:space="0"/>
            </w:tcBorders>
            <w:noWrap w:val="0"/>
            <w:vAlign w:val="bottom"/>
          </w:tcPr>
          <w:p w14:paraId="15B59907">
            <w:pPr>
              <w:ind w:right="60"/>
              <w:jc w:val="center"/>
              <w:rPr>
                <w:rFonts w:ascii="宋体" w:hAnsi="宋体"/>
                <w:color w:val="auto"/>
                <w:szCs w:val="21"/>
                <w:highlight w:val="none"/>
              </w:rPr>
            </w:pPr>
            <w:r>
              <w:rPr>
                <w:rFonts w:ascii="宋体" w:hAnsi="宋体" w:cs="宋体"/>
                <w:color w:val="auto"/>
                <w:szCs w:val="21"/>
                <w:highlight w:val="none"/>
              </w:rPr>
              <w:t>备注</w:t>
            </w:r>
            <w:r>
              <w:rPr>
                <w:rFonts w:ascii="宋体" w:hAnsi="宋体"/>
                <w:color w:val="auto"/>
                <w:szCs w:val="21"/>
                <w:highlight w:val="none"/>
              </w:rPr>
              <w:t xml:space="preserve"> </w:t>
            </w:r>
          </w:p>
        </w:tc>
        <w:tc>
          <w:tcPr>
            <w:tcW w:w="898" w:type="dxa"/>
            <w:tcBorders>
              <w:top w:val="single" w:color="000000" w:sz="4" w:space="0"/>
              <w:left w:val="single" w:color="000000" w:sz="4" w:space="0"/>
              <w:bottom w:val="single" w:color="000000" w:sz="4" w:space="0"/>
              <w:right w:val="nil"/>
            </w:tcBorders>
            <w:noWrap w:val="0"/>
            <w:vAlign w:val="top"/>
          </w:tcPr>
          <w:p w14:paraId="2CE59D21">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noWrap w:val="0"/>
            <w:vAlign w:val="bottom"/>
          </w:tcPr>
          <w:p w14:paraId="2119A05A">
            <w:pPr>
              <w:ind w:left="2415"/>
              <w:rPr>
                <w:rFonts w:ascii="宋体" w:hAnsi="宋体"/>
                <w:color w:val="auto"/>
                <w:szCs w:val="21"/>
                <w:highlight w:val="none"/>
              </w:rPr>
            </w:pPr>
            <w:r>
              <w:rPr>
                <w:rFonts w:ascii="宋体" w:hAnsi="宋体"/>
                <w:color w:val="auto"/>
                <w:szCs w:val="21"/>
                <w:highlight w:val="none"/>
              </w:rPr>
              <w:t xml:space="preserve"> </w:t>
            </w:r>
          </w:p>
        </w:tc>
      </w:tr>
    </w:tbl>
    <w:p w14:paraId="452ADCA7">
      <w:pPr>
        <w:widowControl/>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投标人基本情况表</w:t>
      </w:r>
    </w:p>
    <w:p w14:paraId="6A61192E">
      <w:pPr>
        <w:rPr>
          <w:color w:val="auto"/>
          <w:highlight w:val="none"/>
        </w:rPr>
      </w:pPr>
    </w:p>
    <w:p w14:paraId="3CE3698A">
      <w:pPr>
        <w:spacing w:line="360" w:lineRule="auto"/>
        <w:rPr>
          <w:rFonts w:ascii="宋体" w:hAnsi="宋体"/>
          <w:color w:val="auto"/>
          <w:sz w:val="28"/>
          <w:szCs w:val="28"/>
          <w:highlight w:val="none"/>
        </w:rPr>
      </w:pPr>
    </w:p>
    <w:p w14:paraId="18D8CA82">
      <w:pPr>
        <w:spacing w:line="360" w:lineRule="auto"/>
        <w:rPr>
          <w:rFonts w:ascii="宋体" w:hAnsi="宋体"/>
          <w:color w:val="auto"/>
          <w:sz w:val="28"/>
          <w:szCs w:val="28"/>
          <w:highlight w:val="none"/>
        </w:rPr>
      </w:pPr>
    </w:p>
    <w:p w14:paraId="5CCC8459">
      <w:pPr>
        <w:spacing w:line="360" w:lineRule="auto"/>
        <w:rPr>
          <w:rFonts w:ascii="宋体" w:hAnsi="宋体"/>
          <w:color w:val="auto"/>
          <w:sz w:val="28"/>
          <w:szCs w:val="28"/>
          <w:highlight w:val="none"/>
        </w:rPr>
      </w:pPr>
    </w:p>
    <w:p w14:paraId="50236705">
      <w:pPr>
        <w:spacing w:line="360" w:lineRule="auto"/>
        <w:rPr>
          <w:rFonts w:ascii="宋体" w:hAnsi="宋体"/>
          <w:color w:val="auto"/>
          <w:sz w:val="28"/>
          <w:szCs w:val="28"/>
          <w:highlight w:val="none"/>
        </w:rPr>
      </w:pPr>
    </w:p>
    <w:p w14:paraId="0A0412CB">
      <w:pPr>
        <w:spacing w:line="360" w:lineRule="auto"/>
        <w:rPr>
          <w:rFonts w:ascii="宋体" w:hAnsi="宋体"/>
          <w:color w:val="auto"/>
          <w:sz w:val="28"/>
          <w:szCs w:val="28"/>
          <w:highlight w:val="none"/>
        </w:rPr>
      </w:pPr>
    </w:p>
    <w:p w14:paraId="18A53C84">
      <w:pPr>
        <w:spacing w:line="360" w:lineRule="auto"/>
        <w:ind w:firstLine="600" w:firstLineChars="250"/>
        <w:rPr>
          <w:rFonts w:ascii="宋体" w:hAnsi="宋体"/>
          <w:color w:val="auto"/>
          <w:sz w:val="24"/>
          <w:highlight w:val="none"/>
        </w:rPr>
      </w:pPr>
    </w:p>
    <w:p w14:paraId="114EFA91">
      <w:pPr>
        <w:pStyle w:val="5"/>
        <w:jc w:val="left"/>
        <w:rPr>
          <w:rFonts w:cs="宋体"/>
          <w:color w:val="auto"/>
          <w:kern w:val="0"/>
          <w:highlight w:val="none"/>
        </w:rPr>
      </w:pPr>
      <w:r>
        <w:rPr>
          <w:rFonts w:hint="eastAsia" w:cs="宋体"/>
          <w:color w:val="auto"/>
          <w:kern w:val="0"/>
          <w:sz w:val="36"/>
          <w:szCs w:val="36"/>
          <w:highlight w:val="none"/>
        </w:rPr>
        <w:br w:type="page"/>
      </w:r>
      <w:bookmarkStart w:id="76" w:name="_Toc8229533"/>
      <w:bookmarkStart w:id="77" w:name="_Toc7361050"/>
      <w:r>
        <w:rPr>
          <w:rFonts w:hint="eastAsia" w:cs="宋体"/>
          <w:color w:val="auto"/>
          <w:kern w:val="0"/>
          <w:highlight w:val="none"/>
        </w:rPr>
        <w:t>格式五：</w:t>
      </w:r>
      <w:r>
        <w:rPr>
          <w:rFonts w:hint="eastAsia"/>
          <w:color w:val="auto"/>
          <w:highlight w:val="none"/>
        </w:rPr>
        <w:t>类似工程业绩</w:t>
      </w:r>
      <w:bookmarkEnd w:id="76"/>
      <w:bookmarkEnd w:id="77"/>
    </w:p>
    <w:p w14:paraId="423315BB">
      <w:pPr>
        <w:spacing w:line="360" w:lineRule="auto"/>
        <w:ind w:firstLine="600" w:firstLineChars="250"/>
        <w:rPr>
          <w:rFonts w:ascii="宋体" w:hAnsi="宋体"/>
          <w:color w:val="auto"/>
          <w:sz w:val="24"/>
          <w:highlight w:val="none"/>
        </w:rPr>
      </w:pPr>
    </w:p>
    <w:p w14:paraId="240CFAD1">
      <w:pPr>
        <w:spacing w:before="120" w:beforeLines="50" w:after="120" w:afterLines="50" w:line="360" w:lineRule="auto"/>
        <w:jc w:val="center"/>
        <w:rPr>
          <w:rFonts w:ascii="宋体" w:hAnsi="宋体"/>
          <w:b/>
          <w:color w:val="auto"/>
          <w:sz w:val="28"/>
          <w:szCs w:val="28"/>
          <w:highlight w:val="none"/>
        </w:rPr>
      </w:pPr>
      <w:r>
        <w:rPr>
          <w:rFonts w:hint="eastAsia" w:ascii="宋体" w:hAnsi="宋体"/>
          <w:b/>
          <w:color w:val="auto"/>
          <w:sz w:val="28"/>
          <w:szCs w:val="28"/>
          <w:highlight w:val="none"/>
        </w:rPr>
        <w:t>类似工程业绩</w:t>
      </w:r>
    </w:p>
    <w:tbl>
      <w:tblPr>
        <w:tblStyle w:val="31"/>
        <w:tblW w:w="868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37"/>
        <w:gridCol w:w="2279"/>
        <w:gridCol w:w="1134"/>
        <w:gridCol w:w="1275"/>
        <w:gridCol w:w="1902"/>
        <w:gridCol w:w="1559"/>
      </w:tblGrid>
      <w:tr w14:paraId="7E3F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537" w:type="dxa"/>
            <w:noWrap w:val="0"/>
            <w:vAlign w:val="center"/>
          </w:tcPr>
          <w:p w14:paraId="2E0869B1">
            <w:pPr>
              <w:jc w:val="center"/>
              <w:rPr>
                <w:rFonts w:ascii="宋体" w:hAnsi="宋体" w:eastAsia="宋体"/>
                <w:bCs/>
                <w:color w:val="auto"/>
                <w:highlight w:val="none"/>
              </w:rPr>
            </w:pPr>
            <w:r>
              <w:rPr>
                <w:rFonts w:hint="eastAsia" w:ascii="宋体" w:hAnsi="宋体" w:eastAsia="宋体"/>
                <w:color w:val="auto"/>
                <w:highlight w:val="none"/>
              </w:rPr>
              <w:t>序号</w:t>
            </w:r>
          </w:p>
        </w:tc>
        <w:tc>
          <w:tcPr>
            <w:tcW w:w="2279" w:type="dxa"/>
            <w:noWrap w:val="0"/>
            <w:vAlign w:val="center"/>
          </w:tcPr>
          <w:p w14:paraId="13A74624">
            <w:pPr>
              <w:jc w:val="center"/>
              <w:rPr>
                <w:rFonts w:ascii="宋体" w:hAnsi="宋体" w:eastAsia="宋体"/>
                <w:color w:val="auto"/>
                <w:highlight w:val="none"/>
              </w:rPr>
            </w:pPr>
            <w:r>
              <w:rPr>
                <w:rFonts w:hint="eastAsia" w:ascii="宋体" w:hAnsi="宋体" w:eastAsia="宋体"/>
                <w:color w:val="auto"/>
                <w:highlight w:val="none"/>
              </w:rPr>
              <w:t>项目名称</w:t>
            </w:r>
          </w:p>
        </w:tc>
        <w:tc>
          <w:tcPr>
            <w:tcW w:w="1134" w:type="dxa"/>
            <w:noWrap w:val="0"/>
            <w:vAlign w:val="center"/>
          </w:tcPr>
          <w:p w14:paraId="23761C84">
            <w:pPr>
              <w:jc w:val="center"/>
              <w:rPr>
                <w:rFonts w:ascii="宋体" w:hAnsi="宋体" w:eastAsia="宋体"/>
                <w:color w:val="auto"/>
                <w:highlight w:val="none"/>
              </w:rPr>
            </w:pPr>
            <w:r>
              <w:rPr>
                <w:rFonts w:hint="eastAsia" w:ascii="宋体" w:hAnsi="宋体" w:eastAsia="宋体"/>
                <w:color w:val="auto"/>
                <w:szCs w:val="21"/>
                <w:highlight w:val="none"/>
              </w:rPr>
              <w:t>合同金额</w:t>
            </w:r>
          </w:p>
        </w:tc>
        <w:tc>
          <w:tcPr>
            <w:tcW w:w="1275" w:type="dxa"/>
            <w:noWrap w:val="0"/>
            <w:vAlign w:val="center"/>
          </w:tcPr>
          <w:p w14:paraId="35AF8476">
            <w:pPr>
              <w:jc w:val="center"/>
              <w:rPr>
                <w:rFonts w:ascii="宋体" w:hAnsi="宋体" w:eastAsia="宋体"/>
                <w:color w:val="auto"/>
                <w:highlight w:val="none"/>
              </w:rPr>
            </w:pPr>
            <w:r>
              <w:rPr>
                <w:rFonts w:hint="eastAsia" w:ascii="宋体" w:hAnsi="宋体" w:eastAsia="宋体"/>
                <w:color w:val="auto"/>
                <w:highlight w:val="none"/>
              </w:rPr>
              <w:t>工作内容</w:t>
            </w:r>
          </w:p>
        </w:tc>
        <w:tc>
          <w:tcPr>
            <w:tcW w:w="1902" w:type="dxa"/>
            <w:noWrap w:val="0"/>
            <w:vAlign w:val="center"/>
          </w:tcPr>
          <w:p w14:paraId="2848399D">
            <w:pPr>
              <w:jc w:val="center"/>
              <w:rPr>
                <w:rFonts w:ascii="宋体" w:hAnsi="宋体" w:eastAsia="宋体"/>
                <w:color w:val="auto"/>
                <w:highlight w:val="none"/>
              </w:rPr>
            </w:pPr>
            <w:r>
              <w:rPr>
                <w:rFonts w:hint="eastAsia" w:ascii="宋体" w:hAnsi="宋体" w:eastAsia="宋体"/>
                <w:color w:val="auto"/>
                <w:highlight w:val="none"/>
              </w:rPr>
              <w:t>合同执行时间</w:t>
            </w:r>
          </w:p>
        </w:tc>
        <w:tc>
          <w:tcPr>
            <w:tcW w:w="1559" w:type="dxa"/>
            <w:noWrap w:val="0"/>
            <w:vAlign w:val="center"/>
          </w:tcPr>
          <w:p w14:paraId="033D1BBA">
            <w:pPr>
              <w:ind w:left="80"/>
              <w:jc w:val="center"/>
              <w:rPr>
                <w:rFonts w:ascii="宋体" w:hAnsi="宋体" w:eastAsia="宋体"/>
                <w:color w:val="auto"/>
                <w:highlight w:val="none"/>
              </w:rPr>
            </w:pPr>
            <w:r>
              <w:rPr>
                <w:rFonts w:hint="eastAsia" w:ascii="宋体" w:hAnsi="宋体" w:eastAsia="宋体"/>
                <w:color w:val="auto"/>
                <w:highlight w:val="none"/>
              </w:rPr>
              <w:t>委托人名称</w:t>
            </w:r>
          </w:p>
        </w:tc>
      </w:tr>
      <w:tr w14:paraId="1E3A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14:paraId="0D41ADF7">
            <w:pPr>
              <w:jc w:val="center"/>
              <w:rPr>
                <w:rFonts w:ascii="宋体" w:hAnsi="宋体" w:eastAsia="宋体"/>
                <w:color w:val="auto"/>
                <w:highlight w:val="none"/>
              </w:rPr>
            </w:pPr>
            <w:r>
              <w:rPr>
                <w:rFonts w:ascii="宋体" w:hAnsi="宋体" w:eastAsia="宋体"/>
                <w:color w:val="auto"/>
                <w:highlight w:val="none"/>
              </w:rPr>
              <w:t>1</w:t>
            </w:r>
          </w:p>
        </w:tc>
        <w:tc>
          <w:tcPr>
            <w:tcW w:w="2279" w:type="dxa"/>
            <w:noWrap w:val="0"/>
            <w:vAlign w:val="center"/>
          </w:tcPr>
          <w:p w14:paraId="25DEFDAF">
            <w:pPr>
              <w:keepNext/>
              <w:keepLines/>
              <w:spacing w:line="576" w:lineRule="auto"/>
              <w:jc w:val="center"/>
              <w:outlineLvl w:val="0"/>
              <w:rPr>
                <w:rFonts w:ascii="宋体" w:hAnsi="宋体" w:eastAsia="宋体"/>
                <w:color w:val="auto"/>
                <w:highlight w:val="none"/>
              </w:rPr>
            </w:pPr>
          </w:p>
        </w:tc>
        <w:tc>
          <w:tcPr>
            <w:tcW w:w="1134" w:type="dxa"/>
            <w:noWrap w:val="0"/>
            <w:vAlign w:val="center"/>
          </w:tcPr>
          <w:p w14:paraId="0730B3C4">
            <w:pPr>
              <w:keepNext/>
              <w:keepLines/>
              <w:spacing w:line="576" w:lineRule="auto"/>
              <w:jc w:val="center"/>
              <w:outlineLvl w:val="0"/>
              <w:rPr>
                <w:rFonts w:ascii="宋体" w:hAnsi="宋体" w:eastAsia="宋体"/>
                <w:color w:val="auto"/>
                <w:highlight w:val="none"/>
              </w:rPr>
            </w:pPr>
          </w:p>
        </w:tc>
        <w:tc>
          <w:tcPr>
            <w:tcW w:w="1275" w:type="dxa"/>
            <w:noWrap w:val="0"/>
            <w:vAlign w:val="center"/>
          </w:tcPr>
          <w:p w14:paraId="5893A076">
            <w:pPr>
              <w:keepNext/>
              <w:keepLines/>
              <w:spacing w:line="576" w:lineRule="auto"/>
              <w:jc w:val="center"/>
              <w:outlineLvl w:val="0"/>
              <w:rPr>
                <w:rFonts w:ascii="宋体" w:hAnsi="宋体" w:eastAsia="宋体"/>
                <w:color w:val="auto"/>
                <w:highlight w:val="none"/>
              </w:rPr>
            </w:pPr>
          </w:p>
        </w:tc>
        <w:tc>
          <w:tcPr>
            <w:tcW w:w="1902" w:type="dxa"/>
            <w:noWrap w:val="0"/>
            <w:vAlign w:val="center"/>
          </w:tcPr>
          <w:p w14:paraId="29315CA2">
            <w:pPr>
              <w:keepNext/>
              <w:keepLines/>
              <w:spacing w:line="576" w:lineRule="auto"/>
              <w:jc w:val="center"/>
              <w:outlineLvl w:val="0"/>
              <w:rPr>
                <w:rFonts w:ascii="宋体" w:hAnsi="宋体" w:eastAsia="宋体"/>
                <w:color w:val="auto"/>
                <w:highlight w:val="none"/>
              </w:rPr>
            </w:pPr>
          </w:p>
        </w:tc>
        <w:tc>
          <w:tcPr>
            <w:tcW w:w="1559" w:type="dxa"/>
            <w:noWrap w:val="0"/>
            <w:vAlign w:val="center"/>
          </w:tcPr>
          <w:p w14:paraId="1A6CD035">
            <w:pPr>
              <w:keepNext/>
              <w:keepLines/>
              <w:spacing w:line="576" w:lineRule="auto"/>
              <w:jc w:val="center"/>
              <w:outlineLvl w:val="0"/>
              <w:rPr>
                <w:rFonts w:ascii="宋体" w:hAnsi="宋体" w:eastAsia="宋体"/>
                <w:color w:val="auto"/>
                <w:highlight w:val="none"/>
              </w:rPr>
            </w:pPr>
          </w:p>
        </w:tc>
      </w:tr>
      <w:tr w14:paraId="1EF8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14:paraId="5081846C">
            <w:pPr>
              <w:jc w:val="center"/>
              <w:rPr>
                <w:rFonts w:ascii="宋体" w:hAnsi="宋体" w:eastAsia="宋体"/>
                <w:color w:val="auto"/>
                <w:highlight w:val="none"/>
              </w:rPr>
            </w:pPr>
            <w:r>
              <w:rPr>
                <w:rFonts w:ascii="宋体" w:hAnsi="宋体" w:eastAsia="宋体"/>
                <w:color w:val="auto"/>
                <w:highlight w:val="none"/>
              </w:rPr>
              <w:t>2</w:t>
            </w:r>
          </w:p>
        </w:tc>
        <w:tc>
          <w:tcPr>
            <w:tcW w:w="2279" w:type="dxa"/>
            <w:noWrap w:val="0"/>
            <w:vAlign w:val="center"/>
          </w:tcPr>
          <w:p w14:paraId="7E7823C6">
            <w:pPr>
              <w:keepNext/>
              <w:keepLines/>
              <w:spacing w:line="576" w:lineRule="auto"/>
              <w:jc w:val="center"/>
              <w:outlineLvl w:val="0"/>
              <w:rPr>
                <w:rFonts w:ascii="宋体" w:hAnsi="宋体" w:eastAsia="宋体"/>
                <w:color w:val="auto"/>
                <w:highlight w:val="none"/>
              </w:rPr>
            </w:pPr>
          </w:p>
        </w:tc>
        <w:tc>
          <w:tcPr>
            <w:tcW w:w="1134" w:type="dxa"/>
            <w:noWrap w:val="0"/>
            <w:vAlign w:val="center"/>
          </w:tcPr>
          <w:p w14:paraId="2728BE60">
            <w:pPr>
              <w:keepNext/>
              <w:keepLines/>
              <w:spacing w:line="576" w:lineRule="auto"/>
              <w:jc w:val="center"/>
              <w:outlineLvl w:val="0"/>
              <w:rPr>
                <w:rFonts w:ascii="宋体" w:hAnsi="宋体" w:eastAsia="宋体"/>
                <w:color w:val="auto"/>
                <w:highlight w:val="none"/>
              </w:rPr>
            </w:pPr>
          </w:p>
        </w:tc>
        <w:tc>
          <w:tcPr>
            <w:tcW w:w="1275" w:type="dxa"/>
            <w:noWrap w:val="0"/>
            <w:vAlign w:val="center"/>
          </w:tcPr>
          <w:p w14:paraId="0347B730">
            <w:pPr>
              <w:keepNext/>
              <w:keepLines/>
              <w:spacing w:line="576" w:lineRule="auto"/>
              <w:jc w:val="center"/>
              <w:outlineLvl w:val="0"/>
              <w:rPr>
                <w:rFonts w:ascii="宋体" w:hAnsi="宋体" w:eastAsia="宋体"/>
                <w:color w:val="auto"/>
                <w:highlight w:val="none"/>
              </w:rPr>
            </w:pPr>
          </w:p>
        </w:tc>
        <w:tc>
          <w:tcPr>
            <w:tcW w:w="1902" w:type="dxa"/>
            <w:noWrap w:val="0"/>
            <w:vAlign w:val="center"/>
          </w:tcPr>
          <w:p w14:paraId="3529E66F">
            <w:pPr>
              <w:keepNext/>
              <w:keepLines/>
              <w:spacing w:line="576" w:lineRule="auto"/>
              <w:jc w:val="center"/>
              <w:outlineLvl w:val="0"/>
              <w:rPr>
                <w:rFonts w:ascii="宋体" w:hAnsi="宋体" w:eastAsia="宋体"/>
                <w:color w:val="auto"/>
                <w:highlight w:val="none"/>
              </w:rPr>
            </w:pPr>
          </w:p>
        </w:tc>
        <w:tc>
          <w:tcPr>
            <w:tcW w:w="1559" w:type="dxa"/>
            <w:noWrap w:val="0"/>
            <w:vAlign w:val="center"/>
          </w:tcPr>
          <w:p w14:paraId="5F0C5637">
            <w:pPr>
              <w:keepNext/>
              <w:keepLines/>
              <w:spacing w:line="576" w:lineRule="auto"/>
              <w:jc w:val="center"/>
              <w:outlineLvl w:val="0"/>
              <w:rPr>
                <w:rFonts w:ascii="宋体" w:hAnsi="宋体" w:eastAsia="宋体"/>
                <w:color w:val="auto"/>
                <w:highlight w:val="none"/>
              </w:rPr>
            </w:pPr>
          </w:p>
        </w:tc>
      </w:tr>
      <w:tr w14:paraId="33E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8" w:hRule="atLeast"/>
        </w:trPr>
        <w:tc>
          <w:tcPr>
            <w:tcW w:w="537" w:type="dxa"/>
            <w:noWrap w:val="0"/>
            <w:vAlign w:val="center"/>
          </w:tcPr>
          <w:p w14:paraId="0D281997">
            <w:pPr>
              <w:jc w:val="center"/>
              <w:rPr>
                <w:rFonts w:ascii="宋体" w:hAnsi="宋体" w:eastAsia="宋体"/>
                <w:color w:val="auto"/>
                <w:highlight w:val="none"/>
              </w:rPr>
            </w:pPr>
            <w:r>
              <w:rPr>
                <w:rFonts w:ascii="宋体" w:hAnsi="宋体" w:eastAsia="宋体"/>
                <w:color w:val="auto"/>
                <w:highlight w:val="none"/>
              </w:rPr>
              <w:t>3</w:t>
            </w:r>
          </w:p>
        </w:tc>
        <w:tc>
          <w:tcPr>
            <w:tcW w:w="2279" w:type="dxa"/>
            <w:noWrap w:val="0"/>
            <w:vAlign w:val="center"/>
          </w:tcPr>
          <w:p w14:paraId="79598B13">
            <w:pPr>
              <w:jc w:val="center"/>
              <w:rPr>
                <w:rFonts w:ascii="宋体" w:hAnsi="宋体" w:eastAsia="宋体"/>
                <w:color w:val="auto"/>
                <w:highlight w:val="none"/>
              </w:rPr>
            </w:pPr>
          </w:p>
        </w:tc>
        <w:tc>
          <w:tcPr>
            <w:tcW w:w="1134" w:type="dxa"/>
            <w:noWrap w:val="0"/>
            <w:vAlign w:val="center"/>
          </w:tcPr>
          <w:p w14:paraId="025CB87E">
            <w:pPr>
              <w:jc w:val="center"/>
              <w:rPr>
                <w:rFonts w:ascii="宋体" w:hAnsi="宋体" w:eastAsia="宋体"/>
                <w:color w:val="auto"/>
                <w:highlight w:val="none"/>
              </w:rPr>
            </w:pPr>
          </w:p>
        </w:tc>
        <w:tc>
          <w:tcPr>
            <w:tcW w:w="1275" w:type="dxa"/>
            <w:noWrap w:val="0"/>
            <w:vAlign w:val="center"/>
          </w:tcPr>
          <w:p w14:paraId="3528ECD0">
            <w:pPr>
              <w:jc w:val="center"/>
              <w:rPr>
                <w:rFonts w:ascii="宋体" w:hAnsi="宋体" w:eastAsia="宋体"/>
                <w:color w:val="auto"/>
                <w:highlight w:val="none"/>
              </w:rPr>
            </w:pPr>
          </w:p>
        </w:tc>
        <w:tc>
          <w:tcPr>
            <w:tcW w:w="1902" w:type="dxa"/>
            <w:noWrap w:val="0"/>
            <w:vAlign w:val="center"/>
          </w:tcPr>
          <w:p w14:paraId="2A7545FB">
            <w:pPr>
              <w:jc w:val="center"/>
              <w:rPr>
                <w:rFonts w:ascii="宋体" w:hAnsi="宋体" w:eastAsia="宋体"/>
                <w:color w:val="auto"/>
                <w:highlight w:val="none"/>
              </w:rPr>
            </w:pPr>
          </w:p>
        </w:tc>
        <w:tc>
          <w:tcPr>
            <w:tcW w:w="1559" w:type="dxa"/>
            <w:noWrap w:val="0"/>
            <w:vAlign w:val="center"/>
          </w:tcPr>
          <w:p w14:paraId="64E2162F">
            <w:pPr>
              <w:jc w:val="center"/>
              <w:rPr>
                <w:rFonts w:ascii="宋体" w:hAnsi="宋体" w:eastAsia="宋体"/>
                <w:color w:val="auto"/>
                <w:highlight w:val="none"/>
              </w:rPr>
            </w:pPr>
          </w:p>
        </w:tc>
      </w:tr>
      <w:tr w14:paraId="317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14:paraId="2210FD39">
            <w:pPr>
              <w:jc w:val="center"/>
              <w:rPr>
                <w:rFonts w:ascii="宋体" w:hAnsi="宋体" w:eastAsia="宋体"/>
                <w:color w:val="auto"/>
                <w:highlight w:val="none"/>
              </w:rPr>
            </w:pPr>
            <w:r>
              <w:rPr>
                <w:rFonts w:ascii="宋体" w:hAnsi="宋体" w:eastAsia="宋体"/>
                <w:color w:val="auto"/>
                <w:highlight w:val="none"/>
              </w:rPr>
              <w:t>4</w:t>
            </w:r>
          </w:p>
        </w:tc>
        <w:tc>
          <w:tcPr>
            <w:tcW w:w="2279" w:type="dxa"/>
            <w:noWrap w:val="0"/>
            <w:vAlign w:val="center"/>
          </w:tcPr>
          <w:p w14:paraId="29EA694C">
            <w:pPr>
              <w:jc w:val="center"/>
              <w:rPr>
                <w:rFonts w:ascii="宋体" w:hAnsi="宋体" w:eastAsia="宋体"/>
                <w:color w:val="auto"/>
                <w:highlight w:val="none"/>
              </w:rPr>
            </w:pPr>
          </w:p>
        </w:tc>
        <w:tc>
          <w:tcPr>
            <w:tcW w:w="1134" w:type="dxa"/>
            <w:noWrap w:val="0"/>
            <w:vAlign w:val="center"/>
          </w:tcPr>
          <w:p w14:paraId="382E6344">
            <w:pPr>
              <w:jc w:val="center"/>
              <w:rPr>
                <w:rFonts w:ascii="宋体" w:hAnsi="宋体" w:eastAsia="宋体"/>
                <w:color w:val="auto"/>
                <w:highlight w:val="none"/>
              </w:rPr>
            </w:pPr>
          </w:p>
        </w:tc>
        <w:tc>
          <w:tcPr>
            <w:tcW w:w="1275" w:type="dxa"/>
            <w:noWrap w:val="0"/>
            <w:vAlign w:val="center"/>
          </w:tcPr>
          <w:p w14:paraId="17E36581">
            <w:pPr>
              <w:jc w:val="center"/>
              <w:rPr>
                <w:rFonts w:ascii="宋体" w:hAnsi="宋体" w:eastAsia="宋体"/>
                <w:color w:val="auto"/>
                <w:highlight w:val="none"/>
              </w:rPr>
            </w:pPr>
          </w:p>
        </w:tc>
        <w:tc>
          <w:tcPr>
            <w:tcW w:w="1902" w:type="dxa"/>
            <w:noWrap w:val="0"/>
            <w:vAlign w:val="center"/>
          </w:tcPr>
          <w:p w14:paraId="7F20FFC7">
            <w:pPr>
              <w:jc w:val="center"/>
              <w:rPr>
                <w:rFonts w:ascii="宋体" w:hAnsi="宋体" w:eastAsia="宋体"/>
                <w:color w:val="auto"/>
                <w:highlight w:val="none"/>
              </w:rPr>
            </w:pPr>
          </w:p>
        </w:tc>
        <w:tc>
          <w:tcPr>
            <w:tcW w:w="1559" w:type="dxa"/>
            <w:noWrap w:val="0"/>
            <w:vAlign w:val="center"/>
          </w:tcPr>
          <w:p w14:paraId="0E3AD197">
            <w:pPr>
              <w:jc w:val="center"/>
              <w:rPr>
                <w:rFonts w:ascii="宋体" w:hAnsi="宋体" w:eastAsia="宋体"/>
                <w:color w:val="auto"/>
                <w:highlight w:val="none"/>
              </w:rPr>
            </w:pPr>
          </w:p>
        </w:tc>
      </w:tr>
      <w:tr w14:paraId="6E18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14:paraId="4CEDD820">
            <w:pPr>
              <w:jc w:val="center"/>
              <w:rPr>
                <w:rFonts w:ascii="宋体" w:hAnsi="宋体" w:eastAsia="宋体"/>
                <w:color w:val="auto"/>
                <w:highlight w:val="none"/>
              </w:rPr>
            </w:pPr>
            <w:r>
              <w:rPr>
                <w:rFonts w:ascii="宋体" w:hAnsi="宋体" w:eastAsia="宋体"/>
                <w:color w:val="auto"/>
                <w:highlight w:val="none"/>
              </w:rPr>
              <w:t>5</w:t>
            </w:r>
          </w:p>
        </w:tc>
        <w:tc>
          <w:tcPr>
            <w:tcW w:w="2279" w:type="dxa"/>
            <w:noWrap w:val="0"/>
            <w:vAlign w:val="center"/>
          </w:tcPr>
          <w:p w14:paraId="34937BA4">
            <w:pPr>
              <w:jc w:val="center"/>
              <w:rPr>
                <w:rFonts w:ascii="宋体" w:hAnsi="宋体" w:eastAsia="宋体"/>
                <w:color w:val="auto"/>
                <w:highlight w:val="none"/>
              </w:rPr>
            </w:pPr>
          </w:p>
        </w:tc>
        <w:tc>
          <w:tcPr>
            <w:tcW w:w="1134" w:type="dxa"/>
            <w:noWrap w:val="0"/>
            <w:vAlign w:val="center"/>
          </w:tcPr>
          <w:p w14:paraId="54D5ABBE">
            <w:pPr>
              <w:jc w:val="center"/>
              <w:rPr>
                <w:rFonts w:ascii="宋体" w:hAnsi="宋体" w:eastAsia="宋体"/>
                <w:color w:val="auto"/>
                <w:highlight w:val="none"/>
              </w:rPr>
            </w:pPr>
          </w:p>
        </w:tc>
        <w:tc>
          <w:tcPr>
            <w:tcW w:w="1275" w:type="dxa"/>
            <w:noWrap w:val="0"/>
            <w:vAlign w:val="center"/>
          </w:tcPr>
          <w:p w14:paraId="5AA77FB2">
            <w:pPr>
              <w:jc w:val="center"/>
              <w:rPr>
                <w:rFonts w:ascii="宋体" w:hAnsi="宋体" w:eastAsia="宋体"/>
                <w:color w:val="auto"/>
                <w:highlight w:val="none"/>
              </w:rPr>
            </w:pPr>
          </w:p>
        </w:tc>
        <w:tc>
          <w:tcPr>
            <w:tcW w:w="1902" w:type="dxa"/>
            <w:noWrap w:val="0"/>
            <w:vAlign w:val="center"/>
          </w:tcPr>
          <w:p w14:paraId="3E169C70">
            <w:pPr>
              <w:jc w:val="center"/>
              <w:rPr>
                <w:rFonts w:ascii="宋体" w:hAnsi="宋体" w:eastAsia="宋体"/>
                <w:color w:val="auto"/>
                <w:highlight w:val="none"/>
              </w:rPr>
            </w:pPr>
          </w:p>
        </w:tc>
        <w:tc>
          <w:tcPr>
            <w:tcW w:w="1559" w:type="dxa"/>
            <w:noWrap w:val="0"/>
            <w:vAlign w:val="center"/>
          </w:tcPr>
          <w:p w14:paraId="79F173E0">
            <w:pPr>
              <w:jc w:val="center"/>
              <w:rPr>
                <w:rFonts w:ascii="宋体" w:hAnsi="宋体" w:eastAsia="宋体"/>
                <w:color w:val="auto"/>
                <w:highlight w:val="none"/>
              </w:rPr>
            </w:pPr>
          </w:p>
        </w:tc>
      </w:tr>
      <w:tr w14:paraId="4A9D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14:paraId="0ED737F5">
            <w:pPr>
              <w:jc w:val="center"/>
              <w:rPr>
                <w:rFonts w:ascii="宋体" w:hAnsi="宋体" w:eastAsia="宋体"/>
                <w:color w:val="auto"/>
                <w:highlight w:val="none"/>
              </w:rPr>
            </w:pPr>
            <w:r>
              <w:rPr>
                <w:rFonts w:hint="eastAsia" w:ascii="宋体" w:hAnsi="宋体" w:eastAsia="宋体"/>
                <w:color w:val="auto"/>
                <w:highlight w:val="none"/>
              </w:rPr>
              <w:t>……</w:t>
            </w:r>
          </w:p>
        </w:tc>
        <w:tc>
          <w:tcPr>
            <w:tcW w:w="2279" w:type="dxa"/>
            <w:noWrap w:val="0"/>
            <w:vAlign w:val="center"/>
          </w:tcPr>
          <w:p w14:paraId="7018469F">
            <w:pPr>
              <w:jc w:val="center"/>
              <w:rPr>
                <w:rFonts w:ascii="宋体" w:hAnsi="宋体" w:eastAsia="宋体"/>
                <w:color w:val="auto"/>
                <w:highlight w:val="none"/>
              </w:rPr>
            </w:pPr>
          </w:p>
        </w:tc>
        <w:tc>
          <w:tcPr>
            <w:tcW w:w="1134" w:type="dxa"/>
            <w:noWrap w:val="0"/>
            <w:vAlign w:val="center"/>
          </w:tcPr>
          <w:p w14:paraId="577900E2">
            <w:pPr>
              <w:jc w:val="center"/>
              <w:rPr>
                <w:rFonts w:ascii="宋体" w:hAnsi="宋体" w:eastAsia="宋体"/>
                <w:color w:val="auto"/>
                <w:highlight w:val="none"/>
              </w:rPr>
            </w:pPr>
          </w:p>
        </w:tc>
        <w:tc>
          <w:tcPr>
            <w:tcW w:w="1275" w:type="dxa"/>
            <w:noWrap w:val="0"/>
            <w:vAlign w:val="center"/>
          </w:tcPr>
          <w:p w14:paraId="7BB4B513">
            <w:pPr>
              <w:jc w:val="center"/>
              <w:rPr>
                <w:rFonts w:ascii="宋体" w:hAnsi="宋体" w:eastAsia="宋体"/>
                <w:color w:val="auto"/>
                <w:highlight w:val="none"/>
              </w:rPr>
            </w:pPr>
          </w:p>
        </w:tc>
        <w:tc>
          <w:tcPr>
            <w:tcW w:w="1902" w:type="dxa"/>
            <w:noWrap w:val="0"/>
            <w:vAlign w:val="center"/>
          </w:tcPr>
          <w:p w14:paraId="5D6CD15C">
            <w:pPr>
              <w:jc w:val="center"/>
              <w:rPr>
                <w:rFonts w:ascii="宋体" w:hAnsi="宋体" w:eastAsia="宋体"/>
                <w:color w:val="auto"/>
                <w:highlight w:val="none"/>
              </w:rPr>
            </w:pPr>
          </w:p>
        </w:tc>
        <w:tc>
          <w:tcPr>
            <w:tcW w:w="1559" w:type="dxa"/>
            <w:noWrap w:val="0"/>
            <w:vAlign w:val="center"/>
          </w:tcPr>
          <w:p w14:paraId="28CA4E31">
            <w:pPr>
              <w:jc w:val="center"/>
              <w:rPr>
                <w:rFonts w:ascii="宋体" w:hAnsi="宋体" w:eastAsia="宋体"/>
                <w:color w:val="auto"/>
                <w:highlight w:val="none"/>
              </w:rPr>
            </w:pPr>
          </w:p>
        </w:tc>
      </w:tr>
    </w:tbl>
    <w:p w14:paraId="14677274">
      <w:pPr>
        <w:jc w:val="left"/>
        <w:rPr>
          <w:rFonts w:hint="eastAsia" w:ascii="宋体" w:hAnsi="宋体"/>
          <w:color w:val="auto"/>
          <w:sz w:val="21"/>
          <w:szCs w:val="21"/>
          <w:highlight w:val="none"/>
        </w:rPr>
      </w:pPr>
    </w:p>
    <w:p w14:paraId="3A6D71A3">
      <w:pPr>
        <w:jc w:val="left"/>
        <w:rPr>
          <w:rFonts w:ascii="宋体" w:hAnsi="宋体"/>
          <w:color w:val="auto"/>
          <w:sz w:val="24"/>
          <w:highlight w:val="none"/>
        </w:rPr>
      </w:pPr>
      <w:r>
        <w:rPr>
          <w:rFonts w:hint="eastAsia" w:ascii="宋体" w:hAnsi="宋体"/>
          <w:color w:val="auto"/>
          <w:sz w:val="21"/>
          <w:szCs w:val="21"/>
          <w:highlight w:val="none"/>
        </w:rPr>
        <w:t>备注：按照</w:t>
      </w:r>
      <w:r>
        <w:rPr>
          <w:rFonts w:hint="eastAsia" w:ascii="宋体" w:hAnsi="宋体" w:eastAsia="宋体" w:cs="Times New Roman"/>
          <w:color w:val="auto"/>
          <w:sz w:val="21"/>
          <w:szCs w:val="21"/>
          <w:highlight w:val="none"/>
          <w:lang w:val="en-US" w:eastAsia="zh-CN"/>
        </w:rPr>
        <w:t>综合评分表</w:t>
      </w:r>
      <w:r>
        <w:rPr>
          <w:rFonts w:hint="eastAsia" w:ascii="宋体" w:hAnsi="宋体" w:eastAsia="宋体" w:cs="Times New Roman"/>
          <w:color w:val="auto"/>
          <w:sz w:val="21"/>
          <w:szCs w:val="21"/>
          <w:highlight w:val="none"/>
        </w:rPr>
        <w:t>中</w:t>
      </w:r>
      <w:r>
        <w:rPr>
          <w:rFonts w:hint="eastAsia" w:ascii="宋体" w:hAnsi="宋体" w:eastAsia="宋体" w:cs="Times New Roman"/>
          <w:color w:val="auto"/>
          <w:sz w:val="21"/>
          <w:szCs w:val="21"/>
          <w:highlight w:val="none"/>
          <w:lang w:eastAsia="zh-CN"/>
        </w:rPr>
        <w:t>的</w:t>
      </w:r>
      <w:r>
        <w:rPr>
          <w:rFonts w:hint="eastAsia" w:ascii="宋体" w:hAnsi="宋体"/>
          <w:color w:val="auto"/>
          <w:sz w:val="21"/>
          <w:szCs w:val="21"/>
          <w:highlight w:val="none"/>
        </w:rPr>
        <w:t>要求提供证明资料。</w:t>
      </w:r>
    </w:p>
    <w:p w14:paraId="0C2AE995">
      <w:pPr>
        <w:spacing w:line="0" w:lineRule="atLeast"/>
        <w:jc w:val="left"/>
        <w:rPr>
          <w:rFonts w:ascii="宋体" w:hAnsi="宋体"/>
          <w:color w:val="auto"/>
          <w:sz w:val="24"/>
          <w:highlight w:val="none"/>
        </w:rPr>
      </w:pPr>
    </w:p>
    <w:p w14:paraId="4C814F63">
      <w:pPr>
        <w:spacing w:line="0" w:lineRule="atLeast"/>
        <w:jc w:val="left"/>
        <w:rPr>
          <w:rFonts w:ascii="宋体" w:hAnsi="宋体"/>
          <w:color w:val="auto"/>
          <w:sz w:val="24"/>
          <w:highlight w:val="none"/>
        </w:rPr>
      </w:pPr>
    </w:p>
    <w:p w14:paraId="415BBF04">
      <w:pPr>
        <w:spacing w:line="0" w:lineRule="atLeast"/>
        <w:jc w:val="left"/>
        <w:rPr>
          <w:rFonts w:ascii="宋体" w:hAnsi="宋体"/>
          <w:color w:val="auto"/>
          <w:sz w:val="24"/>
          <w:highlight w:val="none"/>
        </w:rPr>
      </w:pPr>
    </w:p>
    <w:p w14:paraId="352B6CF7">
      <w:pPr>
        <w:pStyle w:val="5"/>
        <w:jc w:val="left"/>
        <w:rPr>
          <w:color w:val="auto"/>
          <w:highlight w:val="none"/>
        </w:rPr>
      </w:pPr>
      <w:r>
        <w:rPr>
          <w:rFonts w:hint="eastAsia" w:cs="宋体"/>
          <w:color w:val="auto"/>
          <w:kern w:val="0"/>
          <w:sz w:val="36"/>
          <w:szCs w:val="36"/>
          <w:highlight w:val="none"/>
        </w:rPr>
        <w:br w:type="page"/>
      </w:r>
      <w:bookmarkStart w:id="78" w:name="_Toc7361051"/>
      <w:bookmarkStart w:id="79" w:name="_Toc8229534"/>
      <w:r>
        <w:rPr>
          <w:rFonts w:hint="eastAsia" w:cs="宋体"/>
          <w:color w:val="auto"/>
          <w:kern w:val="0"/>
          <w:highlight w:val="none"/>
        </w:rPr>
        <w:t>格式</w:t>
      </w:r>
      <w:r>
        <w:rPr>
          <w:rFonts w:hint="eastAsia" w:cs="宋体"/>
          <w:color w:val="auto"/>
          <w:kern w:val="0"/>
          <w:highlight w:val="none"/>
          <w:lang w:val="en-US" w:eastAsia="zh-CN"/>
        </w:rPr>
        <w:t>六</w:t>
      </w:r>
      <w:r>
        <w:rPr>
          <w:rFonts w:hint="eastAsia" w:cs="宋体"/>
          <w:color w:val="auto"/>
          <w:kern w:val="0"/>
          <w:highlight w:val="none"/>
        </w:rPr>
        <w:t>：</w:t>
      </w:r>
      <w:r>
        <w:rPr>
          <w:rFonts w:hint="eastAsia"/>
          <w:color w:val="auto"/>
          <w:highlight w:val="none"/>
        </w:rPr>
        <w:t>拟投入本项目人员汇总表</w:t>
      </w:r>
      <w:bookmarkEnd w:id="78"/>
      <w:bookmarkEnd w:id="79"/>
    </w:p>
    <w:p w14:paraId="59F0E80A">
      <w:pPr>
        <w:spacing w:before="240" w:line="0" w:lineRule="atLeast"/>
        <w:jc w:val="center"/>
        <w:rPr>
          <w:rFonts w:ascii="宋体" w:hAnsi="宋体"/>
          <w:b/>
          <w:color w:val="auto"/>
          <w:sz w:val="32"/>
          <w:szCs w:val="32"/>
          <w:highlight w:val="none"/>
        </w:rPr>
      </w:pPr>
      <w:r>
        <w:rPr>
          <w:rFonts w:hint="eastAsia" w:ascii="宋体" w:hAnsi="宋体"/>
          <w:b/>
          <w:color w:val="auto"/>
          <w:sz w:val="32"/>
          <w:szCs w:val="32"/>
          <w:highlight w:val="none"/>
        </w:rPr>
        <w:t>拟投入本项目人员汇总表</w:t>
      </w:r>
    </w:p>
    <w:tbl>
      <w:tblPr>
        <w:tblStyle w:val="31"/>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51"/>
        <w:gridCol w:w="708"/>
        <w:gridCol w:w="851"/>
        <w:gridCol w:w="992"/>
        <w:gridCol w:w="1134"/>
        <w:gridCol w:w="851"/>
        <w:gridCol w:w="1528"/>
        <w:gridCol w:w="1418"/>
      </w:tblGrid>
      <w:tr w14:paraId="2E27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72" w:type="dxa"/>
            <w:noWrap w:val="0"/>
            <w:vAlign w:val="center"/>
          </w:tcPr>
          <w:p w14:paraId="3A70D64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051" w:type="dxa"/>
            <w:noWrap w:val="0"/>
            <w:vAlign w:val="center"/>
          </w:tcPr>
          <w:p w14:paraId="5544A83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姓名</w:t>
            </w:r>
          </w:p>
        </w:tc>
        <w:tc>
          <w:tcPr>
            <w:tcW w:w="708" w:type="dxa"/>
            <w:noWrap w:val="0"/>
            <w:vAlign w:val="center"/>
          </w:tcPr>
          <w:p w14:paraId="4E29B35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性别</w:t>
            </w:r>
          </w:p>
        </w:tc>
        <w:tc>
          <w:tcPr>
            <w:tcW w:w="851" w:type="dxa"/>
            <w:noWrap w:val="0"/>
            <w:vAlign w:val="center"/>
          </w:tcPr>
          <w:p w14:paraId="0C3D671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出生年月</w:t>
            </w:r>
          </w:p>
        </w:tc>
        <w:tc>
          <w:tcPr>
            <w:tcW w:w="992" w:type="dxa"/>
            <w:noWrap w:val="0"/>
            <w:vAlign w:val="center"/>
          </w:tcPr>
          <w:p w14:paraId="6D4C474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学历</w:t>
            </w:r>
          </w:p>
        </w:tc>
        <w:tc>
          <w:tcPr>
            <w:tcW w:w="1134" w:type="dxa"/>
            <w:noWrap w:val="0"/>
            <w:vAlign w:val="center"/>
          </w:tcPr>
          <w:p w14:paraId="15F9CB0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职称</w:t>
            </w:r>
          </w:p>
        </w:tc>
        <w:tc>
          <w:tcPr>
            <w:tcW w:w="851" w:type="dxa"/>
            <w:noWrap w:val="0"/>
            <w:vAlign w:val="center"/>
          </w:tcPr>
          <w:p w14:paraId="645CE8C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专业</w:t>
            </w:r>
          </w:p>
        </w:tc>
        <w:tc>
          <w:tcPr>
            <w:tcW w:w="1528" w:type="dxa"/>
            <w:noWrap w:val="0"/>
            <w:vAlign w:val="top"/>
          </w:tcPr>
          <w:p w14:paraId="4FF02AF4">
            <w:pPr>
              <w:spacing w:line="360" w:lineRule="auto"/>
              <w:jc w:val="center"/>
              <w:rPr>
                <w:rFonts w:ascii="宋体" w:hAnsi="宋体" w:eastAsia="宋体"/>
                <w:color w:val="auto"/>
                <w:szCs w:val="21"/>
                <w:highlight w:val="none"/>
              </w:rPr>
            </w:pPr>
          </w:p>
          <w:p w14:paraId="5D468B6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工作年限</w:t>
            </w:r>
          </w:p>
        </w:tc>
        <w:tc>
          <w:tcPr>
            <w:tcW w:w="1418" w:type="dxa"/>
            <w:noWrap w:val="0"/>
            <w:vAlign w:val="center"/>
          </w:tcPr>
          <w:p w14:paraId="771B394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本项目担任职务</w:t>
            </w:r>
          </w:p>
        </w:tc>
      </w:tr>
      <w:tr w14:paraId="65B9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2" w:type="dxa"/>
            <w:noWrap w:val="0"/>
            <w:vAlign w:val="center"/>
          </w:tcPr>
          <w:p w14:paraId="4D4EDE09">
            <w:pPr>
              <w:jc w:val="center"/>
              <w:rPr>
                <w:rFonts w:ascii="宋体" w:hAnsi="宋体" w:eastAsia="宋体" w:cs="Arial"/>
                <w:color w:val="auto"/>
                <w:szCs w:val="21"/>
                <w:highlight w:val="none"/>
              </w:rPr>
            </w:pPr>
            <w:r>
              <w:rPr>
                <w:rFonts w:ascii="宋体" w:hAnsi="宋体" w:eastAsia="宋体" w:cs="Arial"/>
                <w:color w:val="auto"/>
                <w:szCs w:val="21"/>
                <w:highlight w:val="none"/>
              </w:rPr>
              <w:t>1</w:t>
            </w:r>
          </w:p>
        </w:tc>
        <w:tc>
          <w:tcPr>
            <w:tcW w:w="1051" w:type="dxa"/>
            <w:noWrap w:val="0"/>
            <w:vAlign w:val="center"/>
          </w:tcPr>
          <w:p w14:paraId="2B66A6FE">
            <w:pPr>
              <w:keepNext/>
              <w:keepLines/>
              <w:spacing w:line="576" w:lineRule="auto"/>
              <w:outlineLvl w:val="0"/>
              <w:rPr>
                <w:rFonts w:ascii="宋体" w:hAnsi="宋体" w:eastAsia="宋体" w:cs="Arial"/>
                <w:color w:val="auto"/>
                <w:szCs w:val="21"/>
                <w:highlight w:val="none"/>
              </w:rPr>
            </w:pPr>
          </w:p>
        </w:tc>
        <w:tc>
          <w:tcPr>
            <w:tcW w:w="708" w:type="dxa"/>
            <w:noWrap w:val="0"/>
            <w:vAlign w:val="center"/>
          </w:tcPr>
          <w:p w14:paraId="49551A01">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013BFE55">
            <w:pPr>
              <w:keepNext/>
              <w:keepLines/>
              <w:spacing w:line="576" w:lineRule="auto"/>
              <w:outlineLvl w:val="0"/>
              <w:rPr>
                <w:rFonts w:ascii="宋体" w:hAnsi="宋体" w:eastAsia="宋体" w:cs="Arial"/>
                <w:color w:val="auto"/>
                <w:szCs w:val="21"/>
                <w:highlight w:val="none"/>
              </w:rPr>
            </w:pPr>
          </w:p>
        </w:tc>
        <w:tc>
          <w:tcPr>
            <w:tcW w:w="992" w:type="dxa"/>
            <w:noWrap w:val="0"/>
            <w:vAlign w:val="center"/>
          </w:tcPr>
          <w:p w14:paraId="2217A426">
            <w:pPr>
              <w:keepNext/>
              <w:keepLines/>
              <w:spacing w:line="576" w:lineRule="auto"/>
              <w:outlineLvl w:val="0"/>
              <w:rPr>
                <w:rFonts w:ascii="宋体" w:hAnsi="宋体" w:eastAsia="宋体" w:cs="Arial"/>
                <w:color w:val="auto"/>
                <w:szCs w:val="21"/>
                <w:highlight w:val="none"/>
              </w:rPr>
            </w:pPr>
          </w:p>
        </w:tc>
        <w:tc>
          <w:tcPr>
            <w:tcW w:w="1134" w:type="dxa"/>
            <w:noWrap w:val="0"/>
            <w:vAlign w:val="center"/>
          </w:tcPr>
          <w:p w14:paraId="3844501C">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542C69A5">
            <w:pPr>
              <w:keepNext/>
              <w:keepLines/>
              <w:spacing w:line="576" w:lineRule="auto"/>
              <w:outlineLvl w:val="0"/>
              <w:rPr>
                <w:rFonts w:ascii="宋体" w:hAnsi="宋体" w:eastAsia="宋体" w:cs="Arial"/>
                <w:color w:val="auto"/>
                <w:szCs w:val="21"/>
                <w:highlight w:val="none"/>
              </w:rPr>
            </w:pPr>
          </w:p>
        </w:tc>
        <w:tc>
          <w:tcPr>
            <w:tcW w:w="1528" w:type="dxa"/>
            <w:noWrap w:val="0"/>
            <w:vAlign w:val="center"/>
          </w:tcPr>
          <w:p w14:paraId="4F521E79">
            <w:pPr>
              <w:keepNext/>
              <w:keepLines/>
              <w:spacing w:line="576" w:lineRule="auto"/>
              <w:outlineLvl w:val="0"/>
              <w:rPr>
                <w:rFonts w:ascii="宋体" w:hAnsi="宋体" w:eastAsia="宋体" w:cs="Arial"/>
                <w:color w:val="auto"/>
                <w:szCs w:val="21"/>
                <w:highlight w:val="none"/>
              </w:rPr>
            </w:pPr>
          </w:p>
        </w:tc>
        <w:tc>
          <w:tcPr>
            <w:tcW w:w="1418" w:type="dxa"/>
            <w:noWrap w:val="0"/>
            <w:vAlign w:val="center"/>
          </w:tcPr>
          <w:p w14:paraId="4969D996">
            <w:pPr>
              <w:rPr>
                <w:rFonts w:ascii="宋体" w:hAnsi="宋体" w:eastAsia="宋体" w:cs="Arial"/>
                <w:color w:val="auto"/>
                <w:szCs w:val="21"/>
                <w:highlight w:val="none"/>
              </w:rPr>
            </w:pPr>
            <w:r>
              <w:rPr>
                <w:rFonts w:hint="eastAsia" w:ascii="宋体" w:hAnsi="宋体" w:eastAsia="宋体" w:cs="Arial"/>
                <w:color w:val="auto"/>
                <w:szCs w:val="21"/>
                <w:highlight w:val="none"/>
              </w:rPr>
              <w:t>项目</w:t>
            </w:r>
            <w:r>
              <w:rPr>
                <w:rFonts w:ascii="宋体" w:hAnsi="宋体" w:eastAsia="宋体" w:cs="Arial"/>
                <w:color w:val="auto"/>
                <w:szCs w:val="21"/>
                <w:highlight w:val="none"/>
              </w:rPr>
              <w:t>负责人</w:t>
            </w:r>
          </w:p>
        </w:tc>
      </w:tr>
      <w:tr w14:paraId="0B19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2" w:type="dxa"/>
            <w:noWrap w:val="0"/>
            <w:vAlign w:val="center"/>
          </w:tcPr>
          <w:p w14:paraId="3CCCCE4C">
            <w:pPr>
              <w:jc w:val="center"/>
              <w:rPr>
                <w:rFonts w:ascii="宋体" w:hAnsi="宋体" w:eastAsia="宋体" w:cs="Arial"/>
                <w:color w:val="auto"/>
                <w:szCs w:val="21"/>
                <w:highlight w:val="none"/>
              </w:rPr>
            </w:pPr>
            <w:r>
              <w:rPr>
                <w:rFonts w:ascii="宋体" w:hAnsi="宋体" w:eastAsia="宋体" w:cs="Arial"/>
                <w:color w:val="auto"/>
                <w:szCs w:val="21"/>
                <w:highlight w:val="none"/>
              </w:rPr>
              <w:t>2</w:t>
            </w:r>
          </w:p>
        </w:tc>
        <w:tc>
          <w:tcPr>
            <w:tcW w:w="1051" w:type="dxa"/>
            <w:noWrap w:val="0"/>
            <w:vAlign w:val="center"/>
          </w:tcPr>
          <w:p w14:paraId="7F108E6E">
            <w:pPr>
              <w:keepNext/>
              <w:keepLines/>
              <w:spacing w:line="576" w:lineRule="auto"/>
              <w:outlineLvl w:val="0"/>
              <w:rPr>
                <w:rFonts w:ascii="宋体" w:hAnsi="宋体" w:eastAsia="宋体" w:cs="Arial"/>
                <w:color w:val="auto"/>
                <w:szCs w:val="21"/>
                <w:highlight w:val="none"/>
              </w:rPr>
            </w:pPr>
          </w:p>
        </w:tc>
        <w:tc>
          <w:tcPr>
            <w:tcW w:w="708" w:type="dxa"/>
            <w:noWrap w:val="0"/>
            <w:vAlign w:val="center"/>
          </w:tcPr>
          <w:p w14:paraId="5B0B79E1">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79DBBC1C">
            <w:pPr>
              <w:keepNext/>
              <w:keepLines/>
              <w:spacing w:line="576" w:lineRule="auto"/>
              <w:outlineLvl w:val="0"/>
              <w:rPr>
                <w:rFonts w:ascii="宋体" w:hAnsi="宋体" w:eastAsia="宋体" w:cs="Arial"/>
                <w:color w:val="auto"/>
                <w:szCs w:val="21"/>
                <w:highlight w:val="none"/>
              </w:rPr>
            </w:pPr>
          </w:p>
        </w:tc>
        <w:tc>
          <w:tcPr>
            <w:tcW w:w="992" w:type="dxa"/>
            <w:noWrap w:val="0"/>
            <w:vAlign w:val="center"/>
          </w:tcPr>
          <w:p w14:paraId="342C7BA6">
            <w:pPr>
              <w:keepNext/>
              <w:keepLines/>
              <w:spacing w:line="576" w:lineRule="auto"/>
              <w:outlineLvl w:val="0"/>
              <w:rPr>
                <w:rFonts w:ascii="宋体" w:hAnsi="宋体" w:eastAsia="宋体" w:cs="Arial"/>
                <w:color w:val="auto"/>
                <w:szCs w:val="21"/>
                <w:highlight w:val="none"/>
              </w:rPr>
            </w:pPr>
          </w:p>
        </w:tc>
        <w:tc>
          <w:tcPr>
            <w:tcW w:w="1134" w:type="dxa"/>
            <w:noWrap w:val="0"/>
            <w:vAlign w:val="center"/>
          </w:tcPr>
          <w:p w14:paraId="7F6C9ABC">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0A650D85">
            <w:pPr>
              <w:keepNext/>
              <w:keepLines/>
              <w:spacing w:line="576" w:lineRule="auto"/>
              <w:outlineLvl w:val="0"/>
              <w:rPr>
                <w:rFonts w:ascii="宋体" w:hAnsi="宋体" w:eastAsia="宋体" w:cs="Arial"/>
                <w:color w:val="auto"/>
                <w:szCs w:val="21"/>
                <w:highlight w:val="none"/>
              </w:rPr>
            </w:pPr>
          </w:p>
        </w:tc>
        <w:tc>
          <w:tcPr>
            <w:tcW w:w="1528" w:type="dxa"/>
            <w:noWrap w:val="0"/>
            <w:vAlign w:val="center"/>
          </w:tcPr>
          <w:p w14:paraId="00834EDE">
            <w:pPr>
              <w:keepNext/>
              <w:keepLines/>
              <w:spacing w:line="576" w:lineRule="auto"/>
              <w:outlineLvl w:val="0"/>
              <w:rPr>
                <w:rFonts w:ascii="宋体" w:hAnsi="宋体" w:eastAsia="宋体" w:cs="Arial"/>
                <w:color w:val="auto"/>
                <w:szCs w:val="21"/>
                <w:highlight w:val="none"/>
              </w:rPr>
            </w:pPr>
          </w:p>
        </w:tc>
        <w:tc>
          <w:tcPr>
            <w:tcW w:w="1418" w:type="dxa"/>
            <w:noWrap w:val="0"/>
            <w:vAlign w:val="center"/>
          </w:tcPr>
          <w:p w14:paraId="6FD6DDD5">
            <w:pPr>
              <w:rPr>
                <w:rFonts w:ascii="宋体" w:hAnsi="宋体" w:eastAsia="宋体" w:cs="Arial"/>
                <w:color w:val="auto"/>
                <w:szCs w:val="21"/>
                <w:highlight w:val="none"/>
              </w:rPr>
            </w:pPr>
          </w:p>
        </w:tc>
      </w:tr>
      <w:tr w14:paraId="1251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2" w:type="dxa"/>
            <w:noWrap w:val="0"/>
            <w:vAlign w:val="center"/>
          </w:tcPr>
          <w:p w14:paraId="29BFEC84">
            <w:pPr>
              <w:jc w:val="center"/>
              <w:rPr>
                <w:rFonts w:ascii="宋体" w:hAnsi="宋体" w:eastAsia="宋体" w:cs="Arial"/>
                <w:color w:val="auto"/>
                <w:szCs w:val="21"/>
                <w:highlight w:val="none"/>
              </w:rPr>
            </w:pPr>
            <w:r>
              <w:rPr>
                <w:rFonts w:ascii="宋体" w:hAnsi="宋体" w:eastAsia="宋体" w:cs="Arial"/>
                <w:color w:val="auto"/>
                <w:szCs w:val="21"/>
                <w:highlight w:val="none"/>
              </w:rPr>
              <w:t>3</w:t>
            </w:r>
          </w:p>
        </w:tc>
        <w:tc>
          <w:tcPr>
            <w:tcW w:w="1051" w:type="dxa"/>
            <w:noWrap w:val="0"/>
            <w:vAlign w:val="center"/>
          </w:tcPr>
          <w:p w14:paraId="435B983D">
            <w:pPr>
              <w:keepNext/>
              <w:keepLines/>
              <w:spacing w:line="576" w:lineRule="auto"/>
              <w:outlineLvl w:val="0"/>
              <w:rPr>
                <w:rFonts w:ascii="宋体" w:hAnsi="宋体" w:eastAsia="宋体" w:cs="Arial"/>
                <w:color w:val="auto"/>
                <w:szCs w:val="21"/>
                <w:highlight w:val="none"/>
              </w:rPr>
            </w:pPr>
          </w:p>
        </w:tc>
        <w:tc>
          <w:tcPr>
            <w:tcW w:w="708" w:type="dxa"/>
            <w:noWrap w:val="0"/>
            <w:vAlign w:val="center"/>
          </w:tcPr>
          <w:p w14:paraId="448553D8">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6433D708">
            <w:pPr>
              <w:keepNext/>
              <w:keepLines/>
              <w:spacing w:line="576" w:lineRule="auto"/>
              <w:outlineLvl w:val="0"/>
              <w:rPr>
                <w:rFonts w:ascii="宋体" w:hAnsi="宋体" w:eastAsia="宋体" w:cs="Arial"/>
                <w:color w:val="auto"/>
                <w:szCs w:val="21"/>
                <w:highlight w:val="none"/>
              </w:rPr>
            </w:pPr>
          </w:p>
        </w:tc>
        <w:tc>
          <w:tcPr>
            <w:tcW w:w="992" w:type="dxa"/>
            <w:noWrap w:val="0"/>
            <w:vAlign w:val="center"/>
          </w:tcPr>
          <w:p w14:paraId="04ACD5E1">
            <w:pPr>
              <w:keepNext/>
              <w:keepLines/>
              <w:spacing w:line="576" w:lineRule="auto"/>
              <w:outlineLvl w:val="0"/>
              <w:rPr>
                <w:rFonts w:ascii="宋体" w:hAnsi="宋体" w:eastAsia="宋体" w:cs="Arial"/>
                <w:color w:val="auto"/>
                <w:szCs w:val="21"/>
                <w:highlight w:val="none"/>
              </w:rPr>
            </w:pPr>
          </w:p>
        </w:tc>
        <w:tc>
          <w:tcPr>
            <w:tcW w:w="1134" w:type="dxa"/>
            <w:noWrap w:val="0"/>
            <w:vAlign w:val="center"/>
          </w:tcPr>
          <w:p w14:paraId="767230A1">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4EF9347D">
            <w:pPr>
              <w:keepNext/>
              <w:keepLines/>
              <w:spacing w:line="576" w:lineRule="auto"/>
              <w:outlineLvl w:val="0"/>
              <w:rPr>
                <w:rFonts w:ascii="宋体" w:hAnsi="宋体" w:eastAsia="宋体" w:cs="Arial"/>
                <w:color w:val="auto"/>
                <w:szCs w:val="21"/>
                <w:highlight w:val="none"/>
              </w:rPr>
            </w:pPr>
          </w:p>
        </w:tc>
        <w:tc>
          <w:tcPr>
            <w:tcW w:w="1528" w:type="dxa"/>
            <w:noWrap w:val="0"/>
            <w:vAlign w:val="center"/>
          </w:tcPr>
          <w:p w14:paraId="5DDEC79E">
            <w:pPr>
              <w:keepNext/>
              <w:keepLines/>
              <w:spacing w:line="576" w:lineRule="auto"/>
              <w:outlineLvl w:val="0"/>
              <w:rPr>
                <w:rFonts w:ascii="宋体" w:hAnsi="宋体" w:eastAsia="宋体" w:cs="Arial"/>
                <w:color w:val="auto"/>
                <w:szCs w:val="21"/>
                <w:highlight w:val="none"/>
              </w:rPr>
            </w:pPr>
          </w:p>
        </w:tc>
        <w:tc>
          <w:tcPr>
            <w:tcW w:w="1418" w:type="dxa"/>
            <w:noWrap w:val="0"/>
            <w:vAlign w:val="center"/>
          </w:tcPr>
          <w:p w14:paraId="51B68531">
            <w:pPr>
              <w:rPr>
                <w:rFonts w:ascii="宋体" w:hAnsi="宋体" w:eastAsia="宋体" w:cs="Arial"/>
                <w:color w:val="auto"/>
                <w:szCs w:val="21"/>
                <w:highlight w:val="none"/>
              </w:rPr>
            </w:pPr>
          </w:p>
        </w:tc>
      </w:tr>
      <w:tr w14:paraId="2968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2" w:type="dxa"/>
            <w:noWrap w:val="0"/>
            <w:vAlign w:val="center"/>
          </w:tcPr>
          <w:p w14:paraId="3DBC1FD1">
            <w:pPr>
              <w:jc w:val="center"/>
              <w:rPr>
                <w:rFonts w:ascii="宋体" w:hAnsi="宋体" w:eastAsia="宋体" w:cs="Arial"/>
                <w:color w:val="auto"/>
                <w:szCs w:val="21"/>
                <w:highlight w:val="none"/>
              </w:rPr>
            </w:pPr>
            <w:r>
              <w:rPr>
                <w:rFonts w:hint="eastAsia" w:ascii="宋体" w:hAnsi="宋体" w:eastAsia="宋体" w:cs="Arial"/>
                <w:color w:val="auto"/>
                <w:szCs w:val="21"/>
                <w:highlight w:val="none"/>
              </w:rPr>
              <w:t>…</w:t>
            </w:r>
          </w:p>
        </w:tc>
        <w:tc>
          <w:tcPr>
            <w:tcW w:w="1051" w:type="dxa"/>
            <w:noWrap w:val="0"/>
            <w:vAlign w:val="center"/>
          </w:tcPr>
          <w:p w14:paraId="728E2C36">
            <w:pPr>
              <w:keepNext/>
              <w:keepLines/>
              <w:spacing w:line="576" w:lineRule="auto"/>
              <w:outlineLvl w:val="0"/>
              <w:rPr>
                <w:rFonts w:ascii="宋体" w:hAnsi="宋体" w:eastAsia="宋体" w:cs="Arial"/>
                <w:color w:val="auto"/>
                <w:szCs w:val="21"/>
                <w:highlight w:val="none"/>
              </w:rPr>
            </w:pPr>
          </w:p>
        </w:tc>
        <w:tc>
          <w:tcPr>
            <w:tcW w:w="708" w:type="dxa"/>
            <w:noWrap w:val="0"/>
            <w:vAlign w:val="center"/>
          </w:tcPr>
          <w:p w14:paraId="41E96201">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4F7EF56E">
            <w:pPr>
              <w:keepNext/>
              <w:keepLines/>
              <w:spacing w:line="576" w:lineRule="auto"/>
              <w:outlineLvl w:val="0"/>
              <w:rPr>
                <w:rFonts w:ascii="宋体" w:hAnsi="宋体" w:eastAsia="宋体" w:cs="Arial"/>
                <w:color w:val="auto"/>
                <w:szCs w:val="21"/>
                <w:highlight w:val="none"/>
              </w:rPr>
            </w:pPr>
          </w:p>
        </w:tc>
        <w:tc>
          <w:tcPr>
            <w:tcW w:w="992" w:type="dxa"/>
            <w:noWrap w:val="0"/>
            <w:vAlign w:val="center"/>
          </w:tcPr>
          <w:p w14:paraId="618E38B9">
            <w:pPr>
              <w:keepNext/>
              <w:keepLines/>
              <w:spacing w:line="576" w:lineRule="auto"/>
              <w:outlineLvl w:val="0"/>
              <w:rPr>
                <w:rFonts w:ascii="宋体" w:hAnsi="宋体" w:eastAsia="宋体" w:cs="Arial"/>
                <w:color w:val="auto"/>
                <w:szCs w:val="21"/>
                <w:highlight w:val="none"/>
              </w:rPr>
            </w:pPr>
          </w:p>
        </w:tc>
        <w:tc>
          <w:tcPr>
            <w:tcW w:w="1134" w:type="dxa"/>
            <w:noWrap w:val="0"/>
            <w:vAlign w:val="center"/>
          </w:tcPr>
          <w:p w14:paraId="15232343">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0DB93A2F">
            <w:pPr>
              <w:keepNext/>
              <w:keepLines/>
              <w:spacing w:line="576" w:lineRule="auto"/>
              <w:outlineLvl w:val="0"/>
              <w:rPr>
                <w:rFonts w:ascii="宋体" w:hAnsi="宋体" w:eastAsia="宋体" w:cs="Arial"/>
                <w:color w:val="auto"/>
                <w:szCs w:val="21"/>
                <w:highlight w:val="none"/>
              </w:rPr>
            </w:pPr>
          </w:p>
        </w:tc>
        <w:tc>
          <w:tcPr>
            <w:tcW w:w="1528" w:type="dxa"/>
            <w:noWrap w:val="0"/>
            <w:vAlign w:val="center"/>
          </w:tcPr>
          <w:p w14:paraId="12D3CFCA">
            <w:pPr>
              <w:keepNext/>
              <w:keepLines/>
              <w:spacing w:line="576" w:lineRule="auto"/>
              <w:outlineLvl w:val="0"/>
              <w:rPr>
                <w:rFonts w:ascii="宋体" w:hAnsi="宋体" w:eastAsia="宋体" w:cs="Arial"/>
                <w:color w:val="auto"/>
                <w:szCs w:val="21"/>
                <w:highlight w:val="none"/>
              </w:rPr>
            </w:pPr>
          </w:p>
        </w:tc>
        <w:tc>
          <w:tcPr>
            <w:tcW w:w="1418" w:type="dxa"/>
            <w:noWrap w:val="0"/>
            <w:vAlign w:val="center"/>
          </w:tcPr>
          <w:p w14:paraId="44270033">
            <w:pPr>
              <w:keepNext/>
              <w:keepLines/>
              <w:spacing w:line="576" w:lineRule="auto"/>
              <w:outlineLvl w:val="0"/>
              <w:rPr>
                <w:rFonts w:ascii="宋体" w:hAnsi="宋体" w:eastAsia="宋体" w:cs="Arial"/>
                <w:color w:val="auto"/>
                <w:szCs w:val="21"/>
                <w:highlight w:val="none"/>
              </w:rPr>
            </w:pPr>
          </w:p>
        </w:tc>
      </w:tr>
      <w:tr w14:paraId="08B9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2" w:type="dxa"/>
            <w:noWrap w:val="0"/>
            <w:vAlign w:val="center"/>
          </w:tcPr>
          <w:p w14:paraId="61438B2F">
            <w:pPr>
              <w:keepNext/>
              <w:keepLines/>
              <w:spacing w:line="576" w:lineRule="auto"/>
              <w:jc w:val="center"/>
              <w:outlineLvl w:val="0"/>
              <w:rPr>
                <w:rFonts w:ascii="宋体" w:hAnsi="宋体" w:eastAsia="宋体" w:cs="Arial"/>
                <w:color w:val="auto"/>
                <w:szCs w:val="21"/>
                <w:highlight w:val="none"/>
              </w:rPr>
            </w:pPr>
          </w:p>
        </w:tc>
        <w:tc>
          <w:tcPr>
            <w:tcW w:w="1051" w:type="dxa"/>
            <w:noWrap w:val="0"/>
            <w:vAlign w:val="center"/>
          </w:tcPr>
          <w:p w14:paraId="0E8D62FA">
            <w:pPr>
              <w:keepNext/>
              <w:keepLines/>
              <w:spacing w:line="576" w:lineRule="auto"/>
              <w:outlineLvl w:val="0"/>
              <w:rPr>
                <w:rFonts w:ascii="宋体" w:hAnsi="宋体" w:eastAsia="宋体" w:cs="Arial"/>
                <w:color w:val="auto"/>
                <w:szCs w:val="21"/>
                <w:highlight w:val="none"/>
              </w:rPr>
            </w:pPr>
          </w:p>
        </w:tc>
        <w:tc>
          <w:tcPr>
            <w:tcW w:w="708" w:type="dxa"/>
            <w:noWrap w:val="0"/>
            <w:vAlign w:val="center"/>
          </w:tcPr>
          <w:p w14:paraId="01AD7903">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3689E5BF">
            <w:pPr>
              <w:keepNext/>
              <w:keepLines/>
              <w:spacing w:line="576" w:lineRule="auto"/>
              <w:outlineLvl w:val="0"/>
              <w:rPr>
                <w:rFonts w:ascii="宋体" w:hAnsi="宋体" w:eastAsia="宋体" w:cs="Arial"/>
                <w:color w:val="auto"/>
                <w:szCs w:val="21"/>
                <w:highlight w:val="none"/>
              </w:rPr>
            </w:pPr>
          </w:p>
        </w:tc>
        <w:tc>
          <w:tcPr>
            <w:tcW w:w="992" w:type="dxa"/>
            <w:noWrap w:val="0"/>
            <w:vAlign w:val="center"/>
          </w:tcPr>
          <w:p w14:paraId="08C8DAF9">
            <w:pPr>
              <w:keepNext/>
              <w:keepLines/>
              <w:spacing w:line="576" w:lineRule="auto"/>
              <w:outlineLvl w:val="0"/>
              <w:rPr>
                <w:rFonts w:ascii="宋体" w:hAnsi="宋体" w:eastAsia="宋体" w:cs="Arial"/>
                <w:color w:val="auto"/>
                <w:szCs w:val="21"/>
                <w:highlight w:val="none"/>
              </w:rPr>
            </w:pPr>
          </w:p>
        </w:tc>
        <w:tc>
          <w:tcPr>
            <w:tcW w:w="1134" w:type="dxa"/>
            <w:noWrap w:val="0"/>
            <w:vAlign w:val="center"/>
          </w:tcPr>
          <w:p w14:paraId="2E8EC7D1">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0DF5C17D">
            <w:pPr>
              <w:keepNext/>
              <w:keepLines/>
              <w:spacing w:line="576" w:lineRule="auto"/>
              <w:outlineLvl w:val="0"/>
              <w:rPr>
                <w:rFonts w:ascii="宋体" w:hAnsi="宋体" w:eastAsia="宋体" w:cs="Arial"/>
                <w:color w:val="auto"/>
                <w:szCs w:val="21"/>
                <w:highlight w:val="none"/>
              </w:rPr>
            </w:pPr>
          </w:p>
        </w:tc>
        <w:tc>
          <w:tcPr>
            <w:tcW w:w="1528" w:type="dxa"/>
            <w:noWrap w:val="0"/>
            <w:vAlign w:val="center"/>
          </w:tcPr>
          <w:p w14:paraId="5C68E0CA">
            <w:pPr>
              <w:keepNext/>
              <w:keepLines/>
              <w:spacing w:line="576" w:lineRule="auto"/>
              <w:outlineLvl w:val="0"/>
              <w:rPr>
                <w:rFonts w:ascii="宋体" w:hAnsi="宋体" w:eastAsia="宋体" w:cs="Arial"/>
                <w:color w:val="auto"/>
                <w:szCs w:val="21"/>
                <w:highlight w:val="none"/>
              </w:rPr>
            </w:pPr>
          </w:p>
        </w:tc>
        <w:tc>
          <w:tcPr>
            <w:tcW w:w="1418" w:type="dxa"/>
            <w:noWrap w:val="0"/>
            <w:vAlign w:val="center"/>
          </w:tcPr>
          <w:p w14:paraId="56B12110">
            <w:pPr>
              <w:keepNext/>
              <w:keepLines/>
              <w:spacing w:line="576" w:lineRule="auto"/>
              <w:outlineLvl w:val="0"/>
              <w:rPr>
                <w:rFonts w:ascii="宋体" w:hAnsi="宋体" w:eastAsia="宋体" w:cs="Arial"/>
                <w:color w:val="auto"/>
                <w:szCs w:val="21"/>
                <w:highlight w:val="none"/>
              </w:rPr>
            </w:pPr>
          </w:p>
        </w:tc>
      </w:tr>
      <w:tr w14:paraId="42D0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2" w:type="dxa"/>
            <w:noWrap w:val="0"/>
            <w:vAlign w:val="center"/>
          </w:tcPr>
          <w:p w14:paraId="2B78F1E0">
            <w:pPr>
              <w:keepNext/>
              <w:keepLines/>
              <w:spacing w:line="576" w:lineRule="auto"/>
              <w:jc w:val="center"/>
              <w:outlineLvl w:val="0"/>
              <w:rPr>
                <w:rFonts w:ascii="宋体" w:hAnsi="宋体" w:eastAsia="宋体" w:cs="Arial"/>
                <w:color w:val="auto"/>
                <w:szCs w:val="21"/>
                <w:highlight w:val="none"/>
              </w:rPr>
            </w:pPr>
          </w:p>
        </w:tc>
        <w:tc>
          <w:tcPr>
            <w:tcW w:w="1051" w:type="dxa"/>
            <w:noWrap w:val="0"/>
            <w:vAlign w:val="center"/>
          </w:tcPr>
          <w:p w14:paraId="7D41FDA8">
            <w:pPr>
              <w:keepNext/>
              <w:keepLines/>
              <w:spacing w:line="576" w:lineRule="auto"/>
              <w:outlineLvl w:val="0"/>
              <w:rPr>
                <w:rFonts w:ascii="宋体" w:hAnsi="宋体" w:eastAsia="宋体" w:cs="Arial"/>
                <w:color w:val="auto"/>
                <w:szCs w:val="21"/>
                <w:highlight w:val="none"/>
              </w:rPr>
            </w:pPr>
          </w:p>
        </w:tc>
        <w:tc>
          <w:tcPr>
            <w:tcW w:w="708" w:type="dxa"/>
            <w:noWrap w:val="0"/>
            <w:vAlign w:val="center"/>
          </w:tcPr>
          <w:p w14:paraId="2A2F5B57">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6DB5BCBF">
            <w:pPr>
              <w:keepNext/>
              <w:keepLines/>
              <w:spacing w:line="576" w:lineRule="auto"/>
              <w:outlineLvl w:val="0"/>
              <w:rPr>
                <w:rFonts w:ascii="宋体" w:hAnsi="宋体" w:eastAsia="宋体" w:cs="Arial"/>
                <w:color w:val="auto"/>
                <w:szCs w:val="21"/>
                <w:highlight w:val="none"/>
              </w:rPr>
            </w:pPr>
          </w:p>
        </w:tc>
        <w:tc>
          <w:tcPr>
            <w:tcW w:w="992" w:type="dxa"/>
            <w:noWrap w:val="0"/>
            <w:vAlign w:val="center"/>
          </w:tcPr>
          <w:p w14:paraId="5EC39B0F">
            <w:pPr>
              <w:keepNext/>
              <w:keepLines/>
              <w:spacing w:line="576" w:lineRule="auto"/>
              <w:outlineLvl w:val="0"/>
              <w:rPr>
                <w:rFonts w:ascii="宋体" w:hAnsi="宋体" w:eastAsia="宋体" w:cs="Arial"/>
                <w:color w:val="auto"/>
                <w:szCs w:val="21"/>
                <w:highlight w:val="none"/>
              </w:rPr>
            </w:pPr>
          </w:p>
        </w:tc>
        <w:tc>
          <w:tcPr>
            <w:tcW w:w="1134" w:type="dxa"/>
            <w:noWrap w:val="0"/>
            <w:vAlign w:val="center"/>
          </w:tcPr>
          <w:p w14:paraId="035BACE9">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1F96A71A">
            <w:pPr>
              <w:keepNext/>
              <w:keepLines/>
              <w:spacing w:line="576" w:lineRule="auto"/>
              <w:outlineLvl w:val="0"/>
              <w:rPr>
                <w:rFonts w:ascii="宋体" w:hAnsi="宋体" w:eastAsia="宋体" w:cs="Arial"/>
                <w:color w:val="auto"/>
                <w:szCs w:val="21"/>
                <w:highlight w:val="none"/>
              </w:rPr>
            </w:pPr>
          </w:p>
        </w:tc>
        <w:tc>
          <w:tcPr>
            <w:tcW w:w="1528" w:type="dxa"/>
            <w:noWrap w:val="0"/>
            <w:vAlign w:val="center"/>
          </w:tcPr>
          <w:p w14:paraId="33C7671E">
            <w:pPr>
              <w:keepNext/>
              <w:keepLines/>
              <w:spacing w:line="576" w:lineRule="auto"/>
              <w:outlineLvl w:val="0"/>
              <w:rPr>
                <w:rFonts w:ascii="宋体" w:hAnsi="宋体" w:eastAsia="宋体" w:cs="Arial"/>
                <w:color w:val="auto"/>
                <w:szCs w:val="21"/>
                <w:highlight w:val="none"/>
              </w:rPr>
            </w:pPr>
          </w:p>
        </w:tc>
        <w:tc>
          <w:tcPr>
            <w:tcW w:w="1418" w:type="dxa"/>
            <w:noWrap w:val="0"/>
            <w:vAlign w:val="center"/>
          </w:tcPr>
          <w:p w14:paraId="6FAEF75C">
            <w:pPr>
              <w:keepNext/>
              <w:keepLines/>
              <w:spacing w:line="576" w:lineRule="auto"/>
              <w:outlineLvl w:val="0"/>
              <w:rPr>
                <w:rFonts w:ascii="宋体" w:hAnsi="宋体" w:eastAsia="宋体" w:cs="Arial"/>
                <w:color w:val="auto"/>
                <w:szCs w:val="21"/>
                <w:highlight w:val="none"/>
              </w:rPr>
            </w:pPr>
          </w:p>
        </w:tc>
      </w:tr>
      <w:tr w14:paraId="08C9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2" w:type="dxa"/>
            <w:noWrap w:val="0"/>
            <w:vAlign w:val="center"/>
          </w:tcPr>
          <w:p w14:paraId="38F1FBE4">
            <w:pPr>
              <w:keepNext/>
              <w:keepLines/>
              <w:spacing w:line="576" w:lineRule="auto"/>
              <w:jc w:val="center"/>
              <w:outlineLvl w:val="0"/>
              <w:rPr>
                <w:rFonts w:ascii="宋体" w:hAnsi="宋体" w:eastAsia="宋体" w:cs="Arial"/>
                <w:color w:val="auto"/>
                <w:szCs w:val="21"/>
                <w:highlight w:val="none"/>
              </w:rPr>
            </w:pPr>
          </w:p>
        </w:tc>
        <w:tc>
          <w:tcPr>
            <w:tcW w:w="1051" w:type="dxa"/>
            <w:noWrap w:val="0"/>
            <w:vAlign w:val="center"/>
          </w:tcPr>
          <w:p w14:paraId="75A28ADA">
            <w:pPr>
              <w:keepNext/>
              <w:keepLines/>
              <w:spacing w:line="576" w:lineRule="auto"/>
              <w:outlineLvl w:val="0"/>
              <w:rPr>
                <w:rFonts w:ascii="宋体" w:hAnsi="宋体" w:eastAsia="宋体" w:cs="Arial"/>
                <w:color w:val="auto"/>
                <w:szCs w:val="21"/>
                <w:highlight w:val="none"/>
              </w:rPr>
            </w:pPr>
          </w:p>
        </w:tc>
        <w:tc>
          <w:tcPr>
            <w:tcW w:w="708" w:type="dxa"/>
            <w:noWrap w:val="0"/>
            <w:vAlign w:val="center"/>
          </w:tcPr>
          <w:p w14:paraId="354F946E">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751F4651">
            <w:pPr>
              <w:keepNext/>
              <w:keepLines/>
              <w:spacing w:line="576" w:lineRule="auto"/>
              <w:outlineLvl w:val="0"/>
              <w:rPr>
                <w:rFonts w:ascii="宋体" w:hAnsi="宋体" w:eastAsia="宋体" w:cs="Arial"/>
                <w:color w:val="auto"/>
                <w:szCs w:val="21"/>
                <w:highlight w:val="none"/>
              </w:rPr>
            </w:pPr>
          </w:p>
        </w:tc>
        <w:tc>
          <w:tcPr>
            <w:tcW w:w="992" w:type="dxa"/>
            <w:noWrap w:val="0"/>
            <w:vAlign w:val="center"/>
          </w:tcPr>
          <w:p w14:paraId="3876AB84">
            <w:pPr>
              <w:keepNext/>
              <w:keepLines/>
              <w:spacing w:line="576" w:lineRule="auto"/>
              <w:outlineLvl w:val="0"/>
              <w:rPr>
                <w:rFonts w:ascii="宋体" w:hAnsi="宋体" w:eastAsia="宋体" w:cs="Arial"/>
                <w:color w:val="auto"/>
                <w:szCs w:val="21"/>
                <w:highlight w:val="none"/>
              </w:rPr>
            </w:pPr>
          </w:p>
        </w:tc>
        <w:tc>
          <w:tcPr>
            <w:tcW w:w="1134" w:type="dxa"/>
            <w:noWrap w:val="0"/>
            <w:vAlign w:val="center"/>
          </w:tcPr>
          <w:p w14:paraId="6BD9DE3B">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5CFE8152">
            <w:pPr>
              <w:keepNext/>
              <w:keepLines/>
              <w:spacing w:line="576" w:lineRule="auto"/>
              <w:outlineLvl w:val="0"/>
              <w:rPr>
                <w:rFonts w:ascii="宋体" w:hAnsi="宋体" w:eastAsia="宋体" w:cs="Arial"/>
                <w:color w:val="auto"/>
                <w:szCs w:val="21"/>
                <w:highlight w:val="none"/>
              </w:rPr>
            </w:pPr>
          </w:p>
        </w:tc>
        <w:tc>
          <w:tcPr>
            <w:tcW w:w="1528" w:type="dxa"/>
            <w:noWrap w:val="0"/>
            <w:vAlign w:val="center"/>
          </w:tcPr>
          <w:p w14:paraId="6FDA3D96">
            <w:pPr>
              <w:keepNext/>
              <w:keepLines/>
              <w:spacing w:line="576" w:lineRule="auto"/>
              <w:outlineLvl w:val="0"/>
              <w:rPr>
                <w:rFonts w:ascii="宋体" w:hAnsi="宋体" w:eastAsia="宋体" w:cs="Arial"/>
                <w:color w:val="auto"/>
                <w:szCs w:val="21"/>
                <w:highlight w:val="none"/>
              </w:rPr>
            </w:pPr>
          </w:p>
        </w:tc>
        <w:tc>
          <w:tcPr>
            <w:tcW w:w="1418" w:type="dxa"/>
            <w:noWrap w:val="0"/>
            <w:vAlign w:val="center"/>
          </w:tcPr>
          <w:p w14:paraId="5476FC1E">
            <w:pPr>
              <w:keepNext/>
              <w:keepLines/>
              <w:spacing w:line="576" w:lineRule="auto"/>
              <w:outlineLvl w:val="0"/>
              <w:rPr>
                <w:rFonts w:ascii="宋体" w:hAnsi="宋体" w:eastAsia="宋体" w:cs="Arial"/>
                <w:color w:val="auto"/>
                <w:szCs w:val="21"/>
                <w:highlight w:val="none"/>
              </w:rPr>
            </w:pPr>
          </w:p>
        </w:tc>
      </w:tr>
      <w:tr w14:paraId="5DC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2" w:type="dxa"/>
            <w:noWrap w:val="0"/>
            <w:vAlign w:val="center"/>
          </w:tcPr>
          <w:p w14:paraId="46F68F80">
            <w:pPr>
              <w:keepNext/>
              <w:keepLines/>
              <w:spacing w:line="576" w:lineRule="auto"/>
              <w:outlineLvl w:val="0"/>
              <w:rPr>
                <w:rFonts w:ascii="宋体" w:hAnsi="宋体" w:eastAsia="宋体" w:cs="Arial"/>
                <w:color w:val="auto"/>
                <w:szCs w:val="21"/>
                <w:highlight w:val="none"/>
              </w:rPr>
            </w:pPr>
          </w:p>
        </w:tc>
        <w:tc>
          <w:tcPr>
            <w:tcW w:w="1051" w:type="dxa"/>
            <w:noWrap w:val="0"/>
            <w:vAlign w:val="center"/>
          </w:tcPr>
          <w:p w14:paraId="6D090B27">
            <w:pPr>
              <w:keepNext/>
              <w:keepLines/>
              <w:spacing w:line="576" w:lineRule="auto"/>
              <w:outlineLvl w:val="0"/>
              <w:rPr>
                <w:rFonts w:ascii="宋体" w:hAnsi="宋体" w:eastAsia="宋体" w:cs="Arial"/>
                <w:color w:val="auto"/>
                <w:szCs w:val="21"/>
                <w:highlight w:val="none"/>
              </w:rPr>
            </w:pPr>
          </w:p>
        </w:tc>
        <w:tc>
          <w:tcPr>
            <w:tcW w:w="708" w:type="dxa"/>
            <w:noWrap w:val="0"/>
            <w:vAlign w:val="center"/>
          </w:tcPr>
          <w:p w14:paraId="1023AB23">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6F43EC4B">
            <w:pPr>
              <w:keepNext/>
              <w:keepLines/>
              <w:spacing w:line="576" w:lineRule="auto"/>
              <w:outlineLvl w:val="0"/>
              <w:rPr>
                <w:rFonts w:ascii="宋体" w:hAnsi="宋体" w:eastAsia="宋体" w:cs="Arial"/>
                <w:color w:val="auto"/>
                <w:szCs w:val="21"/>
                <w:highlight w:val="none"/>
              </w:rPr>
            </w:pPr>
          </w:p>
        </w:tc>
        <w:tc>
          <w:tcPr>
            <w:tcW w:w="992" w:type="dxa"/>
            <w:noWrap w:val="0"/>
            <w:vAlign w:val="center"/>
          </w:tcPr>
          <w:p w14:paraId="6C26B260">
            <w:pPr>
              <w:keepNext/>
              <w:keepLines/>
              <w:spacing w:line="576" w:lineRule="auto"/>
              <w:outlineLvl w:val="0"/>
              <w:rPr>
                <w:rFonts w:ascii="宋体" w:hAnsi="宋体" w:eastAsia="宋体" w:cs="Arial"/>
                <w:color w:val="auto"/>
                <w:szCs w:val="21"/>
                <w:highlight w:val="none"/>
              </w:rPr>
            </w:pPr>
          </w:p>
        </w:tc>
        <w:tc>
          <w:tcPr>
            <w:tcW w:w="1134" w:type="dxa"/>
            <w:noWrap w:val="0"/>
            <w:vAlign w:val="center"/>
          </w:tcPr>
          <w:p w14:paraId="1854CDF8">
            <w:pPr>
              <w:keepNext/>
              <w:keepLines/>
              <w:spacing w:line="576" w:lineRule="auto"/>
              <w:outlineLvl w:val="0"/>
              <w:rPr>
                <w:rFonts w:ascii="宋体" w:hAnsi="宋体" w:eastAsia="宋体" w:cs="Arial"/>
                <w:color w:val="auto"/>
                <w:szCs w:val="21"/>
                <w:highlight w:val="none"/>
              </w:rPr>
            </w:pPr>
          </w:p>
        </w:tc>
        <w:tc>
          <w:tcPr>
            <w:tcW w:w="851" w:type="dxa"/>
            <w:noWrap w:val="0"/>
            <w:vAlign w:val="center"/>
          </w:tcPr>
          <w:p w14:paraId="0EFDEA24">
            <w:pPr>
              <w:keepNext/>
              <w:keepLines/>
              <w:spacing w:line="576" w:lineRule="auto"/>
              <w:outlineLvl w:val="0"/>
              <w:rPr>
                <w:rFonts w:ascii="宋体" w:hAnsi="宋体" w:eastAsia="宋体" w:cs="Arial"/>
                <w:color w:val="auto"/>
                <w:szCs w:val="21"/>
                <w:highlight w:val="none"/>
              </w:rPr>
            </w:pPr>
          </w:p>
        </w:tc>
        <w:tc>
          <w:tcPr>
            <w:tcW w:w="1528" w:type="dxa"/>
            <w:noWrap w:val="0"/>
            <w:vAlign w:val="center"/>
          </w:tcPr>
          <w:p w14:paraId="02E2FC59">
            <w:pPr>
              <w:keepNext/>
              <w:keepLines/>
              <w:spacing w:line="576" w:lineRule="auto"/>
              <w:outlineLvl w:val="0"/>
              <w:rPr>
                <w:rFonts w:ascii="宋体" w:hAnsi="宋体" w:eastAsia="宋体" w:cs="Arial"/>
                <w:color w:val="auto"/>
                <w:szCs w:val="21"/>
                <w:highlight w:val="none"/>
              </w:rPr>
            </w:pPr>
          </w:p>
        </w:tc>
        <w:tc>
          <w:tcPr>
            <w:tcW w:w="1418" w:type="dxa"/>
            <w:noWrap w:val="0"/>
            <w:vAlign w:val="center"/>
          </w:tcPr>
          <w:p w14:paraId="430D8091">
            <w:pPr>
              <w:keepNext/>
              <w:keepLines/>
              <w:spacing w:line="576" w:lineRule="auto"/>
              <w:outlineLvl w:val="0"/>
              <w:rPr>
                <w:rFonts w:ascii="宋体" w:hAnsi="宋体" w:eastAsia="宋体" w:cs="Arial"/>
                <w:color w:val="auto"/>
                <w:szCs w:val="21"/>
                <w:highlight w:val="none"/>
              </w:rPr>
            </w:pPr>
          </w:p>
        </w:tc>
      </w:tr>
    </w:tbl>
    <w:p w14:paraId="41E6BC0A">
      <w:pPr>
        <w:spacing w:before="240" w:line="0" w:lineRule="atLeast"/>
        <w:jc w:val="left"/>
        <w:rPr>
          <w:rFonts w:ascii="宋体" w:hAnsi="宋体"/>
          <w:color w:val="auto"/>
          <w:sz w:val="24"/>
          <w:highlight w:val="none"/>
        </w:rPr>
      </w:pPr>
      <w:r>
        <w:rPr>
          <w:rFonts w:hint="eastAsia" w:ascii="宋体" w:hAnsi="宋体" w:eastAsia="宋体" w:cs="Times New Roman"/>
          <w:color w:val="auto"/>
          <w:sz w:val="21"/>
          <w:szCs w:val="21"/>
          <w:highlight w:val="none"/>
        </w:rPr>
        <w:t>注：按照</w:t>
      </w:r>
      <w:r>
        <w:rPr>
          <w:rFonts w:hint="eastAsia" w:ascii="宋体" w:hAnsi="宋体" w:eastAsia="宋体" w:cs="Times New Roman"/>
          <w:color w:val="auto"/>
          <w:sz w:val="21"/>
          <w:szCs w:val="21"/>
          <w:highlight w:val="none"/>
          <w:lang w:val="en-US" w:eastAsia="zh-CN"/>
        </w:rPr>
        <w:t>综合评分表</w:t>
      </w:r>
      <w:r>
        <w:rPr>
          <w:rFonts w:hint="eastAsia" w:ascii="宋体" w:hAnsi="宋体" w:eastAsia="宋体" w:cs="Times New Roman"/>
          <w:color w:val="auto"/>
          <w:sz w:val="21"/>
          <w:szCs w:val="21"/>
          <w:highlight w:val="none"/>
        </w:rPr>
        <w:t>中</w:t>
      </w:r>
      <w:r>
        <w:rPr>
          <w:rFonts w:hint="eastAsia" w:ascii="宋体" w:hAnsi="宋体" w:eastAsia="宋体" w:cs="Times New Roman"/>
          <w:color w:val="auto"/>
          <w:sz w:val="21"/>
          <w:szCs w:val="21"/>
          <w:highlight w:val="none"/>
          <w:lang w:eastAsia="zh-CN"/>
        </w:rPr>
        <w:t>的</w:t>
      </w:r>
      <w:r>
        <w:rPr>
          <w:rFonts w:hint="eastAsia" w:ascii="宋体" w:hAnsi="宋体" w:eastAsia="宋体" w:cs="Times New Roman"/>
          <w:color w:val="auto"/>
          <w:sz w:val="21"/>
          <w:szCs w:val="21"/>
          <w:highlight w:val="none"/>
        </w:rPr>
        <w:t>要求提供证明资料。</w:t>
      </w:r>
    </w:p>
    <w:p w14:paraId="2F6B6449">
      <w:pPr>
        <w:spacing w:line="360" w:lineRule="auto"/>
        <w:rPr>
          <w:rFonts w:ascii="宋体" w:hAnsi="宋体"/>
          <w:b/>
          <w:color w:val="auto"/>
          <w:sz w:val="32"/>
          <w:szCs w:val="32"/>
          <w:highlight w:val="none"/>
        </w:rPr>
      </w:pPr>
    </w:p>
    <w:p w14:paraId="5212890F">
      <w:pPr>
        <w:pStyle w:val="5"/>
        <w:jc w:val="left"/>
        <w:rPr>
          <w:rFonts w:cs="宋体"/>
          <w:color w:val="auto"/>
          <w:kern w:val="0"/>
          <w:highlight w:val="none"/>
        </w:rPr>
      </w:pPr>
      <w:r>
        <w:rPr>
          <w:rFonts w:hint="eastAsia" w:cs="宋体"/>
          <w:color w:val="auto"/>
          <w:kern w:val="0"/>
          <w:sz w:val="36"/>
          <w:szCs w:val="36"/>
          <w:highlight w:val="none"/>
        </w:rPr>
        <w:br w:type="page"/>
      </w:r>
      <w:bookmarkStart w:id="80" w:name="_Toc8229535"/>
      <w:bookmarkStart w:id="81" w:name="_Toc7361052"/>
      <w:r>
        <w:rPr>
          <w:rFonts w:hint="eastAsia" w:cs="宋体"/>
          <w:color w:val="auto"/>
          <w:kern w:val="0"/>
          <w:highlight w:val="none"/>
        </w:rPr>
        <w:t>格式</w:t>
      </w:r>
      <w:r>
        <w:rPr>
          <w:rFonts w:hint="eastAsia" w:cs="宋体"/>
          <w:color w:val="auto"/>
          <w:kern w:val="0"/>
          <w:highlight w:val="none"/>
          <w:lang w:val="en-US" w:eastAsia="zh-CN"/>
        </w:rPr>
        <w:t>七</w:t>
      </w:r>
      <w:r>
        <w:rPr>
          <w:rFonts w:hint="eastAsia" w:cs="宋体"/>
          <w:color w:val="auto"/>
          <w:kern w:val="0"/>
          <w:highlight w:val="none"/>
        </w:rPr>
        <w:t>：</w:t>
      </w:r>
      <w:bookmarkEnd w:id="80"/>
      <w:bookmarkEnd w:id="81"/>
      <w:r>
        <w:rPr>
          <w:rFonts w:hint="eastAsia"/>
          <w:color w:val="auto"/>
          <w:highlight w:val="none"/>
        </w:rPr>
        <w:t>投入人员简历</w:t>
      </w:r>
    </w:p>
    <w:p w14:paraId="4D8C1738">
      <w:pPr>
        <w:spacing w:line="0" w:lineRule="atLeast"/>
        <w:jc w:val="center"/>
        <w:rPr>
          <w:rFonts w:ascii="宋体" w:hAnsi="宋体"/>
          <w:b/>
          <w:color w:val="auto"/>
          <w:sz w:val="32"/>
          <w:szCs w:val="32"/>
          <w:highlight w:val="none"/>
        </w:rPr>
      </w:pPr>
      <w:r>
        <w:rPr>
          <w:rFonts w:hint="eastAsia" w:ascii="宋体" w:hAnsi="宋体"/>
          <w:b/>
          <w:color w:val="auto"/>
          <w:sz w:val="32"/>
          <w:szCs w:val="32"/>
          <w:highlight w:val="none"/>
        </w:rPr>
        <w:t>投入人员简历</w:t>
      </w:r>
    </w:p>
    <w:p w14:paraId="10A037F5">
      <w:pPr>
        <w:spacing w:line="0" w:lineRule="atLeast"/>
        <w:rPr>
          <w:rFonts w:ascii="宋体" w:hAnsi="宋体"/>
          <w:color w:val="auto"/>
          <w:sz w:val="24"/>
          <w:highlight w:val="none"/>
        </w:rPr>
      </w:pPr>
    </w:p>
    <w:tbl>
      <w:tblPr>
        <w:tblStyle w:val="3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62"/>
        <w:gridCol w:w="281"/>
        <w:gridCol w:w="1037"/>
        <w:gridCol w:w="1115"/>
        <w:gridCol w:w="185"/>
        <w:gridCol w:w="1615"/>
        <w:gridCol w:w="221"/>
        <w:gridCol w:w="644"/>
        <w:gridCol w:w="258"/>
        <w:gridCol w:w="1722"/>
      </w:tblGrid>
      <w:tr w14:paraId="2B5F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14:paraId="5031B7F3">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980" w:type="dxa"/>
            <w:gridSpan w:val="3"/>
            <w:noWrap w:val="0"/>
            <w:vAlign w:val="top"/>
          </w:tcPr>
          <w:p w14:paraId="72FFDB02">
            <w:pPr>
              <w:keepNext/>
              <w:keepLines/>
              <w:spacing w:line="360" w:lineRule="auto"/>
              <w:ind w:left="-107" w:leftChars="-51" w:right="-107" w:rightChars="-51"/>
              <w:outlineLvl w:val="0"/>
              <w:rPr>
                <w:rFonts w:ascii="宋体" w:hAnsi="宋体" w:eastAsia="宋体"/>
                <w:color w:val="auto"/>
                <w:szCs w:val="21"/>
                <w:highlight w:val="none"/>
              </w:rPr>
            </w:pPr>
          </w:p>
        </w:tc>
        <w:tc>
          <w:tcPr>
            <w:tcW w:w="1300" w:type="dxa"/>
            <w:gridSpan w:val="2"/>
            <w:noWrap w:val="0"/>
            <w:vAlign w:val="center"/>
          </w:tcPr>
          <w:p w14:paraId="0BB2406D">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性别</w:t>
            </w:r>
          </w:p>
        </w:tc>
        <w:tc>
          <w:tcPr>
            <w:tcW w:w="1836" w:type="dxa"/>
            <w:gridSpan w:val="2"/>
            <w:noWrap w:val="0"/>
            <w:vAlign w:val="top"/>
          </w:tcPr>
          <w:p w14:paraId="4AF0F102">
            <w:pPr>
              <w:keepNext/>
              <w:keepLines/>
              <w:spacing w:line="360" w:lineRule="auto"/>
              <w:ind w:left="-107" w:leftChars="-51" w:right="-107" w:rightChars="-51"/>
              <w:outlineLvl w:val="0"/>
              <w:rPr>
                <w:rFonts w:ascii="宋体" w:hAnsi="宋体" w:eastAsia="宋体"/>
                <w:color w:val="auto"/>
                <w:szCs w:val="21"/>
                <w:highlight w:val="none"/>
              </w:rPr>
            </w:pPr>
          </w:p>
        </w:tc>
        <w:tc>
          <w:tcPr>
            <w:tcW w:w="902" w:type="dxa"/>
            <w:gridSpan w:val="2"/>
            <w:noWrap w:val="0"/>
            <w:vAlign w:val="center"/>
          </w:tcPr>
          <w:p w14:paraId="16E3661A">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年龄</w:t>
            </w:r>
          </w:p>
        </w:tc>
        <w:tc>
          <w:tcPr>
            <w:tcW w:w="1722" w:type="dxa"/>
            <w:noWrap w:val="0"/>
            <w:vAlign w:val="top"/>
          </w:tcPr>
          <w:p w14:paraId="3E56463C">
            <w:pPr>
              <w:keepNext/>
              <w:keepLines/>
              <w:spacing w:line="360" w:lineRule="auto"/>
              <w:ind w:left="-107" w:leftChars="-51" w:right="-107" w:rightChars="-51"/>
              <w:outlineLvl w:val="0"/>
              <w:rPr>
                <w:rFonts w:ascii="宋体" w:hAnsi="宋体" w:eastAsia="宋体"/>
                <w:color w:val="auto"/>
                <w:szCs w:val="21"/>
                <w:highlight w:val="none"/>
              </w:rPr>
            </w:pPr>
          </w:p>
        </w:tc>
      </w:tr>
      <w:tr w14:paraId="6363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14:paraId="7BEBCAFE">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职务</w:t>
            </w:r>
          </w:p>
        </w:tc>
        <w:tc>
          <w:tcPr>
            <w:tcW w:w="1980" w:type="dxa"/>
            <w:gridSpan w:val="3"/>
            <w:noWrap w:val="0"/>
            <w:vAlign w:val="top"/>
          </w:tcPr>
          <w:p w14:paraId="2ED66691">
            <w:pPr>
              <w:keepNext/>
              <w:keepLines/>
              <w:spacing w:line="360" w:lineRule="auto"/>
              <w:ind w:left="-107" w:leftChars="-51" w:right="-107" w:rightChars="-51"/>
              <w:outlineLvl w:val="0"/>
              <w:rPr>
                <w:rFonts w:ascii="宋体" w:hAnsi="宋体" w:eastAsia="宋体"/>
                <w:color w:val="auto"/>
                <w:szCs w:val="21"/>
                <w:highlight w:val="none"/>
              </w:rPr>
            </w:pPr>
          </w:p>
        </w:tc>
        <w:tc>
          <w:tcPr>
            <w:tcW w:w="1300" w:type="dxa"/>
            <w:gridSpan w:val="2"/>
            <w:noWrap w:val="0"/>
            <w:vAlign w:val="center"/>
          </w:tcPr>
          <w:p w14:paraId="3BD6E01A">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职称</w:t>
            </w:r>
          </w:p>
        </w:tc>
        <w:tc>
          <w:tcPr>
            <w:tcW w:w="1836" w:type="dxa"/>
            <w:gridSpan w:val="2"/>
            <w:noWrap w:val="0"/>
            <w:vAlign w:val="top"/>
          </w:tcPr>
          <w:p w14:paraId="71AA2DB0">
            <w:pPr>
              <w:keepNext/>
              <w:keepLines/>
              <w:spacing w:line="360" w:lineRule="auto"/>
              <w:ind w:left="-107" w:leftChars="-51" w:right="-107" w:rightChars="-51"/>
              <w:outlineLvl w:val="0"/>
              <w:rPr>
                <w:rFonts w:ascii="宋体" w:hAnsi="宋体" w:eastAsia="宋体"/>
                <w:color w:val="auto"/>
                <w:szCs w:val="21"/>
                <w:highlight w:val="none"/>
              </w:rPr>
            </w:pPr>
          </w:p>
        </w:tc>
        <w:tc>
          <w:tcPr>
            <w:tcW w:w="902" w:type="dxa"/>
            <w:gridSpan w:val="2"/>
            <w:noWrap w:val="0"/>
            <w:vAlign w:val="center"/>
          </w:tcPr>
          <w:p w14:paraId="269318F9">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学历</w:t>
            </w:r>
          </w:p>
        </w:tc>
        <w:tc>
          <w:tcPr>
            <w:tcW w:w="1722" w:type="dxa"/>
            <w:noWrap w:val="0"/>
            <w:vAlign w:val="top"/>
          </w:tcPr>
          <w:p w14:paraId="11F1E344">
            <w:pPr>
              <w:keepNext/>
              <w:keepLines/>
              <w:spacing w:line="360" w:lineRule="auto"/>
              <w:ind w:left="-107" w:leftChars="-51" w:right="-107" w:rightChars="-51"/>
              <w:outlineLvl w:val="0"/>
              <w:rPr>
                <w:rFonts w:ascii="宋体" w:hAnsi="宋体" w:eastAsia="宋体"/>
                <w:color w:val="auto"/>
                <w:szCs w:val="21"/>
                <w:highlight w:val="none"/>
              </w:rPr>
            </w:pPr>
          </w:p>
        </w:tc>
      </w:tr>
      <w:tr w14:paraId="4A5D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43" w:type="dxa"/>
            <w:gridSpan w:val="3"/>
            <w:noWrap w:val="0"/>
            <w:vAlign w:val="center"/>
          </w:tcPr>
          <w:p w14:paraId="28A34D15">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参加工作时间</w:t>
            </w:r>
          </w:p>
        </w:tc>
        <w:tc>
          <w:tcPr>
            <w:tcW w:w="2337" w:type="dxa"/>
            <w:gridSpan w:val="3"/>
            <w:noWrap w:val="0"/>
            <w:vAlign w:val="center"/>
          </w:tcPr>
          <w:p w14:paraId="6686D808">
            <w:pPr>
              <w:keepNext/>
              <w:keepLines/>
              <w:spacing w:line="360" w:lineRule="auto"/>
              <w:ind w:left="-107" w:leftChars="-51" w:right="-107" w:rightChars="-51"/>
              <w:outlineLvl w:val="0"/>
              <w:rPr>
                <w:rFonts w:ascii="宋体" w:hAnsi="宋体" w:eastAsia="宋体"/>
                <w:color w:val="auto"/>
                <w:szCs w:val="21"/>
                <w:highlight w:val="none"/>
              </w:rPr>
            </w:pPr>
          </w:p>
        </w:tc>
        <w:tc>
          <w:tcPr>
            <w:tcW w:w="2480" w:type="dxa"/>
            <w:gridSpan w:val="3"/>
            <w:noWrap w:val="0"/>
            <w:vAlign w:val="center"/>
          </w:tcPr>
          <w:p w14:paraId="5ED47288">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从事工作年限</w:t>
            </w:r>
          </w:p>
        </w:tc>
        <w:tc>
          <w:tcPr>
            <w:tcW w:w="1980" w:type="dxa"/>
            <w:gridSpan w:val="2"/>
            <w:noWrap w:val="0"/>
            <w:vAlign w:val="center"/>
          </w:tcPr>
          <w:p w14:paraId="1E96A38F">
            <w:pPr>
              <w:keepNext/>
              <w:keepLines/>
              <w:spacing w:line="360" w:lineRule="auto"/>
              <w:ind w:left="-107" w:leftChars="-51" w:right="-107" w:rightChars="-51"/>
              <w:outlineLvl w:val="0"/>
              <w:rPr>
                <w:rFonts w:ascii="宋体" w:hAnsi="宋体" w:eastAsia="宋体"/>
                <w:color w:val="auto"/>
                <w:szCs w:val="21"/>
                <w:highlight w:val="none"/>
              </w:rPr>
            </w:pPr>
          </w:p>
        </w:tc>
      </w:tr>
      <w:tr w14:paraId="5B1C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43" w:type="dxa"/>
            <w:gridSpan w:val="3"/>
            <w:noWrap w:val="0"/>
            <w:vAlign w:val="center"/>
          </w:tcPr>
          <w:p w14:paraId="74C1F596">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执业资格证书编号</w:t>
            </w:r>
          </w:p>
        </w:tc>
        <w:tc>
          <w:tcPr>
            <w:tcW w:w="2337" w:type="dxa"/>
            <w:gridSpan w:val="3"/>
            <w:noWrap w:val="0"/>
            <w:vAlign w:val="center"/>
          </w:tcPr>
          <w:p w14:paraId="0EFED99D">
            <w:pPr>
              <w:keepNext/>
              <w:keepLines/>
              <w:spacing w:line="360" w:lineRule="auto"/>
              <w:ind w:left="-107" w:leftChars="-51" w:right="-107" w:rightChars="-51"/>
              <w:outlineLvl w:val="0"/>
              <w:rPr>
                <w:rFonts w:ascii="宋体" w:hAnsi="宋体" w:eastAsia="宋体"/>
                <w:color w:val="auto"/>
                <w:szCs w:val="21"/>
                <w:highlight w:val="none"/>
              </w:rPr>
            </w:pPr>
          </w:p>
        </w:tc>
        <w:tc>
          <w:tcPr>
            <w:tcW w:w="2480" w:type="dxa"/>
            <w:gridSpan w:val="3"/>
            <w:noWrap w:val="0"/>
            <w:vAlign w:val="center"/>
          </w:tcPr>
          <w:p w14:paraId="2BC9D213">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olor w:val="auto"/>
                <w:szCs w:val="21"/>
                <w:highlight w:val="none"/>
              </w:rPr>
              <w:t>专业</w:t>
            </w:r>
          </w:p>
        </w:tc>
        <w:tc>
          <w:tcPr>
            <w:tcW w:w="1980" w:type="dxa"/>
            <w:gridSpan w:val="2"/>
            <w:noWrap w:val="0"/>
            <w:vAlign w:val="center"/>
          </w:tcPr>
          <w:p w14:paraId="2290361A">
            <w:pPr>
              <w:keepNext/>
              <w:keepLines/>
              <w:spacing w:line="360" w:lineRule="auto"/>
              <w:ind w:left="-107" w:leftChars="-51" w:right="-107" w:rightChars="-51"/>
              <w:outlineLvl w:val="0"/>
              <w:rPr>
                <w:rFonts w:ascii="宋体" w:hAnsi="宋体" w:eastAsia="宋体"/>
                <w:color w:val="auto"/>
                <w:szCs w:val="21"/>
                <w:highlight w:val="none"/>
              </w:rPr>
            </w:pPr>
          </w:p>
        </w:tc>
      </w:tr>
      <w:tr w14:paraId="470A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1"/>
            <w:noWrap w:val="0"/>
            <w:vAlign w:val="center"/>
          </w:tcPr>
          <w:p w14:paraId="4E1382BC">
            <w:pPr>
              <w:spacing w:line="360" w:lineRule="auto"/>
              <w:ind w:left="-107" w:leftChars="-51" w:right="-107" w:rightChars="-51"/>
              <w:jc w:val="center"/>
              <w:rPr>
                <w:rFonts w:ascii="宋体" w:hAnsi="宋体" w:eastAsia="宋体"/>
                <w:color w:val="auto"/>
                <w:szCs w:val="21"/>
                <w:highlight w:val="none"/>
              </w:rPr>
            </w:pPr>
            <w:r>
              <w:rPr>
                <w:rFonts w:hint="eastAsia" w:ascii="宋体" w:hAnsi="宋体" w:eastAsia="宋体" w:cs="Times New Roman"/>
                <w:color w:val="auto"/>
                <w:szCs w:val="21"/>
                <w:highlight w:val="none"/>
              </w:rPr>
              <w:t>主要工作经历</w:t>
            </w:r>
          </w:p>
        </w:tc>
      </w:tr>
      <w:tr w14:paraId="7CD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2" w:type="dxa"/>
            <w:gridSpan w:val="2"/>
            <w:noWrap w:val="0"/>
            <w:vAlign w:val="center"/>
          </w:tcPr>
          <w:p w14:paraId="66407BC7">
            <w:pPr>
              <w:spacing w:line="360" w:lineRule="auto"/>
              <w:ind w:left="-107" w:leftChars="-51" w:right="-107" w:rightChars="-51"/>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时  间</w:t>
            </w:r>
          </w:p>
        </w:tc>
        <w:tc>
          <w:tcPr>
            <w:tcW w:w="2433" w:type="dxa"/>
            <w:gridSpan w:val="3"/>
            <w:noWrap w:val="0"/>
            <w:vAlign w:val="center"/>
          </w:tcPr>
          <w:p w14:paraId="0114256D">
            <w:pPr>
              <w:spacing w:line="360" w:lineRule="auto"/>
              <w:ind w:left="-107" w:leftChars="-51" w:right="-107" w:rightChars="-51"/>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参加过的类似项目</w:t>
            </w:r>
          </w:p>
        </w:tc>
        <w:tc>
          <w:tcPr>
            <w:tcW w:w="1800" w:type="dxa"/>
            <w:gridSpan w:val="2"/>
            <w:noWrap w:val="0"/>
            <w:vAlign w:val="center"/>
          </w:tcPr>
          <w:p w14:paraId="1BD68493">
            <w:pPr>
              <w:spacing w:line="360" w:lineRule="auto"/>
              <w:ind w:left="-107" w:leftChars="-51" w:right="-107" w:rightChars="-51"/>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担任职务</w:t>
            </w:r>
          </w:p>
        </w:tc>
        <w:tc>
          <w:tcPr>
            <w:tcW w:w="2845" w:type="dxa"/>
            <w:gridSpan w:val="4"/>
            <w:noWrap w:val="0"/>
            <w:vAlign w:val="center"/>
          </w:tcPr>
          <w:p w14:paraId="5A53C6F4">
            <w:pPr>
              <w:spacing w:line="360" w:lineRule="auto"/>
              <w:ind w:left="-107" w:leftChars="-51" w:right="-107" w:rightChars="-51"/>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委托人</w:t>
            </w:r>
          </w:p>
        </w:tc>
      </w:tr>
      <w:tr w14:paraId="5BF2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562" w:type="dxa"/>
            <w:gridSpan w:val="2"/>
            <w:noWrap w:val="0"/>
            <w:vAlign w:val="top"/>
          </w:tcPr>
          <w:p w14:paraId="2C960DE9">
            <w:pPr>
              <w:rPr>
                <w:rFonts w:ascii="宋体" w:hAnsi="宋体" w:eastAsia="宋体"/>
                <w:color w:val="auto"/>
                <w:szCs w:val="21"/>
                <w:highlight w:val="none"/>
              </w:rPr>
            </w:pPr>
          </w:p>
        </w:tc>
        <w:tc>
          <w:tcPr>
            <w:tcW w:w="2433" w:type="dxa"/>
            <w:gridSpan w:val="3"/>
            <w:noWrap w:val="0"/>
            <w:vAlign w:val="top"/>
          </w:tcPr>
          <w:p w14:paraId="1FA0C91D">
            <w:pPr>
              <w:rPr>
                <w:rFonts w:ascii="宋体" w:hAnsi="宋体" w:eastAsia="宋体"/>
                <w:color w:val="auto"/>
                <w:szCs w:val="21"/>
                <w:highlight w:val="none"/>
              </w:rPr>
            </w:pPr>
          </w:p>
        </w:tc>
        <w:tc>
          <w:tcPr>
            <w:tcW w:w="1800" w:type="dxa"/>
            <w:gridSpan w:val="2"/>
            <w:noWrap w:val="0"/>
            <w:vAlign w:val="top"/>
          </w:tcPr>
          <w:p w14:paraId="24AC4489">
            <w:pPr>
              <w:rPr>
                <w:rFonts w:ascii="宋体" w:hAnsi="宋体" w:eastAsia="宋体"/>
                <w:color w:val="auto"/>
                <w:szCs w:val="21"/>
                <w:highlight w:val="none"/>
              </w:rPr>
            </w:pPr>
          </w:p>
        </w:tc>
        <w:tc>
          <w:tcPr>
            <w:tcW w:w="2845" w:type="dxa"/>
            <w:gridSpan w:val="4"/>
            <w:noWrap w:val="0"/>
            <w:vAlign w:val="top"/>
          </w:tcPr>
          <w:p w14:paraId="31B7B169">
            <w:pPr>
              <w:rPr>
                <w:rFonts w:ascii="宋体" w:hAnsi="宋体" w:eastAsia="宋体"/>
                <w:color w:val="auto"/>
                <w:szCs w:val="21"/>
                <w:highlight w:val="none"/>
              </w:rPr>
            </w:pPr>
          </w:p>
        </w:tc>
      </w:tr>
      <w:tr w14:paraId="090F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2" w:type="dxa"/>
            <w:gridSpan w:val="2"/>
            <w:noWrap w:val="0"/>
            <w:vAlign w:val="top"/>
          </w:tcPr>
          <w:p w14:paraId="2F99A6A9">
            <w:pPr>
              <w:keepNext/>
              <w:keepLines/>
              <w:spacing w:line="360" w:lineRule="auto"/>
              <w:jc w:val="center"/>
              <w:outlineLvl w:val="2"/>
              <w:rPr>
                <w:rFonts w:ascii="宋体" w:hAnsi="宋体" w:eastAsia="宋体"/>
                <w:color w:val="auto"/>
                <w:szCs w:val="21"/>
                <w:highlight w:val="none"/>
              </w:rPr>
            </w:pPr>
          </w:p>
        </w:tc>
        <w:tc>
          <w:tcPr>
            <w:tcW w:w="2433" w:type="dxa"/>
            <w:gridSpan w:val="3"/>
            <w:noWrap w:val="0"/>
            <w:vAlign w:val="top"/>
          </w:tcPr>
          <w:p w14:paraId="35D76C41">
            <w:pPr>
              <w:keepNext/>
              <w:keepLines/>
              <w:spacing w:line="360" w:lineRule="auto"/>
              <w:jc w:val="center"/>
              <w:outlineLvl w:val="2"/>
              <w:rPr>
                <w:rFonts w:ascii="宋体" w:hAnsi="宋体" w:eastAsia="宋体"/>
                <w:color w:val="auto"/>
                <w:szCs w:val="21"/>
                <w:highlight w:val="none"/>
              </w:rPr>
            </w:pPr>
          </w:p>
        </w:tc>
        <w:tc>
          <w:tcPr>
            <w:tcW w:w="1800" w:type="dxa"/>
            <w:gridSpan w:val="2"/>
            <w:noWrap w:val="0"/>
            <w:vAlign w:val="top"/>
          </w:tcPr>
          <w:p w14:paraId="5DF49BBB">
            <w:pPr>
              <w:keepNext/>
              <w:keepLines/>
              <w:spacing w:line="360" w:lineRule="auto"/>
              <w:jc w:val="center"/>
              <w:outlineLvl w:val="2"/>
              <w:rPr>
                <w:rFonts w:ascii="宋体" w:hAnsi="宋体" w:eastAsia="宋体"/>
                <w:color w:val="auto"/>
                <w:szCs w:val="21"/>
                <w:highlight w:val="none"/>
              </w:rPr>
            </w:pPr>
          </w:p>
        </w:tc>
        <w:tc>
          <w:tcPr>
            <w:tcW w:w="2845" w:type="dxa"/>
            <w:gridSpan w:val="4"/>
            <w:noWrap w:val="0"/>
            <w:vAlign w:val="top"/>
          </w:tcPr>
          <w:p w14:paraId="120FF6B8">
            <w:pPr>
              <w:keepNext/>
              <w:keepLines/>
              <w:spacing w:line="360" w:lineRule="auto"/>
              <w:jc w:val="center"/>
              <w:outlineLvl w:val="2"/>
              <w:rPr>
                <w:rFonts w:ascii="宋体" w:hAnsi="宋体" w:eastAsia="宋体"/>
                <w:color w:val="auto"/>
                <w:szCs w:val="21"/>
                <w:highlight w:val="none"/>
              </w:rPr>
            </w:pPr>
          </w:p>
        </w:tc>
      </w:tr>
      <w:tr w14:paraId="53AC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2" w:type="dxa"/>
            <w:gridSpan w:val="2"/>
            <w:noWrap w:val="0"/>
            <w:vAlign w:val="top"/>
          </w:tcPr>
          <w:p w14:paraId="0B170E67">
            <w:pPr>
              <w:keepNext/>
              <w:keepLines/>
              <w:spacing w:line="360" w:lineRule="auto"/>
              <w:jc w:val="center"/>
              <w:outlineLvl w:val="2"/>
              <w:rPr>
                <w:rFonts w:ascii="宋体" w:hAnsi="宋体" w:eastAsia="宋体"/>
                <w:color w:val="auto"/>
                <w:szCs w:val="21"/>
                <w:highlight w:val="none"/>
              </w:rPr>
            </w:pPr>
          </w:p>
        </w:tc>
        <w:tc>
          <w:tcPr>
            <w:tcW w:w="2433" w:type="dxa"/>
            <w:gridSpan w:val="3"/>
            <w:noWrap w:val="0"/>
            <w:vAlign w:val="top"/>
          </w:tcPr>
          <w:p w14:paraId="1DEB626D">
            <w:pPr>
              <w:keepNext/>
              <w:keepLines/>
              <w:spacing w:line="360" w:lineRule="auto"/>
              <w:jc w:val="center"/>
              <w:outlineLvl w:val="2"/>
              <w:rPr>
                <w:rFonts w:ascii="宋体" w:hAnsi="宋体" w:eastAsia="宋体"/>
                <w:color w:val="auto"/>
                <w:szCs w:val="21"/>
                <w:highlight w:val="none"/>
              </w:rPr>
            </w:pPr>
          </w:p>
        </w:tc>
        <w:tc>
          <w:tcPr>
            <w:tcW w:w="1800" w:type="dxa"/>
            <w:gridSpan w:val="2"/>
            <w:noWrap w:val="0"/>
            <w:vAlign w:val="top"/>
          </w:tcPr>
          <w:p w14:paraId="39683281">
            <w:pPr>
              <w:keepNext/>
              <w:keepLines/>
              <w:spacing w:line="360" w:lineRule="auto"/>
              <w:jc w:val="center"/>
              <w:outlineLvl w:val="2"/>
              <w:rPr>
                <w:rFonts w:ascii="宋体" w:hAnsi="宋体" w:eastAsia="宋体"/>
                <w:color w:val="auto"/>
                <w:szCs w:val="21"/>
                <w:highlight w:val="none"/>
              </w:rPr>
            </w:pPr>
          </w:p>
        </w:tc>
        <w:tc>
          <w:tcPr>
            <w:tcW w:w="2845" w:type="dxa"/>
            <w:gridSpan w:val="4"/>
            <w:noWrap w:val="0"/>
            <w:vAlign w:val="top"/>
          </w:tcPr>
          <w:p w14:paraId="030A7413">
            <w:pPr>
              <w:keepNext/>
              <w:keepLines/>
              <w:spacing w:line="360" w:lineRule="auto"/>
              <w:jc w:val="center"/>
              <w:outlineLvl w:val="2"/>
              <w:rPr>
                <w:rFonts w:ascii="宋体" w:hAnsi="宋体" w:eastAsia="宋体"/>
                <w:color w:val="auto"/>
                <w:szCs w:val="21"/>
                <w:highlight w:val="none"/>
              </w:rPr>
            </w:pPr>
          </w:p>
        </w:tc>
      </w:tr>
      <w:tr w14:paraId="5BC2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2" w:type="dxa"/>
            <w:gridSpan w:val="2"/>
            <w:noWrap w:val="0"/>
            <w:vAlign w:val="top"/>
          </w:tcPr>
          <w:p w14:paraId="649D6479">
            <w:pPr>
              <w:keepNext/>
              <w:keepLines/>
              <w:spacing w:line="360" w:lineRule="auto"/>
              <w:jc w:val="center"/>
              <w:outlineLvl w:val="2"/>
              <w:rPr>
                <w:rFonts w:ascii="宋体" w:hAnsi="宋体" w:eastAsia="宋体"/>
                <w:color w:val="auto"/>
                <w:szCs w:val="21"/>
                <w:highlight w:val="none"/>
              </w:rPr>
            </w:pPr>
          </w:p>
        </w:tc>
        <w:tc>
          <w:tcPr>
            <w:tcW w:w="2433" w:type="dxa"/>
            <w:gridSpan w:val="3"/>
            <w:noWrap w:val="0"/>
            <w:vAlign w:val="top"/>
          </w:tcPr>
          <w:p w14:paraId="1C48DC50">
            <w:pPr>
              <w:keepNext/>
              <w:keepLines/>
              <w:spacing w:line="360" w:lineRule="auto"/>
              <w:jc w:val="center"/>
              <w:outlineLvl w:val="2"/>
              <w:rPr>
                <w:rFonts w:ascii="宋体" w:hAnsi="宋体" w:eastAsia="宋体"/>
                <w:color w:val="auto"/>
                <w:szCs w:val="21"/>
                <w:highlight w:val="none"/>
              </w:rPr>
            </w:pPr>
          </w:p>
        </w:tc>
        <w:tc>
          <w:tcPr>
            <w:tcW w:w="1800" w:type="dxa"/>
            <w:gridSpan w:val="2"/>
            <w:noWrap w:val="0"/>
            <w:vAlign w:val="top"/>
          </w:tcPr>
          <w:p w14:paraId="5AAAACB6">
            <w:pPr>
              <w:keepNext/>
              <w:keepLines/>
              <w:spacing w:line="360" w:lineRule="auto"/>
              <w:jc w:val="center"/>
              <w:outlineLvl w:val="2"/>
              <w:rPr>
                <w:rFonts w:ascii="宋体" w:hAnsi="宋体" w:eastAsia="宋体"/>
                <w:color w:val="auto"/>
                <w:szCs w:val="21"/>
                <w:highlight w:val="none"/>
              </w:rPr>
            </w:pPr>
          </w:p>
        </w:tc>
        <w:tc>
          <w:tcPr>
            <w:tcW w:w="2845" w:type="dxa"/>
            <w:gridSpan w:val="4"/>
            <w:noWrap w:val="0"/>
            <w:vAlign w:val="top"/>
          </w:tcPr>
          <w:p w14:paraId="53947420">
            <w:pPr>
              <w:keepNext/>
              <w:keepLines/>
              <w:spacing w:line="360" w:lineRule="auto"/>
              <w:jc w:val="center"/>
              <w:outlineLvl w:val="2"/>
              <w:rPr>
                <w:rFonts w:ascii="宋体" w:hAnsi="宋体" w:eastAsia="宋体"/>
                <w:color w:val="auto"/>
                <w:szCs w:val="21"/>
                <w:highlight w:val="none"/>
              </w:rPr>
            </w:pPr>
          </w:p>
        </w:tc>
      </w:tr>
      <w:tr w14:paraId="3BB2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2" w:type="dxa"/>
            <w:gridSpan w:val="2"/>
            <w:noWrap w:val="0"/>
            <w:vAlign w:val="top"/>
          </w:tcPr>
          <w:p w14:paraId="05D116A4">
            <w:pPr>
              <w:keepNext/>
              <w:keepLines/>
              <w:spacing w:line="360" w:lineRule="auto"/>
              <w:jc w:val="center"/>
              <w:outlineLvl w:val="2"/>
              <w:rPr>
                <w:rFonts w:ascii="宋体" w:hAnsi="宋体" w:eastAsia="宋体"/>
                <w:color w:val="auto"/>
                <w:szCs w:val="21"/>
                <w:highlight w:val="none"/>
              </w:rPr>
            </w:pPr>
          </w:p>
        </w:tc>
        <w:tc>
          <w:tcPr>
            <w:tcW w:w="2433" w:type="dxa"/>
            <w:gridSpan w:val="3"/>
            <w:noWrap w:val="0"/>
            <w:vAlign w:val="top"/>
          </w:tcPr>
          <w:p w14:paraId="1D0173BD">
            <w:pPr>
              <w:keepNext/>
              <w:keepLines/>
              <w:spacing w:line="360" w:lineRule="auto"/>
              <w:jc w:val="center"/>
              <w:outlineLvl w:val="2"/>
              <w:rPr>
                <w:rFonts w:ascii="宋体" w:hAnsi="宋体" w:eastAsia="宋体"/>
                <w:color w:val="auto"/>
                <w:szCs w:val="21"/>
                <w:highlight w:val="none"/>
              </w:rPr>
            </w:pPr>
          </w:p>
        </w:tc>
        <w:tc>
          <w:tcPr>
            <w:tcW w:w="1800" w:type="dxa"/>
            <w:gridSpan w:val="2"/>
            <w:noWrap w:val="0"/>
            <w:vAlign w:val="top"/>
          </w:tcPr>
          <w:p w14:paraId="2988E0C4">
            <w:pPr>
              <w:keepNext/>
              <w:keepLines/>
              <w:spacing w:line="360" w:lineRule="auto"/>
              <w:jc w:val="center"/>
              <w:outlineLvl w:val="2"/>
              <w:rPr>
                <w:rFonts w:ascii="宋体" w:hAnsi="宋体" w:eastAsia="宋体"/>
                <w:color w:val="auto"/>
                <w:szCs w:val="21"/>
                <w:highlight w:val="none"/>
              </w:rPr>
            </w:pPr>
          </w:p>
        </w:tc>
        <w:tc>
          <w:tcPr>
            <w:tcW w:w="2845" w:type="dxa"/>
            <w:gridSpan w:val="4"/>
            <w:noWrap w:val="0"/>
            <w:vAlign w:val="top"/>
          </w:tcPr>
          <w:p w14:paraId="5D677189">
            <w:pPr>
              <w:keepNext/>
              <w:keepLines/>
              <w:spacing w:line="360" w:lineRule="auto"/>
              <w:jc w:val="center"/>
              <w:outlineLvl w:val="2"/>
              <w:rPr>
                <w:rFonts w:ascii="宋体" w:hAnsi="宋体" w:eastAsia="宋体"/>
                <w:color w:val="auto"/>
                <w:szCs w:val="21"/>
                <w:highlight w:val="none"/>
              </w:rPr>
            </w:pPr>
          </w:p>
        </w:tc>
      </w:tr>
      <w:tr w14:paraId="7B0A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2" w:type="dxa"/>
            <w:gridSpan w:val="2"/>
            <w:noWrap w:val="0"/>
            <w:vAlign w:val="top"/>
          </w:tcPr>
          <w:p w14:paraId="374AAD8E">
            <w:pPr>
              <w:keepNext/>
              <w:keepLines/>
              <w:spacing w:line="360" w:lineRule="auto"/>
              <w:jc w:val="center"/>
              <w:outlineLvl w:val="2"/>
              <w:rPr>
                <w:rFonts w:ascii="宋体" w:hAnsi="宋体" w:eastAsia="宋体"/>
                <w:color w:val="auto"/>
                <w:szCs w:val="21"/>
                <w:highlight w:val="none"/>
              </w:rPr>
            </w:pPr>
          </w:p>
        </w:tc>
        <w:tc>
          <w:tcPr>
            <w:tcW w:w="2433" w:type="dxa"/>
            <w:gridSpan w:val="3"/>
            <w:noWrap w:val="0"/>
            <w:vAlign w:val="top"/>
          </w:tcPr>
          <w:p w14:paraId="4EFF6712">
            <w:pPr>
              <w:keepNext/>
              <w:keepLines/>
              <w:spacing w:line="360" w:lineRule="auto"/>
              <w:jc w:val="center"/>
              <w:outlineLvl w:val="2"/>
              <w:rPr>
                <w:rFonts w:ascii="宋体" w:hAnsi="宋体" w:eastAsia="宋体"/>
                <w:color w:val="auto"/>
                <w:szCs w:val="21"/>
                <w:highlight w:val="none"/>
              </w:rPr>
            </w:pPr>
          </w:p>
        </w:tc>
        <w:tc>
          <w:tcPr>
            <w:tcW w:w="1800" w:type="dxa"/>
            <w:gridSpan w:val="2"/>
            <w:noWrap w:val="0"/>
            <w:vAlign w:val="top"/>
          </w:tcPr>
          <w:p w14:paraId="1D1903AB">
            <w:pPr>
              <w:keepNext/>
              <w:keepLines/>
              <w:spacing w:line="360" w:lineRule="auto"/>
              <w:jc w:val="center"/>
              <w:outlineLvl w:val="2"/>
              <w:rPr>
                <w:rFonts w:ascii="宋体" w:hAnsi="宋体" w:eastAsia="宋体"/>
                <w:color w:val="auto"/>
                <w:szCs w:val="21"/>
                <w:highlight w:val="none"/>
              </w:rPr>
            </w:pPr>
          </w:p>
        </w:tc>
        <w:tc>
          <w:tcPr>
            <w:tcW w:w="2845" w:type="dxa"/>
            <w:gridSpan w:val="4"/>
            <w:noWrap w:val="0"/>
            <w:vAlign w:val="top"/>
          </w:tcPr>
          <w:p w14:paraId="35DE770D">
            <w:pPr>
              <w:keepNext/>
              <w:keepLines/>
              <w:spacing w:line="360" w:lineRule="auto"/>
              <w:jc w:val="center"/>
              <w:outlineLvl w:val="2"/>
              <w:rPr>
                <w:rFonts w:ascii="宋体" w:hAnsi="宋体" w:eastAsia="宋体"/>
                <w:color w:val="auto"/>
                <w:szCs w:val="21"/>
                <w:highlight w:val="none"/>
              </w:rPr>
            </w:pPr>
          </w:p>
        </w:tc>
      </w:tr>
      <w:tr w14:paraId="3741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2" w:type="dxa"/>
            <w:gridSpan w:val="2"/>
            <w:noWrap w:val="0"/>
            <w:vAlign w:val="top"/>
          </w:tcPr>
          <w:p w14:paraId="16345D53">
            <w:pPr>
              <w:keepNext/>
              <w:keepLines/>
              <w:spacing w:line="360" w:lineRule="auto"/>
              <w:jc w:val="center"/>
              <w:outlineLvl w:val="2"/>
              <w:rPr>
                <w:rFonts w:ascii="宋体" w:hAnsi="宋体" w:eastAsia="宋体"/>
                <w:color w:val="auto"/>
                <w:szCs w:val="21"/>
                <w:highlight w:val="none"/>
              </w:rPr>
            </w:pPr>
          </w:p>
        </w:tc>
        <w:tc>
          <w:tcPr>
            <w:tcW w:w="2433" w:type="dxa"/>
            <w:gridSpan w:val="3"/>
            <w:noWrap w:val="0"/>
            <w:vAlign w:val="top"/>
          </w:tcPr>
          <w:p w14:paraId="1977D842">
            <w:pPr>
              <w:keepNext/>
              <w:keepLines/>
              <w:spacing w:line="360" w:lineRule="auto"/>
              <w:jc w:val="center"/>
              <w:outlineLvl w:val="2"/>
              <w:rPr>
                <w:rFonts w:ascii="宋体" w:hAnsi="宋体" w:eastAsia="宋体"/>
                <w:color w:val="auto"/>
                <w:szCs w:val="21"/>
                <w:highlight w:val="none"/>
              </w:rPr>
            </w:pPr>
          </w:p>
        </w:tc>
        <w:tc>
          <w:tcPr>
            <w:tcW w:w="1800" w:type="dxa"/>
            <w:gridSpan w:val="2"/>
            <w:noWrap w:val="0"/>
            <w:vAlign w:val="top"/>
          </w:tcPr>
          <w:p w14:paraId="5D7CF0DD">
            <w:pPr>
              <w:keepNext/>
              <w:keepLines/>
              <w:spacing w:line="360" w:lineRule="auto"/>
              <w:jc w:val="center"/>
              <w:outlineLvl w:val="2"/>
              <w:rPr>
                <w:rFonts w:ascii="宋体" w:hAnsi="宋体" w:eastAsia="宋体"/>
                <w:color w:val="auto"/>
                <w:szCs w:val="21"/>
                <w:highlight w:val="none"/>
              </w:rPr>
            </w:pPr>
          </w:p>
        </w:tc>
        <w:tc>
          <w:tcPr>
            <w:tcW w:w="2845" w:type="dxa"/>
            <w:gridSpan w:val="4"/>
            <w:noWrap w:val="0"/>
            <w:vAlign w:val="top"/>
          </w:tcPr>
          <w:p w14:paraId="4D30E263">
            <w:pPr>
              <w:keepNext/>
              <w:keepLines/>
              <w:spacing w:line="360" w:lineRule="auto"/>
              <w:jc w:val="center"/>
              <w:outlineLvl w:val="2"/>
              <w:rPr>
                <w:rFonts w:ascii="宋体" w:hAnsi="宋体" w:eastAsia="宋体"/>
                <w:color w:val="auto"/>
                <w:szCs w:val="21"/>
                <w:highlight w:val="none"/>
              </w:rPr>
            </w:pPr>
          </w:p>
        </w:tc>
      </w:tr>
      <w:tr w14:paraId="15FC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2" w:type="dxa"/>
            <w:gridSpan w:val="2"/>
            <w:noWrap w:val="0"/>
            <w:vAlign w:val="top"/>
          </w:tcPr>
          <w:p w14:paraId="42380996">
            <w:pPr>
              <w:keepNext/>
              <w:keepLines/>
              <w:spacing w:line="360" w:lineRule="auto"/>
              <w:jc w:val="center"/>
              <w:outlineLvl w:val="2"/>
              <w:rPr>
                <w:rFonts w:ascii="宋体" w:hAnsi="宋体" w:eastAsia="宋体"/>
                <w:color w:val="auto"/>
                <w:szCs w:val="21"/>
                <w:highlight w:val="none"/>
              </w:rPr>
            </w:pPr>
          </w:p>
        </w:tc>
        <w:tc>
          <w:tcPr>
            <w:tcW w:w="2433" w:type="dxa"/>
            <w:gridSpan w:val="3"/>
            <w:noWrap w:val="0"/>
            <w:vAlign w:val="top"/>
          </w:tcPr>
          <w:p w14:paraId="559D3534">
            <w:pPr>
              <w:keepNext/>
              <w:keepLines/>
              <w:spacing w:line="360" w:lineRule="auto"/>
              <w:jc w:val="center"/>
              <w:outlineLvl w:val="2"/>
              <w:rPr>
                <w:rFonts w:ascii="宋体" w:hAnsi="宋体" w:eastAsia="宋体"/>
                <w:color w:val="auto"/>
                <w:szCs w:val="21"/>
                <w:highlight w:val="none"/>
              </w:rPr>
            </w:pPr>
          </w:p>
        </w:tc>
        <w:tc>
          <w:tcPr>
            <w:tcW w:w="1800" w:type="dxa"/>
            <w:gridSpan w:val="2"/>
            <w:noWrap w:val="0"/>
            <w:vAlign w:val="top"/>
          </w:tcPr>
          <w:p w14:paraId="2E245B03">
            <w:pPr>
              <w:keepNext/>
              <w:keepLines/>
              <w:spacing w:line="360" w:lineRule="auto"/>
              <w:jc w:val="center"/>
              <w:outlineLvl w:val="2"/>
              <w:rPr>
                <w:rFonts w:ascii="宋体" w:hAnsi="宋体" w:eastAsia="宋体"/>
                <w:color w:val="auto"/>
                <w:szCs w:val="21"/>
                <w:highlight w:val="none"/>
              </w:rPr>
            </w:pPr>
          </w:p>
        </w:tc>
        <w:tc>
          <w:tcPr>
            <w:tcW w:w="2845" w:type="dxa"/>
            <w:gridSpan w:val="4"/>
            <w:noWrap w:val="0"/>
            <w:vAlign w:val="top"/>
          </w:tcPr>
          <w:p w14:paraId="6DE3A220">
            <w:pPr>
              <w:keepNext/>
              <w:keepLines/>
              <w:spacing w:line="360" w:lineRule="auto"/>
              <w:jc w:val="center"/>
              <w:outlineLvl w:val="2"/>
              <w:rPr>
                <w:rFonts w:ascii="宋体" w:hAnsi="宋体" w:eastAsia="宋体"/>
                <w:color w:val="auto"/>
                <w:szCs w:val="21"/>
                <w:highlight w:val="none"/>
              </w:rPr>
            </w:pPr>
          </w:p>
        </w:tc>
      </w:tr>
    </w:tbl>
    <w:p w14:paraId="7DB224E2">
      <w:pPr>
        <w:rPr>
          <w:rFonts w:ascii="宋体" w:hAnsi="宋体" w:eastAsia="宋体"/>
          <w:color w:val="auto"/>
          <w:kern w:val="44"/>
          <w:szCs w:val="21"/>
          <w:highlight w:val="none"/>
        </w:rPr>
      </w:pPr>
      <w:r>
        <w:rPr>
          <w:rFonts w:hint="eastAsia" w:ascii="宋体" w:hAnsi="宋体" w:eastAsia="宋体"/>
          <w:color w:val="auto"/>
          <w:szCs w:val="21"/>
          <w:highlight w:val="none"/>
        </w:rPr>
        <w:t>注：</w:t>
      </w:r>
      <w:r>
        <w:rPr>
          <w:rFonts w:hint="eastAsia" w:ascii="宋体" w:hAnsi="宋体" w:eastAsia="宋体"/>
          <w:color w:val="auto"/>
          <w:kern w:val="44"/>
          <w:szCs w:val="21"/>
          <w:highlight w:val="none"/>
        </w:rPr>
        <w:t>按照</w:t>
      </w:r>
      <w:r>
        <w:rPr>
          <w:rFonts w:hint="eastAsia" w:ascii="宋体" w:hAnsi="宋体" w:eastAsia="宋体" w:cs="Times New Roman"/>
          <w:color w:val="auto"/>
          <w:sz w:val="21"/>
          <w:szCs w:val="21"/>
          <w:highlight w:val="none"/>
          <w:lang w:val="en-US" w:eastAsia="zh-CN"/>
        </w:rPr>
        <w:t>综合评分表</w:t>
      </w:r>
      <w:r>
        <w:rPr>
          <w:rFonts w:hint="eastAsia" w:ascii="宋体" w:hAnsi="宋体" w:eastAsia="宋体" w:cs="Times New Roman"/>
          <w:color w:val="auto"/>
          <w:sz w:val="21"/>
          <w:szCs w:val="21"/>
          <w:highlight w:val="none"/>
        </w:rPr>
        <w:t>中</w:t>
      </w:r>
      <w:r>
        <w:rPr>
          <w:rFonts w:hint="eastAsia" w:ascii="宋体" w:hAnsi="宋体" w:eastAsia="宋体" w:cs="Times New Roman"/>
          <w:color w:val="auto"/>
          <w:sz w:val="21"/>
          <w:szCs w:val="21"/>
          <w:highlight w:val="none"/>
          <w:lang w:eastAsia="zh-CN"/>
        </w:rPr>
        <w:t>的</w:t>
      </w:r>
      <w:r>
        <w:rPr>
          <w:rFonts w:hint="eastAsia" w:ascii="宋体" w:hAnsi="宋体" w:eastAsia="宋体"/>
          <w:color w:val="auto"/>
          <w:kern w:val="44"/>
          <w:szCs w:val="21"/>
          <w:highlight w:val="none"/>
        </w:rPr>
        <w:t>要求提供证明资料。</w:t>
      </w:r>
    </w:p>
    <w:p w14:paraId="3D4F9A2C">
      <w:pPr>
        <w:spacing w:line="0" w:lineRule="atLeast"/>
        <w:ind w:firstLine="480" w:firstLineChars="200"/>
        <w:rPr>
          <w:rFonts w:ascii="宋体" w:hAnsi="宋体"/>
          <w:color w:val="auto"/>
          <w:sz w:val="24"/>
          <w:highlight w:val="none"/>
        </w:rPr>
      </w:pPr>
    </w:p>
    <w:p w14:paraId="3213E0AA">
      <w:pPr>
        <w:pStyle w:val="5"/>
        <w:jc w:val="left"/>
        <w:rPr>
          <w:rFonts w:hint="eastAsia" w:ascii="Times New Roman" w:hAnsi="Times New Roman" w:eastAsia="宋体" w:cs="Times New Roman"/>
          <w:b/>
          <w:bCs/>
          <w:color w:val="auto"/>
          <w:highlight w:val="none"/>
        </w:rPr>
      </w:pPr>
      <w:r>
        <w:rPr>
          <w:rFonts w:hint="eastAsia" w:cs="宋体"/>
          <w:color w:val="auto"/>
          <w:kern w:val="0"/>
          <w:sz w:val="36"/>
          <w:szCs w:val="36"/>
          <w:highlight w:val="none"/>
        </w:rPr>
        <w:br w:type="page"/>
      </w:r>
      <w:r>
        <w:rPr>
          <w:rFonts w:hint="eastAsia" w:ascii="Times New Roman" w:hAnsi="Times New Roman" w:eastAsia="宋体" w:cs="Times New Roman"/>
          <w:b/>
          <w:bCs/>
          <w:color w:val="auto"/>
          <w:highlight w:val="none"/>
          <w:lang w:val="en-US" w:eastAsia="zh-CN"/>
        </w:rPr>
        <w:t xml:space="preserve">格式八 </w:t>
      </w:r>
      <w:r>
        <w:rPr>
          <w:rFonts w:hint="eastAsia" w:ascii="Times New Roman" w:hAnsi="Times New Roman" w:eastAsia="宋体" w:cs="Times New Roman"/>
          <w:b/>
          <w:bCs/>
          <w:color w:val="auto"/>
          <w:highlight w:val="none"/>
        </w:rPr>
        <w:t>项目的</w:t>
      </w:r>
      <w:r>
        <w:rPr>
          <w:rFonts w:hint="eastAsia" w:ascii="Times New Roman" w:hAnsi="Times New Roman" w:eastAsia="宋体" w:cs="Times New Roman"/>
          <w:b/>
          <w:bCs/>
          <w:color w:val="auto"/>
          <w:highlight w:val="none"/>
          <w:lang w:val="en-US" w:eastAsia="zh-CN"/>
        </w:rPr>
        <w:t>服务</w:t>
      </w:r>
      <w:r>
        <w:rPr>
          <w:rFonts w:hint="eastAsia" w:ascii="Times New Roman" w:hAnsi="Times New Roman" w:eastAsia="宋体" w:cs="Times New Roman"/>
          <w:b/>
          <w:bCs/>
          <w:color w:val="auto"/>
          <w:highlight w:val="none"/>
        </w:rPr>
        <w:t>方案</w:t>
      </w:r>
    </w:p>
    <w:p w14:paraId="608EF5F8">
      <w:pPr>
        <w:rPr>
          <w:rFonts w:hint="eastAsia"/>
          <w:highlight w:val="none"/>
        </w:rPr>
      </w:pPr>
    </w:p>
    <w:p w14:paraId="78F0A773">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（具体内容由投标人根据评审标准自行编写，格式不限）</w:t>
      </w:r>
    </w:p>
    <w:p w14:paraId="7E0E980F">
      <w:pPr>
        <w:pStyle w:val="2"/>
        <w:rPr>
          <w:rFonts w:hint="eastAsia"/>
          <w:highlight w:val="none"/>
          <w:lang w:val="en-US" w:eastAsia="zh-CN"/>
        </w:rPr>
      </w:pPr>
    </w:p>
    <w:p w14:paraId="1C909F4C">
      <w:pPr>
        <w:numPr>
          <w:ilvl w:val="0"/>
          <w:numId w:val="0"/>
        </w:numPr>
        <w:spacing w:line="360" w:lineRule="auto"/>
        <w:jc w:val="left"/>
        <w:rPr>
          <w:rFonts w:ascii="宋体" w:hAnsi="宋体"/>
          <w:color w:val="auto"/>
          <w:sz w:val="28"/>
          <w:szCs w:val="28"/>
          <w:highlight w:val="none"/>
        </w:rPr>
      </w:pPr>
      <w:r>
        <w:rPr>
          <w:rFonts w:hint="eastAsia" w:ascii="宋体" w:hAnsi="宋体" w:eastAsia="宋体" w:cs="宋体"/>
          <w:color w:val="auto"/>
          <w:sz w:val="28"/>
          <w:szCs w:val="28"/>
          <w:highlight w:val="none"/>
          <w:lang w:val="en-US" w:eastAsia="zh-CN"/>
        </w:rPr>
        <w:t>注：服务方案文件编制统一使用白色背景黑色字体，字体为黑色字体。服务方案文件须编制目录，目录可逐页标注连续页码（以阿拉伯数字“1”开始），也可不标注页码，内页自正文（不含目录）起逐页标注连续页码（以阿拉伯数字“1”开始），内页正文不得超过250页，</w:t>
      </w:r>
      <w:r>
        <w:rPr>
          <w:rFonts w:hint="eastAsia" w:ascii="宋体" w:hAnsi="宋体" w:eastAsia="宋体" w:cs="宋体"/>
          <w:b/>
          <w:bCs/>
          <w:color w:val="auto"/>
          <w:sz w:val="28"/>
          <w:szCs w:val="28"/>
          <w:highlight w:val="none"/>
          <w:lang w:val="en-US" w:eastAsia="zh-CN"/>
        </w:rPr>
        <w:t>不符合要求的投标文件作废标处理</w:t>
      </w:r>
      <w:r>
        <w:rPr>
          <w:rFonts w:hint="eastAsia" w:ascii="宋体" w:hAnsi="宋体" w:eastAsia="宋体" w:cs="宋体"/>
          <w:color w:val="auto"/>
          <w:sz w:val="28"/>
          <w:szCs w:val="28"/>
          <w:highlight w:val="none"/>
          <w:lang w:val="en-US" w:eastAsia="zh-CN"/>
        </w:rPr>
        <w:t>。</w:t>
      </w:r>
      <w:r>
        <w:rPr>
          <w:rFonts w:hint="eastAsia" w:cs="宋体"/>
          <w:color w:val="auto"/>
          <w:kern w:val="0"/>
          <w:sz w:val="36"/>
          <w:szCs w:val="36"/>
          <w:highlight w:val="none"/>
        </w:rPr>
        <w:br w:type="page"/>
      </w:r>
      <w:bookmarkEnd w:id="43"/>
      <w:bookmarkEnd w:id="44"/>
      <w:bookmarkEnd w:id="45"/>
    </w:p>
    <w:p w14:paraId="2133E8F8">
      <w:pPr>
        <w:pStyle w:val="4"/>
        <w:numPr>
          <w:ilvl w:val="0"/>
          <w:numId w:val="12"/>
        </w:numPr>
        <w:rPr>
          <w:rFonts w:hint="eastAsia"/>
          <w:color w:val="auto"/>
          <w:highlight w:val="none"/>
          <w:lang w:val="en-US" w:eastAsia="zh-CN"/>
        </w:rPr>
      </w:pPr>
      <w:bookmarkStart w:id="82" w:name="_Toc712"/>
      <w:bookmarkStart w:id="83" w:name="_Toc8229539"/>
      <w:bookmarkStart w:id="84" w:name="_Toc346800672"/>
      <w:r>
        <w:rPr>
          <w:rFonts w:hint="eastAsia"/>
          <w:color w:val="auto"/>
          <w:highlight w:val="none"/>
        </w:rPr>
        <w:t xml:space="preserve"> </w:t>
      </w:r>
      <w:bookmarkEnd w:id="82"/>
      <w:bookmarkEnd w:id="83"/>
      <w:r>
        <w:rPr>
          <w:rFonts w:hint="eastAsia"/>
          <w:color w:val="auto"/>
          <w:highlight w:val="none"/>
          <w:lang w:val="en-US" w:eastAsia="zh-CN"/>
        </w:rPr>
        <w:t>委托人要求</w:t>
      </w:r>
      <w:bookmarkEnd w:id="84"/>
    </w:p>
    <w:p w14:paraId="4FD02A7C">
      <w:pPr>
        <w:numPr>
          <w:ilvl w:val="0"/>
          <w:numId w:val="0"/>
        </w:numPr>
        <w:jc w:val="center"/>
        <w:rPr>
          <w:rFonts w:hint="default"/>
          <w:color w:val="auto"/>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详见合同要求）</w:t>
      </w:r>
    </w:p>
    <w:sectPr>
      <w:pgSz w:w="11906" w:h="16838"/>
      <w:pgMar w:top="1417" w:right="1417" w:bottom="1417" w:left="1797" w:header="851" w:footer="85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2D27DB-9D2F-456C-BAAC-5E0667D82A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9A38CA-5C8E-4BC5-84E8-72E0EEF9A44C}"/>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222F750E-1FB2-4DA9-A8C4-540B840380B9}"/>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5535">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5B1">
    <w:pPr>
      <w:pStyle w:val="21"/>
      <w:tabs>
        <w:tab w:val="center" w:pos="453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6C18">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4B393B">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8ep1A5gEA&#10;AMgDAAAOAAAAAAAAAAEAIAAAACIBAABkcnMvZTJvRG9jLnhtbFBLBQYAAAAABgAGAFkBAAB6BQAA&#10;AAA=&#10;">
              <v:fill on="f" focussize="0,0"/>
              <v:stroke on="f" weight="1.25pt"/>
              <v:imagedata o:title=""/>
              <o:lock v:ext="edit" aspectratio="f"/>
              <v:textbox inset="0mm,0mm,0mm,0mm" style="mso-fit-shape-to-text:t;">
                <w:txbxContent>
                  <w:p w14:paraId="4E4B393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687C">
    <w:pPr>
      <w:pStyle w:val="21"/>
      <w:tabs>
        <w:tab w:val="center" w:pos="4536"/>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12282C">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aR8W45gEA&#10;AMgDAAAOAAAAAAAAAAEAIAAAACIBAABkcnMvZTJvRG9jLnhtbFBLBQYAAAAABgAGAFkBAAB6BQAA&#10;AAA=&#10;">
              <v:fill on="f" focussize="0,0"/>
              <v:stroke on="f" weight="1.25pt"/>
              <v:imagedata o:title=""/>
              <o:lock v:ext="edit" aspectratio="f"/>
              <v:textbox inset="0mm,0mm,0mm,0mm" style="mso-fit-shape-to-text:t;">
                <w:txbxContent>
                  <w:p w14:paraId="4312282C">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862F">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7F3607">
                          <w:pPr>
                            <w:pStyle w:val="21"/>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htNTWOcB&#10;AADIAwAADgAAAAAAAAABACAAAAAiAQAAZHJzL2Uyb0RvYy54bWxQSwUGAAAAAAYABgBZAQAAewUA&#10;AAAA&#10;">
              <v:fill on="f" focussize="0,0"/>
              <v:stroke on="f" weight="1.25pt"/>
              <v:imagedata o:title=""/>
              <o:lock v:ext="edit" aspectratio="f"/>
              <v:textbox inset="0mm,0mm,0mm,0mm" style="mso-fit-shape-to-text:t;">
                <w:txbxContent>
                  <w:p w14:paraId="107F3607">
                    <w:pPr>
                      <w:pStyle w:val="21"/>
                    </w:pPr>
                    <w:r>
                      <w:fldChar w:fldCharType="begin"/>
                    </w:r>
                    <w:r>
                      <w:instrText xml:space="preserve"> PAGE  \* MERGEFORMAT </w:instrText>
                    </w:r>
                    <w:r>
                      <w:fldChar w:fldCharType="separate"/>
                    </w:r>
                    <w:r>
                      <w:t>30</w:t>
                    </w:r>
                    <w:r>
                      <w:fldChar w:fldCharType="end"/>
                    </w:r>
                  </w:p>
                </w:txbxContent>
              </v:textbox>
            </v:shape>
          </w:pict>
        </mc:Fallback>
      </mc:AlternateContent>
    </w:r>
  </w:p>
  <w:p w14:paraId="31735FA4">
    <w:pPr>
      <w:pStyle w:val="2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A78E">
    <w:pPr>
      <w:pStyle w:val="21"/>
      <w:tabs>
        <w:tab w:val="center" w:pos="4536"/>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19B8AB">
                          <w:pPr>
                            <w:pStyle w:val="21"/>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eIox5gEA&#10;AMkDAAAOAAAAAAAAAAEAIAAAACIBAABkcnMvZTJvRG9jLnhtbFBLBQYAAAAABgAGAFkBAAB6BQAA&#10;AAA=&#10;">
              <v:fill on="f" focussize="0,0"/>
              <v:stroke on="f" weight="1.25pt"/>
              <v:imagedata o:title=""/>
              <o:lock v:ext="edit" aspectratio="f"/>
              <v:textbox inset="0mm,0mm,0mm,0mm" style="mso-fit-shape-to-text:t;">
                <w:txbxContent>
                  <w:p w14:paraId="5119B8AB">
                    <w:pPr>
                      <w:pStyle w:val="2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0E81">
    <w:pPr>
      <w:pStyle w:val="21"/>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A607C6">
                          <w:pPr>
                            <w:pStyle w:val="21"/>
                          </w:pPr>
                          <w:r>
                            <w:fldChar w:fldCharType="begin"/>
                          </w:r>
                          <w:r>
                            <w:instrText xml:space="preserve"> PAGE  \* MERGEFORMAT </w:instrText>
                          </w:r>
                          <w:r>
                            <w:fldChar w:fldCharType="separate"/>
                          </w:r>
                          <w:r>
                            <w:t>42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LIQHucB&#10;AADJAwAADgAAAAAAAAABACAAAAAiAQAAZHJzL2Uyb0RvYy54bWxQSwUGAAAAAAYABgBZAQAAewUA&#10;AAAA&#10;">
              <v:fill on="f" focussize="0,0"/>
              <v:stroke on="f" weight="1.25pt"/>
              <v:imagedata o:title=""/>
              <o:lock v:ext="edit" aspectratio="f"/>
              <v:textbox inset="0mm,0mm,0mm,0mm" style="mso-fit-shape-to-text:t;">
                <w:txbxContent>
                  <w:p w14:paraId="2DA607C6">
                    <w:pPr>
                      <w:pStyle w:val="2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8F7E">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CA5988">
                          <w:pPr>
                            <w:pStyle w:val="21"/>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rtv27nAQAAyQ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W1DrymxzODAz79+nn//&#10;Pf/5QZarpE/vocawO4+BcXjrBtya+R7wMtEeZDDpj4QI+lHd00VdMUTCU1K1qqoSXRx98wHxi/t0&#10;HyC+F86QZDQ04Piyquz4EeIYOoekatbdKq3zCLUlPaJeVa+vcsbFhejaYpHEYuw2WXHYDRO1nWtP&#10;yAxfBFbsXPhOSY/70FCL60+J/mBR7rQ6sxFmYzcbzHJMbGikZDTfxXHFDj6ofZeXLvUL/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u2/bucB&#10;AADJAwAADgAAAAAAAAABACAAAAAiAQAAZHJzL2Uyb0RvYy54bWxQSwUGAAAAAAYABgBZAQAAewUA&#10;AAAA&#10;">
              <v:fill on="f" focussize="0,0"/>
              <v:stroke on="f" weight="1.25pt"/>
              <v:imagedata o:title=""/>
              <o:lock v:ext="edit" aspectratio="f"/>
              <v:textbox inset="0mm,0mm,0mm,0mm" style="mso-fit-shape-to-text:t;">
                <w:txbxContent>
                  <w:p w14:paraId="73CA5988">
                    <w:pPr>
                      <w:pStyle w:val="2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47E0">
    <w:pPr>
      <w:pStyle w:val="22"/>
      <w:pBdr>
        <w:bottom w:val="none" w:color="auto" w:sz="0" w:space="0"/>
      </w:pBd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6FB3">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3617">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4996"/>
    <w:multiLevelType w:val="singleLevel"/>
    <w:tmpl w:val="84D24996"/>
    <w:lvl w:ilvl="0" w:tentative="0">
      <w:start w:val="26"/>
      <w:numFmt w:val="decimal"/>
      <w:suff w:val="space"/>
      <w:lvlText w:val="%1."/>
      <w:lvlJc w:val="left"/>
    </w:lvl>
  </w:abstractNum>
  <w:abstractNum w:abstractNumId="1">
    <w:nsid w:val="F8B180DD"/>
    <w:multiLevelType w:val="singleLevel"/>
    <w:tmpl w:val="F8B180DD"/>
    <w:lvl w:ilvl="0" w:tentative="0">
      <w:start w:val="11"/>
      <w:numFmt w:val="decimal"/>
      <w:suff w:val="space"/>
      <w:lvlText w:val="%1."/>
      <w:lvlJc w:val="left"/>
    </w:lvl>
  </w:abstractNum>
  <w:abstractNum w:abstractNumId="2">
    <w:nsid w:val="FA455774"/>
    <w:multiLevelType w:val="singleLevel"/>
    <w:tmpl w:val="FA455774"/>
    <w:lvl w:ilvl="0" w:tentative="0">
      <w:start w:val="1"/>
      <w:numFmt w:val="decimal"/>
      <w:suff w:val="space"/>
      <w:lvlText w:val="%1."/>
      <w:lvlJc w:val="left"/>
    </w:lvl>
  </w:abstractNum>
  <w:abstractNum w:abstractNumId="3">
    <w:nsid w:val="FCD0828E"/>
    <w:multiLevelType w:val="singleLevel"/>
    <w:tmpl w:val="FCD0828E"/>
    <w:lvl w:ilvl="0" w:tentative="0">
      <w:start w:val="7"/>
      <w:numFmt w:val="decimal"/>
      <w:suff w:val="space"/>
      <w:lvlText w:val="%1."/>
      <w:lvlJc w:val="left"/>
    </w:lvl>
  </w:abstractNum>
  <w:abstractNum w:abstractNumId="4">
    <w:nsid w:val="00000010"/>
    <w:multiLevelType w:val="multilevel"/>
    <w:tmpl w:val="00000010"/>
    <w:lvl w:ilvl="0" w:tentative="0">
      <w:start w:val="1"/>
      <w:numFmt w:val="decimal"/>
      <w:lvlText w:val="%1、"/>
      <w:lvlJc w:val="left"/>
      <w:pPr>
        <w:tabs>
          <w:tab w:val="left" w:pos="1185"/>
        </w:tabs>
        <w:ind w:left="1185" w:hanging="720"/>
      </w:pPr>
      <w:rPr>
        <w:rFonts w:hint="eastAsia"/>
      </w:rPr>
    </w:lvl>
    <w:lvl w:ilvl="1" w:tentative="0">
      <w:start w:val="1"/>
      <w:numFmt w:val="lowerLetter"/>
      <w:lvlText w:val="%2)"/>
      <w:lvlJc w:val="left"/>
      <w:pPr>
        <w:tabs>
          <w:tab w:val="left" w:pos="1305"/>
        </w:tabs>
        <w:ind w:left="1305" w:hanging="420"/>
      </w:pPr>
    </w:lvl>
    <w:lvl w:ilvl="2" w:tentative="0">
      <w:start w:val="1"/>
      <w:numFmt w:val="lowerRoman"/>
      <w:lvlText w:val="%3."/>
      <w:lvlJc w:val="right"/>
      <w:pPr>
        <w:tabs>
          <w:tab w:val="left" w:pos="1725"/>
        </w:tabs>
        <w:ind w:left="1725" w:hanging="420"/>
      </w:pPr>
    </w:lvl>
    <w:lvl w:ilvl="3" w:tentative="0">
      <w:start w:val="1"/>
      <w:numFmt w:val="decimal"/>
      <w:lvlText w:val="%4."/>
      <w:lvlJc w:val="left"/>
      <w:pPr>
        <w:tabs>
          <w:tab w:val="left" w:pos="2145"/>
        </w:tabs>
        <w:ind w:left="2145" w:hanging="420"/>
      </w:pPr>
    </w:lvl>
    <w:lvl w:ilvl="4" w:tentative="0">
      <w:start w:val="1"/>
      <w:numFmt w:val="lowerLetter"/>
      <w:lvlText w:val="%5)"/>
      <w:lvlJc w:val="left"/>
      <w:pPr>
        <w:tabs>
          <w:tab w:val="left" w:pos="2565"/>
        </w:tabs>
        <w:ind w:left="2565" w:hanging="420"/>
      </w:pPr>
    </w:lvl>
    <w:lvl w:ilvl="5" w:tentative="0">
      <w:start w:val="1"/>
      <w:numFmt w:val="lowerRoman"/>
      <w:lvlText w:val="%6."/>
      <w:lvlJc w:val="right"/>
      <w:pPr>
        <w:tabs>
          <w:tab w:val="left" w:pos="2985"/>
        </w:tabs>
        <w:ind w:left="2985" w:hanging="420"/>
      </w:pPr>
    </w:lvl>
    <w:lvl w:ilvl="6" w:tentative="0">
      <w:start w:val="1"/>
      <w:numFmt w:val="decimal"/>
      <w:lvlText w:val="%7."/>
      <w:lvlJc w:val="left"/>
      <w:pPr>
        <w:tabs>
          <w:tab w:val="left" w:pos="3405"/>
        </w:tabs>
        <w:ind w:left="3405" w:hanging="420"/>
      </w:pPr>
    </w:lvl>
    <w:lvl w:ilvl="7" w:tentative="0">
      <w:start w:val="1"/>
      <w:numFmt w:val="lowerLetter"/>
      <w:lvlText w:val="%8)"/>
      <w:lvlJc w:val="left"/>
      <w:pPr>
        <w:tabs>
          <w:tab w:val="left" w:pos="3825"/>
        </w:tabs>
        <w:ind w:left="3825" w:hanging="420"/>
      </w:pPr>
    </w:lvl>
    <w:lvl w:ilvl="8" w:tentative="0">
      <w:start w:val="1"/>
      <w:numFmt w:val="lowerRoman"/>
      <w:lvlText w:val="%9."/>
      <w:lvlJc w:val="right"/>
      <w:pPr>
        <w:tabs>
          <w:tab w:val="left" w:pos="4245"/>
        </w:tabs>
        <w:ind w:left="4245" w:hanging="420"/>
      </w:p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3E"/>
    <w:multiLevelType w:val="multilevel"/>
    <w:tmpl w:val="0000003E"/>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3F"/>
    <w:multiLevelType w:val="multilevel"/>
    <w:tmpl w:val="0000003F"/>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3CF3CA08"/>
    <w:multiLevelType w:val="singleLevel"/>
    <w:tmpl w:val="3CF3CA08"/>
    <w:lvl w:ilvl="0" w:tentative="0">
      <w:start w:val="15"/>
      <w:numFmt w:val="decimal"/>
      <w:suff w:val="space"/>
      <w:lvlText w:val="%1."/>
      <w:lvlJc w:val="left"/>
    </w:lvl>
  </w:abstractNum>
  <w:abstractNum w:abstractNumId="9">
    <w:nsid w:val="48F446C4"/>
    <w:multiLevelType w:val="singleLevel"/>
    <w:tmpl w:val="48F446C4"/>
    <w:lvl w:ilvl="0" w:tentative="0">
      <w:start w:val="29"/>
      <w:numFmt w:val="decimal"/>
      <w:suff w:val="space"/>
      <w:lvlText w:val="%1."/>
      <w:lvlJc w:val="left"/>
    </w:lvl>
  </w:abstractNum>
  <w:abstractNum w:abstractNumId="10">
    <w:nsid w:val="6FEF7C0F"/>
    <w:multiLevelType w:val="singleLevel"/>
    <w:tmpl w:val="6FEF7C0F"/>
    <w:lvl w:ilvl="0" w:tentative="0">
      <w:start w:val="19"/>
      <w:numFmt w:val="decimal"/>
      <w:suff w:val="space"/>
      <w:lvlText w:val="%1."/>
      <w:lvlJc w:val="left"/>
    </w:lvl>
  </w:abstractNum>
  <w:abstractNum w:abstractNumId="11">
    <w:nsid w:val="76CC93E4"/>
    <w:multiLevelType w:val="singleLevel"/>
    <w:tmpl w:val="76CC93E4"/>
    <w:lvl w:ilvl="0" w:tentative="0">
      <w:start w:val="5"/>
      <w:numFmt w:val="chineseCounting"/>
      <w:suff w:val="space"/>
      <w:lvlText w:val="第%1章"/>
      <w:lvlJc w:val="left"/>
      <w:rPr>
        <w:rFonts w:hint="eastAsia"/>
      </w:rPr>
    </w:lvl>
  </w:abstractNum>
  <w:num w:numId="1">
    <w:abstractNumId w:val="6"/>
  </w:num>
  <w:num w:numId="2">
    <w:abstractNumId w:val="7"/>
  </w:num>
  <w:num w:numId="3">
    <w:abstractNumId w:val="2"/>
  </w:num>
  <w:num w:numId="4">
    <w:abstractNumId w:val="3"/>
  </w:num>
  <w:num w:numId="5">
    <w:abstractNumId w:val="1"/>
  </w:num>
  <w:num w:numId="6">
    <w:abstractNumId w:val="8"/>
  </w:num>
  <w:num w:numId="7">
    <w:abstractNumId w:val="10"/>
  </w:num>
  <w:num w:numId="8">
    <w:abstractNumId w:val="0"/>
  </w:num>
  <w:num w:numId="9">
    <w:abstractNumId w:val="9"/>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jE3YmM3NWRhZDc5YWEyMmFiNDZkYWVjOWRkYTYifQ=="/>
  </w:docVars>
  <w:rsids>
    <w:rsidRoot w:val="00172A27"/>
    <w:rsid w:val="00001D13"/>
    <w:rsid w:val="00005178"/>
    <w:rsid w:val="0000716C"/>
    <w:rsid w:val="00010004"/>
    <w:rsid w:val="00015FC7"/>
    <w:rsid w:val="000163B4"/>
    <w:rsid w:val="00017CED"/>
    <w:rsid w:val="0002025A"/>
    <w:rsid w:val="00021B71"/>
    <w:rsid w:val="00031D4D"/>
    <w:rsid w:val="000376B3"/>
    <w:rsid w:val="00040B88"/>
    <w:rsid w:val="00041271"/>
    <w:rsid w:val="00042EFB"/>
    <w:rsid w:val="00043ED5"/>
    <w:rsid w:val="00054B28"/>
    <w:rsid w:val="00062759"/>
    <w:rsid w:val="00066B72"/>
    <w:rsid w:val="0006738C"/>
    <w:rsid w:val="000707A8"/>
    <w:rsid w:val="000742E4"/>
    <w:rsid w:val="000750B3"/>
    <w:rsid w:val="00075D33"/>
    <w:rsid w:val="0007618C"/>
    <w:rsid w:val="00083003"/>
    <w:rsid w:val="00084490"/>
    <w:rsid w:val="0008569F"/>
    <w:rsid w:val="0009273E"/>
    <w:rsid w:val="000A0220"/>
    <w:rsid w:val="000A3E37"/>
    <w:rsid w:val="000B365A"/>
    <w:rsid w:val="000B68E7"/>
    <w:rsid w:val="000B7642"/>
    <w:rsid w:val="000C00B5"/>
    <w:rsid w:val="000C1856"/>
    <w:rsid w:val="000C36B6"/>
    <w:rsid w:val="000D0A75"/>
    <w:rsid w:val="000D1273"/>
    <w:rsid w:val="000D6872"/>
    <w:rsid w:val="000E6743"/>
    <w:rsid w:val="000F150B"/>
    <w:rsid w:val="000F55A7"/>
    <w:rsid w:val="0010617E"/>
    <w:rsid w:val="0011039B"/>
    <w:rsid w:val="00126BB2"/>
    <w:rsid w:val="001358BC"/>
    <w:rsid w:val="00135993"/>
    <w:rsid w:val="001569F1"/>
    <w:rsid w:val="001648C9"/>
    <w:rsid w:val="0016565C"/>
    <w:rsid w:val="00165742"/>
    <w:rsid w:val="00172A27"/>
    <w:rsid w:val="0017676D"/>
    <w:rsid w:val="00191BC3"/>
    <w:rsid w:val="00192670"/>
    <w:rsid w:val="001A57C7"/>
    <w:rsid w:val="001A592A"/>
    <w:rsid w:val="001C3A12"/>
    <w:rsid w:val="001C4ADF"/>
    <w:rsid w:val="001C77AD"/>
    <w:rsid w:val="001E2AC4"/>
    <w:rsid w:val="001E5874"/>
    <w:rsid w:val="001F29B7"/>
    <w:rsid w:val="00204F97"/>
    <w:rsid w:val="00207EC7"/>
    <w:rsid w:val="00210341"/>
    <w:rsid w:val="00215931"/>
    <w:rsid w:val="00222B00"/>
    <w:rsid w:val="002265CB"/>
    <w:rsid w:val="002271A9"/>
    <w:rsid w:val="00227CEA"/>
    <w:rsid w:val="00227EAD"/>
    <w:rsid w:val="0023040E"/>
    <w:rsid w:val="00231BF9"/>
    <w:rsid w:val="002338E0"/>
    <w:rsid w:val="002350EB"/>
    <w:rsid w:val="00241FB9"/>
    <w:rsid w:val="002473DF"/>
    <w:rsid w:val="00251B9B"/>
    <w:rsid w:val="00253B3B"/>
    <w:rsid w:val="00255D9D"/>
    <w:rsid w:val="00261B27"/>
    <w:rsid w:val="00264F62"/>
    <w:rsid w:val="00266128"/>
    <w:rsid w:val="00273BC2"/>
    <w:rsid w:val="00274609"/>
    <w:rsid w:val="00275240"/>
    <w:rsid w:val="002800CD"/>
    <w:rsid w:val="00281E45"/>
    <w:rsid w:val="00282906"/>
    <w:rsid w:val="002952E4"/>
    <w:rsid w:val="0029747C"/>
    <w:rsid w:val="00297C6D"/>
    <w:rsid w:val="002A5B28"/>
    <w:rsid w:val="002B14C1"/>
    <w:rsid w:val="002B1816"/>
    <w:rsid w:val="002B2423"/>
    <w:rsid w:val="002B2723"/>
    <w:rsid w:val="002B2C9B"/>
    <w:rsid w:val="002B52F6"/>
    <w:rsid w:val="002B5A3F"/>
    <w:rsid w:val="002D0040"/>
    <w:rsid w:val="002D0184"/>
    <w:rsid w:val="002D0D6D"/>
    <w:rsid w:val="002D36C3"/>
    <w:rsid w:val="002E2152"/>
    <w:rsid w:val="002E5680"/>
    <w:rsid w:val="002E6F9E"/>
    <w:rsid w:val="002F6B2C"/>
    <w:rsid w:val="002F7CA9"/>
    <w:rsid w:val="002F7DCD"/>
    <w:rsid w:val="00304607"/>
    <w:rsid w:val="00327B63"/>
    <w:rsid w:val="00331135"/>
    <w:rsid w:val="003372A9"/>
    <w:rsid w:val="003421EC"/>
    <w:rsid w:val="0037443F"/>
    <w:rsid w:val="00375DEF"/>
    <w:rsid w:val="00382B33"/>
    <w:rsid w:val="00382CD8"/>
    <w:rsid w:val="00393E0A"/>
    <w:rsid w:val="00393F97"/>
    <w:rsid w:val="003A236B"/>
    <w:rsid w:val="003A4E4A"/>
    <w:rsid w:val="003B0529"/>
    <w:rsid w:val="003B0AE8"/>
    <w:rsid w:val="003B1D97"/>
    <w:rsid w:val="003B27C0"/>
    <w:rsid w:val="003C1DDB"/>
    <w:rsid w:val="003C21A3"/>
    <w:rsid w:val="003C296F"/>
    <w:rsid w:val="003C403B"/>
    <w:rsid w:val="003C48DA"/>
    <w:rsid w:val="003C6237"/>
    <w:rsid w:val="003C6D5A"/>
    <w:rsid w:val="003D15B9"/>
    <w:rsid w:val="003D408B"/>
    <w:rsid w:val="003D4FFE"/>
    <w:rsid w:val="003D6465"/>
    <w:rsid w:val="003D7469"/>
    <w:rsid w:val="003E0B80"/>
    <w:rsid w:val="003E1DC2"/>
    <w:rsid w:val="003E3495"/>
    <w:rsid w:val="003E6D4E"/>
    <w:rsid w:val="003F341A"/>
    <w:rsid w:val="003F456E"/>
    <w:rsid w:val="00403347"/>
    <w:rsid w:val="004045DE"/>
    <w:rsid w:val="00407027"/>
    <w:rsid w:val="00412032"/>
    <w:rsid w:val="00412DF9"/>
    <w:rsid w:val="00415A15"/>
    <w:rsid w:val="00416C7A"/>
    <w:rsid w:val="0042629D"/>
    <w:rsid w:val="004278AC"/>
    <w:rsid w:val="004340F9"/>
    <w:rsid w:val="0044077A"/>
    <w:rsid w:val="00446898"/>
    <w:rsid w:val="0045347E"/>
    <w:rsid w:val="00455376"/>
    <w:rsid w:val="00456A7B"/>
    <w:rsid w:val="004579BD"/>
    <w:rsid w:val="004605DB"/>
    <w:rsid w:val="00462275"/>
    <w:rsid w:val="00466786"/>
    <w:rsid w:val="004674CC"/>
    <w:rsid w:val="0048454E"/>
    <w:rsid w:val="00484C70"/>
    <w:rsid w:val="00485A32"/>
    <w:rsid w:val="00491B53"/>
    <w:rsid w:val="00496CB9"/>
    <w:rsid w:val="004A54FA"/>
    <w:rsid w:val="004B668A"/>
    <w:rsid w:val="004B7705"/>
    <w:rsid w:val="004C1252"/>
    <w:rsid w:val="004C1782"/>
    <w:rsid w:val="004C6C96"/>
    <w:rsid w:val="004E40CF"/>
    <w:rsid w:val="004E4799"/>
    <w:rsid w:val="004F0E73"/>
    <w:rsid w:val="004F28C0"/>
    <w:rsid w:val="005025BE"/>
    <w:rsid w:val="00507EB6"/>
    <w:rsid w:val="00507FFD"/>
    <w:rsid w:val="005136FB"/>
    <w:rsid w:val="005151AA"/>
    <w:rsid w:val="00517B92"/>
    <w:rsid w:val="00521F65"/>
    <w:rsid w:val="0052568D"/>
    <w:rsid w:val="0053794E"/>
    <w:rsid w:val="00537CA6"/>
    <w:rsid w:val="005424EE"/>
    <w:rsid w:val="0054391A"/>
    <w:rsid w:val="00545C13"/>
    <w:rsid w:val="00547BF4"/>
    <w:rsid w:val="00553083"/>
    <w:rsid w:val="00556830"/>
    <w:rsid w:val="00564100"/>
    <w:rsid w:val="00564FAF"/>
    <w:rsid w:val="005679FF"/>
    <w:rsid w:val="00567D5F"/>
    <w:rsid w:val="00573F42"/>
    <w:rsid w:val="0057499E"/>
    <w:rsid w:val="0057591B"/>
    <w:rsid w:val="00577E45"/>
    <w:rsid w:val="00583739"/>
    <w:rsid w:val="005843E8"/>
    <w:rsid w:val="005917DC"/>
    <w:rsid w:val="005929F3"/>
    <w:rsid w:val="00595D1A"/>
    <w:rsid w:val="005964E7"/>
    <w:rsid w:val="005A1917"/>
    <w:rsid w:val="005A7F9A"/>
    <w:rsid w:val="005B3B31"/>
    <w:rsid w:val="005C30A1"/>
    <w:rsid w:val="005C473E"/>
    <w:rsid w:val="005C7FCC"/>
    <w:rsid w:val="005D0922"/>
    <w:rsid w:val="005D1E76"/>
    <w:rsid w:val="005D1FD6"/>
    <w:rsid w:val="005D242E"/>
    <w:rsid w:val="005E3C79"/>
    <w:rsid w:val="005E5783"/>
    <w:rsid w:val="00605CD1"/>
    <w:rsid w:val="006121E9"/>
    <w:rsid w:val="00612B00"/>
    <w:rsid w:val="006144F4"/>
    <w:rsid w:val="0061477A"/>
    <w:rsid w:val="00614941"/>
    <w:rsid w:val="00614D15"/>
    <w:rsid w:val="006173CA"/>
    <w:rsid w:val="00620CE3"/>
    <w:rsid w:val="00630EFA"/>
    <w:rsid w:val="006339AB"/>
    <w:rsid w:val="00644F6B"/>
    <w:rsid w:val="00663E33"/>
    <w:rsid w:val="006727D3"/>
    <w:rsid w:val="00673AEB"/>
    <w:rsid w:val="00681293"/>
    <w:rsid w:val="00682D94"/>
    <w:rsid w:val="00683B1A"/>
    <w:rsid w:val="006847BA"/>
    <w:rsid w:val="006855AC"/>
    <w:rsid w:val="006871A5"/>
    <w:rsid w:val="006958CC"/>
    <w:rsid w:val="006966D4"/>
    <w:rsid w:val="006A1C9B"/>
    <w:rsid w:val="006A231A"/>
    <w:rsid w:val="006B1A75"/>
    <w:rsid w:val="006B3F28"/>
    <w:rsid w:val="006B4C99"/>
    <w:rsid w:val="006B7AE1"/>
    <w:rsid w:val="006C2480"/>
    <w:rsid w:val="006C3018"/>
    <w:rsid w:val="006C6BB5"/>
    <w:rsid w:val="006D0FFB"/>
    <w:rsid w:val="006D4EA2"/>
    <w:rsid w:val="006E1D87"/>
    <w:rsid w:val="006E6E1A"/>
    <w:rsid w:val="006E71A0"/>
    <w:rsid w:val="006E7351"/>
    <w:rsid w:val="006F02FE"/>
    <w:rsid w:val="006F6C1C"/>
    <w:rsid w:val="00711A90"/>
    <w:rsid w:val="00713178"/>
    <w:rsid w:val="0071359A"/>
    <w:rsid w:val="00716AA0"/>
    <w:rsid w:val="0071781E"/>
    <w:rsid w:val="00724772"/>
    <w:rsid w:val="00726AC6"/>
    <w:rsid w:val="00735464"/>
    <w:rsid w:val="007375BB"/>
    <w:rsid w:val="00751AB7"/>
    <w:rsid w:val="0075240C"/>
    <w:rsid w:val="007575F6"/>
    <w:rsid w:val="0075777C"/>
    <w:rsid w:val="00760DDF"/>
    <w:rsid w:val="007669D6"/>
    <w:rsid w:val="007758A1"/>
    <w:rsid w:val="00786D74"/>
    <w:rsid w:val="00787E6E"/>
    <w:rsid w:val="007923FA"/>
    <w:rsid w:val="00794663"/>
    <w:rsid w:val="007A3F13"/>
    <w:rsid w:val="007A4DB3"/>
    <w:rsid w:val="007A536F"/>
    <w:rsid w:val="007A57F8"/>
    <w:rsid w:val="007B3B31"/>
    <w:rsid w:val="007C21A2"/>
    <w:rsid w:val="007D5AC7"/>
    <w:rsid w:val="007E1B65"/>
    <w:rsid w:val="007E34B4"/>
    <w:rsid w:val="007E3FBC"/>
    <w:rsid w:val="007E5A39"/>
    <w:rsid w:val="007E5B43"/>
    <w:rsid w:val="007E6CBE"/>
    <w:rsid w:val="007F5F76"/>
    <w:rsid w:val="00801124"/>
    <w:rsid w:val="00812F23"/>
    <w:rsid w:val="008143B5"/>
    <w:rsid w:val="00820498"/>
    <w:rsid w:val="0083161F"/>
    <w:rsid w:val="00834F86"/>
    <w:rsid w:val="00837400"/>
    <w:rsid w:val="008414FF"/>
    <w:rsid w:val="00845A2E"/>
    <w:rsid w:val="008509AE"/>
    <w:rsid w:val="008564D3"/>
    <w:rsid w:val="0085696A"/>
    <w:rsid w:val="008571C6"/>
    <w:rsid w:val="0086456A"/>
    <w:rsid w:val="00865E4E"/>
    <w:rsid w:val="008706AE"/>
    <w:rsid w:val="008818F4"/>
    <w:rsid w:val="00887A1A"/>
    <w:rsid w:val="00895D75"/>
    <w:rsid w:val="008A1033"/>
    <w:rsid w:val="008B0D73"/>
    <w:rsid w:val="008B204B"/>
    <w:rsid w:val="008B3F8A"/>
    <w:rsid w:val="008B4B3E"/>
    <w:rsid w:val="008B4F69"/>
    <w:rsid w:val="008B7469"/>
    <w:rsid w:val="008C1D57"/>
    <w:rsid w:val="008C2B66"/>
    <w:rsid w:val="008C35BC"/>
    <w:rsid w:val="008C45F4"/>
    <w:rsid w:val="008C53CC"/>
    <w:rsid w:val="008C6C96"/>
    <w:rsid w:val="008D7DBD"/>
    <w:rsid w:val="008E4BA8"/>
    <w:rsid w:val="008E61CA"/>
    <w:rsid w:val="008F3181"/>
    <w:rsid w:val="008F394A"/>
    <w:rsid w:val="008F4910"/>
    <w:rsid w:val="00915980"/>
    <w:rsid w:val="00920A1D"/>
    <w:rsid w:val="00920A67"/>
    <w:rsid w:val="0092144F"/>
    <w:rsid w:val="00933CBA"/>
    <w:rsid w:val="00934C97"/>
    <w:rsid w:val="00940991"/>
    <w:rsid w:val="00940E7F"/>
    <w:rsid w:val="0094495B"/>
    <w:rsid w:val="0094677D"/>
    <w:rsid w:val="00956DA5"/>
    <w:rsid w:val="00963552"/>
    <w:rsid w:val="0096601F"/>
    <w:rsid w:val="009666C6"/>
    <w:rsid w:val="0097071E"/>
    <w:rsid w:val="00971B7B"/>
    <w:rsid w:val="00975C43"/>
    <w:rsid w:val="00981F99"/>
    <w:rsid w:val="009820E1"/>
    <w:rsid w:val="00982512"/>
    <w:rsid w:val="00985077"/>
    <w:rsid w:val="009949C6"/>
    <w:rsid w:val="00994D64"/>
    <w:rsid w:val="009A2119"/>
    <w:rsid w:val="009A645F"/>
    <w:rsid w:val="009B01BD"/>
    <w:rsid w:val="009B38EB"/>
    <w:rsid w:val="009C1892"/>
    <w:rsid w:val="009C6A82"/>
    <w:rsid w:val="009C7A6C"/>
    <w:rsid w:val="009D2A07"/>
    <w:rsid w:val="009E4793"/>
    <w:rsid w:val="009E71FD"/>
    <w:rsid w:val="009F23CD"/>
    <w:rsid w:val="009F2F9F"/>
    <w:rsid w:val="009F3EAD"/>
    <w:rsid w:val="00A05975"/>
    <w:rsid w:val="00A0664F"/>
    <w:rsid w:val="00A072B9"/>
    <w:rsid w:val="00A075CB"/>
    <w:rsid w:val="00A13A61"/>
    <w:rsid w:val="00A1541D"/>
    <w:rsid w:val="00A241EE"/>
    <w:rsid w:val="00A30921"/>
    <w:rsid w:val="00A30D30"/>
    <w:rsid w:val="00A40BA2"/>
    <w:rsid w:val="00A431EC"/>
    <w:rsid w:val="00A4490E"/>
    <w:rsid w:val="00A45DBB"/>
    <w:rsid w:val="00A522D4"/>
    <w:rsid w:val="00A77421"/>
    <w:rsid w:val="00A83962"/>
    <w:rsid w:val="00A93E32"/>
    <w:rsid w:val="00A95516"/>
    <w:rsid w:val="00AA279B"/>
    <w:rsid w:val="00AA6E59"/>
    <w:rsid w:val="00AB039E"/>
    <w:rsid w:val="00AB26D6"/>
    <w:rsid w:val="00AB2B7E"/>
    <w:rsid w:val="00AB6D27"/>
    <w:rsid w:val="00AC024F"/>
    <w:rsid w:val="00AD313C"/>
    <w:rsid w:val="00AE662F"/>
    <w:rsid w:val="00AF34BE"/>
    <w:rsid w:val="00AF430F"/>
    <w:rsid w:val="00AF61C1"/>
    <w:rsid w:val="00B00D09"/>
    <w:rsid w:val="00B01C89"/>
    <w:rsid w:val="00B0467E"/>
    <w:rsid w:val="00B0643B"/>
    <w:rsid w:val="00B10084"/>
    <w:rsid w:val="00B22348"/>
    <w:rsid w:val="00B26156"/>
    <w:rsid w:val="00B27001"/>
    <w:rsid w:val="00B32C48"/>
    <w:rsid w:val="00B418E5"/>
    <w:rsid w:val="00B47236"/>
    <w:rsid w:val="00B60318"/>
    <w:rsid w:val="00B63149"/>
    <w:rsid w:val="00B64CE1"/>
    <w:rsid w:val="00B654DA"/>
    <w:rsid w:val="00B70181"/>
    <w:rsid w:val="00B71E7F"/>
    <w:rsid w:val="00B750C8"/>
    <w:rsid w:val="00B80D79"/>
    <w:rsid w:val="00B91537"/>
    <w:rsid w:val="00B940D6"/>
    <w:rsid w:val="00BA05EF"/>
    <w:rsid w:val="00BA3DDE"/>
    <w:rsid w:val="00BA55BF"/>
    <w:rsid w:val="00BB1C75"/>
    <w:rsid w:val="00BB461B"/>
    <w:rsid w:val="00BC0184"/>
    <w:rsid w:val="00BD5E3A"/>
    <w:rsid w:val="00BD6B15"/>
    <w:rsid w:val="00BF1CDD"/>
    <w:rsid w:val="00BF5F06"/>
    <w:rsid w:val="00C02266"/>
    <w:rsid w:val="00C06A5A"/>
    <w:rsid w:val="00C07C2F"/>
    <w:rsid w:val="00C11720"/>
    <w:rsid w:val="00C11C13"/>
    <w:rsid w:val="00C121C9"/>
    <w:rsid w:val="00C14264"/>
    <w:rsid w:val="00C14BFC"/>
    <w:rsid w:val="00C1551A"/>
    <w:rsid w:val="00C1754B"/>
    <w:rsid w:val="00C17675"/>
    <w:rsid w:val="00C1797D"/>
    <w:rsid w:val="00C25C80"/>
    <w:rsid w:val="00C26D50"/>
    <w:rsid w:val="00C27F4B"/>
    <w:rsid w:val="00C308A5"/>
    <w:rsid w:val="00C34760"/>
    <w:rsid w:val="00C35A32"/>
    <w:rsid w:val="00C370D2"/>
    <w:rsid w:val="00C41174"/>
    <w:rsid w:val="00C435B6"/>
    <w:rsid w:val="00C5387C"/>
    <w:rsid w:val="00C56049"/>
    <w:rsid w:val="00C7156D"/>
    <w:rsid w:val="00C72ACF"/>
    <w:rsid w:val="00C77C9E"/>
    <w:rsid w:val="00C81D4B"/>
    <w:rsid w:val="00C86A55"/>
    <w:rsid w:val="00C96F02"/>
    <w:rsid w:val="00CA707D"/>
    <w:rsid w:val="00CB4235"/>
    <w:rsid w:val="00CB55E3"/>
    <w:rsid w:val="00CB5990"/>
    <w:rsid w:val="00CC1229"/>
    <w:rsid w:val="00CC47CA"/>
    <w:rsid w:val="00CC5A85"/>
    <w:rsid w:val="00CD2161"/>
    <w:rsid w:val="00CD4BD4"/>
    <w:rsid w:val="00CD5625"/>
    <w:rsid w:val="00CE2661"/>
    <w:rsid w:val="00CE30A6"/>
    <w:rsid w:val="00CE518A"/>
    <w:rsid w:val="00CE747A"/>
    <w:rsid w:val="00CF560C"/>
    <w:rsid w:val="00D00AC6"/>
    <w:rsid w:val="00D22DFD"/>
    <w:rsid w:val="00D309FC"/>
    <w:rsid w:val="00D31B40"/>
    <w:rsid w:val="00D32B00"/>
    <w:rsid w:val="00D4038D"/>
    <w:rsid w:val="00D44151"/>
    <w:rsid w:val="00D448E0"/>
    <w:rsid w:val="00D5184A"/>
    <w:rsid w:val="00D60659"/>
    <w:rsid w:val="00D63061"/>
    <w:rsid w:val="00D664C3"/>
    <w:rsid w:val="00D7208A"/>
    <w:rsid w:val="00D72D79"/>
    <w:rsid w:val="00D84397"/>
    <w:rsid w:val="00D94FB2"/>
    <w:rsid w:val="00DA1027"/>
    <w:rsid w:val="00DA4D30"/>
    <w:rsid w:val="00DA7E03"/>
    <w:rsid w:val="00DB0917"/>
    <w:rsid w:val="00DC12A9"/>
    <w:rsid w:val="00DC4306"/>
    <w:rsid w:val="00DC7CF0"/>
    <w:rsid w:val="00DC7E83"/>
    <w:rsid w:val="00DD0A8A"/>
    <w:rsid w:val="00DD58D2"/>
    <w:rsid w:val="00DD5A23"/>
    <w:rsid w:val="00DE20BE"/>
    <w:rsid w:val="00DE2911"/>
    <w:rsid w:val="00DE37B7"/>
    <w:rsid w:val="00DF131B"/>
    <w:rsid w:val="00DF147A"/>
    <w:rsid w:val="00DF2C70"/>
    <w:rsid w:val="00E02CBD"/>
    <w:rsid w:val="00E0781D"/>
    <w:rsid w:val="00E14A3D"/>
    <w:rsid w:val="00E162A5"/>
    <w:rsid w:val="00E20CA6"/>
    <w:rsid w:val="00E270C3"/>
    <w:rsid w:val="00E46448"/>
    <w:rsid w:val="00E50412"/>
    <w:rsid w:val="00E56C75"/>
    <w:rsid w:val="00E66C11"/>
    <w:rsid w:val="00E74A80"/>
    <w:rsid w:val="00E76544"/>
    <w:rsid w:val="00E76B76"/>
    <w:rsid w:val="00E900CA"/>
    <w:rsid w:val="00E92A0A"/>
    <w:rsid w:val="00EA0F78"/>
    <w:rsid w:val="00EA122A"/>
    <w:rsid w:val="00EA1C07"/>
    <w:rsid w:val="00EA6FF5"/>
    <w:rsid w:val="00EA7C92"/>
    <w:rsid w:val="00EB258F"/>
    <w:rsid w:val="00EB2A6A"/>
    <w:rsid w:val="00EB77FC"/>
    <w:rsid w:val="00EC0F19"/>
    <w:rsid w:val="00EC19AD"/>
    <w:rsid w:val="00EC212D"/>
    <w:rsid w:val="00EC461D"/>
    <w:rsid w:val="00EE00E0"/>
    <w:rsid w:val="00EE0F24"/>
    <w:rsid w:val="00EE669D"/>
    <w:rsid w:val="00EF025A"/>
    <w:rsid w:val="00EF12A7"/>
    <w:rsid w:val="00EF71D3"/>
    <w:rsid w:val="00F02380"/>
    <w:rsid w:val="00F22F18"/>
    <w:rsid w:val="00F32310"/>
    <w:rsid w:val="00F32F2A"/>
    <w:rsid w:val="00F35F58"/>
    <w:rsid w:val="00F36614"/>
    <w:rsid w:val="00F36E97"/>
    <w:rsid w:val="00F4205D"/>
    <w:rsid w:val="00F42236"/>
    <w:rsid w:val="00F44671"/>
    <w:rsid w:val="00F51617"/>
    <w:rsid w:val="00F578FB"/>
    <w:rsid w:val="00F6072E"/>
    <w:rsid w:val="00F65B1C"/>
    <w:rsid w:val="00F81D96"/>
    <w:rsid w:val="00F8763B"/>
    <w:rsid w:val="00F9128C"/>
    <w:rsid w:val="00F92A73"/>
    <w:rsid w:val="00FA1B6A"/>
    <w:rsid w:val="00FB125D"/>
    <w:rsid w:val="00FB4289"/>
    <w:rsid w:val="00FB6059"/>
    <w:rsid w:val="00FC01C6"/>
    <w:rsid w:val="00FC0E6D"/>
    <w:rsid w:val="00FC49E9"/>
    <w:rsid w:val="00FD08F7"/>
    <w:rsid w:val="00FD3D0D"/>
    <w:rsid w:val="00FD7163"/>
    <w:rsid w:val="00FE0110"/>
    <w:rsid w:val="00FF1076"/>
    <w:rsid w:val="01605105"/>
    <w:rsid w:val="0175278B"/>
    <w:rsid w:val="0199657A"/>
    <w:rsid w:val="01AC75F0"/>
    <w:rsid w:val="01B42948"/>
    <w:rsid w:val="01EB4E89"/>
    <w:rsid w:val="01F7292B"/>
    <w:rsid w:val="02353297"/>
    <w:rsid w:val="024822B5"/>
    <w:rsid w:val="024F7C08"/>
    <w:rsid w:val="02A32AE5"/>
    <w:rsid w:val="03474056"/>
    <w:rsid w:val="03530242"/>
    <w:rsid w:val="035B4FB3"/>
    <w:rsid w:val="03766716"/>
    <w:rsid w:val="03A62587"/>
    <w:rsid w:val="03D415D3"/>
    <w:rsid w:val="040239AC"/>
    <w:rsid w:val="053C0C8A"/>
    <w:rsid w:val="05742B1F"/>
    <w:rsid w:val="061F4E03"/>
    <w:rsid w:val="063040AC"/>
    <w:rsid w:val="06B3208A"/>
    <w:rsid w:val="072A7934"/>
    <w:rsid w:val="074D5134"/>
    <w:rsid w:val="07AD2313"/>
    <w:rsid w:val="08777559"/>
    <w:rsid w:val="088529C0"/>
    <w:rsid w:val="089112ED"/>
    <w:rsid w:val="0891753F"/>
    <w:rsid w:val="08A70B11"/>
    <w:rsid w:val="08C971F6"/>
    <w:rsid w:val="08E616F2"/>
    <w:rsid w:val="090D3F43"/>
    <w:rsid w:val="091F6B9D"/>
    <w:rsid w:val="095763B6"/>
    <w:rsid w:val="097C68DE"/>
    <w:rsid w:val="09880942"/>
    <w:rsid w:val="09CB6A81"/>
    <w:rsid w:val="09D578C5"/>
    <w:rsid w:val="0A527C86"/>
    <w:rsid w:val="0A8161C3"/>
    <w:rsid w:val="0ADE7ACE"/>
    <w:rsid w:val="0B027F4C"/>
    <w:rsid w:val="0B507803"/>
    <w:rsid w:val="0BCE4606"/>
    <w:rsid w:val="0BDE33C4"/>
    <w:rsid w:val="0BE75801"/>
    <w:rsid w:val="0C492696"/>
    <w:rsid w:val="0CCB762F"/>
    <w:rsid w:val="0CDD4579"/>
    <w:rsid w:val="0CFA3EDE"/>
    <w:rsid w:val="0D662D48"/>
    <w:rsid w:val="0DCE10D4"/>
    <w:rsid w:val="0E37612E"/>
    <w:rsid w:val="0EDB1BC0"/>
    <w:rsid w:val="0F19071F"/>
    <w:rsid w:val="0F1F00EF"/>
    <w:rsid w:val="0F661726"/>
    <w:rsid w:val="0F863A4B"/>
    <w:rsid w:val="0F904F2B"/>
    <w:rsid w:val="0FFC3E38"/>
    <w:rsid w:val="100A1B9F"/>
    <w:rsid w:val="101C1DE4"/>
    <w:rsid w:val="102D49DD"/>
    <w:rsid w:val="1070406E"/>
    <w:rsid w:val="10814622"/>
    <w:rsid w:val="108B749A"/>
    <w:rsid w:val="109158E5"/>
    <w:rsid w:val="10AD5132"/>
    <w:rsid w:val="10FA24E5"/>
    <w:rsid w:val="112F0C3F"/>
    <w:rsid w:val="11453C9F"/>
    <w:rsid w:val="119573C5"/>
    <w:rsid w:val="119B5551"/>
    <w:rsid w:val="120937F5"/>
    <w:rsid w:val="121A05A5"/>
    <w:rsid w:val="126C0B26"/>
    <w:rsid w:val="128B7481"/>
    <w:rsid w:val="12B46806"/>
    <w:rsid w:val="12F638BB"/>
    <w:rsid w:val="131823CA"/>
    <w:rsid w:val="1324073A"/>
    <w:rsid w:val="138E4F04"/>
    <w:rsid w:val="13B056E2"/>
    <w:rsid w:val="13BB36C2"/>
    <w:rsid w:val="13E87876"/>
    <w:rsid w:val="14110104"/>
    <w:rsid w:val="14535FF1"/>
    <w:rsid w:val="145C04A6"/>
    <w:rsid w:val="14AE192A"/>
    <w:rsid w:val="14C64A14"/>
    <w:rsid w:val="14E275F5"/>
    <w:rsid w:val="153F7762"/>
    <w:rsid w:val="154C6762"/>
    <w:rsid w:val="15CB1FAB"/>
    <w:rsid w:val="168B7CC4"/>
    <w:rsid w:val="169C3F25"/>
    <w:rsid w:val="16A22BDD"/>
    <w:rsid w:val="16BA047E"/>
    <w:rsid w:val="16E155A6"/>
    <w:rsid w:val="16E7103F"/>
    <w:rsid w:val="17A53F66"/>
    <w:rsid w:val="18024D5B"/>
    <w:rsid w:val="18682936"/>
    <w:rsid w:val="18F76630"/>
    <w:rsid w:val="19237CA5"/>
    <w:rsid w:val="19956606"/>
    <w:rsid w:val="19C6353B"/>
    <w:rsid w:val="19D070C8"/>
    <w:rsid w:val="19D75E96"/>
    <w:rsid w:val="1A366198"/>
    <w:rsid w:val="1A9C3AD5"/>
    <w:rsid w:val="1AA66E7A"/>
    <w:rsid w:val="1B1A413D"/>
    <w:rsid w:val="1B1C0EEA"/>
    <w:rsid w:val="1B9413C8"/>
    <w:rsid w:val="1C027CAF"/>
    <w:rsid w:val="1CA218C3"/>
    <w:rsid w:val="1D684989"/>
    <w:rsid w:val="1D8B2C09"/>
    <w:rsid w:val="1DB01DBE"/>
    <w:rsid w:val="1DB413CA"/>
    <w:rsid w:val="1E120B3F"/>
    <w:rsid w:val="1E662BC2"/>
    <w:rsid w:val="1EAB0F03"/>
    <w:rsid w:val="1EE07CAB"/>
    <w:rsid w:val="1F494214"/>
    <w:rsid w:val="1F5270A7"/>
    <w:rsid w:val="1F94054D"/>
    <w:rsid w:val="1FAA740D"/>
    <w:rsid w:val="1FBA1B5C"/>
    <w:rsid w:val="200375FF"/>
    <w:rsid w:val="20210D51"/>
    <w:rsid w:val="20970344"/>
    <w:rsid w:val="20EE157B"/>
    <w:rsid w:val="20FF5C05"/>
    <w:rsid w:val="21130FE1"/>
    <w:rsid w:val="2167481C"/>
    <w:rsid w:val="21A415A4"/>
    <w:rsid w:val="21AC5409"/>
    <w:rsid w:val="21C36925"/>
    <w:rsid w:val="21D64259"/>
    <w:rsid w:val="21DF70A0"/>
    <w:rsid w:val="21E526E6"/>
    <w:rsid w:val="22025C35"/>
    <w:rsid w:val="228D5F39"/>
    <w:rsid w:val="22906A73"/>
    <w:rsid w:val="22A129B9"/>
    <w:rsid w:val="22AC132E"/>
    <w:rsid w:val="22C772C7"/>
    <w:rsid w:val="234436D4"/>
    <w:rsid w:val="23497616"/>
    <w:rsid w:val="23661B16"/>
    <w:rsid w:val="2369313B"/>
    <w:rsid w:val="24297E11"/>
    <w:rsid w:val="246D6C5B"/>
    <w:rsid w:val="2489548D"/>
    <w:rsid w:val="24D52FE3"/>
    <w:rsid w:val="24DE0BE1"/>
    <w:rsid w:val="24EC163B"/>
    <w:rsid w:val="24F923B3"/>
    <w:rsid w:val="25357778"/>
    <w:rsid w:val="25401C79"/>
    <w:rsid w:val="255319AC"/>
    <w:rsid w:val="2613523F"/>
    <w:rsid w:val="265F5219"/>
    <w:rsid w:val="26993D37"/>
    <w:rsid w:val="26C532A2"/>
    <w:rsid w:val="27037402"/>
    <w:rsid w:val="27313F6F"/>
    <w:rsid w:val="27412C0F"/>
    <w:rsid w:val="275E4BCD"/>
    <w:rsid w:val="27873B8F"/>
    <w:rsid w:val="27D74F34"/>
    <w:rsid w:val="27DB012C"/>
    <w:rsid w:val="283261F1"/>
    <w:rsid w:val="285C2ACD"/>
    <w:rsid w:val="28976BAC"/>
    <w:rsid w:val="2905064E"/>
    <w:rsid w:val="293B2E83"/>
    <w:rsid w:val="295403E9"/>
    <w:rsid w:val="297E036A"/>
    <w:rsid w:val="29D47A20"/>
    <w:rsid w:val="2A767786"/>
    <w:rsid w:val="2A7F2C66"/>
    <w:rsid w:val="2A8A1871"/>
    <w:rsid w:val="2A9A1E2C"/>
    <w:rsid w:val="2AEE06A9"/>
    <w:rsid w:val="2AF94679"/>
    <w:rsid w:val="2B2A1225"/>
    <w:rsid w:val="2B4A3DC4"/>
    <w:rsid w:val="2C0E0D23"/>
    <w:rsid w:val="2C1A2E49"/>
    <w:rsid w:val="2C1F7BDC"/>
    <w:rsid w:val="2CCD1CB2"/>
    <w:rsid w:val="2CCF7CB8"/>
    <w:rsid w:val="2CD243DA"/>
    <w:rsid w:val="2CEB77F6"/>
    <w:rsid w:val="2CFE2E97"/>
    <w:rsid w:val="2D68647D"/>
    <w:rsid w:val="2DA06799"/>
    <w:rsid w:val="2DCA5887"/>
    <w:rsid w:val="2DEF715F"/>
    <w:rsid w:val="2DF168B5"/>
    <w:rsid w:val="2E543E22"/>
    <w:rsid w:val="2E8C65BF"/>
    <w:rsid w:val="2E9A689E"/>
    <w:rsid w:val="2EBC62A1"/>
    <w:rsid w:val="2F2B064D"/>
    <w:rsid w:val="2F666780"/>
    <w:rsid w:val="2F794705"/>
    <w:rsid w:val="2FC534F7"/>
    <w:rsid w:val="2FF02B0E"/>
    <w:rsid w:val="302F1268"/>
    <w:rsid w:val="30447248"/>
    <w:rsid w:val="3058392F"/>
    <w:rsid w:val="305A4537"/>
    <w:rsid w:val="306B56FD"/>
    <w:rsid w:val="30E6401D"/>
    <w:rsid w:val="313B6CEA"/>
    <w:rsid w:val="31533BDF"/>
    <w:rsid w:val="31794017"/>
    <w:rsid w:val="31811305"/>
    <w:rsid w:val="31884939"/>
    <w:rsid w:val="31B45EC9"/>
    <w:rsid w:val="321626E0"/>
    <w:rsid w:val="32427031"/>
    <w:rsid w:val="32546D64"/>
    <w:rsid w:val="33792F26"/>
    <w:rsid w:val="341003D2"/>
    <w:rsid w:val="34180991"/>
    <w:rsid w:val="3478717A"/>
    <w:rsid w:val="34A81A05"/>
    <w:rsid w:val="34DE58EE"/>
    <w:rsid w:val="356D6ABA"/>
    <w:rsid w:val="364D52C4"/>
    <w:rsid w:val="367B278E"/>
    <w:rsid w:val="367D2D2D"/>
    <w:rsid w:val="368439CC"/>
    <w:rsid w:val="369260D6"/>
    <w:rsid w:val="36B3674F"/>
    <w:rsid w:val="36D365FF"/>
    <w:rsid w:val="372A0CFD"/>
    <w:rsid w:val="375A0885"/>
    <w:rsid w:val="37BC7696"/>
    <w:rsid w:val="37D209CC"/>
    <w:rsid w:val="37F113CC"/>
    <w:rsid w:val="37F232A7"/>
    <w:rsid w:val="37F43748"/>
    <w:rsid w:val="381C035D"/>
    <w:rsid w:val="38B95B73"/>
    <w:rsid w:val="39783C80"/>
    <w:rsid w:val="398B5A7F"/>
    <w:rsid w:val="39937524"/>
    <w:rsid w:val="3A3650EB"/>
    <w:rsid w:val="3A4B3142"/>
    <w:rsid w:val="3A681A40"/>
    <w:rsid w:val="3A6F0BDF"/>
    <w:rsid w:val="3A894DC3"/>
    <w:rsid w:val="3B083B16"/>
    <w:rsid w:val="3B2927FD"/>
    <w:rsid w:val="3B2F670A"/>
    <w:rsid w:val="3B3B4F65"/>
    <w:rsid w:val="3B6138E0"/>
    <w:rsid w:val="3B634407"/>
    <w:rsid w:val="3B6364D7"/>
    <w:rsid w:val="3B96663F"/>
    <w:rsid w:val="3BC05A6C"/>
    <w:rsid w:val="3BC136BC"/>
    <w:rsid w:val="3BD80A06"/>
    <w:rsid w:val="3C067F9F"/>
    <w:rsid w:val="3C0B3935"/>
    <w:rsid w:val="3CA179AF"/>
    <w:rsid w:val="3CDB2BA2"/>
    <w:rsid w:val="3D163594"/>
    <w:rsid w:val="3D4A148F"/>
    <w:rsid w:val="3D9A2417"/>
    <w:rsid w:val="3DC254CA"/>
    <w:rsid w:val="3DC34C62"/>
    <w:rsid w:val="3DD07BE6"/>
    <w:rsid w:val="3DE5623E"/>
    <w:rsid w:val="3E575580"/>
    <w:rsid w:val="3E974389"/>
    <w:rsid w:val="3E9E1A93"/>
    <w:rsid w:val="3F460211"/>
    <w:rsid w:val="3F5B7414"/>
    <w:rsid w:val="3F80388E"/>
    <w:rsid w:val="3FC912B8"/>
    <w:rsid w:val="4008709B"/>
    <w:rsid w:val="408E638C"/>
    <w:rsid w:val="40A42CF2"/>
    <w:rsid w:val="40AE65B8"/>
    <w:rsid w:val="40FA39A3"/>
    <w:rsid w:val="411F339F"/>
    <w:rsid w:val="416D204A"/>
    <w:rsid w:val="41736A09"/>
    <w:rsid w:val="418331C2"/>
    <w:rsid w:val="419D704F"/>
    <w:rsid w:val="41BF4C35"/>
    <w:rsid w:val="42052557"/>
    <w:rsid w:val="42A67168"/>
    <w:rsid w:val="42E5645C"/>
    <w:rsid w:val="42E94F6B"/>
    <w:rsid w:val="43056584"/>
    <w:rsid w:val="43117566"/>
    <w:rsid w:val="432F081E"/>
    <w:rsid w:val="4374370A"/>
    <w:rsid w:val="43B70AA5"/>
    <w:rsid w:val="44421112"/>
    <w:rsid w:val="447F3210"/>
    <w:rsid w:val="44BE4A5F"/>
    <w:rsid w:val="44F26216"/>
    <w:rsid w:val="45B918A8"/>
    <w:rsid w:val="45F8417E"/>
    <w:rsid w:val="469664A6"/>
    <w:rsid w:val="470923BB"/>
    <w:rsid w:val="47437648"/>
    <w:rsid w:val="4755796F"/>
    <w:rsid w:val="47E046A6"/>
    <w:rsid w:val="47E52A0D"/>
    <w:rsid w:val="47F81DC5"/>
    <w:rsid w:val="48046816"/>
    <w:rsid w:val="48ED45E7"/>
    <w:rsid w:val="49003B9F"/>
    <w:rsid w:val="4A045B66"/>
    <w:rsid w:val="4A4B5C7E"/>
    <w:rsid w:val="4A52393C"/>
    <w:rsid w:val="4A8D0589"/>
    <w:rsid w:val="4A9260AD"/>
    <w:rsid w:val="4B846208"/>
    <w:rsid w:val="4C1566AE"/>
    <w:rsid w:val="4C2757BD"/>
    <w:rsid w:val="4C291365"/>
    <w:rsid w:val="4C4C2E3F"/>
    <w:rsid w:val="4C891FD4"/>
    <w:rsid w:val="4C89644E"/>
    <w:rsid w:val="4CAB625E"/>
    <w:rsid w:val="4CB9774B"/>
    <w:rsid w:val="4CC60678"/>
    <w:rsid w:val="4CE5654C"/>
    <w:rsid w:val="4CEF795D"/>
    <w:rsid w:val="4D426897"/>
    <w:rsid w:val="4D4545A0"/>
    <w:rsid w:val="4D512C5C"/>
    <w:rsid w:val="4D761E2D"/>
    <w:rsid w:val="4DB07589"/>
    <w:rsid w:val="4DF67FCA"/>
    <w:rsid w:val="4E0121DB"/>
    <w:rsid w:val="4EA01857"/>
    <w:rsid w:val="4EDD5060"/>
    <w:rsid w:val="4EED5A53"/>
    <w:rsid w:val="4EFC05AC"/>
    <w:rsid w:val="4F1A7BB0"/>
    <w:rsid w:val="4F353BC3"/>
    <w:rsid w:val="4FCA78AC"/>
    <w:rsid w:val="4FD572DE"/>
    <w:rsid w:val="4FEC6140"/>
    <w:rsid w:val="4FFC0EAA"/>
    <w:rsid w:val="501C315F"/>
    <w:rsid w:val="505634D9"/>
    <w:rsid w:val="50607208"/>
    <w:rsid w:val="50682DEC"/>
    <w:rsid w:val="508D518A"/>
    <w:rsid w:val="511856D5"/>
    <w:rsid w:val="51234E8F"/>
    <w:rsid w:val="514F7C41"/>
    <w:rsid w:val="51B85384"/>
    <w:rsid w:val="51C92E73"/>
    <w:rsid w:val="51EB2DE9"/>
    <w:rsid w:val="52264C84"/>
    <w:rsid w:val="5243679A"/>
    <w:rsid w:val="52632738"/>
    <w:rsid w:val="526E4452"/>
    <w:rsid w:val="52AA2CA4"/>
    <w:rsid w:val="52E234C5"/>
    <w:rsid w:val="532E6BE5"/>
    <w:rsid w:val="537A58DA"/>
    <w:rsid w:val="53A53BDA"/>
    <w:rsid w:val="53C658BC"/>
    <w:rsid w:val="53D41815"/>
    <w:rsid w:val="53D855EF"/>
    <w:rsid w:val="53F45492"/>
    <w:rsid w:val="543144CD"/>
    <w:rsid w:val="544607AB"/>
    <w:rsid w:val="54616CB3"/>
    <w:rsid w:val="54DE17E0"/>
    <w:rsid w:val="54E672F2"/>
    <w:rsid w:val="55583E07"/>
    <w:rsid w:val="5588094F"/>
    <w:rsid w:val="55D0369C"/>
    <w:rsid w:val="55D7192D"/>
    <w:rsid w:val="55FF7FE5"/>
    <w:rsid w:val="56000D91"/>
    <w:rsid w:val="565579D4"/>
    <w:rsid w:val="56DC71A4"/>
    <w:rsid w:val="572D5C52"/>
    <w:rsid w:val="57C04988"/>
    <w:rsid w:val="58011449"/>
    <w:rsid w:val="58545220"/>
    <w:rsid w:val="587C7E2C"/>
    <w:rsid w:val="59070080"/>
    <w:rsid w:val="5954396A"/>
    <w:rsid w:val="596B480F"/>
    <w:rsid w:val="597619E8"/>
    <w:rsid w:val="599E4BE5"/>
    <w:rsid w:val="59BA662B"/>
    <w:rsid w:val="5A1F5D26"/>
    <w:rsid w:val="5A767910"/>
    <w:rsid w:val="5A8D56A5"/>
    <w:rsid w:val="5AAF6998"/>
    <w:rsid w:val="5AF53CE5"/>
    <w:rsid w:val="5B7B562E"/>
    <w:rsid w:val="5B7C2625"/>
    <w:rsid w:val="5B8B591F"/>
    <w:rsid w:val="5BB666A6"/>
    <w:rsid w:val="5C526DCC"/>
    <w:rsid w:val="5C6474D5"/>
    <w:rsid w:val="5C700ABB"/>
    <w:rsid w:val="5C7365D6"/>
    <w:rsid w:val="5CCB3D90"/>
    <w:rsid w:val="5CFC2C42"/>
    <w:rsid w:val="5D2B0719"/>
    <w:rsid w:val="5D816A23"/>
    <w:rsid w:val="5DAE407C"/>
    <w:rsid w:val="5DE60909"/>
    <w:rsid w:val="5E172FB8"/>
    <w:rsid w:val="5E256432"/>
    <w:rsid w:val="5EB3299E"/>
    <w:rsid w:val="5F3822D0"/>
    <w:rsid w:val="5F6856CA"/>
    <w:rsid w:val="5F745609"/>
    <w:rsid w:val="5F983D0B"/>
    <w:rsid w:val="5FD02DFC"/>
    <w:rsid w:val="60112CA1"/>
    <w:rsid w:val="60D93A0F"/>
    <w:rsid w:val="60E25CE1"/>
    <w:rsid w:val="61932B55"/>
    <w:rsid w:val="61D06F72"/>
    <w:rsid w:val="62312A9A"/>
    <w:rsid w:val="623E52F6"/>
    <w:rsid w:val="62454F0D"/>
    <w:rsid w:val="62821A4D"/>
    <w:rsid w:val="628E0E71"/>
    <w:rsid w:val="63283C1D"/>
    <w:rsid w:val="63F45768"/>
    <w:rsid w:val="640630B7"/>
    <w:rsid w:val="641F0275"/>
    <w:rsid w:val="646C32EE"/>
    <w:rsid w:val="647D6E12"/>
    <w:rsid w:val="64BD231C"/>
    <w:rsid w:val="64D42E1A"/>
    <w:rsid w:val="64FE2F5B"/>
    <w:rsid w:val="65B35574"/>
    <w:rsid w:val="66BD1E1D"/>
    <w:rsid w:val="66C853B3"/>
    <w:rsid w:val="66E513A4"/>
    <w:rsid w:val="66E7692A"/>
    <w:rsid w:val="66FE5C33"/>
    <w:rsid w:val="670047E9"/>
    <w:rsid w:val="6703444B"/>
    <w:rsid w:val="6716400D"/>
    <w:rsid w:val="672D7DCD"/>
    <w:rsid w:val="67560830"/>
    <w:rsid w:val="67844A8C"/>
    <w:rsid w:val="67901C12"/>
    <w:rsid w:val="67D5609E"/>
    <w:rsid w:val="67DC0912"/>
    <w:rsid w:val="6860015D"/>
    <w:rsid w:val="68C877E1"/>
    <w:rsid w:val="68ED1066"/>
    <w:rsid w:val="69D837FB"/>
    <w:rsid w:val="69E421A0"/>
    <w:rsid w:val="69F544E6"/>
    <w:rsid w:val="6A3A1933"/>
    <w:rsid w:val="6A624A98"/>
    <w:rsid w:val="6A7750B7"/>
    <w:rsid w:val="6A7D43A3"/>
    <w:rsid w:val="6A94006A"/>
    <w:rsid w:val="6AA8380D"/>
    <w:rsid w:val="6AC67AF8"/>
    <w:rsid w:val="6ACE6D7C"/>
    <w:rsid w:val="6B025253"/>
    <w:rsid w:val="6B552A82"/>
    <w:rsid w:val="6B9540A4"/>
    <w:rsid w:val="6BCD51C2"/>
    <w:rsid w:val="6BE0528A"/>
    <w:rsid w:val="6CA71A54"/>
    <w:rsid w:val="6DAE1443"/>
    <w:rsid w:val="6DD32D72"/>
    <w:rsid w:val="6E47232D"/>
    <w:rsid w:val="6E930639"/>
    <w:rsid w:val="6EA558CC"/>
    <w:rsid w:val="6EED20DB"/>
    <w:rsid w:val="6F3C65DA"/>
    <w:rsid w:val="6F524050"/>
    <w:rsid w:val="6F83721D"/>
    <w:rsid w:val="6F8F6771"/>
    <w:rsid w:val="700374EB"/>
    <w:rsid w:val="70205DBD"/>
    <w:rsid w:val="706059B0"/>
    <w:rsid w:val="70735EBF"/>
    <w:rsid w:val="70903082"/>
    <w:rsid w:val="70961728"/>
    <w:rsid w:val="70D6480D"/>
    <w:rsid w:val="713D1F4A"/>
    <w:rsid w:val="71645889"/>
    <w:rsid w:val="717E737E"/>
    <w:rsid w:val="71860D86"/>
    <w:rsid w:val="71A1306D"/>
    <w:rsid w:val="71CD5C10"/>
    <w:rsid w:val="72183338"/>
    <w:rsid w:val="72587BCF"/>
    <w:rsid w:val="72BF37AA"/>
    <w:rsid w:val="72E41463"/>
    <w:rsid w:val="731176D0"/>
    <w:rsid w:val="73685A65"/>
    <w:rsid w:val="737A29B9"/>
    <w:rsid w:val="737B3A27"/>
    <w:rsid w:val="73A314E6"/>
    <w:rsid w:val="73F97190"/>
    <w:rsid w:val="74404DBF"/>
    <w:rsid w:val="744A5CD5"/>
    <w:rsid w:val="744C7B07"/>
    <w:rsid w:val="74733FA6"/>
    <w:rsid w:val="7499203C"/>
    <w:rsid w:val="74BD01BD"/>
    <w:rsid w:val="74E90FB2"/>
    <w:rsid w:val="750D235A"/>
    <w:rsid w:val="75337E52"/>
    <w:rsid w:val="75682576"/>
    <w:rsid w:val="7588678B"/>
    <w:rsid w:val="75CF21F6"/>
    <w:rsid w:val="76186218"/>
    <w:rsid w:val="761902FF"/>
    <w:rsid w:val="76F87727"/>
    <w:rsid w:val="77237797"/>
    <w:rsid w:val="773F1B70"/>
    <w:rsid w:val="7765113D"/>
    <w:rsid w:val="77A05975"/>
    <w:rsid w:val="77F645D7"/>
    <w:rsid w:val="78047EB1"/>
    <w:rsid w:val="781324BE"/>
    <w:rsid w:val="78BC2D64"/>
    <w:rsid w:val="78CC63CD"/>
    <w:rsid w:val="78D9784B"/>
    <w:rsid w:val="794D6F14"/>
    <w:rsid w:val="795B021E"/>
    <w:rsid w:val="79703A50"/>
    <w:rsid w:val="79E1283F"/>
    <w:rsid w:val="79EC2A16"/>
    <w:rsid w:val="79EC76A2"/>
    <w:rsid w:val="7A173ECC"/>
    <w:rsid w:val="7AE95EC8"/>
    <w:rsid w:val="7B4C229B"/>
    <w:rsid w:val="7B720FEF"/>
    <w:rsid w:val="7B7E2BB3"/>
    <w:rsid w:val="7B903C07"/>
    <w:rsid w:val="7B9658EF"/>
    <w:rsid w:val="7BAC4726"/>
    <w:rsid w:val="7BF31A62"/>
    <w:rsid w:val="7C014E34"/>
    <w:rsid w:val="7C2F2A8B"/>
    <w:rsid w:val="7C4F277A"/>
    <w:rsid w:val="7C991510"/>
    <w:rsid w:val="7CC7607D"/>
    <w:rsid w:val="7CE440C8"/>
    <w:rsid w:val="7D80170D"/>
    <w:rsid w:val="7DA17C93"/>
    <w:rsid w:val="7E36223B"/>
    <w:rsid w:val="7E6A0E5C"/>
    <w:rsid w:val="7E7741B6"/>
    <w:rsid w:val="7EAF165C"/>
    <w:rsid w:val="7ED976CB"/>
    <w:rsid w:val="7EDD48D4"/>
    <w:rsid w:val="7EE04814"/>
    <w:rsid w:val="7F675153"/>
    <w:rsid w:val="7F86614A"/>
    <w:rsid w:val="7FB651B7"/>
    <w:rsid w:val="7FC8170F"/>
    <w:rsid w:val="7FE934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40"/>
      <w:jc w:val="center"/>
      <w:outlineLvl w:val="0"/>
    </w:pPr>
    <w:rPr>
      <w:b/>
      <w:bCs/>
      <w:kern w:val="44"/>
      <w:sz w:val="44"/>
      <w:szCs w:val="44"/>
    </w:rPr>
  </w:style>
  <w:style w:type="paragraph" w:styleId="5">
    <w:name w:val="heading 2"/>
    <w:basedOn w:val="1"/>
    <w:next w:val="1"/>
    <w:qFormat/>
    <w:uiPriority w:val="0"/>
    <w:pPr>
      <w:keepNext/>
      <w:tabs>
        <w:tab w:val="left" w:pos="1200"/>
      </w:tabs>
      <w:spacing w:line="360" w:lineRule="auto"/>
      <w:jc w:val="center"/>
      <w:outlineLvl w:val="1"/>
    </w:pPr>
    <w:rPr>
      <w:b/>
      <w:bCs/>
      <w:sz w:val="28"/>
    </w:rPr>
  </w:style>
  <w:style w:type="paragraph" w:styleId="6">
    <w:name w:val="heading 3"/>
    <w:basedOn w:val="1"/>
    <w:next w:val="1"/>
    <w:qFormat/>
    <w:uiPriority w:val="0"/>
    <w:pPr>
      <w:keepNext/>
      <w:keepLines/>
      <w:spacing w:line="360" w:lineRule="auto"/>
      <w:jc w:val="center"/>
      <w:outlineLvl w:val="2"/>
    </w:pPr>
    <w:rPr>
      <w:b/>
      <w:bCs/>
      <w:sz w:val="28"/>
      <w:szCs w:val="32"/>
    </w:rPr>
  </w:style>
  <w:style w:type="paragraph" w:styleId="7">
    <w:name w:val="heading 4"/>
    <w:basedOn w:val="1"/>
    <w:next w:val="1"/>
    <w:link w:val="38"/>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9"/>
    <w:qFormat/>
    <w:uiPriority w:val="0"/>
    <w:pPr>
      <w:keepNext/>
      <w:keepLines/>
      <w:spacing w:before="280" w:after="290" w:line="374" w:lineRule="auto"/>
      <w:outlineLvl w:val="4"/>
    </w:pPr>
    <w:rPr>
      <w:b/>
      <w:sz w:val="28"/>
      <w:szCs w:val="20"/>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2">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3"/>
    <w:link w:val="37"/>
    <w:uiPriority w:val="0"/>
    <w:pPr>
      <w:spacing w:after="120"/>
      <w:ind w:firstLine="420" w:firstLineChars="100"/>
      <w:jc w:val="both"/>
    </w:pPr>
    <w:rPr>
      <w:b w:val="0"/>
      <w:bCs w:val="0"/>
      <w:sz w:val="21"/>
    </w:rPr>
  </w:style>
  <w:style w:type="paragraph" w:styleId="3">
    <w:name w:val="Body Text"/>
    <w:basedOn w:val="1"/>
    <w:next w:val="1"/>
    <w:qFormat/>
    <w:uiPriority w:val="0"/>
    <w:pPr>
      <w:jc w:val="center"/>
    </w:pPr>
    <w:rPr>
      <w:b/>
      <w:bCs/>
      <w:sz w:val="72"/>
    </w:rPr>
  </w:style>
  <w:style w:type="paragraph" w:styleId="9">
    <w:name w:val="Normal Indent"/>
    <w:basedOn w:val="1"/>
    <w:uiPriority w:val="0"/>
    <w:pPr>
      <w:ind w:firstLine="420" w:firstLineChars="200"/>
    </w:pPr>
  </w:style>
  <w:style w:type="paragraph" w:styleId="11">
    <w:name w:val="Document Map"/>
    <w:basedOn w:val="1"/>
    <w:uiPriority w:val="0"/>
    <w:pPr>
      <w:shd w:val="clear" w:color="auto" w:fill="000080"/>
    </w:pPr>
  </w:style>
  <w:style w:type="paragraph" w:styleId="12">
    <w:name w:val="annotation text"/>
    <w:basedOn w:val="1"/>
    <w:link w:val="39"/>
    <w:uiPriority w:val="0"/>
    <w:pPr>
      <w:jc w:val="left"/>
    </w:pPr>
  </w:style>
  <w:style w:type="paragraph" w:styleId="13">
    <w:name w:val="Body Text 3"/>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styleId="14">
    <w:name w:val="Body Text Indent"/>
    <w:basedOn w:val="1"/>
    <w:next w:val="15"/>
    <w:link w:val="40"/>
    <w:uiPriority w:val="0"/>
    <w:pPr>
      <w:snapToGrid w:val="0"/>
      <w:spacing w:after="120" w:line="360" w:lineRule="auto"/>
      <w:ind w:firstLine="630"/>
    </w:pPr>
    <w:rPr>
      <w:sz w:val="28"/>
      <w:szCs w:val="20"/>
    </w:rPr>
  </w:style>
  <w:style w:type="paragraph" w:styleId="15">
    <w:name w:val="envelope return"/>
    <w:basedOn w:val="1"/>
    <w:qFormat/>
    <w:uiPriority w:val="0"/>
    <w:pPr>
      <w:snapToGrid w:val="0"/>
    </w:pPr>
    <w:rPr>
      <w:rFonts w:ascii="Arial" w:hAnsi="Arial" w:cs="Arial"/>
    </w:rPr>
  </w:style>
  <w:style w:type="paragraph" w:styleId="16">
    <w:name w:val="toc 3"/>
    <w:basedOn w:val="1"/>
    <w:next w:val="1"/>
    <w:uiPriority w:val="39"/>
    <w:pPr>
      <w:ind w:left="840" w:leftChars="400"/>
    </w:pPr>
    <w:rPr>
      <w:sz w:val="24"/>
    </w:rPr>
  </w:style>
  <w:style w:type="paragraph" w:styleId="17">
    <w:name w:val="Plain Text"/>
    <w:basedOn w:val="1"/>
    <w:next w:val="1"/>
    <w:link w:val="41"/>
    <w:qFormat/>
    <w:uiPriority w:val="0"/>
    <w:rPr>
      <w:rFonts w:ascii="宋体" w:hAnsi="Courier New"/>
      <w:szCs w:val="20"/>
    </w:rPr>
  </w:style>
  <w:style w:type="paragraph" w:styleId="18">
    <w:name w:val="Date"/>
    <w:basedOn w:val="1"/>
    <w:next w:val="1"/>
    <w:link w:val="42"/>
    <w:qFormat/>
    <w:uiPriority w:val="0"/>
    <w:rPr>
      <w:sz w:val="28"/>
      <w:szCs w:val="20"/>
    </w:rPr>
  </w:style>
  <w:style w:type="paragraph" w:styleId="19">
    <w:name w:val="Body Text Indent 2"/>
    <w:basedOn w:val="1"/>
    <w:qFormat/>
    <w:uiPriority w:val="0"/>
    <w:pPr>
      <w:tabs>
        <w:tab w:val="left" w:pos="1785"/>
      </w:tabs>
      <w:snapToGrid w:val="0"/>
      <w:spacing w:after="120" w:line="360" w:lineRule="auto"/>
      <w:ind w:left="1995" w:hanging="630"/>
    </w:pPr>
    <w:rPr>
      <w:rFonts w:ascii="宋体"/>
      <w:sz w:val="28"/>
      <w:szCs w:val="20"/>
    </w:rPr>
  </w:style>
  <w:style w:type="paragraph" w:styleId="20">
    <w:name w:val="Balloon Text"/>
    <w:basedOn w:val="1"/>
    <w:uiPriority w:val="0"/>
    <w:rPr>
      <w:sz w:val="18"/>
      <w:szCs w:val="18"/>
    </w:rPr>
  </w:style>
  <w:style w:type="paragraph" w:styleId="21">
    <w:name w:val="footer"/>
    <w:basedOn w:val="1"/>
    <w:next w:val="1"/>
    <w:link w:val="43"/>
    <w:uiPriority w:val="99"/>
    <w:pPr>
      <w:tabs>
        <w:tab w:val="center" w:pos="4153"/>
        <w:tab w:val="right" w:pos="8306"/>
      </w:tabs>
      <w:snapToGrid w:val="0"/>
      <w:jc w:val="left"/>
    </w:pPr>
    <w:rPr>
      <w:sz w:val="18"/>
    </w:rPr>
  </w:style>
  <w:style w:type="paragraph" w:styleId="22">
    <w:name w:val="header"/>
    <w:basedOn w:val="1"/>
    <w:next w:val="21"/>
    <w:link w:val="44"/>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uiPriority w:val="39"/>
    <w:pPr>
      <w:tabs>
        <w:tab w:val="left" w:pos="1050"/>
        <w:tab w:val="right" w:leader="dot" w:pos="9401"/>
      </w:tabs>
    </w:pPr>
    <w:rPr>
      <w:sz w:val="24"/>
    </w:rPr>
  </w:style>
  <w:style w:type="paragraph" w:styleId="24">
    <w:name w:val="Body Text Indent 3"/>
    <w:basedOn w:val="1"/>
    <w:uiPriority w:val="0"/>
    <w:pPr>
      <w:spacing w:line="360" w:lineRule="auto"/>
      <w:ind w:left="1079" w:leftChars="114" w:hanging="840" w:hangingChars="350"/>
    </w:pPr>
    <w:rPr>
      <w:rFonts w:ascii="宋体" w:hAnsi="宋体"/>
      <w:sz w:val="24"/>
    </w:rPr>
  </w:style>
  <w:style w:type="paragraph" w:styleId="25">
    <w:name w:val="toc 2"/>
    <w:basedOn w:val="1"/>
    <w:next w:val="1"/>
    <w:uiPriority w:val="39"/>
    <w:pPr>
      <w:tabs>
        <w:tab w:val="left" w:pos="1260"/>
        <w:tab w:val="right" w:leader="dot" w:pos="9401"/>
      </w:tabs>
      <w:ind w:left="420" w:leftChars="200"/>
    </w:pPr>
    <w:rPr>
      <w:sz w:val="24"/>
    </w:rPr>
  </w:style>
  <w:style w:type="paragraph" w:styleId="26">
    <w:name w:val="Body Text 2"/>
    <w:basedOn w:val="1"/>
    <w:qFormat/>
    <w:uiPriority w:val="0"/>
    <w:pPr>
      <w:snapToGrid w:val="0"/>
      <w:spacing w:line="360" w:lineRule="auto"/>
    </w:pPr>
    <w:rPr>
      <w:sz w:val="24"/>
    </w:r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paragraph" w:styleId="28">
    <w:name w:val="Title"/>
    <w:basedOn w:val="1"/>
    <w:link w:val="45"/>
    <w:qFormat/>
    <w:uiPriority w:val="0"/>
    <w:pPr>
      <w:spacing w:before="240" w:after="60"/>
      <w:jc w:val="center"/>
      <w:outlineLvl w:val="0"/>
    </w:pPr>
    <w:rPr>
      <w:rFonts w:ascii="Arial" w:hAnsi="Arial"/>
      <w:b/>
      <w:bCs/>
      <w:sz w:val="32"/>
      <w:szCs w:val="32"/>
    </w:rPr>
  </w:style>
  <w:style w:type="paragraph" w:styleId="29">
    <w:name w:val="annotation subject"/>
    <w:basedOn w:val="12"/>
    <w:next w:val="12"/>
    <w:qFormat/>
    <w:uiPriority w:val="0"/>
    <w:rPr>
      <w:b/>
      <w:bCs/>
    </w:rPr>
  </w:style>
  <w:style w:type="paragraph" w:styleId="30">
    <w:name w:val="Body Text First Indent 2"/>
    <w:basedOn w:val="14"/>
    <w:qFormat/>
    <w:uiPriority w:val="0"/>
    <w:pPr>
      <w:autoSpaceDE/>
      <w:autoSpaceDN/>
      <w:adjustRightInd/>
      <w:spacing w:after="120" w:afterLines="0" w:line="240" w:lineRule="auto"/>
      <w:ind w:left="420" w:leftChars="200" w:firstLine="420" w:firstLineChars="200"/>
      <w:textAlignment w:val="auto"/>
    </w:pPr>
    <w:rPr>
      <w:rFonts w:ascii="Times New Roman" w:hAnsi="Times New Roman"/>
      <w:color w:val="auto"/>
      <w:kern w:val="2"/>
      <w:sz w:val="21"/>
    </w:rPr>
  </w:style>
  <w:style w:type="character" w:styleId="33">
    <w:name w:val="page number"/>
    <w:basedOn w:val="32"/>
    <w:qFormat/>
    <w:uiPriority w:val="0"/>
  </w:style>
  <w:style w:type="character" w:styleId="34">
    <w:name w:val="FollowedHyperlink"/>
    <w:qFormat/>
    <w:uiPriority w:val="0"/>
    <w:rPr>
      <w:color w:val="000000"/>
      <w:u w:val="none"/>
    </w:rPr>
  </w:style>
  <w:style w:type="character" w:styleId="35">
    <w:name w:val="Hyperlink"/>
    <w:qFormat/>
    <w:uiPriority w:val="99"/>
    <w:rPr>
      <w:color w:val="000000"/>
      <w:u w:val="none"/>
    </w:rPr>
  </w:style>
  <w:style w:type="character" w:styleId="36">
    <w:name w:val="annotation reference"/>
    <w:qFormat/>
    <w:uiPriority w:val="0"/>
    <w:rPr>
      <w:sz w:val="21"/>
      <w:szCs w:val="21"/>
    </w:rPr>
  </w:style>
  <w:style w:type="character" w:customStyle="1" w:styleId="37">
    <w:name w:val="正文首行缩进 Char"/>
    <w:link w:val="2"/>
    <w:qFormat/>
    <w:uiPriority w:val="0"/>
    <w:rPr>
      <w:kern w:val="2"/>
      <w:sz w:val="21"/>
      <w:szCs w:val="24"/>
    </w:rPr>
  </w:style>
  <w:style w:type="character" w:customStyle="1" w:styleId="38">
    <w:name w:val="标题 4 Char"/>
    <w:link w:val="7"/>
    <w:semiHidden/>
    <w:qFormat/>
    <w:uiPriority w:val="0"/>
    <w:rPr>
      <w:rFonts w:ascii="Cambria" w:hAnsi="Cambria" w:eastAsia="宋体" w:cs="Times New Roman"/>
      <w:b/>
      <w:bCs/>
      <w:kern w:val="2"/>
      <w:sz w:val="28"/>
      <w:szCs w:val="28"/>
    </w:rPr>
  </w:style>
  <w:style w:type="character" w:customStyle="1" w:styleId="39">
    <w:name w:val="批注文字 Char"/>
    <w:link w:val="12"/>
    <w:qFormat/>
    <w:uiPriority w:val="0"/>
    <w:rPr>
      <w:kern w:val="2"/>
      <w:sz w:val="21"/>
      <w:szCs w:val="24"/>
    </w:rPr>
  </w:style>
  <w:style w:type="character" w:customStyle="1" w:styleId="40">
    <w:name w:val="正文文本缩进 Char"/>
    <w:link w:val="14"/>
    <w:qFormat/>
    <w:uiPriority w:val="0"/>
    <w:rPr>
      <w:kern w:val="2"/>
      <w:sz w:val="28"/>
    </w:rPr>
  </w:style>
  <w:style w:type="character" w:customStyle="1" w:styleId="41">
    <w:name w:val="纯文本 Char"/>
    <w:link w:val="17"/>
    <w:qFormat/>
    <w:uiPriority w:val="0"/>
    <w:rPr>
      <w:rFonts w:ascii="宋体" w:hAnsi="Courier New"/>
      <w:kern w:val="2"/>
      <w:sz w:val="21"/>
    </w:rPr>
  </w:style>
  <w:style w:type="character" w:customStyle="1" w:styleId="42">
    <w:name w:val="日期 Char"/>
    <w:link w:val="18"/>
    <w:qFormat/>
    <w:uiPriority w:val="0"/>
    <w:rPr>
      <w:kern w:val="2"/>
      <w:sz w:val="28"/>
    </w:rPr>
  </w:style>
  <w:style w:type="character" w:customStyle="1" w:styleId="43">
    <w:name w:val="页脚 Char"/>
    <w:link w:val="21"/>
    <w:qFormat/>
    <w:uiPriority w:val="99"/>
    <w:rPr>
      <w:kern w:val="2"/>
      <w:sz w:val="18"/>
      <w:szCs w:val="24"/>
    </w:rPr>
  </w:style>
  <w:style w:type="character" w:customStyle="1" w:styleId="44">
    <w:name w:val="页眉 Char"/>
    <w:link w:val="22"/>
    <w:qFormat/>
    <w:uiPriority w:val="0"/>
    <w:rPr>
      <w:rFonts w:eastAsia="宋体"/>
      <w:kern w:val="2"/>
      <w:sz w:val="18"/>
      <w:szCs w:val="24"/>
      <w:lang w:val="en-US" w:eastAsia="zh-CN" w:bidi="ar-SA"/>
    </w:rPr>
  </w:style>
  <w:style w:type="character" w:customStyle="1" w:styleId="45">
    <w:name w:val="标题 Char"/>
    <w:link w:val="28"/>
    <w:qFormat/>
    <w:uiPriority w:val="0"/>
    <w:rPr>
      <w:rFonts w:ascii="Arial" w:hAnsi="Arial" w:cs="Arial"/>
      <w:b/>
      <w:bCs/>
      <w:kern w:val="2"/>
      <w:sz w:val="32"/>
      <w:szCs w:val="32"/>
    </w:rPr>
  </w:style>
  <w:style w:type="character" w:customStyle="1" w:styleId="46">
    <w:name w:val="默认段落字体 New New New New New New New New New New New New New New"/>
    <w:link w:val="47"/>
    <w:qFormat/>
    <w:uiPriority w:val="0"/>
    <w:rPr>
      <w:rFonts w:ascii="Tahoma" w:hAnsi="Tahoma"/>
      <w:kern w:val="2"/>
      <w:sz w:val="24"/>
      <w:szCs w:val="24"/>
    </w:rPr>
  </w:style>
  <w:style w:type="paragraph" w:customStyle="1" w:styleId="47">
    <w:name w:val="Char Char Char1 Char New New New New New New New New New New New New"/>
    <w:basedOn w:val="11"/>
    <w:link w:val="46"/>
    <w:qFormat/>
    <w:uiPriority w:val="0"/>
    <w:rPr>
      <w:rFonts w:ascii="Tahoma" w:hAnsi="Tahoma"/>
      <w:sz w:val="24"/>
    </w:rPr>
  </w:style>
  <w:style w:type="character" w:customStyle="1" w:styleId="48">
    <w:name w:val="默认段落字体 New"/>
    <w:qFormat/>
    <w:uiPriority w:val="0"/>
    <w:rPr>
      <w:rFonts w:ascii="Arial" w:hAnsi="Arial" w:eastAsia="仿宋_GB2312"/>
      <w:sz w:val="28"/>
      <w:szCs w:val="28"/>
    </w:rPr>
  </w:style>
  <w:style w:type="character" w:customStyle="1" w:styleId="49">
    <w:name w:val="times"/>
    <w:qFormat/>
    <w:uiPriority w:val="0"/>
    <w:rPr>
      <w:color w:val="CDCDCD"/>
      <w:bdr w:val="single" w:color="CDCDCD" w:sz="6" w:space="0"/>
      <w:shd w:val="clear" w:color="auto" w:fill="EFEFEF"/>
    </w:rPr>
  </w:style>
  <w:style w:type="character" w:customStyle="1" w:styleId="50">
    <w:name w:val="默认段落字体 New New New New New New"/>
    <w:link w:val="51"/>
    <w:uiPriority w:val="0"/>
    <w:rPr>
      <w:rFonts w:ascii="Tahoma" w:hAnsi="Tahoma"/>
      <w:kern w:val="2"/>
      <w:sz w:val="24"/>
      <w:szCs w:val="24"/>
    </w:rPr>
  </w:style>
  <w:style w:type="paragraph" w:customStyle="1" w:styleId="51">
    <w:name w:val="Char Char Char1 Char New New New New"/>
    <w:basedOn w:val="11"/>
    <w:link w:val="50"/>
    <w:qFormat/>
    <w:uiPriority w:val="0"/>
    <w:rPr>
      <w:rFonts w:ascii="Tahoma" w:hAnsi="Tahoma"/>
      <w:sz w:val="24"/>
    </w:rPr>
  </w:style>
  <w:style w:type="character" w:customStyle="1" w:styleId="52">
    <w:name w:val="font41"/>
    <w:qFormat/>
    <w:uiPriority w:val="0"/>
    <w:rPr>
      <w:rFonts w:ascii="Calibri" w:hAnsi="Calibri" w:cs="Calibri"/>
      <w:color w:val="000000"/>
      <w:sz w:val="21"/>
      <w:szCs w:val="21"/>
      <w:u w:val="none"/>
    </w:rPr>
  </w:style>
  <w:style w:type="character" w:customStyle="1" w:styleId="53">
    <w:name w:val="font51"/>
    <w:qFormat/>
    <w:uiPriority w:val="0"/>
    <w:rPr>
      <w:rFonts w:hint="eastAsia" w:ascii="宋体" w:hAnsi="宋体" w:eastAsia="宋体" w:cs="宋体"/>
      <w:color w:val="000000"/>
      <w:sz w:val="21"/>
      <w:szCs w:val="21"/>
      <w:u w:val="none"/>
    </w:rPr>
  </w:style>
  <w:style w:type="character" w:customStyle="1" w:styleId="54">
    <w:name w:val="默认段落字体 New New New New New New New New New New"/>
    <w:link w:val="55"/>
    <w:qFormat/>
    <w:uiPriority w:val="0"/>
    <w:rPr>
      <w:rFonts w:ascii="Tahoma" w:hAnsi="Tahoma"/>
      <w:kern w:val="2"/>
      <w:sz w:val="24"/>
      <w:szCs w:val="24"/>
    </w:rPr>
  </w:style>
  <w:style w:type="paragraph" w:customStyle="1" w:styleId="55">
    <w:name w:val="Char Char Char1 Char New New New New New New New New"/>
    <w:basedOn w:val="11"/>
    <w:link w:val="54"/>
    <w:qFormat/>
    <w:uiPriority w:val="0"/>
    <w:rPr>
      <w:rFonts w:ascii="Tahoma" w:hAnsi="Tahoma"/>
      <w:sz w:val="24"/>
    </w:rPr>
  </w:style>
  <w:style w:type="character" w:customStyle="1" w:styleId="56">
    <w:name w:val="hover37"/>
    <w:basedOn w:val="32"/>
    <w:qFormat/>
    <w:uiPriority w:val="0"/>
  </w:style>
  <w:style w:type="character" w:customStyle="1" w:styleId="57">
    <w:name w:val="hover36"/>
    <w:basedOn w:val="32"/>
    <w:qFormat/>
    <w:uiPriority w:val="0"/>
  </w:style>
  <w:style w:type="character" w:customStyle="1" w:styleId="58">
    <w:name w:val="font11"/>
    <w:qFormat/>
    <w:uiPriority w:val="0"/>
    <w:rPr>
      <w:rFonts w:hint="default" w:ascii="Calibri" w:hAnsi="Calibri" w:cs="Calibri"/>
      <w:color w:val="FF0000"/>
      <w:sz w:val="21"/>
      <w:szCs w:val="21"/>
      <w:u w:val="none"/>
    </w:rPr>
  </w:style>
  <w:style w:type="character" w:customStyle="1" w:styleId="59">
    <w:name w:val="默认段落字体 New New New New New New New New New New New New New"/>
    <w:link w:val="60"/>
    <w:qFormat/>
    <w:uiPriority w:val="0"/>
    <w:rPr>
      <w:rFonts w:ascii="Tahoma" w:hAnsi="Tahoma"/>
      <w:kern w:val="2"/>
      <w:sz w:val="24"/>
      <w:szCs w:val="24"/>
    </w:rPr>
  </w:style>
  <w:style w:type="paragraph" w:customStyle="1" w:styleId="60">
    <w:name w:val="Char Char Char1 Char New New New New New New New New New New New"/>
    <w:basedOn w:val="11"/>
    <w:link w:val="59"/>
    <w:qFormat/>
    <w:uiPriority w:val="0"/>
    <w:rPr>
      <w:rFonts w:ascii="Tahoma" w:hAnsi="Tahoma"/>
      <w:sz w:val="24"/>
    </w:rPr>
  </w:style>
  <w:style w:type="character" w:customStyle="1" w:styleId="61">
    <w:name w:val="默认段落字体 New New New New New New New New"/>
    <w:link w:val="62"/>
    <w:qFormat/>
    <w:uiPriority w:val="0"/>
    <w:rPr>
      <w:rFonts w:ascii="Tahoma" w:hAnsi="Tahoma"/>
      <w:kern w:val="2"/>
      <w:sz w:val="24"/>
      <w:szCs w:val="24"/>
    </w:rPr>
  </w:style>
  <w:style w:type="paragraph" w:customStyle="1" w:styleId="62">
    <w:name w:val="Char Char Char1 Char New New New New New New"/>
    <w:basedOn w:val="11"/>
    <w:link w:val="61"/>
    <w:qFormat/>
    <w:uiPriority w:val="0"/>
    <w:rPr>
      <w:rFonts w:ascii="Tahoma" w:hAnsi="Tahoma"/>
      <w:sz w:val="24"/>
    </w:rPr>
  </w:style>
  <w:style w:type="character" w:customStyle="1" w:styleId="63">
    <w:name w:val="默认段落字体 New New New New New New New New New New New New New New New New"/>
    <w:link w:val="64"/>
    <w:qFormat/>
    <w:uiPriority w:val="0"/>
    <w:rPr>
      <w:rFonts w:ascii="Tahoma" w:hAnsi="Tahoma"/>
      <w:kern w:val="2"/>
      <w:sz w:val="24"/>
      <w:szCs w:val="24"/>
    </w:rPr>
  </w:style>
  <w:style w:type="paragraph" w:customStyle="1" w:styleId="64">
    <w:name w:val="Char Char Char1 Char New New New New New New New New New New New New New New"/>
    <w:basedOn w:val="11"/>
    <w:link w:val="63"/>
    <w:qFormat/>
    <w:uiPriority w:val="0"/>
    <w:rPr>
      <w:rFonts w:ascii="Tahoma" w:hAnsi="Tahoma"/>
      <w:sz w:val="24"/>
    </w:rPr>
  </w:style>
  <w:style w:type="character" w:customStyle="1" w:styleId="65">
    <w:name w:val="font31"/>
    <w:basedOn w:val="32"/>
    <w:qFormat/>
    <w:uiPriority w:val="0"/>
    <w:rPr>
      <w:rFonts w:hint="eastAsia" w:ascii="宋体" w:hAnsi="宋体" w:eastAsia="宋体" w:cs="宋体"/>
      <w:color w:val="FF0000"/>
      <w:sz w:val="21"/>
      <w:szCs w:val="21"/>
      <w:u w:val="none"/>
    </w:rPr>
  </w:style>
  <w:style w:type="character" w:customStyle="1" w:styleId="66">
    <w:name w:val="font21"/>
    <w:qFormat/>
    <w:uiPriority w:val="0"/>
    <w:rPr>
      <w:rFonts w:hint="eastAsia" w:ascii="宋体" w:hAnsi="宋体" w:eastAsia="宋体" w:cs="宋体"/>
      <w:color w:val="000000"/>
      <w:sz w:val="21"/>
      <w:szCs w:val="21"/>
      <w:u w:val="none"/>
      <w:vertAlign w:val="superscript"/>
    </w:rPr>
  </w:style>
  <w:style w:type="character" w:customStyle="1" w:styleId="67">
    <w:name w:val="默认段落字体 New New New New New"/>
    <w:link w:val="68"/>
    <w:qFormat/>
    <w:uiPriority w:val="0"/>
    <w:rPr>
      <w:rFonts w:ascii="Tahoma" w:hAnsi="Tahoma"/>
      <w:kern w:val="2"/>
      <w:sz w:val="24"/>
      <w:szCs w:val="24"/>
    </w:rPr>
  </w:style>
  <w:style w:type="paragraph" w:customStyle="1" w:styleId="68">
    <w:name w:val="Char Char Char1 Char New New New"/>
    <w:basedOn w:val="11"/>
    <w:link w:val="67"/>
    <w:qFormat/>
    <w:uiPriority w:val="0"/>
    <w:rPr>
      <w:rFonts w:ascii="Tahoma" w:hAnsi="Tahoma"/>
      <w:sz w:val="24"/>
    </w:rPr>
  </w:style>
  <w:style w:type="character" w:customStyle="1" w:styleId="69">
    <w:name w:val="默认段落字体 New New New New New New New New New New New New"/>
    <w:link w:val="70"/>
    <w:qFormat/>
    <w:uiPriority w:val="0"/>
    <w:rPr>
      <w:rFonts w:ascii="Tahoma" w:hAnsi="Tahoma"/>
      <w:kern w:val="2"/>
      <w:sz w:val="24"/>
      <w:szCs w:val="24"/>
    </w:rPr>
  </w:style>
  <w:style w:type="paragraph" w:customStyle="1" w:styleId="70">
    <w:name w:val="Char Char Char1 Char New New New New New New New New New New"/>
    <w:basedOn w:val="11"/>
    <w:link w:val="69"/>
    <w:qFormat/>
    <w:uiPriority w:val="0"/>
    <w:rPr>
      <w:rFonts w:ascii="Tahoma" w:hAnsi="Tahoma"/>
      <w:sz w:val="24"/>
    </w:rPr>
  </w:style>
  <w:style w:type="character" w:customStyle="1" w:styleId="71">
    <w:name w:val="默认段落字体 New New New"/>
    <w:link w:val="72"/>
    <w:qFormat/>
    <w:uiPriority w:val="0"/>
    <w:rPr>
      <w:rFonts w:ascii="Tahoma" w:hAnsi="Tahoma"/>
      <w:kern w:val="2"/>
      <w:sz w:val="24"/>
      <w:szCs w:val="24"/>
    </w:rPr>
  </w:style>
  <w:style w:type="paragraph" w:customStyle="1" w:styleId="72">
    <w:name w:val="Char Char Char1 Char New"/>
    <w:basedOn w:val="11"/>
    <w:link w:val="71"/>
    <w:qFormat/>
    <w:uiPriority w:val="0"/>
    <w:rPr>
      <w:rFonts w:ascii="Tahoma" w:hAnsi="Tahoma"/>
      <w:sz w:val="24"/>
    </w:rPr>
  </w:style>
  <w:style w:type="character" w:customStyle="1" w:styleId="73">
    <w:name w:val="默认段落字体 New New New New New New New New New New New New New New New New New"/>
    <w:link w:val="74"/>
    <w:qFormat/>
    <w:uiPriority w:val="0"/>
    <w:rPr>
      <w:rFonts w:ascii="Tahoma" w:hAnsi="Tahoma"/>
      <w:kern w:val="2"/>
      <w:sz w:val="24"/>
      <w:szCs w:val="24"/>
    </w:rPr>
  </w:style>
  <w:style w:type="paragraph" w:customStyle="1" w:styleId="74">
    <w:name w:val="Char Char Char1 Char New New New New New New New New New New New New New New New"/>
    <w:basedOn w:val="11"/>
    <w:link w:val="73"/>
    <w:qFormat/>
    <w:uiPriority w:val="0"/>
    <w:rPr>
      <w:rFonts w:ascii="Tahoma" w:hAnsi="Tahoma"/>
      <w:sz w:val="24"/>
    </w:rPr>
  </w:style>
  <w:style w:type="character" w:customStyle="1" w:styleId="75">
    <w:name w:val="默认段落字体 New New New New New New New New New New New New New New New"/>
    <w:link w:val="76"/>
    <w:qFormat/>
    <w:uiPriority w:val="0"/>
    <w:rPr>
      <w:rFonts w:ascii="Tahoma" w:hAnsi="Tahoma"/>
      <w:kern w:val="2"/>
      <w:sz w:val="24"/>
      <w:szCs w:val="24"/>
    </w:rPr>
  </w:style>
  <w:style w:type="paragraph" w:customStyle="1" w:styleId="76">
    <w:name w:val="Char Char Char1 Char New New New New New New New New New New New New New"/>
    <w:basedOn w:val="11"/>
    <w:link w:val="75"/>
    <w:qFormat/>
    <w:uiPriority w:val="0"/>
    <w:rPr>
      <w:rFonts w:ascii="Tahoma" w:hAnsi="Tahoma"/>
      <w:sz w:val="24"/>
    </w:rPr>
  </w:style>
  <w:style w:type="character" w:customStyle="1" w:styleId="77">
    <w:name w:val="times1"/>
    <w:qFormat/>
    <w:uiPriority w:val="0"/>
    <w:rPr>
      <w:color w:val="3399FF"/>
      <w:bdr w:val="single" w:color="D1EDF8" w:sz="6" w:space="0"/>
      <w:shd w:val="clear" w:color="auto" w:fill="EAF9FF"/>
    </w:rPr>
  </w:style>
  <w:style w:type="character" w:customStyle="1" w:styleId="78">
    <w:name w:val="默认段落字体 New New New New"/>
    <w:link w:val="79"/>
    <w:qFormat/>
    <w:uiPriority w:val="0"/>
    <w:rPr>
      <w:rFonts w:ascii="Tahoma" w:hAnsi="Tahoma"/>
      <w:kern w:val="2"/>
      <w:sz w:val="24"/>
      <w:szCs w:val="24"/>
    </w:rPr>
  </w:style>
  <w:style w:type="paragraph" w:customStyle="1" w:styleId="79">
    <w:name w:val="Char Char Char1 Char New New"/>
    <w:basedOn w:val="11"/>
    <w:link w:val="78"/>
    <w:qFormat/>
    <w:uiPriority w:val="0"/>
    <w:rPr>
      <w:rFonts w:ascii="Tahoma" w:hAnsi="Tahoma"/>
      <w:sz w:val="24"/>
    </w:rPr>
  </w:style>
  <w:style w:type="character" w:customStyle="1" w:styleId="80">
    <w:name w:val="默认段落字体 New New New New New New New New New New New New New New New New New New"/>
    <w:link w:val="81"/>
    <w:qFormat/>
    <w:uiPriority w:val="0"/>
    <w:rPr>
      <w:rFonts w:ascii="Tahoma" w:hAnsi="Tahoma"/>
      <w:kern w:val="2"/>
      <w:sz w:val="24"/>
      <w:szCs w:val="24"/>
    </w:rPr>
  </w:style>
  <w:style w:type="paragraph" w:customStyle="1" w:styleId="81">
    <w:name w:val="Char Char Char1 Char New New New New New New New New New New New New New New New New"/>
    <w:basedOn w:val="11"/>
    <w:link w:val="80"/>
    <w:qFormat/>
    <w:uiPriority w:val="0"/>
    <w:rPr>
      <w:rFonts w:ascii="Tahoma" w:hAnsi="Tahoma"/>
      <w:sz w:val="24"/>
    </w:rPr>
  </w:style>
  <w:style w:type="character" w:customStyle="1" w:styleId="82">
    <w:name w:val="默认段落字体 New New New New New New New New New"/>
    <w:link w:val="83"/>
    <w:qFormat/>
    <w:uiPriority w:val="0"/>
    <w:rPr>
      <w:rFonts w:ascii="Tahoma" w:hAnsi="Tahoma"/>
      <w:kern w:val="2"/>
      <w:sz w:val="24"/>
      <w:szCs w:val="24"/>
    </w:rPr>
  </w:style>
  <w:style w:type="paragraph" w:customStyle="1" w:styleId="83">
    <w:name w:val="Char Char Char1 Char New New New New New New New"/>
    <w:basedOn w:val="11"/>
    <w:link w:val="82"/>
    <w:qFormat/>
    <w:uiPriority w:val="0"/>
    <w:rPr>
      <w:rFonts w:ascii="Tahoma" w:hAnsi="Tahoma"/>
      <w:sz w:val="24"/>
    </w:rPr>
  </w:style>
  <w:style w:type="character" w:customStyle="1" w:styleId="84">
    <w:name w:val="默认段落字体 New New New New New New New New New New New"/>
    <w:link w:val="85"/>
    <w:qFormat/>
    <w:uiPriority w:val="0"/>
    <w:rPr>
      <w:rFonts w:ascii="Tahoma" w:hAnsi="Tahoma"/>
      <w:kern w:val="2"/>
      <w:sz w:val="24"/>
      <w:szCs w:val="24"/>
    </w:rPr>
  </w:style>
  <w:style w:type="paragraph" w:customStyle="1" w:styleId="85">
    <w:name w:val="Char Char Char1 Char New New New New New New New New New"/>
    <w:basedOn w:val="11"/>
    <w:link w:val="84"/>
    <w:qFormat/>
    <w:uiPriority w:val="0"/>
    <w:rPr>
      <w:rFonts w:ascii="Tahoma" w:hAnsi="Tahoma"/>
      <w:sz w:val="24"/>
    </w:rPr>
  </w:style>
  <w:style w:type="character" w:customStyle="1" w:styleId="86">
    <w:name w:val="默认段落字体 New New New New New New New"/>
    <w:link w:val="87"/>
    <w:qFormat/>
    <w:uiPriority w:val="0"/>
    <w:rPr>
      <w:rFonts w:ascii="Tahoma" w:hAnsi="Tahoma"/>
      <w:kern w:val="2"/>
      <w:sz w:val="24"/>
      <w:szCs w:val="24"/>
    </w:rPr>
  </w:style>
  <w:style w:type="paragraph" w:customStyle="1" w:styleId="87">
    <w:name w:val="Char Char Char1 Char New New New New New"/>
    <w:basedOn w:val="11"/>
    <w:link w:val="86"/>
    <w:qFormat/>
    <w:uiPriority w:val="0"/>
    <w:rPr>
      <w:rFonts w:ascii="Tahoma" w:hAnsi="Tahoma"/>
      <w:sz w:val="24"/>
    </w:rPr>
  </w:style>
  <w:style w:type="character" w:customStyle="1" w:styleId="88">
    <w:name w:val="Comment Text Char"/>
    <w:qFormat/>
    <w:uiPriority w:val="0"/>
    <w:rPr>
      <w:rFonts w:ascii="Times New Roman" w:hAnsi="Times New Roman" w:eastAsia="宋体" w:cs="Times New Roman"/>
      <w:sz w:val="21"/>
      <w:szCs w:val="21"/>
    </w:rPr>
  </w:style>
  <w:style w:type="character" w:customStyle="1" w:styleId="89">
    <w:name w:val="默认段落字体 New New"/>
    <w:qFormat/>
    <w:uiPriority w:val="0"/>
    <w:rPr>
      <w:rFonts w:ascii="Arial" w:hAnsi="Arial" w:eastAsia="仿宋_GB2312"/>
      <w:sz w:val="28"/>
      <w:szCs w:val="28"/>
    </w:rPr>
  </w:style>
  <w:style w:type="paragraph" w:customStyle="1" w:styleId="90">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页脚 New New New New"/>
    <w:basedOn w:val="1"/>
    <w:qFormat/>
    <w:uiPriority w:val="0"/>
    <w:pPr>
      <w:tabs>
        <w:tab w:val="center" w:pos="4153"/>
        <w:tab w:val="right" w:pos="8306"/>
      </w:tabs>
      <w:snapToGrid w:val="0"/>
      <w:jc w:val="left"/>
    </w:pPr>
    <w:rPr>
      <w:sz w:val="18"/>
      <w:szCs w:val="20"/>
    </w:rPr>
  </w:style>
  <w:style w:type="paragraph" w:customStyle="1" w:styleId="9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页眉 New New New New New New New"/>
    <w:basedOn w:val="95"/>
    <w:qFormat/>
    <w:uiPriority w:val="0"/>
    <w:pPr>
      <w:pBdr>
        <w:bottom w:val="single" w:color="auto" w:sz="6" w:space="1"/>
      </w:pBdr>
      <w:tabs>
        <w:tab w:val="center" w:pos="4153"/>
        <w:tab w:val="right" w:pos="8306"/>
      </w:tabs>
      <w:snapToGrid w:val="0"/>
      <w:jc w:val="center"/>
    </w:pPr>
    <w:rPr>
      <w:sz w:val="18"/>
    </w:rPr>
  </w:style>
  <w:style w:type="paragraph" w:customStyle="1" w:styleId="95">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页脚 New New New New New New New New New New New New New New New New New New New New New New New New New New New New New New New New New New New New New New New New New New New New New New New New New New"/>
    <w:basedOn w:val="93"/>
    <w:qFormat/>
    <w:uiPriority w:val="0"/>
    <w:pPr>
      <w:tabs>
        <w:tab w:val="center" w:pos="4153"/>
        <w:tab w:val="right" w:pos="8306"/>
      </w:tabs>
      <w:snapToGrid w:val="0"/>
      <w:jc w:val="left"/>
    </w:pPr>
    <w:rPr>
      <w:sz w:val="18"/>
      <w:szCs w:val="18"/>
    </w:rPr>
  </w:style>
  <w:style w:type="paragraph" w:customStyle="1" w:styleId="97">
    <w:name w:val="页脚 New New New New New New New New New New New New New New New New New New New New New New New New New New New New New New New New New New New New New"/>
    <w:basedOn w:val="98"/>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页脚 New New New New New New New New New New New New New New New New New New New New New New New New New New New New New New New New New New New New New New New New"/>
    <w:basedOn w:val="102"/>
    <w:qFormat/>
    <w:uiPriority w:val="0"/>
    <w:pPr>
      <w:tabs>
        <w:tab w:val="center" w:pos="4153"/>
        <w:tab w:val="right" w:pos="8306"/>
      </w:tabs>
      <w:snapToGrid w:val="0"/>
      <w:jc w:val="left"/>
    </w:pPr>
    <w:rPr>
      <w:sz w:val="18"/>
      <w:szCs w:val="18"/>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页眉 New New New New New"/>
    <w:basedOn w:val="104"/>
    <w:qFormat/>
    <w:uiPriority w:val="0"/>
    <w:pPr>
      <w:pBdr>
        <w:bottom w:val="single" w:color="auto" w:sz="6" w:space="1"/>
      </w:pBdr>
      <w:tabs>
        <w:tab w:val="center" w:pos="4153"/>
        <w:tab w:val="right" w:pos="8306"/>
      </w:tabs>
      <w:snapToGrid w:val="0"/>
      <w:jc w:val="center"/>
    </w:pPr>
    <w:rPr>
      <w:sz w:val="18"/>
    </w:rPr>
  </w:style>
  <w:style w:type="paragraph" w:customStyle="1" w:styleId="104">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页脚 New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108">
    <w:name w:val="页脚 New New New New New New New New New New New New New New New New New New New New New New"/>
    <w:basedOn w:val="109"/>
    <w:qFormat/>
    <w:uiPriority w:val="0"/>
    <w:pPr>
      <w:tabs>
        <w:tab w:val="center" w:pos="4153"/>
        <w:tab w:val="right" w:pos="8306"/>
      </w:tabs>
      <w:snapToGrid w:val="0"/>
      <w:jc w:val="left"/>
    </w:pPr>
    <w:rPr>
      <w:sz w:val="18"/>
    </w:rPr>
  </w:style>
  <w:style w:type="paragraph" w:customStyle="1" w:styleId="109">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页脚 New New New New New New New New New New New New New New New New New New New New New New New New New New New New New New New New New New"/>
    <w:basedOn w:val="111"/>
    <w:qFormat/>
    <w:uiPriority w:val="0"/>
    <w:pPr>
      <w:tabs>
        <w:tab w:val="center" w:pos="4153"/>
        <w:tab w:val="right" w:pos="8306"/>
      </w:tabs>
      <w:snapToGrid w:val="0"/>
      <w:jc w:val="left"/>
    </w:pPr>
    <w:rPr>
      <w:sz w:val="18"/>
    </w:rPr>
  </w:style>
  <w:style w:type="paragraph" w:customStyle="1" w:styleId="11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页脚 New New New New New New New New New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114">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页脚 New New New New New New New New New New New New New New New New New New New"/>
    <w:basedOn w:val="112"/>
    <w:qFormat/>
    <w:uiPriority w:val="0"/>
    <w:pPr>
      <w:tabs>
        <w:tab w:val="center" w:pos="4153"/>
        <w:tab w:val="right" w:pos="8306"/>
      </w:tabs>
      <w:snapToGrid w:val="0"/>
      <w:jc w:val="left"/>
    </w:pPr>
    <w:rPr>
      <w:sz w:val="18"/>
    </w:rPr>
  </w:style>
  <w:style w:type="paragraph" w:customStyle="1" w:styleId="117">
    <w:name w:val="页眉 New New New New New New New New New New New New New"/>
    <w:basedOn w:val="105"/>
    <w:qFormat/>
    <w:uiPriority w:val="0"/>
    <w:pPr>
      <w:pBdr>
        <w:bottom w:val="single" w:color="auto" w:sz="6" w:space="1"/>
      </w:pBdr>
      <w:tabs>
        <w:tab w:val="center" w:pos="4153"/>
        <w:tab w:val="right" w:pos="8306"/>
      </w:tabs>
      <w:snapToGrid w:val="0"/>
      <w:jc w:val="center"/>
    </w:pPr>
    <w:rPr>
      <w:sz w:val="18"/>
    </w:rPr>
  </w:style>
  <w:style w:type="paragraph" w:customStyle="1" w:styleId="118">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默认段落字体 Para Char"/>
    <w:basedOn w:val="1"/>
    <w:qFormat/>
    <w:uiPriority w:val="0"/>
    <w:rPr>
      <w:sz w:val="30"/>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页脚 New New New New New New New New New New New New New New New New New New New New New New New New New New New New New New New"/>
    <w:basedOn w:val="129"/>
    <w:qFormat/>
    <w:uiPriority w:val="0"/>
    <w:pPr>
      <w:tabs>
        <w:tab w:val="center" w:pos="4153"/>
        <w:tab w:val="right" w:pos="8306"/>
      </w:tabs>
      <w:snapToGrid w:val="0"/>
      <w:jc w:val="left"/>
    </w:pPr>
    <w:rPr>
      <w:sz w:val="18"/>
    </w:rPr>
  </w:style>
  <w:style w:type="paragraph" w:customStyle="1" w:styleId="129">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
    <w:name w:val="样式 样式 标题 2 + 小四 + 段后: 0.5 行"/>
    <w:basedOn w:val="1"/>
    <w:qFormat/>
    <w:uiPriority w:val="0"/>
    <w:pPr>
      <w:keepNext/>
      <w:keepLines/>
      <w:tabs>
        <w:tab w:val="left" w:pos="360"/>
      </w:tabs>
      <w:adjustRightInd w:val="0"/>
      <w:spacing w:afterLines="50" w:line="360" w:lineRule="auto"/>
      <w:ind w:left="-482" w:firstLine="482"/>
      <w:jc w:val="left"/>
      <w:textAlignment w:val="baseline"/>
      <w:outlineLvl w:val="1"/>
    </w:pPr>
    <w:rPr>
      <w:rFonts w:eastAsia="黑体"/>
      <w:b/>
      <w:bCs/>
      <w:kern w:val="0"/>
      <w:sz w:val="28"/>
      <w:szCs w:val="28"/>
    </w:rPr>
  </w:style>
  <w:style w:type="paragraph" w:customStyle="1" w:styleId="131">
    <w:name w:val="页脚 New New New New New New New New New New New New New New New New New New New New New New New New New New New New New New New New New New New New New New New New New New New New New New New New New"/>
    <w:basedOn w:val="132"/>
    <w:qFormat/>
    <w:uiPriority w:val="0"/>
    <w:pPr>
      <w:tabs>
        <w:tab w:val="center" w:pos="4153"/>
        <w:tab w:val="right" w:pos="8306"/>
      </w:tabs>
      <w:snapToGrid w:val="0"/>
      <w:jc w:val="left"/>
    </w:pPr>
    <w:rPr>
      <w:sz w:val="18"/>
      <w:szCs w:val="18"/>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13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138">
    <w:name w:val="页眉 New New New New New New New New New New New New New New New"/>
    <w:basedOn w:val="139"/>
    <w:qFormat/>
    <w:uiPriority w:val="0"/>
    <w:pPr>
      <w:pBdr>
        <w:bottom w:val="single" w:color="auto" w:sz="6" w:space="1"/>
      </w:pBdr>
      <w:tabs>
        <w:tab w:val="center" w:pos="4153"/>
        <w:tab w:val="right" w:pos="8306"/>
      </w:tabs>
      <w:snapToGrid w:val="0"/>
      <w:jc w:val="center"/>
    </w:pPr>
    <w:rPr>
      <w:sz w:val="18"/>
    </w:rPr>
  </w:style>
  <w:style w:type="paragraph" w:customStyle="1" w:styleId="139">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页脚 New New New"/>
    <w:basedOn w:val="1"/>
    <w:qFormat/>
    <w:uiPriority w:val="0"/>
    <w:pPr>
      <w:tabs>
        <w:tab w:val="center" w:pos="4153"/>
        <w:tab w:val="right" w:pos="8306"/>
      </w:tabs>
      <w:snapToGrid w:val="0"/>
      <w:jc w:val="left"/>
    </w:pPr>
    <w:rPr>
      <w:sz w:val="18"/>
      <w:szCs w:val="18"/>
    </w:rPr>
  </w:style>
  <w:style w:type="paragraph" w:customStyle="1" w:styleId="142">
    <w:name w:val="页脚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143">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p0"/>
    <w:basedOn w:val="1"/>
    <w:qFormat/>
    <w:uiPriority w:val="0"/>
    <w:pPr>
      <w:widowControl/>
    </w:pPr>
    <w:rPr>
      <w:kern w:val="0"/>
      <w:szCs w:val="21"/>
    </w:rPr>
  </w:style>
  <w:style w:type="paragraph" w:customStyle="1" w:styleId="146">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默认段落字体 Para Char Char Char Char Char Char Char Char Char Char Char Char Char Char Char Char Char Char Char Char Char Char Char Char Char Char Char Char Char Char Char"/>
    <w:basedOn w:val="1"/>
    <w:qFormat/>
    <w:uiPriority w:val="0"/>
    <w:pPr>
      <w:spacing w:line="520" w:lineRule="exact"/>
      <w:jc w:val="center"/>
    </w:pPr>
    <w:rPr>
      <w:rFonts w:ascii="Arial" w:hAnsi="Arial" w:eastAsia="仿宋_GB2312"/>
      <w:sz w:val="28"/>
      <w:szCs w:val="28"/>
    </w:rPr>
  </w:style>
  <w:style w:type="paragraph" w:customStyle="1" w:styleId="14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页脚 New New New New New New New New New New New New"/>
    <w:basedOn w:val="1"/>
    <w:qFormat/>
    <w:uiPriority w:val="0"/>
    <w:pPr>
      <w:tabs>
        <w:tab w:val="center" w:pos="4153"/>
        <w:tab w:val="right" w:pos="8306"/>
      </w:tabs>
      <w:snapToGrid w:val="0"/>
      <w:jc w:val="left"/>
    </w:pPr>
    <w:rPr>
      <w:sz w:val="18"/>
      <w:szCs w:val="20"/>
    </w:rPr>
  </w:style>
  <w:style w:type="paragraph" w:customStyle="1" w:styleId="151">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w:basedOn w:val="153"/>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Char"/>
    <w:basedOn w:val="1"/>
    <w:qFormat/>
    <w:uiPriority w:val="0"/>
    <w:rPr>
      <w:sz w:val="30"/>
    </w:rPr>
  </w:style>
  <w:style w:type="paragraph" w:customStyle="1" w:styleId="155">
    <w:name w:val="页脚 New New New New New New New New New New New New New New New New New New New New New New New"/>
    <w:basedOn w:val="156"/>
    <w:qFormat/>
    <w:uiPriority w:val="0"/>
    <w:pPr>
      <w:tabs>
        <w:tab w:val="center" w:pos="4153"/>
        <w:tab w:val="right" w:pos="8306"/>
      </w:tabs>
      <w:snapToGrid w:val="0"/>
      <w:jc w:val="left"/>
    </w:pPr>
    <w:rPr>
      <w:sz w:val="18"/>
    </w:rPr>
  </w:style>
  <w:style w:type="paragraph" w:customStyle="1" w:styleId="156">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p15"/>
    <w:basedOn w:val="1"/>
    <w:qFormat/>
    <w:uiPriority w:val="0"/>
    <w:pPr>
      <w:widowControl/>
      <w:spacing w:after="120"/>
      <w:ind w:left="420"/>
    </w:pPr>
    <w:rPr>
      <w:kern w:val="0"/>
      <w:szCs w:val="21"/>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16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标题 2 New New New New New"/>
    <w:basedOn w:val="1"/>
    <w:next w:val="1"/>
    <w:qFormat/>
    <w:uiPriority w:val="0"/>
    <w:pPr>
      <w:keepNext/>
      <w:adjustRightInd w:val="0"/>
      <w:spacing w:line="360" w:lineRule="auto"/>
      <w:textAlignment w:val="baseline"/>
      <w:outlineLvl w:val="1"/>
    </w:pPr>
    <w:rPr>
      <w:rFonts w:eastAsia="黑体"/>
      <w:bCs/>
      <w:sz w:val="28"/>
    </w:rPr>
  </w:style>
  <w:style w:type="paragraph" w:customStyle="1" w:styleId="162">
    <w:name w:val="页脚 New New"/>
    <w:basedOn w:val="100"/>
    <w:qFormat/>
    <w:uiPriority w:val="0"/>
    <w:pPr>
      <w:tabs>
        <w:tab w:val="center" w:pos="4153"/>
        <w:tab w:val="right" w:pos="8306"/>
      </w:tabs>
      <w:snapToGrid w:val="0"/>
      <w:jc w:val="left"/>
    </w:pPr>
    <w:rPr>
      <w:sz w:val="18"/>
      <w:szCs w:val="18"/>
    </w:rPr>
  </w:style>
  <w:style w:type="paragraph" w:customStyle="1" w:styleId="163">
    <w:name w:val="页脚 New New New New New New New New New New New"/>
    <w:basedOn w:val="1"/>
    <w:qFormat/>
    <w:uiPriority w:val="0"/>
    <w:pPr>
      <w:tabs>
        <w:tab w:val="center" w:pos="4153"/>
        <w:tab w:val="right" w:pos="8306"/>
      </w:tabs>
      <w:snapToGrid w:val="0"/>
      <w:jc w:val="left"/>
    </w:pPr>
    <w:rPr>
      <w:sz w:val="18"/>
      <w:szCs w:val="20"/>
    </w:rPr>
  </w:style>
  <w:style w:type="paragraph" w:customStyle="1" w:styleId="164">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
    <w:name w:val="页脚 New New New New New New New New New New New New New New New New New New New New New New New New New New New New New New New New New New New New New New New New New New New"/>
    <w:basedOn w:val="158"/>
    <w:qFormat/>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9">
    <w:name w:val="页脚 New New New New New New New New New New New New New New New New New New New New New New New New New New New New New New New New"/>
    <w:basedOn w:val="170"/>
    <w:qFormat/>
    <w:uiPriority w:val="0"/>
    <w:pPr>
      <w:tabs>
        <w:tab w:val="center" w:pos="4153"/>
        <w:tab w:val="right" w:pos="8306"/>
      </w:tabs>
      <w:snapToGrid w:val="0"/>
      <w:jc w:val="left"/>
    </w:pPr>
    <w:rPr>
      <w:sz w:val="18"/>
    </w:rPr>
  </w:style>
  <w:style w:type="paragraph" w:customStyle="1" w:styleId="17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页脚 New New New New New New New New New New"/>
    <w:basedOn w:val="1"/>
    <w:qFormat/>
    <w:uiPriority w:val="0"/>
    <w:pPr>
      <w:tabs>
        <w:tab w:val="center" w:pos="4153"/>
        <w:tab w:val="right" w:pos="8306"/>
      </w:tabs>
      <w:snapToGrid w:val="0"/>
      <w:jc w:val="left"/>
    </w:pPr>
    <w:rPr>
      <w:sz w:val="18"/>
      <w:szCs w:val="20"/>
    </w:rPr>
  </w:style>
  <w:style w:type="paragraph" w:customStyle="1" w:styleId="173">
    <w:name w:val="页眉 New New New New New New New New New New New New New New New New New New New"/>
    <w:basedOn w:val="174"/>
    <w:qFormat/>
    <w:uiPriority w:val="0"/>
    <w:pPr>
      <w:pBdr>
        <w:bottom w:val="single" w:color="auto" w:sz="6" w:space="1"/>
      </w:pBdr>
      <w:tabs>
        <w:tab w:val="center" w:pos="4153"/>
        <w:tab w:val="right" w:pos="8306"/>
      </w:tabs>
      <w:snapToGrid w:val="0"/>
      <w:jc w:val="center"/>
    </w:pPr>
    <w:rPr>
      <w:sz w:val="18"/>
    </w:rPr>
  </w:style>
  <w:style w:type="paragraph" w:customStyle="1" w:styleId="17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6">
    <w:name w:val="页脚 New New New New New New New New New New New New New New New New New New New New"/>
    <w:basedOn w:val="177"/>
    <w:qFormat/>
    <w:uiPriority w:val="0"/>
    <w:pPr>
      <w:tabs>
        <w:tab w:val="center" w:pos="4153"/>
        <w:tab w:val="right" w:pos="8306"/>
      </w:tabs>
      <w:snapToGrid w:val="0"/>
      <w:jc w:val="left"/>
    </w:pPr>
    <w:rPr>
      <w:sz w:val="18"/>
    </w:rPr>
  </w:style>
  <w:style w:type="paragraph" w:customStyle="1" w:styleId="177">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页脚 New New New New New New New New New New New New New New New New New New New New New New New New New New New New New New New New New New New New New New New New New New New New New New New New"/>
    <w:basedOn w:val="179"/>
    <w:qFormat/>
    <w:uiPriority w:val="0"/>
    <w:pPr>
      <w:tabs>
        <w:tab w:val="center" w:pos="4153"/>
        <w:tab w:val="right" w:pos="8306"/>
      </w:tabs>
      <w:snapToGrid w:val="0"/>
      <w:jc w:val="left"/>
    </w:pPr>
    <w:rPr>
      <w:sz w:val="18"/>
      <w:szCs w:val="18"/>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页脚 New New New New New New New New"/>
    <w:basedOn w:val="160"/>
    <w:qFormat/>
    <w:uiPriority w:val="0"/>
    <w:pPr>
      <w:tabs>
        <w:tab w:val="center" w:pos="4153"/>
        <w:tab w:val="right" w:pos="8306"/>
      </w:tabs>
      <w:snapToGrid w:val="0"/>
      <w:jc w:val="left"/>
    </w:pPr>
    <w:rPr>
      <w:sz w:val="18"/>
    </w:rPr>
  </w:style>
  <w:style w:type="paragraph" w:customStyle="1" w:styleId="182">
    <w:name w:val="正文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样式2"/>
    <w:basedOn w:val="5"/>
    <w:qFormat/>
    <w:uiPriority w:val="0"/>
    <w:pPr>
      <w:keepLines/>
      <w:spacing w:beforeLines="0" w:after="260" w:line="416" w:lineRule="auto"/>
      <w:ind w:left="0" w:firstLine="0"/>
    </w:pPr>
    <w:rPr>
      <w:rFonts w:ascii="Arial" w:hAnsi="Arial" w:eastAsia="华文中宋"/>
      <w:sz w:val="36"/>
      <w:szCs w:val="36"/>
    </w:rPr>
  </w:style>
  <w:style w:type="paragraph" w:customStyle="1" w:styleId="185">
    <w:name w:val="页脚 New New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186">
    <w:name w:val="列出段落1"/>
    <w:basedOn w:val="1"/>
    <w:qFormat/>
    <w:uiPriority w:val="0"/>
    <w:pPr>
      <w:ind w:firstLine="420" w:firstLineChars="200"/>
    </w:pPr>
    <w:rPr>
      <w:szCs w:val="21"/>
    </w:rPr>
  </w:style>
  <w:style w:type="paragraph" w:customStyle="1" w:styleId="187">
    <w:name w:val="正文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188">
    <w:name w:val="页眉 New New New New New New New New New New New New New New New New New New"/>
    <w:basedOn w:val="111"/>
    <w:qFormat/>
    <w:uiPriority w:val="0"/>
    <w:pPr>
      <w:pBdr>
        <w:bottom w:val="single" w:color="auto" w:sz="6" w:space="1"/>
      </w:pBdr>
      <w:tabs>
        <w:tab w:val="center" w:pos="4153"/>
        <w:tab w:val="right" w:pos="8306"/>
      </w:tabs>
      <w:snapToGrid w:val="0"/>
      <w:jc w:val="center"/>
    </w:pPr>
    <w:rPr>
      <w:sz w:val="18"/>
    </w:rPr>
  </w:style>
  <w:style w:type="paragraph" w:customStyle="1" w:styleId="189">
    <w:name w:val="标题 2 New"/>
    <w:basedOn w:val="190"/>
    <w:next w:val="190"/>
    <w:qFormat/>
    <w:uiPriority w:val="0"/>
    <w:pPr>
      <w:keepNext/>
      <w:keepLines/>
      <w:spacing w:before="260" w:after="260" w:line="413" w:lineRule="auto"/>
      <w:outlineLvl w:val="1"/>
    </w:pPr>
    <w:rPr>
      <w:rFonts w:ascii="Arial" w:hAnsi="Arial" w:eastAsia="黑体"/>
      <w:b/>
      <w:sz w:val="32"/>
    </w:rPr>
  </w:style>
  <w:style w:type="paragraph" w:customStyle="1" w:styleId="19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2">
    <w:name w:val="页脚 New New New New New New New New New New New New New New New New New New New New New New New New"/>
    <w:basedOn w:val="105"/>
    <w:qFormat/>
    <w:uiPriority w:val="0"/>
    <w:pPr>
      <w:tabs>
        <w:tab w:val="center" w:pos="4153"/>
        <w:tab w:val="right" w:pos="8306"/>
      </w:tabs>
      <w:snapToGrid w:val="0"/>
      <w:jc w:val="left"/>
    </w:pPr>
    <w:rPr>
      <w:sz w:val="18"/>
    </w:rPr>
  </w:style>
  <w:style w:type="paragraph" w:customStyle="1" w:styleId="193">
    <w:name w:val="页脚 New New New New New New New New New New New New New New New New New New New New New New New New New New New New New New New New New New New New New New New"/>
    <w:basedOn w:val="171"/>
    <w:qFormat/>
    <w:uiPriority w:val="0"/>
    <w:pPr>
      <w:tabs>
        <w:tab w:val="center" w:pos="4153"/>
        <w:tab w:val="right" w:pos="8306"/>
      </w:tabs>
      <w:snapToGrid w:val="0"/>
      <w:jc w:val="left"/>
    </w:pPr>
    <w:rPr>
      <w:sz w:val="18"/>
      <w:szCs w:val="18"/>
    </w:rPr>
  </w:style>
  <w:style w:type="paragraph" w:customStyle="1" w:styleId="194">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文二"/>
    <w:basedOn w:val="1"/>
    <w:qFormat/>
    <w:uiPriority w:val="0"/>
    <w:pPr>
      <w:jc w:val="left"/>
    </w:pPr>
    <w:rPr>
      <w:rFonts w:ascii="宋体" w:hAnsi="宋体"/>
      <w:szCs w:val="21"/>
    </w:rPr>
  </w:style>
  <w:style w:type="paragraph" w:customStyle="1" w:styleId="196">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标题 2 New New"/>
    <w:basedOn w:val="1"/>
    <w:next w:val="1"/>
    <w:qFormat/>
    <w:uiPriority w:val="0"/>
    <w:pPr>
      <w:keepNext/>
      <w:adjustRightInd w:val="0"/>
      <w:spacing w:line="360" w:lineRule="auto"/>
      <w:textAlignment w:val="baseline"/>
      <w:outlineLvl w:val="1"/>
    </w:pPr>
    <w:rPr>
      <w:rFonts w:eastAsia="黑体"/>
      <w:bCs/>
      <w:sz w:val="28"/>
    </w:rPr>
  </w:style>
  <w:style w:type="paragraph" w:customStyle="1" w:styleId="198">
    <w:name w:val="页脚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199">
    <w:name w:val="Char Char Char1 Char"/>
    <w:basedOn w:val="11"/>
    <w:qFormat/>
    <w:uiPriority w:val="0"/>
    <w:rPr>
      <w:rFonts w:ascii="Tahoma" w:hAnsi="Tahoma"/>
      <w:sz w:val="24"/>
    </w:rPr>
  </w:style>
  <w:style w:type="paragraph" w:customStyle="1" w:styleId="200">
    <w:name w:val="页脚 New New New New New New New New New New New New New New New New New New New New New New New New New New New New"/>
    <w:basedOn w:val="183"/>
    <w:qFormat/>
    <w:uiPriority w:val="0"/>
    <w:pPr>
      <w:tabs>
        <w:tab w:val="center" w:pos="4153"/>
        <w:tab w:val="right" w:pos="8306"/>
      </w:tabs>
      <w:snapToGrid w:val="0"/>
      <w:jc w:val="left"/>
    </w:pPr>
    <w:rPr>
      <w:sz w:val="18"/>
    </w:rPr>
  </w:style>
  <w:style w:type="paragraph" w:customStyle="1" w:styleId="201">
    <w:name w:val="页眉 New New New New New New New New New New New New"/>
    <w:basedOn w:val="156"/>
    <w:qFormat/>
    <w:uiPriority w:val="0"/>
    <w:pPr>
      <w:pBdr>
        <w:bottom w:val="single" w:color="auto" w:sz="6" w:space="1"/>
      </w:pBdr>
      <w:tabs>
        <w:tab w:val="center" w:pos="4153"/>
        <w:tab w:val="right" w:pos="8306"/>
      </w:tabs>
      <w:snapToGrid w:val="0"/>
      <w:jc w:val="center"/>
    </w:pPr>
    <w:rPr>
      <w:sz w:val="18"/>
    </w:rPr>
  </w:style>
  <w:style w:type="paragraph" w:customStyle="1" w:styleId="202">
    <w:name w:val="页脚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203">
    <w:name w:val="页脚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204">
    <w:name w:val="页眉 New New New New New New New New New New New New New New"/>
    <w:basedOn w:val="183"/>
    <w:qFormat/>
    <w:uiPriority w:val="0"/>
    <w:pPr>
      <w:pBdr>
        <w:bottom w:val="single" w:color="auto" w:sz="6" w:space="1"/>
      </w:pBdr>
      <w:tabs>
        <w:tab w:val="center" w:pos="4153"/>
        <w:tab w:val="right" w:pos="8306"/>
      </w:tabs>
      <w:snapToGrid w:val="0"/>
      <w:jc w:val="center"/>
    </w:pPr>
    <w:rPr>
      <w:sz w:val="18"/>
    </w:rPr>
  </w:style>
  <w:style w:type="paragraph" w:customStyle="1" w:styleId="205">
    <w:name w:val="页眉 New New New New New New New New New New New"/>
    <w:basedOn w:val="109"/>
    <w:qFormat/>
    <w:uiPriority w:val="0"/>
    <w:pPr>
      <w:pBdr>
        <w:bottom w:val="single" w:color="auto" w:sz="6" w:space="1"/>
      </w:pBdr>
      <w:tabs>
        <w:tab w:val="center" w:pos="4153"/>
        <w:tab w:val="right" w:pos="8306"/>
      </w:tabs>
      <w:snapToGrid w:val="0"/>
      <w:jc w:val="center"/>
    </w:pPr>
    <w:rPr>
      <w:sz w:val="18"/>
    </w:rPr>
  </w:style>
  <w:style w:type="paragraph" w:customStyle="1" w:styleId="206">
    <w:name w:val="页脚 New New New New New New New"/>
    <w:basedOn w:val="104"/>
    <w:qFormat/>
    <w:uiPriority w:val="0"/>
    <w:pPr>
      <w:tabs>
        <w:tab w:val="center" w:pos="4153"/>
        <w:tab w:val="right" w:pos="8306"/>
      </w:tabs>
      <w:snapToGrid w:val="0"/>
      <w:jc w:val="left"/>
    </w:pPr>
    <w:rPr>
      <w:sz w:val="18"/>
    </w:rPr>
  </w:style>
  <w:style w:type="paragraph" w:customStyle="1" w:styleId="207">
    <w:name w:val="页脚 New New New New New New"/>
    <w:basedOn w:val="190"/>
    <w:qFormat/>
    <w:uiPriority w:val="0"/>
    <w:pPr>
      <w:tabs>
        <w:tab w:val="center" w:pos="4153"/>
        <w:tab w:val="right" w:pos="8306"/>
      </w:tabs>
      <w:snapToGrid w:val="0"/>
      <w:jc w:val="left"/>
    </w:pPr>
    <w:rPr>
      <w:sz w:val="18"/>
    </w:rPr>
  </w:style>
  <w:style w:type="paragraph" w:customStyle="1" w:styleId="208">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9">
    <w:name w:val="页脚 New New New New New New New New New New New New New New New New New New New New New New New New New New New New New New New New New New New New New New New New New New New New New New New"/>
    <w:basedOn w:val="115"/>
    <w:uiPriority w:val="0"/>
    <w:pPr>
      <w:tabs>
        <w:tab w:val="center" w:pos="4153"/>
        <w:tab w:val="right" w:pos="8306"/>
      </w:tabs>
      <w:snapToGrid w:val="0"/>
      <w:jc w:val="left"/>
    </w:pPr>
    <w:rPr>
      <w:sz w:val="18"/>
      <w:szCs w:val="18"/>
    </w:rPr>
  </w:style>
  <w:style w:type="paragraph" w:customStyle="1" w:styleId="210">
    <w:name w:val="页眉 New New New New New New New New"/>
    <w:basedOn w:val="112"/>
    <w:qFormat/>
    <w:uiPriority w:val="0"/>
    <w:pPr>
      <w:pBdr>
        <w:bottom w:val="single" w:color="auto" w:sz="6" w:space="1"/>
      </w:pBdr>
      <w:tabs>
        <w:tab w:val="center" w:pos="4153"/>
        <w:tab w:val="right" w:pos="8306"/>
      </w:tabs>
      <w:snapToGrid w:val="0"/>
      <w:jc w:val="center"/>
    </w:pPr>
    <w:rPr>
      <w:sz w:val="18"/>
    </w:rPr>
  </w:style>
  <w:style w:type="paragraph" w:customStyle="1" w:styleId="21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页眉 New New New New New New New New New"/>
    <w:basedOn w:val="177"/>
    <w:qFormat/>
    <w:uiPriority w:val="0"/>
    <w:pPr>
      <w:pBdr>
        <w:bottom w:val="single" w:color="auto" w:sz="6" w:space="1"/>
      </w:pBdr>
      <w:tabs>
        <w:tab w:val="center" w:pos="4153"/>
        <w:tab w:val="right" w:pos="8306"/>
      </w:tabs>
      <w:snapToGrid w:val="0"/>
      <w:jc w:val="center"/>
    </w:pPr>
    <w:rPr>
      <w:sz w:val="18"/>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页脚 New"/>
    <w:basedOn w:val="215"/>
    <w:qFormat/>
    <w:uiPriority w:val="0"/>
    <w:pPr>
      <w:tabs>
        <w:tab w:val="center" w:pos="4153"/>
        <w:tab w:val="right" w:pos="8306"/>
      </w:tabs>
      <w:snapToGrid w:val="0"/>
      <w:jc w:val="left"/>
    </w:pPr>
    <w:rPr>
      <w:sz w:val="18"/>
      <w:szCs w:val="18"/>
    </w:rPr>
  </w:style>
  <w:style w:type="paragraph" w:customStyle="1" w:styleId="21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1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页脚 New New New New New New New New New New New New New New New New New New New New New New New New New New New New New New New New New New New New New New New New New New New New"/>
    <w:basedOn w:val="219"/>
    <w:qFormat/>
    <w:uiPriority w:val="0"/>
    <w:pPr>
      <w:tabs>
        <w:tab w:val="center" w:pos="4153"/>
        <w:tab w:val="right" w:pos="8306"/>
      </w:tabs>
      <w:snapToGrid w:val="0"/>
      <w:jc w:val="left"/>
    </w:pPr>
    <w:rPr>
      <w:sz w:val="18"/>
      <w:szCs w:val="18"/>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页眉 New"/>
    <w:basedOn w:val="215"/>
    <w:qFormat/>
    <w:uiPriority w:val="0"/>
    <w:pPr>
      <w:pBdr>
        <w:bottom w:val="single" w:color="auto" w:sz="6" w:space="1"/>
      </w:pBdr>
      <w:tabs>
        <w:tab w:val="center" w:pos="4153"/>
        <w:tab w:val="right" w:pos="8306"/>
      </w:tabs>
      <w:snapToGrid w:val="0"/>
      <w:jc w:val="center"/>
    </w:pPr>
    <w:rPr>
      <w:sz w:val="18"/>
      <w:szCs w:val="18"/>
    </w:rPr>
  </w:style>
  <w:style w:type="paragraph" w:customStyle="1" w:styleId="222">
    <w:name w:val="页眉 New New New New"/>
    <w:basedOn w:val="190"/>
    <w:qFormat/>
    <w:uiPriority w:val="0"/>
    <w:pPr>
      <w:pBdr>
        <w:bottom w:val="single" w:color="auto" w:sz="6" w:space="1"/>
      </w:pBdr>
      <w:tabs>
        <w:tab w:val="center" w:pos="4153"/>
        <w:tab w:val="right" w:pos="8306"/>
      </w:tabs>
      <w:snapToGrid w:val="0"/>
      <w:jc w:val="center"/>
    </w:pPr>
    <w:rPr>
      <w:sz w:val="18"/>
    </w:rPr>
  </w:style>
  <w:style w:type="paragraph" w:customStyle="1" w:styleId="223">
    <w:name w:val="样式 标题 1 + 小三"/>
    <w:basedOn w:val="4"/>
    <w:qFormat/>
    <w:uiPriority w:val="0"/>
    <w:rPr>
      <w:sz w:val="30"/>
    </w:rPr>
  </w:style>
  <w:style w:type="paragraph" w:customStyle="1" w:styleId="224">
    <w:name w:val="页脚 New New New New New New New New New New New New New New New New New New New New New New New New New New New New New New"/>
    <w:basedOn w:val="139"/>
    <w:qFormat/>
    <w:uiPriority w:val="0"/>
    <w:pPr>
      <w:tabs>
        <w:tab w:val="center" w:pos="4153"/>
        <w:tab w:val="right" w:pos="8306"/>
      </w:tabs>
      <w:snapToGrid w:val="0"/>
      <w:jc w:val="left"/>
    </w:pPr>
    <w:rPr>
      <w:sz w:val="18"/>
    </w:rPr>
  </w:style>
  <w:style w:type="paragraph" w:customStyle="1" w:styleId="225">
    <w:name w:val="页脚 New New New New New New New New New New New New New New New New New New New New New New New New New New New New New New New New New New New New New New"/>
    <w:basedOn w:val="226"/>
    <w:qFormat/>
    <w:uiPriority w:val="0"/>
    <w:pPr>
      <w:tabs>
        <w:tab w:val="center" w:pos="4153"/>
        <w:tab w:val="right" w:pos="8306"/>
      </w:tabs>
      <w:snapToGrid w:val="0"/>
      <w:jc w:val="left"/>
    </w:pPr>
    <w:rPr>
      <w:sz w:val="18"/>
      <w:szCs w:val="18"/>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仿宋_GB2312" w:hAnsi="Times New Roman" w:eastAsia="仿宋_GB2312" w:cs="Times New Roman"/>
      <w:snapToGrid w:val="0"/>
      <w:sz w:val="32"/>
      <w:szCs w:val="32"/>
      <w:lang w:val="en-US" w:eastAsia="zh-CN" w:bidi="ar-SA"/>
    </w:rPr>
  </w:style>
  <w:style w:type="paragraph" w:customStyle="1" w:styleId="229">
    <w:name w:val="标题 2 New New New"/>
    <w:basedOn w:val="1"/>
    <w:next w:val="1"/>
    <w:qFormat/>
    <w:uiPriority w:val="0"/>
    <w:pPr>
      <w:keepNext/>
      <w:adjustRightInd w:val="0"/>
      <w:spacing w:line="360" w:lineRule="auto"/>
      <w:textAlignment w:val="baseline"/>
      <w:outlineLvl w:val="1"/>
    </w:pPr>
    <w:rPr>
      <w:rFonts w:eastAsia="黑体"/>
      <w:bCs/>
      <w:sz w:val="28"/>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w:basedOn w:val="147"/>
    <w:qFormat/>
    <w:uiPriority w:val="0"/>
    <w:pPr>
      <w:tabs>
        <w:tab w:val="center" w:pos="4153"/>
        <w:tab w:val="right" w:pos="8306"/>
      </w:tabs>
      <w:snapToGrid w:val="0"/>
      <w:jc w:val="left"/>
    </w:pPr>
    <w:rPr>
      <w:sz w:val="18"/>
      <w:szCs w:val="18"/>
    </w:rPr>
  </w:style>
  <w:style w:type="paragraph" w:customStyle="1" w:styleId="231">
    <w:name w:val="页脚 New New New New New New New New New New New New New New New New New New New New New New New New New New New New New New New New New New New New New New New New New New"/>
    <w:basedOn w:val="191"/>
    <w:qFormat/>
    <w:uiPriority w:val="0"/>
    <w:pPr>
      <w:tabs>
        <w:tab w:val="center" w:pos="4153"/>
        <w:tab w:val="right" w:pos="8306"/>
      </w:tabs>
      <w:snapToGrid w:val="0"/>
      <w:jc w:val="left"/>
    </w:pPr>
    <w:rPr>
      <w:sz w:val="18"/>
      <w:szCs w:val="18"/>
    </w:rPr>
  </w:style>
  <w:style w:type="paragraph" w:customStyle="1" w:styleId="232">
    <w:name w:val="页脚 New New New New New New New New New New New New New New New New New New New New New New New New New New New New New New New New New New New New New New New New New New New New New"/>
    <w:basedOn w:val="175"/>
    <w:qFormat/>
    <w:uiPriority w:val="0"/>
    <w:pPr>
      <w:tabs>
        <w:tab w:val="center" w:pos="4153"/>
        <w:tab w:val="right" w:pos="8306"/>
      </w:tabs>
      <w:snapToGrid w:val="0"/>
      <w:jc w:val="left"/>
    </w:pPr>
    <w:rPr>
      <w:sz w:val="18"/>
      <w:szCs w:val="18"/>
    </w:rPr>
  </w:style>
  <w:style w:type="paragraph" w:customStyle="1" w:styleId="233">
    <w:name w:val="页脚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234">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页眉 New New New"/>
    <w:basedOn w:val="182"/>
    <w:qFormat/>
    <w:uiPriority w:val="0"/>
    <w:pPr>
      <w:pBdr>
        <w:bottom w:val="single" w:color="auto" w:sz="6" w:space="1"/>
      </w:pBdr>
      <w:tabs>
        <w:tab w:val="center" w:pos="4153"/>
        <w:tab w:val="right" w:pos="8306"/>
      </w:tabs>
      <w:snapToGrid w:val="0"/>
      <w:jc w:val="center"/>
    </w:pPr>
    <w:rPr>
      <w:sz w:val="18"/>
      <w:szCs w:val="18"/>
    </w:rPr>
  </w:style>
  <w:style w:type="paragraph" w:customStyle="1" w:styleId="236">
    <w:name w:val="页脚 New New New New New New New New New New New New New New New New New New New New New"/>
    <w:basedOn w:val="144"/>
    <w:qFormat/>
    <w:uiPriority w:val="0"/>
    <w:pPr>
      <w:tabs>
        <w:tab w:val="center" w:pos="4153"/>
        <w:tab w:val="right" w:pos="8306"/>
      </w:tabs>
      <w:snapToGrid w:val="0"/>
      <w:jc w:val="left"/>
    </w:pPr>
    <w:rPr>
      <w:sz w:val="18"/>
    </w:rPr>
  </w:style>
  <w:style w:type="paragraph" w:customStyle="1" w:styleId="23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表头"/>
    <w:basedOn w:val="1"/>
    <w:qFormat/>
    <w:uiPriority w:val="0"/>
    <w:pPr>
      <w:spacing w:line="360" w:lineRule="auto"/>
      <w:jc w:val="center"/>
    </w:pPr>
    <w:rPr>
      <w:rFonts w:ascii="黑体" w:eastAsia="黑体"/>
      <w:kern w:val="0"/>
      <w:sz w:val="24"/>
      <w:szCs w:val="20"/>
    </w:rPr>
  </w:style>
  <w:style w:type="paragraph" w:customStyle="1" w:styleId="240">
    <w:name w:val="页脚 New New New New New"/>
    <w:basedOn w:val="182"/>
    <w:qFormat/>
    <w:uiPriority w:val="0"/>
    <w:pPr>
      <w:tabs>
        <w:tab w:val="center" w:pos="4153"/>
        <w:tab w:val="right" w:pos="8306"/>
      </w:tabs>
      <w:snapToGrid w:val="0"/>
      <w:jc w:val="left"/>
    </w:pPr>
    <w:rPr>
      <w:sz w:val="18"/>
      <w:szCs w:val="18"/>
    </w:rPr>
  </w:style>
  <w:style w:type="paragraph" w:customStyle="1" w:styleId="241">
    <w:name w:val="页脚 New New New New New New New New New"/>
    <w:basedOn w:val="95"/>
    <w:qFormat/>
    <w:uiPriority w:val="0"/>
    <w:pPr>
      <w:tabs>
        <w:tab w:val="center" w:pos="4153"/>
        <w:tab w:val="right" w:pos="8306"/>
      </w:tabs>
      <w:snapToGrid w:val="0"/>
      <w:jc w:val="left"/>
    </w:pPr>
    <w:rPr>
      <w:sz w:val="18"/>
    </w:rPr>
  </w:style>
  <w:style w:type="paragraph" w:customStyle="1" w:styleId="242">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243">
    <w:name w:val="页眉 New New New New New New New New New New New New New New New New New"/>
    <w:basedOn w:val="170"/>
    <w:qFormat/>
    <w:uiPriority w:val="0"/>
    <w:pPr>
      <w:pBdr>
        <w:bottom w:val="single" w:color="auto" w:sz="6" w:space="1"/>
      </w:pBdr>
      <w:tabs>
        <w:tab w:val="center" w:pos="4153"/>
        <w:tab w:val="right" w:pos="8306"/>
      </w:tabs>
      <w:snapToGrid w:val="0"/>
      <w:jc w:val="center"/>
    </w:pPr>
    <w:rPr>
      <w:sz w:val="18"/>
    </w:rPr>
  </w:style>
  <w:style w:type="paragraph" w:customStyle="1" w:styleId="244">
    <w:name w:val="页眉 New New New New New New New New New New New New New New New New"/>
    <w:basedOn w:val="129"/>
    <w:qFormat/>
    <w:uiPriority w:val="0"/>
    <w:pPr>
      <w:pBdr>
        <w:bottom w:val="single" w:color="auto" w:sz="6" w:space="1"/>
      </w:pBdr>
      <w:tabs>
        <w:tab w:val="center" w:pos="4153"/>
        <w:tab w:val="right" w:pos="8306"/>
      </w:tabs>
      <w:snapToGrid w:val="0"/>
      <w:jc w:val="center"/>
    </w:pPr>
    <w:rPr>
      <w:sz w:val="18"/>
    </w:rPr>
  </w:style>
  <w:style w:type="paragraph" w:customStyle="1" w:styleId="245">
    <w:name w:val="页眉 New New New New New New"/>
    <w:basedOn w:val="160"/>
    <w:qFormat/>
    <w:uiPriority w:val="0"/>
    <w:pPr>
      <w:pBdr>
        <w:bottom w:val="single" w:color="auto" w:sz="6" w:space="1"/>
      </w:pBdr>
      <w:tabs>
        <w:tab w:val="center" w:pos="4153"/>
        <w:tab w:val="right" w:pos="8306"/>
      </w:tabs>
      <w:snapToGrid w:val="0"/>
      <w:jc w:val="center"/>
    </w:pPr>
    <w:rPr>
      <w:sz w:val="18"/>
    </w:rPr>
  </w:style>
  <w:style w:type="paragraph" w:customStyle="1" w:styleId="246">
    <w:name w:val="页眉 New New"/>
    <w:basedOn w:val="100"/>
    <w:qFormat/>
    <w:uiPriority w:val="0"/>
    <w:pPr>
      <w:pBdr>
        <w:bottom w:val="single" w:color="auto" w:sz="6" w:space="1"/>
      </w:pBdr>
      <w:tabs>
        <w:tab w:val="center" w:pos="4153"/>
        <w:tab w:val="right" w:pos="8306"/>
      </w:tabs>
      <w:snapToGrid w:val="0"/>
      <w:jc w:val="center"/>
    </w:pPr>
    <w:rPr>
      <w:sz w:val="18"/>
      <w:szCs w:val="18"/>
    </w:rPr>
  </w:style>
  <w:style w:type="paragraph" w:customStyle="1" w:styleId="247">
    <w:name w:val="页脚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20"/>
    </w:rPr>
  </w:style>
  <w:style w:type="paragraph" w:customStyle="1" w:styleId="248">
    <w:name w:val="表格文字"/>
    <w:basedOn w:val="1"/>
    <w:next w:val="1"/>
    <w:qFormat/>
    <w:uiPriority w:val="0"/>
    <w:pPr>
      <w:snapToGrid w:val="0"/>
      <w:spacing w:line="360" w:lineRule="atLeast"/>
      <w:jc w:val="center"/>
    </w:pPr>
    <w:rPr>
      <w:rFonts w:ascii="宋体" w:eastAsia="幼圆"/>
      <w:szCs w:val="20"/>
    </w:rPr>
  </w:style>
  <w:style w:type="paragraph" w:customStyle="1" w:styleId="249">
    <w:name w:val="自正文2"/>
    <w:basedOn w:val="1"/>
    <w:qFormat/>
    <w:uiPriority w:val="0"/>
    <w:pPr>
      <w:ind w:firstLine="598" w:firstLineChars="249"/>
    </w:pPr>
    <w:rPr>
      <w:rFonts w:ascii="宋体" w:hAnsi="宋体"/>
      <w:snapToGrid w:val="0"/>
      <w:color w:val="000000"/>
      <w:sz w:val="24"/>
      <w:szCs w:val="20"/>
    </w:rPr>
  </w:style>
  <w:style w:type="paragraph" w:customStyle="1" w:styleId="250">
    <w:name w:val="页脚 New New New New New New New New New New New New New New New New New New New New New New New New New New New New New New New New New New New"/>
    <w:basedOn w:val="174"/>
    <w:qFormat/>
    <w:uiPriority w:val="0"/>
    <w:pPr>
      <w:tabs>
        <w:tab w:val="center" w:pos="4153"/>
        <w:tab w:val="right" w:pos="8306"/>
      </w:tabs>
      <w:snapToGrid w:val="0"/>
      <w:jc w:val="left"/>
    </w:pPr>
    <w:rPr>
      <w:sz w:val="18"/>
    </w:rPr>
  </w:style>
  <w:style w:type="paragraph" w:customStyle="1" w:styleId="251">
    <w:name w:val="页脚 New New New New New New New New New New New New New New New New New New New New New New New New New New New New New New New New New New New New New New New New New"/>
    <w:basedOn w:val="123"/>
    <w:qFormat/>
    <w:uiPriority w:val="0"/>
    <w:pPr>
      <w:tabs>
        <w:tab w:val="center" w:pos="4153"/>
        <w:tab w:val="right" w:pos="8306"/>
      </w:tabs>
      <w:snapToGrid w:val="0"/>
      <w:jc w:val="left"/>
    </w:pPr>
    <w:rPr>
      <w:sz w:val="18"/>
      <w:szCs w:val="18"/>
    </w:rPr>
  </w:style>
  <w:style w:type="paragraph" w:customStyle="1" w:styleId="252">
    <w:name w:val="标题 2 New New New New"/>
    <w:basedOn w:val="1"/>
    <w:next w:val="1"/>
    <w:qFormat/>
    <w:uiPriority w:val="0"/>
    <w:pPr>
      <w:keepNext/>
      <w:adjustRightInd w:val="0"/>
      <w:spacing w:line="360" w:lineRule="auto"/>
      <w:textAlignment w:val="baseline"/>
      <w:outlineLvl w:val="1"/>
    </w:pPr>
    <w:rPr>
      <w:rFonts w:eastAsia="黑体"/>
      <w:bCs/>
      <w:sz w:val="28"/>
    </w:rPr>
  </w:style>
  <w:style w:type="paragraph" w:customStyle="1" w:styleId="2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254">
    <w:name w:val="页眉 New New New New New New New New New New"/>
    <w:basedOn w:val="144"/>
    <w:qFormat/>
    <w:uiPriority w:val="0"/>
    <w:pPr>
      <w:pBdr>
        <w:bottom w:val="single" w:color="auto" w:sz="6" w:space="1"/>
      </w:pBdr>
      <w:tabs>
        <w:tab w:val="center" w:pos="4153"/>
        <w:tab w:val="right" w:pos="8306"/>
      </w:tabs>
      <w:snapToGrid w:val="0"/>
      <w:jc w:val="center"/>
    </w:pPr>
    <w:rPr>
      <w:sz w:val="18"/>
    </w:rPr>
  </w:style>
  <w:style w:type="paragraph" w:customStyle="1" w:styleId="255">
    <w:name w:val="样式 宋体 行距: 1.5 倍行距"/>
    <w:basedOn w:val="1"/>
    <w:qFormat/>
    <w:uiPriority w:val="0"/>
    <w:pPr>
      <w:jc w:val="center"/>
    </w:pPr>
    <w:rPr>
      <w:rFonts w:ascii="Times New Roman" w:hAnsi="Times New Roman" w:eastAsia="宋体" w:cs="Times New Roman"/>
      <w:b/>
    </w:rPr>
  </w:style>
  <w:style w:type="table" w:customStyle="1" w:styleId="256">
    <w:name w:val="Table Normal"/>
    <w:unhideWhenUsed/>
    <w:qFormat/>
    <w:uiPriority w:val="0"/>
    <w:tblPr>
      <w:tblCellMar>
        <w:top w:w="0" w:type="dxa"/>
        <w:left w:w="0" w:type="dxa"/>
        <w:bottom w:w="0" w:type="dxa"/>
        <w:right w:w="0" w:type="dxa"/>
      </w:tblCellMar>
    </w:tblPr>
  </w:style>
  <w:style w:type="paragraph" w:customStyle="1" w:styleId="25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258">
    <w:name w:val="文一"/>
    <w:basedOn w:val="1"/>
    <w:qFormat/>
    <w:uiPriority w:val="0"/>
    <w:pPr>
      <w:topLinePunct/>
      <w:adjustRightInd w:val="0"/>
      <w:snapToGrid w:val="0"/>
      <w:spacing w:line="360" w:lineRule="auto"/>
      <w:ind w:firstLine="200" w:firstLineChars="200"/>
    </w:pPr>
    <w:rPr>
      <w:rFonts w:ascii="等线" w:hAnsi="等线" w:eastAsia="等线"/>
      <w:spacing w:val="4"/>
      <w:kern w:val="0"/>
      <w:sz w:val="24"/>
    </w:rPr>
  </w:style>
  <w:style w:type="paragraph" w:customStyle="1" w:styleId="259">
    <w:name w:val="Table Paragraph"/>
    <w:basedOn w:val="1"/>
    <w:qFormat/>
    <w:uiPriority w:val="0"/>
  </w:style>
  <w:style w:type="paragraph" w:customStyle="1" w:styleId="26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26590</Words>
  <Characters>27612</Characters>
  <Lines>280</Lines>
  <Paragraphs>79</Paragraphs>
  <TotalTime>252</TotalTime>
  <ScaleCrop>false</ScaleCrop>
  <LinksUpToDate>false</LinksUpToDate>
  <CharactersWithSpaces>29392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2019-11-22T01:50:00Z</dcterms:created>
  <dc:creator>dd</dc:creator>
  <cp:lastModifiedBy>c</cp:lastModifiedBy>
  <cp:lastPrinted>2025-07-23T02:15:00Z</cp:lastPrinted>
  <dcterms:modified xsi:type="dcterms:W3CDTF">2025-09-01T09:19:19Z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FF32690A27DB49CC9C929FBA12F7FC8C_13</vt:lpwstr>
  </property>
  <property fmtid="{D5CDD505-2E9C-101B-9397-08002B2CF9AE}" pid="4" name="KSOTemplateDocerSaveRecord">
    <vt:lpwstr>eyJoZGlkIjoiM2E0M2M3YzNjNDQzNTBiM2FiMjQzYWU0MjE1NTViYzEiLCJ1c2VySWQiOiIzOTkxNTM0OTEifQ==</vt:lpwstr>
  </property>
</Properties>
</file>