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420" w:firstLineChars="0"/>
        <w:rPr>
          <w:rStyle w:val="30"/>
          <w:b/>
          <w:bCs/>
          <w:color w:val="auto"/>
          <w:sz w:val="44"/>
          <w:szCs w:val="44"/>
          <w:highlight w:val="none"/>
        </w:rPr>
      </w:pPr>
    </w:p>
    <w:p>
      <w:pPr>
        <w:spacing w:line="360" w:lineRule="auto"/>
        <w:jc w:val="center"/>
        <w:rPr>
          <w:rFonts w:eastAsia="楷体_GB2312"/>
          <w:b/>
          <w:bCs/>
          <w:color w:val="auto"/>
          <w:spacing w:val="26"/>
          <w:sz w:val="110"/>
          <w:szCs w:val="110"/>
          <w:highlight w:val="none"/>
        </w:rPr>
      </w:pPr>
      <w:r>
        <w:rPr>
          <w:rFonts w:hint="eastAsia"/>
          <w:b/>
          <w:bCs/>
          <w:color w:val="auto"/>
          <w:sz w:val="48"/>
          <w:szCs w:val="48"/>
          <w:highlight w:val="none"/>
          <w:u w:val="none"/>
          <w:lang w:eastAsia="zh-CN"/>
        </w:rPr>
        <w:t>琴澳创新产业园一期主体工程景观工程施工专业承包</w:t>
      </w:r>
    </w:p>
    <w:p>
      <w:pPr>
        <w:spacing w:line="360" w:lineRule="auto"/>
        <w:jc w:val="center"/>
        <w:rPr>
          <w:rFonts w:eastAsia="楷体_GB2312"/>
          <w:b/>
          <w:bCs/>
          <w:color w:val="auto"/>
          <w:spacing w:val="26"/>
          <w:sz w:val="110"/>
          <w:szCs w:val="110"/>
          <w:highlight w:val="none"/>
        </w:rPr>
      </w:pPr>
    </w:p>
    <w:p>
      <w:pPr>
        <w:spacing w:line="360" w:lineRule="auto"/>
        <w:jc w:val="center"/>
        <w:rPr>
          <w:rFonts w:hint="eastAsia" w:eastAsia="楷体_GB2312"/>
          <w:b/>
          <w:bCs/>
          <w:color w:val="auto"/>
          <w:spacing w:val="26"/>
          <w:sz w:val="110"/>
          <w:szCs w:val="110"/>
          <w:highlight w:val="none"/>
          <w:lang w:val="en-US" w:eastAsia="zh-CN"/>
        </w:rPr>
      </w:pPr>
      <w:r>
        <w:rPr>
          <w:rFonts w:hint="eastAsia" w:eastAsia="楷体_GB2312"/>
          <w:b/>
          <w:bCs/>
          <w:color w:val="auto"/>
          <w:spacing w:val="26"/>
          <w:sz w:val="110"/>
          <w:szCs w:val="110"/>
          <w:highlight w:val="none"/>
        </w:rPr>
        <w:t>招标</w:t>
      </w:r>
      <w:r>
        <w:rPr>
          <w:rFonts w:hint="eastAsia" w:eastAsia="楷体_GB2312"/>
          <w:b/>
          <w:bCs/>
          <w:color w:val="auto"/>
          <w:spacing w:val="26"/>
          <w:sz w:val="110"/>
          <w:szCs w:val="110"/>
          <w:highlight w:val="none"/>
          <w:lang w:val="en-US" w:eastAsia="zh-CN"/>
        </w:rPr>
        <w:t>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ind w:firstLine="900" w:firstLineChars="300"/>
        <w:rPr>
          <w:rFonts w:hint="eastAsia" w:eastAsia="宋体"/>
          <w:color w:val="auto"/>
          <w:sz w:val="30"/>
          <w:szCs w:val="30"/>
          <w:highlight w:val="none"/>
          <w:u w:val="single"/>
          <w:lang w:eastAsia="zh-CN"/>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lang w:eastAsia="zh-CN"/>
        </w:rPr>
        <w:t>横琴琴澳创新产业园开发建设有限公司</w:t>
      </w:r>
    </w:p>
    <w:p>
      <w:pPr>
        <w:spacing w:line="360" w:lineRule="auto"/>
        <w:ind w:firstLine="945"/>
        <w:rPr>
          <w:rFonts w:hint="default" w:eastAsia="宋体"/>
          <w:color w:val="auto"/>
          <w:sz w:val="30"/>
          <w:szCs w:val="30"/>
          <w:highlight w:val="none"/>
          <w:u w:val="single"/>
          <w:lang w:val="en-US" w:eastAsia="zh-CN"/>
        </w:rPr>
      </w:pPr>
      <w:r>
        <w:rPr>
          <w:rFonts w:hint="eastAsia"/>
          <w:color w:val="auto"/>
          <w:sz w:val="30"/>
          <w:szCs w:val="30"/>
          <w:highlight w:val="none"/>
        </w:rPr>
        <w:t>招标代理单位：</w:t>
      </w:r>
      <w:r>
        <w:rPr>
          <w:rFonts w:hint="eastAsia" w:cs="Times New Roman"/>
          <w:color w:val="auto"/>
          <w:sz w:val="30"/>
          <w:szCs w:val="30"/>
          <w:highlight w:val="none"/>
          <w:u w:val="single"/>
          <w:lang w:val="en-US" w:eastAsia="zh-CN"/>
        </w:rPr>
        <w:t xml:space="preserve">中招国际招标有限公司 </w:t>
      </w:r>
    </w:p>
    <w:p>
      <w:pPr>
        <w:spacing w:line="360" w:lineRule="auto"/>
        <w:ind w:firstLine="945"/>
        <w:rPr>
          <w:rFonts w:hint="default"/>
          <w:color w:val="auto"/>
          <w:sz w:val="32"/>
          <w:highlight w:val="none"/>
          <w:u w:val="single"/>
          <w:lang w:val="en-US"/>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rPr>
        <w:t>202</w:t>
      </w:r>
      <w:r>
        <w:rPr>
          <w:rFonts w:hint="eastAsia"/>
          <w:color w:val="auto"/>
          <w:sz w:val="32"/>
          <w:highlight w:val="none"/>
          <w:u w:val="single"/>
          <w:lang w:val="en-US" w:eastAsia="zh-CN"/>
        </w:rPr>
        <w:t>5</w:t>
      </w:r>
      <w:r>
        <w:rPr>
          <w:rFonts w:hint="eastAsia"/>
          <w:color w:val="auto"/>
          <w:sz w:val="32"/>
          <w:highlight w:val="none"/>
          <w:u w:val="single"/>
        </w:rPr>
        <w:t>年</w:t>
      </w:r>
      <w:r>
        <w:rPr>
          <w:rFonts w:hint="eastAsia"/>
          <w:color w:val="auto"/>
          <w:sz w:val="32"/>
          <w:highlight w:val="none"/>
          <w:u w:val="single"/>
          <w:lang w:val="en-US" w:eastAsia="zh-CN"/>
        </w:rPr>
        <w:t>8月</w:t>
      </w:r>
    </w:p>
    <w:p>
      <w:pPr>
        <w:jc w:val="center"/>
        <w:rPr>
          <w:rStyle w:val="30"/>
          <w:rFonts w:hint="eastAsia" w:cs="宋体"/>
          <w:b/>
          <w:bCs/>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304" w:right="1361" w:bottom="1304" w:left="1361" w:header="851" w:footer="907" w:gutter="0"/>
          <w:cols w:space="720" w:num="1"/>
          <w:titlePg/>
          <w:docGrid w:type="lines" w:linePitch="312" w:charSpace="0"/>
        </w:sectPr>
      </w:pPr>
    </w:p>
    <w:p>
      <w:pPr>
        <w:jc w:val="center"/>
        <w:rPr>
          <w:rFonts w:cs="宋体"/>
          <w:b/>
          <w:caps/>
          <w:color w:val="auto"/>
          <w:kern w:val="0"/>
          <w:highlight w:val="none"/>
        </w:rPr>
      </w:pPr>
      <w:r>
        <w:rPr>
          <w:rStyle w:val="30"/>
          <w:rFonts w:hint="eastAsia" w:cs="宋体"/>
          <w:b/>
          <w:bCs/>
          <w:color w:val="auto"/>
          <w:sz w:val="32"/>
          <w:szCs w:val="32"/>
          <w:highlight w:val="none"/>
        </w:rPr>
        <w:t>目录</w:t>
      </w:r>
    </w:p>
    <w:p>
      <w:pPr>
        <w:pStyle w:val="18"/>
        <w:tabs>
          <w:tab w:val="right" w:leader="dot" w:pos="7360"/>
          <w:tab w:val="clear" w:pos="9060"/>
        </w:tabs>
        <w:ind w:right="325" w:rightChars="155"/>
        <w:jc w:val="center"/>
        <w:rPr>
          <w:rFonts w:cs="宋体"/>
          <w:caps w:val="0"/>
          <w:color w:val="auto"/>
          <w:kern w:val="2"/>
          <w:sz w:val="21"/>
          <w:szCs w:val="24"/>
          <w:highlight w:val="none"/>
        </w:rPr>
      </w:pPr>
      <w:r>
        <w:rPr>
          <w:rFonts w:hint="eastAsia" w:cs="宋体"/>
          <w:color w:val="auto"/>
          <w:highlight w:val="none"/>
        </w:rPr>
        <w:fldChar w:fldCharType="begin"/>
      </w:r>
      <w:r>
        <w:rPr>
          <w:rFonts w:hint="eastAsia" w:cs="宋体"/>
          <w:color w:val="auto"/>
          <w:highlight w:val="none"/>
        </w:rPr>
        <w:instrText xml:space="preserve"> TOC \o "1-3" \h \z \u </w:instrText>
      </w:r>
      <w:r>
        <w:rPr>
          <w:rFonts w:hint="eastAsia" w:cs="宋体"/>
          <w:color w:val="auto"/>
          <w:highlight w:val="none"/>
        </w:rPr>
        <w:fldChar w:fldCharType="separate"/>
      </w:r>
      <w:r>
        <w:rPr>
          <w:color w:val="auto"/>
          <w:highlight w:val="none"/>
        </w:rPr>
        <w:fldChar w:fldCharType="begin"/>
      </w:r>
      <w:r>
        <w:rPr>
          <w:color w:val="auto"/>
          <w:highlight w:val="none"/>
        </w:rPr>
        <w:instrText xml:space="preserve"> HYPERLINK \l "_Toc18664057" </w:instrText>
      </w:r>
      <w:r>
        <w:rPr>
          <w:color w:val="auto"/>
          <w:highlight w:val="none"/>
        </w:rPr>
        <w:fldChar w:fldCharType="separate"/>
      </w:r>
      <w:r>
        <w:rPr>
          <w:rStyle w:val="30"/>
          <w:rFonts w:hint="eastAsia" w:cs="宋体"/>
          <w:color w:val="auto"/>
          <w:highlight w:val="none"/>
        </w:rPr>
        <w:t>第一章  投标须知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_Toc18664057 \h </w:instrText>
      </w:r>
      <w:r>
        <w:rPr>
          <w:rFonts w:hint="eastAsia" w:cs="宋体"/>
          <w:color w:val="auto"/>
          <w:highlight w:val="none"/>
        </w:rPr>
        <w:fldChar w:fldCharType="separate"/>
      </w:r>
      <w:r>
        <w:rPr>
          <w:rFonts w:hint="eastAsia" w:cs="宋体"/>
          <w:color w:val="auto"/>
          <w:highlight w:val="none"/>
        </w:rPr>
        <w:t>2</w:t>
      </w:r>
      <w:r>
        <w:rPr>
          <w:rFonts w:hint="eastAsia" w:cs="宋体"/>
          <w:color w:val="auto"/>
          <w:highlight w:val="none"/>
        </w:rPr>
        <w:fldChar w:fldCharType="end"/>
      </w:r>
      <w:r>
        <w:rPr>
          <w:rFonts w:hint="eastAsia" w:cs="宋体"/>
          <w:color w:val="auto"/>
          <w:highlight w:val="none"/>
        </w:rPr>
        <w:fldChar w:fldCharType="end"/>
      </w:r>
    </w:p>
    <w:p>
      <w:pPr>
        <w:pStyle w:val="19"/>
        <w:tabs>
          <w:tab w:val="right" w:leader="dot" w:pos="7360"/>
          <w:tab w:val="clear" w:pos="9060"/>
        </w:tabs>
        <w:ind w:right="325" w:rightChars="155"/>
        <w:jc w:val="center"/>
        <w:rPr>
          <w:rFonts w:ascii="宋体" w:hAnsi="宋体" w:cs="宋体"/>
          <w:color w:val="auto"/>
          <w:sz w:val="21"/>
          <w:highlight w:val="none"/>
        </w:rPr>
      </w:pPr>
      <w:r>
        <w:rPr>
          <w:color w:val="auto"/>
          <w:highlight w:val="none"/>
        </w:rPr>
        <w:fldChar w:fldCharType="begin"/>
      </w:r>
      <w:r>
        <w:rPr>
          <w:color w:val="auto"/>
          <w:highlight w:val="none"/>
        </w:rPr>
        <w:instrText xml:space="preserve"> HYPERLINK \l "_Toc18664058" </w:instrText>
      </w:r>
      <w:r>
        <w:rPr>
          <w:color w:val="auto"/>
          <w:highlight w:val="none"/>
        </w:rPr>
        <w:fldChar w:fldCharType="separate"/>
      </w:r>
      <w:r>
        <w:rPr>
          <w:rStyle w:val="30"/>
          <w:rFonts w:hint="eastAsia" w:ascii="宋体" w:hAnsi="宋体" w:cs="宋体"/>
          <w:color w:val="auto"/>
          <w:highlight w:val="none"/>
        </w:rPr>
        <w:t>一、投标须知前附表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_Toc18664058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9"/>
        <w:tabs>
          <w:tab w:val="right" w:leader="dot" w:pos="7360"/>
          <w:tab w:val="clear" w:pos="9060"/>
        </w:tabs>
        <w:ind w:right="325" w:rightChars="155"/>
        <w:jc w:val="center"/>
        <w:rPr>
          <w:rFonts w:ascii="宋体" w:hAnsi="宋体" w:cs="宋体"/>
          <w:color w:val="auto"/>
          <w:sz w:val="21"/>
          <w:highlight w:val="none"/>
        </w:rPr>
      </w:pPr>
      <w:r>
        <w:rPr>
          <w:color w:val="auto"/>
          <w:highlight w:val="none"/>
        </w:rPr>
        <w:fldChar w:fldCharType="begin"/>
      </w:r>
      <w:r>
        <w:rPr>
          <w:color w:val="auto"/>
          <w:highlight w:val="none"/>
        </w:rPr>
        <w:instrText xml:space="preserve"> HYPERLINK \l "_Toc18664059" </w:instrText>
      </w:r>
      <w:r>
        <w:rPr>
          <w:color w:val="auto"/>
          <w:highlight w:val="none"/>
        </w:rPr>
        <w:fldChar w:fldCharType="separate"/>
      </w:r>
      <w:r>
        <w:rPr>
          <w:rStyle w:val="30"/>
          <w:rFonts w:hint="eastAsia" w:ascii="宋体" w:hAnsi="宋体" w:cs="宋体"/>
          <w:color w:val="auto"/>
          <w:highlight w:val="none"/>
        </w:rPr>
        <w:t>二、投标须知修改表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_Toc18664059 \h </w:instrText>
      </w:r>
      <w:r>
        <w:rPr>
          <w:rFonts w:hint="eastAsia" w:ascii="宋体" w:hAnsi="宋体" w:cs="宋体"/>
          <w:color w:val="auto"/>
          <w:highlight w:val="none"/>
        </w:rPr>
        <w:fldChar w:fldCharType="separate"/>
      </w:r>
      <w:r>
        <w:rPr>
          <w:rFonts w:hint="eastAsia" w:ascii="宋体" w:hAnsi="宋体" w:cs="宋体"/>
          <w:color w:val="auto"/>
          <w:highlight w:val="none"/>
        </w:rPr>
        <w:t>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9"/>
        <w:tabs>
          <w:tab w:val="right" w:leader="dot" w:pos="7360"/>
          <w:tab w:val="clear" w:pos="9060"/>
        </w:tabs>
        <w:ind w:right="325" w:rightChars="155"/>
        <w:jc w:val="center"/>
        <w:rPr>
          <w:rFonts w:hint="eastAsia" w:ascii="宋体" w:hAnsi="宋体" w:eastAsia="宋体" w:cs="宋体"/>
          <w:color w:val="auto"/>
          <w:sz w:val="21"/>
          <w:highlight w:val="none"/>
          <w:lang w:val="en-US" w:eastAsia="zh-CN"/>
        </w:rPr>
      </w:pPr>
      <w:r>
        <w:rPr>
          <w:color w:val="auto"/>
          <w:highlight w:val="none"/>
        </w:rPr>
        <w:fldChar w:fldCharType="begin"/>
      </w:r>
      <w:r>
        <w:rPr>
          <w:color w:val="auto"/>
          <w:highlight w:val="none"/>
        </w:rPr>
        <w:instrText xml:space="preserve"> HYPERLINK \l "_Toc18664060" </w:instrText>
      </w:r>
      <w:r>
        <w:rPr>
          <w:color w:val="auto"/>
          <w:highlight w:val="none"/>
        </w:rPr>
        <w:fldChar w:fldCharType="separate"/>
      </w:r>
      <w:r>
        <w:rPr>
          <w:rStyle w:val="30"/>
          <w:rFonts w:hint="eastAsia" w:ascii="宋体" w:hAnsi="宋体" w:cs="宋体"/>
          <w:color w:val="auto"/>
          <w:highlight w:val="none"/>
        </w:rPr>
        <w:t>三、投标须知通用条款</w:t>
      </w:r>
      <w:r>
        <w:rPr>
          <w:rFonts w:hint="eastAsia" w:ascii="宋体" w:hAnsi="宋体" w:cs="宋体"/>
          <w:color w:val="auto"/>
          <w:highlight w:val="none"/>
        </w:rPr>
        <w:tab/>
      </w:r>
      <w:r>
        <w:rPr>
          <w:rFonts w:hint="eastAsia" w:ascii="宋体" w:hAnsi="宋体" w:cs="宋体"/>
          <w:color w:val="auto"/>
          <w:highlight w:val="none"/>
          <w:lang w:val="en-US" w:eastAsia="zh-CN"/>
        </w:rPr>
        <w:t>2</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w:t>
      </w:r>
    </w:p>
    <w:p>
      <w:pPr>
        <w:pStyle w:val="18"/>
        <w:tabs>
          <w:tab w:val="right" w:leader="dot" w:pos="7360"/>
          <w:tab w:val="clear" w:pos="9060"/>
        </w:tabs>
        <w:ind w:right="325" w:rightChars="155"/>
        <w:jc w:val="center"/>
        <w:rPr>
          <w:rFonts w:cs="宋体"/>
          <w:caps w:val="0"/>
          <w:color w:val="auto"/>
          <w:kern w:val="2"/>
          <w:sz w:val="21"/>
          <w:szCs w:val="24"/>
          <w:highlight w:val="none"/>
        </w:rPr>
      </w:pPr>
      <w:r>
        <w:rPr>
          <w:color w:val="auto"/>
          <w:highlight w:val="none"/>
        </w:rPr>
        <w:fldChar w:fldCharType="begin"/>
      </w:r>
      <w:r>
        <w:rPr>
          <w:color w:val="auto"/>
          <w:highlight w:val="none"/>
        </w:rPr>
        <w:instrText xml:space="preserve"> HYPERLINK \l "_Toc18664066" </w:instrText>
      </w:r>
      <w:r>
        <w:rPr>
          <w:color w:val="auto"/>
          <w:highlight w:val="none"/>
        </w:rPr>
        <w:fldChar w:fldCharType="separate"/>
      </w:r>
      <w:r>
        <w:rPr>
          <w:rStyle w:val="30"/>
          <w:rFonts w:hint="eastAsia" w:cs="宋体"/>
          <w:color w:val="auto"/>
          <w:highlight w:val="none"/>
        </w:rPr>
        <w:t>第二章  开标、评标及定标办法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_Toc18664066 \h </w:instrText>
      </w:r>
      <w:r>
        <w:rPr>
          <w:rFonts w:hint="eastAsia" w:cs="宋体"/>
          <w:color w:val="auto"/>
          <w:highlight w:val="none"/>
        </w:rPr>
        <w:fldChar w:fldCharType="separate"/>
      </w:r>
      <w:r>
        <w:rPr>
          <w:rFonts w:hint="eastAsia" w:cs="宋体"/>
          <w:color w:val="auto"/>
          <w:highlight w:val="none"/>
        </w:rPr>
        <w:t>35</w:t>
      </w:r>
      <w:r>
        <w:rPr>
          <w:rFonts w:hint="eastAsia" w:cs="宋体"/>
          <w:color w:val="auto"/>
          <w:highlight w:val="none"/>
        </w:rPr>
        <w:fldChar w:fldCharType="end"/>
      </w:r>
      <w:r>
        <w:rPr>
          <w:rFonts w:hint="eastAsia" w:cs="宋体"/>
          <w:color w:val="auto"/>
          <w:highlight w:val="none"/>
        </w:rPr>
        <w:fldChar w:fldCharType="end"/>
      </w:r>
    </w:p>
    <w:p>
      <w:pPr>
        <w:pStyle w:val="19"/>
        <w:tabs>
          <w:tab w:val="right" w:leader="dot" w:pos="7360"/>
          <w:tab w:val="clear" w:pos="9060"/>
        </w:tabs>
        <w:ind w:right="325" w:rightChars="155"/>
        <w:jc w:val="center"/>
        <w:rPr>
          <w:rFonts w:ascii="宋体" w:hAnsi="宋体" w:cs="宋体"/>
          <w:color w:val="auto"/>
          <w:sz w:val="21"/>
          <w:highlight w:val="none"/>
        </w:rPr>
      </w:pPr>
      <w:r>
        <w:rPr>
          <w:color w:val="auto"/>
          <w:highlight w:val="none"/>
        </w:rPr>
        <w:fldChar w:fldCharType="begin"/>
      </w:r>
      <w:r>
        <w:rPr>
          <w:color w:val="auto"/>
          <w:highlight w:val="none"/>
        </w:rPr>
        <w:instrText xml:space="preserve"> HYPERLINK \l "_Toc18664067" </w:instrText>
      </w:r>
      <w:r>
        <w:rPr>
          <w:color w:val="auto"/>
          <w:highlight w:val="none"/>
        </w:rPr>
        <w:fldChar w:fldCharType="separate"/>
      </w:r>
      <w:r>
        <w:rPr>
          <w:rStyle w:val="30"/>
          <w:rFonts w:hint="eastAsia" w:ascii="宋体" w:hAnsi="宋体" w:cs="宋体"/>
          <w:color w:val="auto"/>
          <w:highlight w:val="none"/>
        </w:rPr>
        <w:t>一、开标、评标及定标办法修改表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_Toc18664067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9"/>
        <w:tabs>
          <w:tab w:val="right" w:leader="dot" w:pos="7360"/>
          <w:tab w:val="clear" w:pos="9060"/>
        </w:tabs>
        <w:ind w:right="325" w:rightChars="155"/>
        <w:jc w:val="center"/>
        <w:rPr>
          <w:rFonts w:ascii="宋体" w:hAnsi="宋体" w:cs="宋体"/>
          <w:color w:val="auto"/>
          <w:sz w:val="21"/>
          <w:highlight w:val="none"/>
        </w:rPr>
      </w:pPr>
      <w:r>
        <w:rPr>
          <w:color w:val="auto"/>
          <w:highlight w:val="none"/>
        </w:rPr>
        <w:fldChar w:fldCharType="begin"/>
      </w:r>
      <w:r>
        <w:rPr>
          <w:color w:val="auto"/>
          <w:highlight w:val="none"/>
        </w:rPr>
        <w:instrText xml:space="preserve"> HYPERLINK \l "_Toc18664068" </w:instrText>
      </w:r>
      <w:r>
        <w:rPr>
          <w:color w:val="auto"/>
          <w:highlight w:val="none"/>
        </w:rPr>
        <w:fldChar w:fldCharType="separate"/>
      </w:r>
      <w:r>
        <w:rPr>
          <w:rStyle w:val="30"/>
          <w:rFonts w:hint="eastAsia" w:ascii="宋体" w:hAnsi="宋体" w:cs="宋体"/>
          <w:color w:val="auto"/>
          <w:highlight w:val="none"/>
        </w:rPr>
        <w:t>二、开标、评标及定标办法通用条款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_Toc18664068 \h </w:instrText>
      </w:r>
      <w:r>
        <w:rPr>
          <w:rFonts w:hint="eastAsia" w:ascii="宋体" w:hAnsi="宋体" w:cs="宋体"/>
          <w:color w:val="auto"/>
          <w:highlight w:val="none"/>
        </w:rPr>
        <w:fldChar w:fldCharType="separate"/>
      </w:r>
      <w:r>
        <w:rPr>
          <w:rFonts w:hint="eastAsia" w:ascii="宋体" w:hAnsi="宋体" w:cs="宋体"/>
          <w:color w:val="auto"/>
          <w:highlight w:val="none"/>
        </w:rPr>
        <w:t>41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2"/>
        <w:tabs>
          <w:tab w:val="right" w:leader="dot" w:pos="7360"/>
        </w:tabs>
        <w:ind w:left="840" w:right="325" w:rightChars="155"/>
        <w:jc w:val="center"/>
        <w:rPr>
          <w:rFonts w:ascii="宋体" w:hAnsi="宋体" w:cs="宋体"/>
          <w:color w:val="auto"/>
          <w:sz w:val="21"/>
          <w:szCs w:val="24"/>
          <w:highlight w:val="none"/>
        </w:rPr>
      </w:pPr>
      <w:r>
        <w:rPr>
          <w:color w:val="auto"/>
          <w:highlight w:val="none"/>
        </w:rPr>
        <w:fldChar w:fldCharType="begin"/>
      </w:r>
      <w:r>
        <w:rPr>
          <w:color w:val="auto"/>
          <w:highlight w:val="none"/>
        </w:rPr>
        <w:instrText xml:space="preserve"> HYPERLINK \l "_Toc18664069" </w:instrText>
      </w:r>
      <w:r>
        <w:rPr>
          <w:color w:val="auto"/>
          <w:highlight w:val="none"/>
        </w:rPr>
        <w:fldChar w:fldCharType="separate"/>
      </w:r>
      <w:r>
        <w:rPr>
          <w:rStyle w:val="30"/>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_Toc18664069 \h </w:instrText>
      </w:r>
      <w:r>
        <w:rPr>
          <w:rFonts w:hint="eastAsia" w:ascii="宋体" w:hAnsi="宋体" w:cs="宋体"/>
          <w:color w:val="auto"/>
          <w:highlight w:val="none"/>
        </w:rPr>
        <w:fldChar w:fldCharType="separate"/>
      </w:r>
      <w:r>
        <w:rPr>
          <w:rFonts w:hint="eastAsia" w:ascii="宋体" w:hAnsi="宋体" w:cs="宋体"/>
          <w:color w:val="auto"/>
          <w:highlight w:val="none"/>
        </w:rPr>
        <w:t>41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2"/>
        <w:tabs>
          <w:tab w:val="right" w:leader="dot" w:pos="7360"/>
        </w:tabs>
        <w:ind w:left="840" w:right="325" w:rightChars="155"/>
        <w:jc w:val="center"/>
        <w:rPr>
          <w:rFonts w:ascii="宋体" w:hAnsi="宋体" w:cs="宋体"/>
          <w:color w:val="auto"/>
          <w:sz w:val="21"/>
          <w:szCs w:val="24"/>
          <w:highlight w:val="none"/>
        </w:rPr>
      </w:pPr>
      <w:r>
        <w:rPr>
          <w:color w:val="auto"/>
          <w:highlight w:val="none"/>
        </w:rPr>
        <w:fldChar w:fldCharType="begin"/>
      </w:r>
      <w:r>
        <w:rPr>
          <w:color w:val="auto"/>
          <w:highlight w:val="none"/>
        </w:rPr>
        <w:instrText xml:space="preserve"> HYPERLINK \l "_Toc18664070" </w:instrText>
      </w:r>
      <w:r>
        <w:rPr>
          <w:color w:val="auto"/>
          <w:highlight w:val="none"/>
        </w:rPr>
        <w:fldChar w:fldCharType="separate"/>
      </w:r>
      <w:r>
        <w:rPr>
          <w:rStyle w:val="30"/>
          <w:rFonts w:hint="eastAsia" w:ascii="宋体" w:hAnsi="宋体" w:cs="宋体"/>
          <w:color w:val="auto"/>
          <w:highlight w:val="none"/>
        </w:rPr>
        <w:t>（二）开标评标办法程序和细则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_Toc18664070 \h </w:instrText>
      </w:r>
      <w:r>
        <w:rPr>
          <w:rFonts w:hint="eastAsia" w:ascii="宋体" w:hAnsi="宋体" w:cs="宋体"/>
          <w:color w:val="auto"/>
          <w:highlight w:val="none"/>
        </w:rPr>
        <w:fldChar w:fldCharType="separate"/>
      </w:r>
      <w:r>
        <w:rPr>
          <w:rFonts w:hint="eastAsia" w:ascii="宋体" w:hAnsi="宋体" w:cs="宋体"/>
          <w:color w:val="auto"/>
          <w:highlight w:val="none"/>
        </w:rPr>
        <w:t>43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pPr>
        <w:pStyle w:val="18"/>
        <w:tabs>
          <w:tab w:val="right" w:leader="dot" w:pos="7360"/>
          <w:tab w:val="clear" w:pos="9060"/>
        </w:tabs>
        <w:ind w:right="325" w:rightChars="155"/>
        <w:jc w:val="center"/>
        <w:rPr>
          <w:rFonts w:cs="宋体"/>
          <w:caps w:val="0"/>
          <w:color w:val="auto"/>
          <w:kern w:val="2"/>
          <w:sz w:val="21"/>
          <w:szCs w:val="24"/>
          <w:highlight w:val="none"/>
        </w:rPr>
      </w:pPr>
      <w:r>
        <w:rPr>
          <w:color w:val="auto"/>
          <w:highlight w:val="none"/>
        </w:rPr>
        <w:fldChar w:fldCharType="begin"/>
      </w:r>
      <w:r>
        <w:rPr>
          <w:color w:val="auto"/>
          <w:highlight w:val="none"/>
        </w:rPr>
        <w:instrText xml:space="preserve"> HYPERLINK \l "_Toc18664072" </w:instrText>
      </w:r>
      <w:r>
        <w:rPr>
          <w:color w:val="auto"/>
          <w:highlight w:val="none"/>
        </w:rPr>
        <w:fldChar w:fldCharType="separate"/>
      </w:r>
      <w:r>
        <w:rPr>
          <w:rStyle w:val="30"/>
          <w:rFonts w:hint="eastAsia" w:cs="宋体"/>
          <w:color w:val="auto"/>
          <w:highlight w:val="none"/>
        </w:rPr>
        <w:t>第三章  合同条款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_Toc18664072 \h </w:instrText>
      </w:r>
      <w:r>
        <w:rPr>
          <w:rFonts w:hint="eastAsia" w:cs="宋体"/>
          <w:color w:val="auto"/>
          <w:highlight w:val="none"/>
        </w:rPr>
        <w:fldChar w:fldCharType="separate"/>
      </w:r>
      <w:r>
        <w:rPr>
          <w:rFonts w:hint="eastAsia" w:cs="宋体"/>
          <w:color w:val="auto"/>
          <w:highlight w:val="none"/>
        </w:rPr>
        <w:t>6</w:t>
      </w:r>
      <w:r>
        <w:rPr>
          <w:rFonts w:hint="eastAsia" w:cs="宋体"/>
          <w:color w:val="auto"/>
          <w:highlight w:val="none"/>
          <w:lang w:val="en-US" w:eastAsia="zh-CN"/>
        </w:rPr>
        <w:t>3</w:t>
      </w:r>
      <w:r>
        <w:rPr>
          <w:rFonts w:hint="eastAsia" w:cs="宋体"/>
          <w:color w:val="auto"/>
          <w:highlight w:val="none"/>
        </w:rPr>
        <w:fldChar w:fldCharType="end"/>
      </w:r>
      <w:r>
        <w:rPr>
          <w:rFonts w:hint="eastAsia" w:cs="宋体"/>
          <w:color w:val="auto"/>
          <w:highlight w:val="none"/>
        </w:rPr>
        <w:fldChar w:fldCharType="end"/>
      </w:r>
    </w:p>
    <w:p>
      <w:pPr>
        <w:pStyle w:val="18"/>
        <w:tabs>
          <w:tab w:val="right" w:leader="dot" w:pos="7360"/>
          <w:tab w:val="clear" w:pos="9060"/>
        </w:tabs>
        <w:ind w:right="325" w:rightChars="155"/>
        <w:jc w:val="center"/>
        <w:rPr>
          <w:rFonts w:cs="宋体"/>
          <w:caps w:val="0"/>
          <w:color w:val="auto"/>
          <w:kern w:val="2"/>
          <w:sz w:val="21"/>
          <w:szCs w:val="24"/>
          <w:highlight w:val="none"/>
        </w:rPr>
      </w:pPr>
      <w:r>
        <w:rPr>
          <w:color w:val="auto"/>
          <w:highlight w:val="none"/>
        </w:rPr>
        <w:fldChar w:fldCharType="begin"/>
      </w:r>
      <w:r>
        <w:rPr>
          <w:color w:val="auto"/>
          <w:highlight w:val="none"/>
        </w:rPr>
        <w:instrText xml:space="preserve"> HYPERLINK \l "_Toc18664073" </w:instrText>
      </w:r>
      <w:r>
        <w:rPr>
          <w:color w:val="auto"/>
          <w:highlight w:val="none"/>
        </w:rPr>
        <w:fldChar w:fldCharType="separate"/>
      </w:r>
      <w:r>
        <w:rPr>
          <w:rStyle w:val="30"/>
          <w:rFonts w:hint="eastAsia" w:cs="宋体"/>
          <w:color w:val="auto"/>
          <w:highlight w:val="none"/>
        </w:rPr>
        <w:t>第四章  投标文件格式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_Toc18664073 \h </w:instrText>
      </w:r>
      <w:r>
        <w:rPr>
          <w:rFonts w:hint="eastAsia" w:cs="宋体"/>
          <w:color w:val="auto"/>
          <w:highlight w:val="none"/>
        </w:rPr>
        <w:fldChar w:fldCharType="separate"/>
      </w:r>
      <w:r>
        <w:rPr>
          <w:rFonts w:hint="eastAsia" w:cs="宋体"/>
          <w:color w:val="auto"/>
          <w:highlight w:val="none"/>
        </w:rPr>
        <w:t>64</w:t>
      </w:r>
      <w:r>
        <w:rPr>
          <w:rFonts w:hint="eastAsia" w:cs="宋体"/>
          <w:color w:val="auto"/>
          <w:highlight w:val="none"/>
        </w:rPr>
        <w:fldChar w:fldCharType="end"/>
      </w:r>
      <w:r>
        <w:rPr>
          <w:rFonts w:hint="eastAsia" w:cs="宋体"/>
          <w:color w:val="auto"/>
          <w:highlight w:val="none"/>
        </w:rPr>
        <w:fldChar w:fldCharType="end"/>
      </w:r>
    </w:p>
    <w:p>
      <w:pPr>
        <w:pStyle w:val="18"/>
        <w:tabs>
          <w:tab w:val="right" w:leader="dot" w:pos="7360"/>
          <w:tab w:val="clear" w:pos="9060"/>
        </w:tabs>
        <w:ind w:right="325" w:rightChars="155"/>
        <w:jc w:val="center"/>
        <w:rPr>
          <w:rFonts w:cs="宋体"/>
          <w:caps w:val="0"/>
          <w:color w:val="auto"/>
          <w:kern w:val="2"/>
          <w:sz w:val="21"/>
          <w:szCs w:val="24"/>
          <w:highlight w:val="none"/>
        </w:rPr>
      </w:pPr>
      <w:r>
        <w:rPr>
          <w:color w:val="auto"/>
          <w:highlight w:val="none"/>
        </w:rPr>
        <w:fldChar w:fldCharType="begin"/>
      </w:r>
      <w:r>
        <w:rPr>
          <w:color w:val="auto"/>
          <w:highlight w:val="none"/>
        </w:rPr>
        <w:instrText xml:space="preserve"> HYPERLINK \l "_Toc18664074" </w:instrText>
      </w:r>
      <w:r>
        <w:rPr>
          <w:color w:val="auto"/>
          <w:highlight w:val="none"/>
        </w:rPr>
        <w:fldChar w:fldCharType="separate"/>
      </w:r>
      <w:r>
        <w:rPr>
          <w:rStyle w:val="30"/>
          <w:rFonts w:hint="eastAsia" w:cs="宋体"/>
          <w:color w:val="auto"/>
          <w:kern w:val="44"/>
          <w:highlight w:val="none"/>
        </w:rPr>
        <w:t>第五章  技术条件（工程建设标准）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_Toc18664074 \h </w:instrText>
      </w:r>
      <w:r>
        <w:rPr>
          <w:rFonts w:hint="eastAsia" w:cs="宋体"/>
          <w:color w:val="auto"/>
          <w:highlight w:val="none"/>
        </w:rPr>
        <w:fldChar w:fldCharType="separate"/>
      </w:r>
      <w:r>
        <w:rPr>
          <w:rFonts w:hint="eastAsia" w:cs="宋体"/>
          <w:color w:val="auto"/>
          <w:highlight w:val="none"/>
          <w:lang w:val="en-US" w:eastAsia="zh-CN"/>
        </w:rPr>
        <w:t>83</w:t>
      </w:r>
      <w:r>
        <w:rPr>
          <w:rFonts w:hint="eastAsia" w:cs="宋体"/>
          <w:color w:val="auto"/>
          <w:highlight w:val="none"/>
        </w:rPr>
        <w:fldChar w:fldCharType="end"/>
      </w:r>
      <w:r>
        <w:rPr>
          <w:rFonts w:hint="eastAsia" w:cs="宋体"/>
          <w:color w:val="auto"/>
          <w:highlight w:val="none"/>
        </w:rPr>
        <w:fldChar w:fldCharType="end"/>
      </w:r>
    </w:p>
    <w:p>
      <w:pPr>
        <w:pStyle w:val="18"/>
        <w:tabs>
          <w:tab w:val="right" w:leader="dot" w:pos="7360"/>
          <w:tab w:val="clear" w:pos="9060"/>
        </w:tabs>
        <w:ind w:right="325" w:rightChars="155"/>
        <w:jc w:val="center"/>
        <w:rPr>
          <w:rFonts w:cs="宋体"/>
          <w:caps w:val="0"/>
          <w:color w:val="auto"/>
          <w:kern w:val="2"/>
          <w:sz w:val="21"/>
          <w:szCs w:val="24"/>
          <w:highlight w:val="none"/>
        </w:rPr>
      </w:pPr>
      <w:r>
        <w:rPr>
          <w:color w:val="auto"/>
          <w:highlight w:val="none"/>
        </w:rPr>
        <w:fldChar w:fldCharType="begin"/>
      </w:r>
      <w:r>
        <w:rPr>
          <w:color w:val="auto"/>
          <w:highlight w:val="none"/>
        </w:rPr>
        <w:instrText xml:space="preserve"> HYPERLINK \l "_Toc18664075" </w:instrText>
      </w:r>
      <w:r>
        <w:rPr>
          <w:color w:val="auto"/>
          <w:highlight w:val="none"/>
        </w:rPr>
        <w:fldChar w:fldCharType="separate"/>
      </w:r>
      <w:r>
        <w:rPr>
          <w:rStyle w:val="30"/>
          <w:rFonts w:hint="eastAsia" w:cs="宋体"/>
          <w:color w:val="auto"/>
          <w:highlight w:val="none"/>
        </w:rPr>
        <w:t>第六章  图纸及勘察资料</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_Toc18664075 \h </w:instrText>
      </w:r>
      <w:r>
        <w:rPr>
          <w:rFonts w:hint="eastAsia" w:cs="宋体"/>
          <w:color w:val="auto"/>
          <w:highlight w:val="none"/>
        </w:rPr>
        <w:fldChar w:fldCharType="separate"/>
      </w:r>
      <w:r>
        <w:rPr>
          <w:rFonts w:hint="eastAsia" w:cs="宋体"/>
          <w:color w:val="auto"/>
          <w:highlight w:val="none"/>
        </w:rPr>
        <w:t>84</w:t>
      </w:r>
      <w:r>
        <w:rPr>
          <w:rFonts w:hint="eastAsia" w:cs="宋体"/>
          <w:color w:val="auto"/>
          <w:highlight w:val="none"/>
        </w:rPr>
        <w:fldChar w:fldCharType="end"/>
      </w:r>
      <w:r>
        <w:rPr>
          <w:rFonts w:hint="eastAsia" w:cs="宋体"/>
          <w:color w:val="auto"/>
          <w:highlight w:val="none"/>
        </w:rPr>
        <w:fldChar w:fldCharType="end"/>
      </w:r>
    </w:p>
    <w:p>
      <w:pPr>
        <w:pStyle w:val="18"/>
        <w:tabs>
          <w:tab w:val="right" w:leader="dot" w:pos="7360"/>
          <w:tab w:val="clear" w:pos="9060"/>
        </w:tabs>
        <w:ind w:right="325" w:rightChars="155"/>
        <w:jc w:val="center"/>
        <w:rPr>
          <w:rFonts w:cs="宋体"/>
          <w:caps w:val="0"/>
          <w:color w:val="auto"/>
          <w:kern w:val="2"/>
          <w:sz w:val="21"/>
          <w:szCs w:val="24"/>
          <w:highlight w:val="none"/>
        </w:rPr>
      </w:pPr>
      <w:r>
        <w:rPr>
          <w:color w:val="auto"/>
          <w:highlight w:val="none"/>
        </w:rPr>
        <w:fldChar w:fldCharType="begin"/>
      </w:r>
      <w:r>
        <w:rPr>
          <w:color w:val="auto"/>
          <w:highlight w:val="none"/>
        </w:rPr>
        <w:instrText xml:space="preserve"> HYPERLINK \l "_Toc18664076" </w:instrText>
      </w:r>
      <w:r>
        <w:rPr>
          <w:color w:val="auto"/>
          <w:highlight w:val="none"/>
        </w:rPr>
        <w:fldChar w:fldCharType="separate"/>
      </w:r>
      <w:r>
        <w:rPr>
          <w:rStyle w:val="30"/>
          <w:rFonts w:hint="eastAsia" w:cs="宋体"/>
          <w:color w:val="auto"/>
          <w:highlight w:val="none"/>
        </w:rPr>
        <w:t>第七章  工程量清单</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_Toc18664076 \h </w:instrText>
      </w:r>
      <w:r>
        <w:rPr>
          <w:rFonts w:hint="eastAsia" w:cs="宋体"/>
          <w:color w:val="auto"/>
          <w:highlight w:val="none"/>
        </w:rPr>
        <w:fldChar w:fldCharType="separate"/>
      </w:r>
      <w:r>
        <w:rPr>
          <w:rFonts w:hint="eastAsia" w:cs="宋体"/>
          <w:color w:val="auto"/>
          <w:highlight w:val="none"/>
        </w:rPr>
        <w:t>85</w:t>
      </w:r>
      <w:r>
        <w:rPr>
          <w:rFonts w:hint="eastAsia" w:cs="宋体"/>
          <w:color w:val="auto"/>
          <w:highlight w:val="none"/>
        </w:rPr>
        <w:fldChar w:fldCharType="end"/>
      </w:r>
      <w:r>
        <w:rPr>
          <w:rFonts w:hint="eastAsia" w:cs="宋体"/>
          <w:color w:val="auto"/>
          <w:highlight w:val="none"/>
        </w:rPr>
        <w:fldChar w:fldCharType="end"/>
      </w:r>
    </w:p>
    <w:p>
      <w:pPr>
        <w:pStyle w:val="18"/>
        <w:tabs>
          <w:tab w:val="right" w:leader="dot" w:pos="7360"/>
          <w:tab w:val="clear" w:pos="9060"/>
        </w:tabs>
        <w:ind w:right="325" w:rightChars="155"/>
        <w:jc w:val="center"/>
        <w:rPr>
          <w:rFonts w:cs="宋体"/>
          <w:caps w:val="0"/>
          <w:color w:val="auto"/>
          <w:kern w:val="2"/>
          <w:sz w:val="21"/>
          <w:szCs w:val="24"/>
          <w:highlight w:val="none"/>
        </w:rPr>
      </w:pPr>
      <w:r>
        <w:rPr>
          <w:color w:val="auto"/>
          <w:highlight w:val="none"/>
        </w:rPr>
        <w:fldChar w:fldCharType="begin"/>
      </w:r>
      <w:r>
        <w:rPr>
          <w:color w:val="auto"/>
          <w:highlight w:val="none"/>
        </w:rPr>
        <w:instrText xml:space="preserve"> HYPERLINK \l "_Toc18664077" </w:instrText>
      </w:r>
      <w:r>
        <w:rPr>
          <w:color w:val="auto"/>
          <w:highlight w:val="none"/>
        </w:rPr>
        <w:fldChar w:fldCharType="separate"/>
      </w:r>
      <w:r>
        <w:rPr>
          <w:rStyle w:val="30"/>
          <w:rFonts w:hint="eastAsia" w:cs="宋体"/>
          <w:color w:val="auto"/>
          <w:highlight w:val="none"/>
        </w:rPr>
        <w:t>第八章  最高投标限价</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_Toc18664077 \h </w:instrText>
      </w:r>
      <w:r>
        <w:rPr>
          <w:rFonts w:hint="eastAsia" w:cs="宋体"/>
          <w:color w:val="auto"/>
          <w:highlight w:val="none"/>
        </w:rPr>
        <w:fldChar w:fldCharType="separate"/>
      </w:r>
      <w:r>
        <w:rPr>
          <w:rFonts w:hint="eastAsia" w:cs="宋体"/>
          <w:color w:val="auto"/>
          <w:highlight w:val="none"/>
        </w:rPr>
        <w:t>86</w:t>
      </w:r>
      <w:r>
        <w:rPr>
          <w:rFonts w:hint="eastAsia" w:cs="宋体"/>
          <w:color w:val="auto"/>
          <w:highlight w:val="none"/>
        </w:rPr>
        <w:fldChar w:fldCharType="end"/>
      </w:r>
      <w:r>
        <w:rPr>
          <w:rFonts w:hint="eastAsia" w:cs="宋体"/>
          <w:color w:val="auto"/>
          <w:highlight w:val="none"/>
        </w:rPr>
        <w:fldChar w:fldCharType="end"/>
      </w:r>
    </w:p>
    <w:p>
      <w:pPr>
        <w:pStyle w:val="2"/>
        <w:ind w:right="325" w:rightChars="155"/>
        <w:jc w:val="center"/>
        <w:rPr>
          <w:rFonts w:hint="default"/>
          <w:color w:val="auto"/>
          <w:highlight w:val="none"/>
        </w:rPr>
      </w:pPr>
      <w:r>
        <w:rPr>
          <w:rFonts w:cs="宋体"/>
          <w:color w:val="auto"/>
          <w:highlight w:val="none"/>
        </w:rPr>
        <w:fldChar w:fldCharType="end"/>
      </w:r>
    </w:p>
    <w:p>
      <w:pPr>
        <w:pStyle w:val="2"/>
        <w:jc w:val="center"/>
        <w:rPr>
          <w:rFonts w:hint="default"/>
          <w:color w:val="auto"/>
          <w:highlight w:val="none"/>
        </w:rPr>
      </w:pPr>
      <w:r>
        <w:rPr>
          <w:color w:val="auto"/>
          <w:highlight w:val="none"/>
        </w:rPr>
        <w:br w:type="page"/>
      </w:r>
      <w:bookmarkStart w:id="0" w:name="_Toc18664057"/>
      <w:r>
        <w:rPr>
          <w:color w:val="auto"/>
          <w:highlight w:val="none"/>
        </w:rPr>
        <w:t>第一章  投标须知</w:t>
      </w:r>
      <w:bookmarkEnd w:id="0"/>
    </w:p>
    <w:p>
      <w:pPr>
        <w:pStyle w:val="3"/>
        <w:rPr>
          <w:color w:val="auto"/>
          <w:highlight w:val="none"/>
        </w:rPr>
      </w:pPr>
      <w:bookmarkStart w:id="1" w:name="_Toc18664058"/>
      <w:r>
        <w:rPr>
          <w:rFonts w:hint="eastAsia"/>
          <w:color w:val="auto"/>
          <w:highlight w:val="none"/>
        </w:rPr>
        <w:t>一、投标须知前附表</w:t>
      </w:r>
      <w:bookmarkEnd w:id="1"/>
    </w:p>
    <w:p>
      <w:pPr>
        <w:pStyle w:val="7"/>
        <w:spacing w:line="360" w:lineRule="auto"/>
        <w:ind w:firstLine="422"/>
        <w:rPr>
          <w:b/>
          <w:color w:val="auto"/>
          <w:szCs w:val="21"/>
          <w:highlight w:val="none"/>
        </w:rPr>
      </w:pPr>
      <w:r>
        <w:rPr>
          <w:rFonts w:hint="eastAsia"/>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7"/>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93"/>
        <w:gridCol w:w="1546"/>
        <w:gridCol w:w="608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blHeader/>
        </w:trPr>
        <w:tc>
          <w:tcPr>
            <w:tcW w:w="639" w:type="dxa"/>
            <w:tcBorders>
              <w:top w:val="doub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项目</w:t>
            </w:r>
          </w:p>
        </w:tc>
        <w:tc>
          <w:tcPr>
            <w:tcW w:w="893" w:type="dxa"/>
            <w:tcBorders>
              <w:top w:val="doub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条款号</w:t>
            </w:r>
          </w:p>
        </w:tc>
        <w:tc>
          <w:tcPr>
            <w:tcW w:w="1546" w:type="dxa"/>
            <w:tcBorders>
              <w:top w:val="double" w:color="auto" w:sz="4" w:space="0"/>
              <w:left w:val="single" w:color="auto" w:sz="4" w:space="0"/>
              <w:bottom w:val="single" w:color="auto" w:sz="4" w:space="0"/>
              <w:right w:val="single" w:color="auto" w:sz="4" w:space="0"/>
            </w:tcBorders>
            <w:vAlign w:val="center"/>
          </w:tcPr>
          <w:p>
            <w:pPr>
              <w:ind w:firstLine="458"/>
              <w:rPr>
                <w:color w:val="auto"/>
                <w:szCs w:val="21"/>
                <w:highlight w:val="none"/>
              </w:rPr>
            </w:pPr>
            <w:r>
              <w:rPr>
                <w:rFonts w:hint="eastAsia"/>
                <w:color w:val="auto"/>
                <w:szCs w:val="21"/>
                <w:highlight w:val="none"/>
              </w:rPr>
              <w:t>内容</w:t>
            </w:r>
          </w:p>
        </w:tc>
        <w:tc>
          <w:tcPr>
            <w:tcW w:w="6089" w:type="dxa"/>
            <w:tcBorders>
              <w:top w:val="double" w:color="auto" w:sz="4" w:space="0"/>
              <w:left w:val="single" w:color="auto" w:sz="4" w:space="0"/>
              <w:bottom w:val="single" w:color="auto" w:sz="4" w:space="0"/>
              <w:right w:val="double" w:color="auto" w:sz="4" w:space="0"/>
            </w:tcBorders>
            <w:vAlign w:val="center"/>
          </w:tcPr>
          <w:p>
            <w:pPr>
              <w:pStyle w:val="14"/>
              <w:ind w:firstLine="458"/>
              <w:jc w:val="center"/>
              <w:rPr>
                <w:rFonts w:ascii="宋体" w:hAnsi="宋体"/>
                <w:color w:val="auto"/>
                <w:kern w:val="2"/>
                <w:sz w:val="21"/>
                <w:szCs w:val="21"/>
                <w:highlight w:val="none"/>
              </w:rPr>
            </w:pPr>
            <w:r>
              <w:rPr>
                <w:rFonts w:hint="eastAsia" w:ascii="宋体" w:hAnsi="宋体"/>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定义</w:t>
            </w:r>
          </w:p>
        </w:tc>
        <w:tc>
          <w:tcPr>
            <w:tcW w:w="6089" w:type="dxa"/>
            <w:tcBorders>
              <w:top w:val="single" w:color="auto" w:sz="4" w:space="0"/>
              <w:left w:val="single" w:color="auto" w:sz="4" w:space="0"/>
              <w:bottom w:val="single" w:color="auto" w:sz="4" w:space="0"/>
              <w:right w:val="double" w:color="auto" w:sz="4" w:space="0"/>
            </w:tcBorders>
            <w:vAlign w:val="center"/>
          </w:tcPr>
          <w:p>
            <w:pPr>
              <w:rPr>
                <w:rFonts w:hint="eastAsia" w:eastAsia="宋体"/>
                <w:color w:val="auto"/>
                <w:szCs w:val="21"/>
                <w:highlight w:val="none"/>
                <w:lang w:eastAsia="zh-CN"/>
              </w:rPr>
            </w:pPr>
            <w:r>
              <w:rPr>
                <w:rFonts w:hint="eastAsia"/>
                <w:color w:val="auto"/>
                <w:szCs w:val="21"/>
                <w:highlight w:val="none"/>
              </w:rPr>
              <w:t>招标人（即发包人）：</w:t>
            </w:r>
            <w:r>
              <w:rPr>
                <w:rFonts w:hint="eastAsia"/>
                <w:color w:val="auto"/>
                <w:szCs w:val="21"/>
                <w:highlight w:val="none"/>
                <w:lang w:eastAsia="zh-CN"/>
              </w:rPr>
              <w:t>横琴琴澳创新产业园开发建设有限公司</w:t>
            </w:r>
          </w:p>
          <w:p>
            <w:pPr>
              <w:rPr>
                <w:rFonts w:hint="default" w:eastAsia="宋体"/>
                <w:color w:val="auto"/>
                <w:szCs w:val="21"/>
                <w:highlight w:val="none"/>
                <w:lang w:val="en-US" w:eastAsia="zh-CN"/>
              </w:rPr>
            </w:pPr>
            <w:r>
              <w:rPr>
                <w:rFonts w:hint="eastAsia"/>
                <w:color w:val="auto"/>
                <w:szCs w:val="21"/>
                <w:highlight w:val="none"/>
              </w:rPr>
              <w:t>招标代理：</w:t>
            </w:r>
            <w:r>
              <w:rPr>
                <w:rFonts w:hint="eastAsia"/>
                <w:color w:val="auto"/>
                <w:szCs w:val="21"/>
                <w:highlight w:val="none"/>
                <w:lang w:val="en-US" w:eastAsia="zh-CN"/>
              </w:rPr>
              <w:t xml:space="preserve">中招国际招标有限公司 </w:t>
            </w:r>
          </w:p>
          <w:p>
            <w:pPr>
              <w:rPr>
                <w:rFonts w:hint="eastAsia" w:eastAsia="宋体"/>
                <w:color w:val="auto"/>
                <w:szCs w:val="21"/>
                <w:highlight w:val="none"/>
                <w:lang w:eastAsia="zh-CN"/>
              </w:rPr>
            </w:pPr>
            <w:r>
              <w:rPr>
                <w:rFonts w:hint="eastAsia"/>
                <w:color w:val="auto"/>
                <w:szCs w:val="21"/>
                <w:highlight w:val="none"/>
              </w:rPr>
              <w:t>设计单位：国药集团重庆医药设计院有限公司</w:t>
            </w:r>
            <w:r>
              <w:rPr>
                <w:rFonts w:hint="eastAsia"/>
                <w:color w:val="auto"/>
                <w:szCs w:val="21"/>
                <w:highlight w:val="none"/>
                <w:lang w:val="en-US" w:eastAsia="zh-CN"/>
              </w:rPr>
              <w:t xml:space="preserve"> </w:t>
            </w:r>
          </w:p>
          <w:p>
            <w:pPr>
              <w:rPr>
                <w:rFonts w:hint="eastAsia" w:eastAsia="宋体"/>
                <w:color w:val="auto"/>
                <w:szCs w:val="21"/>
                <w:highlight w:val="none"/>
                <w:lang w:eastAsia="zh-CN"/>
              </w:rPr>
            </w:pPr>
            <w:r>
              <w:rPr>
                <w:rFonts w:hint="eastAsia"/>
                <w:color w:val="auto"/>
                <w:szCs w:val="21"/>
                <w:highlight w:val="none"/>
              </w:rPr>
              <w:t>监理单位：中机国际工程设计研究院有限责任公司</w:t>
            </w:r>
            <w:r>
              <w:rPr>
                <w:rFonts w:hint="eastAsia"/>
                <w:color w:val="auto"/>
                <w:szCs w:val="21"/>
                <w:highlight w:val="none"/>
                <w:lang w:val="en-US" w:eastAsia="zh-CN"/>
              </w:rPr>
              <w:t xml:space="preserve"> </w:t>
            </w:r>
          </w:p>
          <w:p>
            <w:pPr>
              <w:rPr>
                <w:rFonts w:hint="eastAsia" w:eastAsia="宋体"/>
                <w:color w:val="auto"/>
                <w:szCs w:val="21"/>
                <w:highlight w:val="none"/>
                <w:lang w:eastAsia="zh-CN"/>
              </w:rPr>
            </w:pPr>
            <w:r>
              <w:rPr>
                <w:rFonts w:hint="eastAsia"/>
                <w:color w:val="auto"/>
                <w:szCs w:val="21"/>
                <w:highlight w:val="none"/>
              </w:rPr>
              <w:t>检测机构：广东省建设工程质量安全检测总站有限公司</w:t>
            </w:r>
            <w:r>
              <w:rPr>
                <w:rFonts w:hint="eastAsia"/>
                <w:color w:val="auto"/>
                <w:szCs w:val="21"/>
                <w:highlight w:val="none"/>
                <w:lang w:val="en-US" w:eastAsia="zh-CN"/>
              </w:rPr>
              <w:t>/</w:t>
            </w:r>
            <w:r>
              <w:rPr>
                <w:rFonts w:hint="eastAsia"/>
                <w:color w:val="auto"/>
                <w:szCs w:val="21"/>
                <w:highlight w:val="none"/>
              </w:rPr>
              <w:t>珠海市建设工程质量监测站</w:t>
            </w:r>
            <w:r>
              <w:rPr>
                <w:rFonts w:hint="eastAsia"/>
                <w:color w:val="auto"/>
                <w:szCs w:val="21"/>
                <w:highlight w:val="none"/>
                <w:lang w:val="en-US" w:eastAsia="zh-CN"/>
              </w:rPr>
              <w:t xml:space="preserve"> </w:t>
            </w:r>
          </w:p>
          <w:p>
            <w:pPr>
              <w:rPr>
                <w:rFonts w:hint="default" w:eastAsia="宋体"/>
                <w:color w:val="auto"/>
                <w:szCs w:val="21"/>
                <w:highlight w:val="none"/>
                <w:lang w:val="en-US" w:eastAsia="zh-CN"/>
              </w:rPr>
            </w:pPr>
            <w:r>
              <w:rPr>
                <w:rFonts w:hint="eastAsia"/>
                <w:color w:val="auto"/>
                <w:szCs w:val="21"/>
                <w:highlight w:val="none"/>
              </w:rPr>
              <w:t>施工总承包单位：中国建筑第五工程局有限公司</w:t>
            </w:r>
            <w:r>
              <w:rPr>
                <w:rFonts w:hint="eastAsia"/>
                <w:color w:val="auto"/>
                <w:szCs w:val="21"/>
                <w:highlight w:val="none"/>
                <w:lang w:eastAsia="zh-CN"/>
              </w:rPr>
              <w:t>（</w:t>
            </w:r>
            <w:r>
              <w:rPr>
                <w:rFonts w:hint="eastAsia"/>
                <w:color w:val="auto"/>
                <w:szCs w:val="21"/>
                <w:highlight w:val="none"/>
                <w:lang w:val="en-US" w:eastAsia="zh-CN"/>
              </w:rPr>
              <w:t>一标段</w:t>
            </w:r>
            <w:r>
              <w:rPr>
                <w:rFonts w:hint="eastAsia"/>
                <w:color w:val="auto"/>
                <w:szCs w:val="21"/>
                <w:highlight w:val="none"/>
                <w:lang w:eastAsia="zh-CN"/>
              </w:rPr>
              <w:t>）</w:t>
            </w:r>
            <w:r>
              <w:rPr>
                <w:rFonts w:hint="eastAsia"/>
                <w:color w:val="auto"/>
                <w:szCs w:val="21"/>
                <w:highlight w:val="none"/>
                <w:lang w:val="en-US" w:eastAsia="zh-CN"/>
              </w:rPr>
              <w:t>/中建一局集团建设发展有限公司（二标段）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2.2</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工程名称</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u w:val="single"/>
              </w:rPr>
            </w:pPr>
            <w:r>
              <w:rPr>
                <w:rFonts w:hint="eastAsia"/>
                <w:color w:val="auto"/>
                <w:szCs w:val="21"/>
                <w:highlight w:val="none"/>
                <w:u w:val="single"/>
                <w:lang w:eastAsia="zh-CN"/>
              </w:rPr>
              <w:t>琴澳创新产业园一期主体工程景观工程施工专业承包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3</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2.2</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建设地点</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u w:val="single"/>
              </w:rPr>
            </w:pPr>
            <w:r>
              <w:rPr>
                <w:rFonts w:hint="eastAsia"/>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4</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2.2</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建设规模</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u w:val="single"/>
              </w:rPr>
            </w:pPr>
            <w:r>
              <w:rPr>
                <w:rFonts w:hint="eastAsia"/>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5</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2.2</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承包方式</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s="宋体"/>
                <w:color w:val="auto"/>
                <w:szCs w:val="21"/>
                <w:highlight w:val="none"/>
                <w:u w:val="single"/>
              </w:rPr>
              <w:t>承包人根据招标文件、合同文件、有关资料及说明等对本工程实施施工</w:t>
            </w:r>
            <w:r>
              <w:rPr>
                <w:rFonts w:hint="eastAsia" w:cs="宋体"/>
                <w:color w:val="auto"/>
                <w:szCs w:val="21"/>
                <w:highlight w:val="none"/>
                <w:u w:val="single"/>
                <w:lang w:val="en-US" w:eastAsia="zh-CN"/>
              </w:rPr>
              <w:t>专业承包</w:t>
            </w:r>
            <w:r>
              <w:rPr>
                <w:rFonts w:hint="eastAsia" w:cs="宋体"/>
                <w:color w:val="auto"/>
                <w:szCs w:val="21"/>
                <w:highlight w:val="none"/>
                <w:u w:val="single"/>
              </w:rPr>
              <w:t>：包工、包料、包质量、包安全生产、包文明施工、包工期、包承包范围内工程验收通过、包移交、包结算和资料整理归档、包承包人应当购买的保险、包竣工图编制（须满足规划等各专项验收要求）、包本工程承包范围内的承包管理和现场整体组织、包专业协调及配合、协助报批报建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6</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2.2</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质量标准</w:t>
            </w:r>
          </w:p>
        </w:tc>
        <w:tc>
          <w:tcPr>
            <w:tcW w:w="6089" w:type="dxa"/>
            <w:tcBorders>
              <w:top w:val="single" w:color="auto" w:sz="4" w:space="0"/>
              <w:left w:val="single" w:color="auto" w:sz="4" w:space="0"/>
              <w:bottom w:val="single" w:color="auto" w:sz="4" w:space="0"/>
              <w:right w:val="double" w:color="auto" w:sz="4" w:space="0"/>
            </w:tcBorders>
            <w:vAlign w:val="center"/>
          </w:tcPr>
          <w:p>
            <w:pPr>
              <w:spacing w:line="360" w:lineRule="auto"/>
              <w:ind w:firstLine="420" w:firstLineChars="200"/>
              <w:rPr>
                <w:color w:val="auto"/>
                <w:szCs w:val="21"/>
                <w:highlight w:val="none"/>
              </w:rPr>
            </w:pPr>
            <w:r>
              <w:rPr>
                <w:rFonts w:hint="eastAsia" w:cs="宋体"/>
                <w:color w:val="auto"/>
                <w:highlight w:val="none"/>
                <w:u w:val="single"/>
              </w:rPr>
              <w:t>质量一次性验收合格。</w:t>
            </w:r>
            <w:r>
              <w:rPr>
                <w:rFonts w:hint="eastAsia" w:ascii="宋体" w:hAnsi="宋体"/>
                <w:color w:val="auto"/>
                <w:szCs w:val="21"/>
                <w:highlight w:val="none"/>
              </w:rPr>
              <w:t>本工程须配合主体单位确保获得广东省建筑业新技术应用示范工程或广东省建筑业绿色施工示范工程、广东省建设工程优质结构奖；标段二A区配合主体单位获得广东省建设工程金匠奖及国家优质工程奖。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7</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2.2</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招标范围</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u w:val="single"/>
              </w:rPr>
            </w:pPr>
            <w:r>
              <w:rPr>
                <w:rFonts w:hint="eastAsia"/>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8</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2.2</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工期要求</w:t>
            </w:r>
          </w:p>
        </w:tc>
        <w:tc>
          <w:tcPr>
            <w:tcW w:w="6089" w:type="dxa"/>
            <w:tcBorders>
              <w:top w:val="single" w:color="auto" w:sz="4" w:space="0"/>
              <w:left w:val="single" w:color="auto" w:sz="4" w:space="0"/>
              <w:bottom w:val="single" w:color="auto" w:sz="4" w:space="0"/>
              <w:right w:val="double" w:color="auto" w:sz="4" w:space="0"/>
            </w:tcBorders>
            <w:vAlign w:val="center"/>
          </w:tcPr>
          <w:p>
            <w:pPr>
              <w:rPr>
                <w:rFonts w:hint="eastAsia" w:cs="宋体"/>
                <w:color w:val="auto"/>
                <w:szCs w:val="21"/>
                <w:highlight w:val="none"/>
                <w:u w:val="single"/>
              </w:rPr>
            </w:pPr>
            <w:r>
              <w:rPr>
                <w:rFonts w:hint="eastAsia" w:cs="宋体"/>
                <w:color w:val="auto"/>
                <w:szCs w:val="21"/>
                <w:highlight w:val="none"/>
                <w:u w:val="single"/>
              </w:rPr>
              <w:t>计划开工日期：</w:t>
            </w:r>
            <w:r>
              <w:rPr>
                <w:rFonts w:hint="eastAsia" w:cs="宋体"/>
                <w:color w:val="auto"/>
                <w:szCs w:val="21"/>
                <w:highlight w:val="none"/>
                <w:u w:val="single"/>
                <w:lang w:val="en-US" w:eastAsia="zh-CN"/>
              </w:rPr>
              <w:t>2026</w:t>
            </w:r>
            <w:r>
              <w:rPr>
                <w:rFonts w:hint="eastAsia" w:cs="宋体"/>
                <w:color w:val="auto"/>
                <w:szCs w:val="21"/>
                <w:highlight w:val="none"/>
                <w:u w:val="single"/>
              </w:rPr>
              <w:t>年</w:t>
            </w:r>
            <w:r>
              <w:rPr>
                <w:rFonts w:hint="eastAsia" w:cs="宋体"/>
                <w:color w:val="auto"/>
                <w:szCs w:val="21"/>
                <w:highlight w:val="none"/>
                <w:u w:val="single"/>
                <w:lang w:val="en-US" w:eastAsia="zh-CN"/>
              </w:rPr>
              <w:t>1</w:t>
            </w:r>
            <w:r>
              <w:rPr>
                <w:rFonts w:hint="eastAsia" w:cs="宋体"/>
                <w:color w:val="auto"/>
                <w:szCs w:val="21"/>
                <w:highlight w:val="none"/>
                <w:u w:val="single"/>
              </w:rPr>
              <w:t>月</w:t>
            </w:r>
            <w:r>
              <w:rPr>
                <w:rFonts w:hint="eastAsia" w:cs="宋体"/>
                <w:color w:val="auto"/>
                <w:szCs w:val="21"/>
                <w:highlight w:val="none"/>
                <w:u w:val="single"/>
                <w:lang w:val="en-US" w:eastAsia="zh-CN"/>
              </w:rPr>
              <w:t>6</w:t>
            </w:r>
            <w:r>
              <w:rPr>
                <w:rFonts w:hint="eastAsia" w:cs="宋体"/>
                <w:color w:val="auto"/>
                <w:szCs w:val="21"/>
                <w:highlight w:val="none"/>
                <w:u w:val="single"/>
              </w:rPr>
              <w:t>日（具体开工时间以开工令为准）。</w:t>
            </w:r>
          </w:p>
          <w:p>
            <w:pPr>
              <w:rPr>
                <w:rFonts w:hint="eastAsia" w:eastAsia="宋体" w:cs="宋体"/>
                <w:color w:val="auto"/>
                <w:szCs w:val="21"/>
                <w:highlight w:val="none"/>
                <w:u w:val="single"/>
                <w:lang w:val="en-US" w:eastAsia="zh-CN"/>
              </w:rPr>
            </w:pPr>
            <w:r>
              <w:rPr>
                <w:rFonts w:hint="eastAsia" w:cs="宋体"/>
                <w:color w:val="auto"/>
                <w:szCs w:val="21"/>
                <w:highlight w:val="none"/>
                <w:u w:val="single"/>
              </w:rPr>
              <w:t>计划竣工日期</w:t>
            </w:r>
            <w:r>
              <w:rPr>
                <w:rFonts w:hint="eastAsia" w:cs="宋体"/>
                <w:color w:val="auto"/>
                <w:szCs w:val="21"/>
                <w:highlight w:val="none"/>
                <w:u w:val="single"/>
                <w:lang w:eastAsia="zh-CN"/>
              </w:rPr>
              <w:t>：</w:t>
            </w:r>
            <w:r>
              <w:rPr>
                <w:rFonts w:hint="eastAsia" w:cs="宋体"/>
                <w:color w:val="auto"/>
                <w:szCs w:val="21"/>
                <w:highlight w:val="none"/>
                <w:u w:val="single"/>
                <w:lang w:val="en-US" w:eastAsia="zh-CN"/>
              </w:rPr>
              <w:t>2026</w:t>
            </w:r>
            <w:r>
              <w:rPr>
                <w:rFonts w:hint="eastAsia" w:cs="宋体"/>
                <w:color w:val="auto"/>
                <w:szCs w:val="21"/>
                <w:highlight w:val="none"/>
                <w:u w:val="single"/>
              </w:rPr>
              <w:t>年</w:t>
            </w:r>
            <w:r>
              <w:rPr>
                <w:rFonts w:hint="eastAsia" w:cs="宋体"/>
                <w:color w:val="auto"/>
                <w:szCs w:val="21"/>
                <w:highlight w:val="none"/>
                <w:u w:val="single"/>
                <w:lang w:val="en-US" w:eastAsia="zh-CN"/>
              </w:rPr>
              <w:t>12</w:t>
            </w:r>
            <w:r>
              <w:rPr>
                <w:rFonts w:hint="eastAsia" w:cs="宋体"/>
                <w:color w:val="auto"/>
                <w:szCs w:val="21"/>
                <w:highlight w:val="none"/>
                <w:u w:val="single"/>
              </w:rPr>
              <w:t>月</w:t>
            </w:r>
            <w:r>
              <w:rPr>
                <w:rFonts w:hint="eastAsia" w:cs="宋体"/>
                <w:color w:val="auto"/>
                <w:szCs w:val="21"/>
                <w:highlight w:val="none"/>
                <w:u w:val="single"/>
                <w:lang w:val="en-US" w:eastAsia="zh-CN"/>
              </w:rPr>
              <w:t>31</w:t>
            </w:r>
            <w:r>
              <w:rPr>
                <w:rFonts w:hint="eastAsia" w:cs="宋体"/>
                <w:color w:val="auto"/>
                <w:szCs w:val="21"/>
                <w:highlight w:val="none"/>
                <w:u w:val="single"/>
              </w:rPr>
              <w:t>日（项目整体竣工日期）。</w:t>
            </w:r>
            <w:r>
              <w:rPr>
                <w:rFonts w:hint="eastAsia" w:cs="宋体"/>
                <w:color w:val="auto"/>
                <w:szCs w:val="21"/>
                <w:highlight w:val="none"/>
                <w:u w:val="single"/>
                <w:lang w:val="en-US" w:eastAsia="zh-CN"/>
              </w:rPr>
              <w:t xml:space="preserve"> </w:t>
            </w:r>
          </w:p>
          <w:p>
            <w:pPr>
              <w:rPr>
                <w:rFonts w:hint="eastAsia" w:cs="宋体"/>
                <w:color w:val="auto"/>
                <w:szCs w:val="21"/>
                <w:highlight w:val="none"/>
                <w:u w:val="single"/>
              </w:rPr>
            </w:pPr>
            <w:r>
              <w:rPr>
                <w:rFonts w:hint="eastAsia" w:cs="宋体"/>
                <w:color w:val="auto"/>
                <w:szCs w:val="21"/>
                <w:highlight w:val="none"/>
                <w:u w:val="single"/>
              </w:rPr>
              <w:t>工期总日历天数：</w:t>
            </w:r>
            <w:r>
              <w:rPr>
                <w:rFonts w:hint="eastAsia" w:cs="宋体"/>
                <w:color w:val="auto"/>
                <w:szCs w:val="21"/>
                <w:highlight w:val="none"/>
                <w:u w:val="single"/>
                <w:lang w:val="en-US" w:eastAsia="zh-CN"/>
              </w:rPr>
              <w:t>360</w:t>
            </w:r>
            <w:r>
              <w:rPr>
                <w:rFonts w:hint="eastAsia" w:cs="宋体"/>
                <w:color w:val="auto"/>
                <w:szCs w:val="21"/>
                <w:highlight w:val="none"/>
                <w:u w:val="single"/>
              </w:rPr>
              <w:t xml:space="preserve">天。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p>
          <w:p>
            <w:pPr>
              <w:rPr>
                <w:rFonts w:hint="eastAsia" w:cs="宋体"/>
                <w:color w:val="auto"/>
                <w:szCs w:val="21"/>
                <w:highlight w:val="none"/>
                <w:u w:val="single"/>
              </w:rPr>
            </w:pPr>
            <w:r>
              <w:rPr>
                <w:rFonts w:hint="eastAsia" w:cs="宋体"/>
                <w:color w:val="auto"/>
                <w:szCs w:val="21"/>
                <w:highlight w:val="none"/>
                <w:u w:val="single"/>
              </w:rPr>
              <w:t>关键节点工期：</w:t>
            </w:r>
          </w:p>
          <w:p>
            <w:pPr>
              <w:rPr>
                <w:rFonts w:hint="eastAsia" w:cs="宋体"/>
                <w:color w:val="auto"/>
                <w:szCs w:val="21"/>
                <w:highlight w:val="none"/>
                <w:u w:val="single"/>
              </w:rPr>
            </w:pPr>
            <w:r>
              <w:rPr>
                <w:rFonts w:hint="eastAsia" w:cs="宋体"/>
                <w:color w:val="auto"/>
                <w:szCs w:val="21"/>
                <w:highlight w:val="none"/>
                <w:u w:val="single"/>
              </w:rPr>
              <w:t>1、标段一</w:t>
            </w:r>
            <w:r>
              <w:rPr>
                <w:rFonts w:hint="eastAsia" w:cs="宋体"/>
                <w:color w:val="auto"/>
                <w:szCs w:val="21"/>
                <w:highlight w:val="none"/>
                <w:u w:val="single"/>
                <w:lang w:val="en-US" w:eastAsia="zh-CN"/>
              </w:rPr>
              <w:t>范围内景观工程</w:t>
            </w:r>
            <w:r>
              <w:rPr>
                <w:rFonts w:hint="eastAsia" w:cs="宋体"/>
                <w:color w:val="auto"/>
                <w:szCs w:val="21"/>
                <w:highlight w:val="none"/>
                <w:u w:val="single"/>
              </w:rPr>
              <w:t>2026年5月30日前完成；</w:t>
            </w:r>
          </w:p>
          <w:p>
            <w:pPr>
              <w:rPr>
                <w:color w:val="auto"/>
                <w:szCs w:val="21"/>
                <w:highlight w:val="none"/>
              </w:rPr>
            </w:pPr>
            <w:r>
              <w:rPr>
                <w:rFonts w:hint="eastAsia" w:cs="宋体"/>
                <w:color w:val="auto"/>
                <w:szCs w:val="21"/>
                <w:highlight w:val="none"/>
                <w:u w:val="single"/>
              </w:rPr>
              <w:t>2、标段二</w:t>
            </w:r>
            <w:r>
              <w:rPr>
                <w:rFonts w:hint="eastAsia" w:cs="宋体"/>
                <w:color w:val="auto"/>
                <w:szCs w:val="21"/>
                <w:highlight w:val="none"/>
                <w:u w:val="single"/>
                <w:lang w:val="en-US" w:eastAsia="zh-CN"/>
              </w:rPr>
              <w:t>范围内景观工程</w:t>
            </w:r>
            <w:r>
              <w:rPr>
                <w:rFonts w:hint="eastAsia" w:cs="宋体"/>
                <w:color w:val="auto"/>
                <w:szCs w:val="21"/>
                <w:highlight w:val="none"/>
                <w:u w:val="single"/>
              </w:rPr>
              <w:t>2026年11月3</w:t>
            </w:r>
            <w:r>
              <w:rPr>
                <w:rFonts w:hint="eastAsia" w:cs="宋体"/>
                <w:color w:val="auto"/>
                <w:szCs w:val="21"/>
                <w:highlight w:val="none"/>
                <w:u w:val="single"/>
                <w:lang w:val="en-US" w:eastAsia="zh-CN"/>
              </w:rPr>
              <w:t>0</w:t>
            </w:r>
            <w:r>
              <w:rPr>
                <w:rFonts w:hint="eastAsia" w:cs="宋体"/>
                <w:color w:val="auto"/>
                <w:szCs w:val="21"/>
                <w:highlight w:val="none"/>
                <w:u w:val="single"/>
              </w:rPr>
              <w:t>日前完成。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9</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3.1</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资金来源</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10</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4.1</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投标人资质等级及项目负责人等级要求</w:t>
            </w:r>
          </w:p>
        </w:tc>
        <w:tc>
          <w:tcPr>
            <w:tcW w:w="6089" w:type="dxa"/>
            <w:tcBorders>
              <w:top w:val="single" w:color="auto" w:sz="4" w:space="0"/>
              <w:left w:val="single" w:color="auto" w:sz="4" w:space="0"/>
              <w:bottom w:val="single" w:color="auto" w:sz="4" w:space="0"/>
              <w:right w:val="double" w:color="auto" w:sz="4" w:space="0"/>
            </w:tcBorders>
            <w:vAlign w:val="center"/>
          </w:tcPr>
          <w:p>
            <w:pPr>
              <w:rPr>
                <w:rFonts w:hint="eastAsia" w:eastAsia="宋体"/>
                <w:color w:val="auto"/>
                <w:szCs w:val="21"/>
                <w:highlight w:val="none"/>
                <w:lang w:eastAsia="zh-CN"/>
              </w:rPr>
            </w:pPr>
            <w:r>
              <w:rPr>
                <w:rFonts w:hint="eastAsia"/>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11</w:t>
            </w:r>
          </w:p>
        </w:tc>
        <w:tc>
          <w:tcPr>
            <w:tcW w:w="893" w:type="dxa"/>
            <w:tcBorders>
              <w:top w:val="single" w:color="auto" w:sz="4" w:space="0"/>
              <w:left w:val="single" w:color="auto" w:sz="4" w:space="0"/>
              <w:bottom w:val="single" w:color="auto" w:sz="4" w:space="0"/>
              <w:right w:val="single" w:color="auto" w:sz="4" w:space="0"/>
            </w:tcBorders>
            <w:vAlign w:val="center"/>
          </w:tcPr>
          <w:p>
            <w:pPr>
              <w:ind w:firstLine="458"/>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资格审查方式</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12</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13.1</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报价以及单价和总价计算方式</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highlight w:val="none"/>
              </w:rPr>
              <w:t>固定总价包</w:t>
            </w:r>
            <w:r>
              <w:rPr>
                <w:rFonts w:hint="eastAsia"/>
                <w:color w:val="auto"/>
                <w:szCs w:val="21"/>
                <w:highlight w:val="none"/>
                <w:lang w:val="en-US" w:eastAsia="zh-CN"/>
              </w:rPr>
              <w:t>干</w:t>
            </w:r>
            <w:r>
              <w:rPr>
                <w:rFonts w:hint="eastAsia"/>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13</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15.1</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投标有效期</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u w:val="single"/>
              </w:rPr>
            </w:pPr>
            <w:r>
              <w:rPr>
                <w:rFonts w:hint="eastAsia"/>
                <w:color w:val="auto"/>
                <w:szCs w:val="21"/>
                <w:highlight w:val="none"/>
                <w:u w:val="single"/>
              </w:rPr>
              <w:t xml:space="preserve"> </w:t>
            </w:r>
            <w:r>
              <w:rPr>
                <w:rFonts w:hint="eastAsia"/>
                <w:color w:val="auto"/>
                <w:szCs w:val="21"/>
                <w:highlight w:val="none"/>
                <w:u w:val="single"/>
                <w:lang w:val="en-US" w:eastAsia="zh-CN"/>
              </w:rPr>
              <w:t>120</w:t>
            </w:r>
            <w:r>
              <w:rPr>
                <w:rFonts w:hint="eastAsia"/>
                <w:color w:val="auto"/>
                <w:szCs w:val="21"/>
                <w:highlight w:val="none"/>
                <w:u w:val="single"/>
              </w:rPr>
              <w:t xml:space="preserve"> </w:t>
            </w:r>
            <w:r>
              <w:rPr>
                <w:rFonts w:hint="eastAsia"/>
                <w:color w:val="auto"/>
                <w:szCs w:val="21"/>
                <w:highlight w:val="none"/>
              </w:rPr>
              <w:t>日历天。（从投标截止之日计起）。</w:t>
            </w:r>
            <w:r>
              <w:rPr>
                <w:rFonts w:hint="eastAsia" w:cs="宋体"/>
                <w:color w:val="auto"/>
                <w:szCs w:val="21"/>
                <w:highlight w:val="none"/>
                <w:u w:val="single"/>
              </w:rPr>
              <w:t>如投标有效期内发生异议或投诉的，则投标有效期自动延长至异议或投诉处理结束后90日历天。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14</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16.1</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投标保证金</w:t>
            </w:r>
          </w:p>
        </w:tc>
        <w:tc>
          <w:tcPr>
            <w:tcW w:w="6089" w:type="dxa"/>
            <w:tcBorders>
              <w:top w:val="single" w:color="auto" w:sz="4" w:space="0"/>
              <w:left w:val="single" w:color="auto" w:sz="4" w:space="0"/>
              <w:bottom w:val="single" w:color="auto" w:sz="4" w:space="0"/>
              <w:right w:val="double" w:color="auto" w:sz="4" w:space="0"/>
            </w:tcBorders>
            <w:vAlign w:val="center"/>
          </w:tcPr>
          <w:p>
            <w:pPr>
              <w:rPr>
                <w:rFonts w:hint="eastAsia"/>
                <w:color w:val="auto"/>
                <w:highlight w:val="none"/>
              </w:rPr>
            </w:pPr>
            <w:r>
              <w:rPr>
                <w:rFonts w:hint="eastAsia"/>
                <w:color w:val="auto"/>
                <w:highlight w:val="none"/>
              </w:rPr>
              <w:t>1、投标保证金的金额：人民币</w:t>
            </w:r>
            <w:r>
              <w:rPr>
                <w:rFonts w:hint="eastAsia"/>
                <w:b/>
                <w:bCs/>
                <w:color w:val="auto"/>
                <w:highlight w:val="none"/>
                <w:u w:val="single"/>
                <w:lang w:val="en-US" w:eastAsia="zh-CN"/>
              </w:rPr>
              <w:t>50</w:t>
            </w:r>
            <w:r>
              <w:rPr>
                <w:rFonts w:hint="eastAsia"/>
                <w:b/>
                <w:bCs/>
                <w:color w:val="auto"/>
                <w:highlight w:val="none"/>
                <w:u w:val="single"/>
              </w:rPr>
              <w:t>万元</w:t>
            </w:r>
            <w:r>
              <w:rPr>
                <w:rFonts w:hint="eastAsia"/>
                <w:color w:val="auto"/>
                <w:highlight w:val="none"/>
              </w:rPr>
              <w:t>，缴纳时间在投标截止时间之前。</w:t>
            </w:r>
          </w:p>
          <w:p>
            <w:pPr>
              <w:rPr>
                <w:rFonts w:hint="eastAsia"/>
                <w:color w:val="auto"/>
                <w:highlight w:val="none"/>
              </w:rPr>
            </w:pPr>
            <w:r>
              <w:rPr>
                <w:rFonts w:hint="eastAsia"/>
                <w:color w:val="auto"/>
                <w:highlight w:val="none"/>
              </w:rPr>
              <w:t>注：根据《房屋建筑和市政基础设施工程施工招标投标管理办法》（建设部令第89号）第二十六条的规定，投标保证金一般不得超过投标总价的2％，最高不得超过50万元。</w:t>
            </w:r>
          </w:p>
          <w:p>
            <w:pPr>
              <w:rPr>
                <w:rFonts w:hint="eastAsia"/>
                <w:color w:val="auto"/>
                <w:highlight w:val="none"/>
              </w:rPr>
            </w:pPr>
            <w:r>
              <w:rPr>
                <w:rFonts w:hint="eastAsia"/>
                <w:color w:val="auto"/>
                <w:highlight w:val="none"/>
              </w:rPr>
              <w:t>2、投标保证金的形式：投标保证金可采用现金、支票（现金支票、转账支票）、银行汇票、银行本票、银行电汇、银行转账、银行保函、保证保险、专业工程担保公司担保等能够实现保证目的形式。收取方式：</w:t>
            </w:r>
          </w:p>
          <w:p>
            <w:pPr>
              <w:rPr>
                <w:rFonts w:hint="eastAsia"/>
                <w:color w:val="auto"/>
                <w:highlight w:val="none"/>
              </w:rPr>
            </w:pPr>
            <w:r>
              <w:rPr>
                <w:rFonts w:hint="eastAsia"/>
                <w:color w:val="auto"/>
                <w:highlight w:val="none"/>
              </w:rPr>
              <w:t>（1）如采用现金、支票或者银行汇票、银行本票、银行电汇、银行转账形式提交的，由广州交易集团有限公司代收，投标保证金须从投标人基本账户递交。</w:t>
            </w:r>
          </w:p>
          <w:p>
            <w:pPr>
              <w:rPr>
                <w:rFonts w:hint="eastAsia"/>
                <w:color w:val="auto"/>
                <w:highlight w:val="none"/>
              </w:rPr>
            </w:pPr>
            <w:r>
              <w:rPr>
                <w:rFonts w:hint="eastAsia"/>
                <w:color w:val="auto"/>
                <w:highlight w:val="none"/>
              </w:rPr>
              <w:t>①具体要求详见广州交易集团有限公司（广州公共资源交易中心）有关指引。</w:t>
            </w:r>
          </w:p>
          <w:p>
            <w:pPr>
              <w:rPr>
                <w:rFonts w:hint="eastAsia"/>
                <w:color w:val="auto"/>
                <w:highlight w:val="none"/>
              </w:rPr>
            </w:pPr>
            <w:r>
              <w:rPr>
                <w:rFonts w:hint="eastAsia"/>
                <w:color w:val="auto"/>
                <w:highlight w:val="none"/>
              </w:rPr>
              <w:t>②投标人必须提前办理缴纳投标保证金的事宜，且在缴纳保证金之前必须先咨询广州交易集团有限公司（广州公共资源交易中心）详细缴纳方法，否则需自行承担保证金无法成功缴纳的风险。</w:t>
            </w:r>
          </w:p>
          <w:p>
            <w:pPr>
              <w:rPr>
                <w:rFonts w:hint="eastAsia"/>
                <w:color w:val="auto"/>
                <w:highlight w:val="none"/>
              </w:rPr>
            </w:pPr>
            <w:r>
              <w:rPr>
                <w:rFonts w:hint="eastAsia"/>
                <w:color w:val="auto"/>
                <w:highlight w:val="none"/>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pPr>
              <w:rPr>
                <w:rFonts w:hint="eastAsia"/>
                <w:color w:val="auto"/>
                <w:highlight w:val="none"/>
              </w:rPr>
            </w:pPr>
            <w:r>
              <w:rPr>
                <w:rFonts w:hint="eastAsia"/>
                <w:color w:val="auto"/>
                <w:highlight w:val="non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pPr>
              <w:rPr>
                <w:color w:val="auto"/>
                <w:highlight w:val="none"/>
              </w:rPr>
            </w:pPr>
            <w:r>
              <w:rPr>
                <w:rFonts w:hint="eastAsia"/>
                <w:color w:val="auto"/>
                <w:highlight w:val="none"/>
              </w:rPr>
              <w:t>（3）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15</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5</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踏勘现场</w:t>
            </w:r>
          </w:p>
        </w:tc>
        <w:tc>
          <w:tcPr>
            <w:tcW w:w="6089" w:type="dxa"/>
            <w:tcBorders>
              <w:top w:val="single" w:color="auto" w:sz="4" w:space="0"/>
              <w:left w:val="single" w:color="auto" w:sz="4" w:space="0"/>
              <w:bottom w:val="single" w:color="auto" w:sz="4" w:space="0"/>
              <w:right w:val="double" w:color="auto" w:sz="4" w:space="0"/>
            </w:tcBorders>
            <w:vAlign w:val="center"/>
          </w:tcPr>
          <w:p>
            <w:pPr>
              <w:pStyle w:val="14"/>
              <w:rPr>
                <w:rFonts w:ascii="宋体" w:hAnsi="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16</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8</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投标答疑</w:t>
            </w:r>
          </w:p>
        </w:tc>
        <w:tc>
          <w:tcPr>
            <w:tcW w:w="6089" w:type="dxa"/>
            <w:tcBorders>
              <w:top w:val="single" w:color="auto" w:sz="4" w:space="0"/>
              <w:left w:val="single" w:color="auto" w:sz="4" w:space="0"/>
              <w:bottom w:val="single" w:color="auto" w:sz="4" w:space="0"/>
              <w:right w:val="double" w:color="auto" w:sz="4" w:space="0"/>
            </w:tcBorders>
            <w:vAlign w:val="center"/>
          </w:tcPr>
          <w:p>
            <w:pPr>
              <w:spacing w:line="360" w:lineRule="atLeast"/>
              <w:rPr>
                <w:rFonts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rPr>
              <w:t>在递交投标文件截止日期前18日</w:t>
            </w:r>
          </w:p>
          <w:p>
            <w:pPr>
              <w:spacing w:line="360" w:lineRule="atLeast"/>
              <w:rPr>
                <w:rFonts w:ascii="宋体" w:hAnsi="宋体" w:cs="宋体"/>
                <w:color w:val="auto"/>
                <w:szCs w:val="21"/>
                <w:highlight w:val="non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pPr>
              <w:rPr>
                <w:color w:val="auto"/>
                <w:szCs w:val="21"/>
                <w:highlight w:val="none"/>
              </w:rPr>
            </w:pPr>
            <w:r>
              <w:rPr>
                <w:rFonts w:hint="eastAsia" w:ascii="宋体" w:hAnsi="宋体" w:cs="宋体"/>
                <w:color w:val="auto"/>
                <w:szCs w:val="21"/>
                <w:highlight w:val="none"/>
              </w:rPr>
              <w:t>具体要求：</w:t>
            </w:r>
            <w:r>
              <w:rPr>
                <w:rFonts w:hint="eastAsia" w:ascii="宋体" w:hAnsi="宋体" w:cs="宋体"/>
                <w:color w:val="auto"/>
                <w:szCs w:val="21"/>
                <w:highlight w:val="none"/>
                <w:u w:val="single"/>
              </w:rPr>
              <w:t>按照广州交易集团有限公司（广州公共资源交易中心）交易平台关于全流程电 子化项目的相关指南进行操作，详见：广州交易集团有限公司（广州公共资源交易中心）网站最新指引。提问一律不得署名。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w:t>
            </w:r>
            <w:r>
              <w:rPr>
                <w:rFonts w:hint="eastAsia"/>
                <w:color w:val="auto"/>
                <w:szCs w:val="21"/>
                <w:highlight w:val="none"/>
              </w:rPr>
              <w:t>7</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20</w:t>
            </w:r>
            <w:r>
              <w:rPr>
                <w:color w:val="auto"/>
                <w:szCs w:val="21"/>
                <w:highlight w:val="none"/>
              </w:rPr>
              <w:t>.1</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投标截止时间</w:t>
            </w:r>
          </w:p>
        </w:tc>
        <w:tc>
          <w:tcPr>
            <w:tcW w:w="6089" w:type="dxa"/>
            <w:tcBorders>
              <w:top w:val="single" w:color="auto" w:sz="4" w:space="0"/>
              <w:left w:val="single" w:color="auto" w:sz="4" w:space="0"/>
              <w:bottom w:val="single" w:color="auto" w:sz="4" w:space="0"/>
              <w:right w:val="double" w:color="auto" w:sz="4" w:space="0"/>
            </w:tcBorders>
            <w:vAlign w:val="center"/>
          </w:tcPr>
          <w:p>
            <w:pPr>
              <w:rPr>
                <w:strike/>
                <w:color w:val="auto"/>
                <w:szCs w:val="21"/>
                <w:highlight w:val="none"/>
              </w:rPr>
            </w:pPr>
            <w:r>
              <w:rPr>
                <w:rFonts w:hint="eastAsia"/>
                <w:color w:val="auto"/>
                <w:szCs w:val="21"/>
                <w:highlight w:val="none"/>
                <w:u w:val="single"/>
              </w:rPr>
              <w:t>202</w:t>
            </w:r>
            <w:r>
              <w:rPr>
                <w:rFonts w:hint="eastAsia"/>
                <w:color w:val="auto"/>
                <w:szCs w:val="21"/>
                <w:highlight w:val="none"/>
                <w:u w:val="single"/>
                <w:lang w:val="en-US" w:eastAsia="zh-CN"/>
              </w:rPr>
              <w:t>5</w:t>
            </w:r>
            <w:r>
              <w:rPr>
                <w:rFonts w:hint="eastAsia"/>
                <w:color w:val="auto"/>
                <w:szCs w:val="21"/>
                <w:highlight w:val="none"/>
              </w:rPr>
              <w:t>年</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r>
              <w:rPr>
                <w:rFonts w:hint="eastAsia"/>
                <w:color w:val="auto"/>
                <w:szCs w:val="21"/>
                <w:highlight w:val="none"/>
              </w:rPr>
              <w:t>（北京时间）。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18</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20.1</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开标开始时间和地点</w:t>
            </w:r>
          </w:p>
        </w:tc>
        <w:tc>
          <w:tcPr>
            <w:tcW w:w="6089" w:type="dxa"/>
            <w:tcBorders>
              <w:top w:val="single" w:color="auto" w:sz="4" w:space="0"/>
              <w:left w:val="single" w:color="auto" w:sz="4" w:space="0"/>
              <w:bottom w:val="single" w:color="auto" w:sz="4" w:space="0"/>
              <w:right w:val="double" w:color="auto" w:sz="4" w:space="0"/>
            </w:tcBorders>
            <w:vAlign w:val="center"/>
          </w:tcPr>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（技术标和经济标同时开标）</w:t>
            </w:r>
          </w:p>
          <w:p>
            <w:pPr>
              <w:spacing w:line="360" w:lineRule="atLeast"/>
              <w:rPr>
                <w:rFonts w:hint="eastAsia" w:ascii="宋体" w:hAnsi="宋体"/>
                <w:color w:val="auto"/>
                <w:szCs w:val="21"/>
                <w:highlight w:val="non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rPr>
              <w:t>202</w:t>
            </w:r>
            <w:r>
              <w:rPr>
                <w:rFonts w:hint="eastAsia"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广州交易集团有限公司（广州公共资源交易中心）指定开标室。</w:t>
            </w:r>
            <w:r>
              <w:rPr>
                <w:rFonts w:hint="eastAsia" w:ascii="宋体" w:hAnsi="宋体" w:cs="宋体"/>
                <w:color w:val="auto"/>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w:t>
            </w:r>
            <w:bookmarkStart w:id="56" w:name="_GoBack"/>
            <w:bookmarkEnd w:id="56"/>
            <w:r>
              <w:rPr>
                <w:rFonts w:hint="eastAsia" w:ascii="宋体" w:hAnsi="宋体" w:cs="宋体"/>
                <w:color w:val="auto"/>
                <w:szCs w:val="21"/>
                <w:highlight w:val="none"/>
                <w:u w:val="single"/>
              </w:rPr>
              <w:t>交易集团有限公司（广州公共资源交易中心）网站最新指引</w:t>
            </w:r>
            <w:r>
              <w:rPr>
                <w:rFonts w:hint="eastAsia" w:ascii="宋体" w:hAnsi="宋体" w:cs="宋体"/>
                <w:color w:val="auto"/>
                <w:szCs w:val="21"/>
                <w:highlight w:val="none"/>
              </w:rPr>
              <w:t>。</w:t>
            </w:r>
          </w:p>
          <w:p>
            <w:pPr>
              <w:spacing w:line="360" w:lineRule="atLeast"/>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spacing w:line="360" w:lineRule="atLeast"/>
              <w:rPr>
                <w:rFonts w:hint="eastAsia" w:ascii="宋体" w:hAnsi="宋体"/>
                <w:color w:val="auto"/>
                <w:szCs w:val="21"/>
                <w:highlight w:val="none"/>
              </w:rPr>
            </w:pPr>
            <w:r>
              <w:rPr>
                <w:rFonts w:hint="eastAsia" w:ascii="宋体" w:hAnsi="宋体" w:cs="宋体"/>
                <w:color w:val="auto"/>
                <w:szCs w:val="21"/>
                <w:highlight w:val="none"/>
              </w:rPr>
              <w:t>2、递交投标文件备用光盘时间：</w:t>
            </w:r>
            <w:r>
              <w:rPr>
                <w:rFonts w:hint="eastAsia" w:ascii="宋体" w:hAnsi="宋体" w:cs="宋体"/>
                <w:color w:val="auto"/>
                <w:szCs w:val="21"/>
                <w:highlight w:val="none"/>
                <w:u w:val="single"/>
              </w:rPr>
              <w:t>202</w:t>
            </w:r>
            <w:r>
              <w:rPr>
                <w:rFonts w:hint="eastAsia"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202</w:t>
            </w:r>
            <w:r>
              <w:rPr>
                <w:rFonts w:hint="eastAsia"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广州交易集团有限公司（广州公共资源交易中心）指定开标室</w:t>
            </w:r>
            <w:r>
              <w:rPr>
                <w:rFonts w:hint="eastAsia" w:ascii="宋体" w:hAnsi="宋体" w:cs="宋体"/>
                <w:color w:val="auto"/>
                <w:szCs w:val="21"/>
                <w:highlight w:val="none"/>
              </w:rPr>
              <w:t>。</w:t>
            </w:r>
          </w:p>
          <w:p>
            <w:pPr>
              <w:rPr>
                <w:color w:val="auto"/>
                <w:szCs w:val="21"/>
                <w:highlight w:val="none"/>
              </w:rPr>
            </w:pPr>
            <w:r>
              <w:rPr>
                <w:rFonts w:hint="eastAsia" w:ascii="宋体" w:hAnsi="宋体" w:cs="仿宋_GB2312"/>
                <w:color w:val="auto"/>
                <w:highlight w:val="none"/>
                <w:u w:val="single"/>
              </w:rPr>
              <w:t>上述时间及地点是否有改变，请密切留意补充公告（如有）和招标澄清答疑纪要（如有）的相关信息。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19</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26</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开标评标办法</w:t>
            </w:r>
          </w:p>
        </w:tc>
        <w:tc>
          <w:tcPr>
            <w:tcW w:w="6089" w:type="dxa"/>
            <w:tcBorders>
              <w:top w:val="single" w:color="auto" w:sz="4" w:space="0"/>
              <w:left w:val="single" w:color="auto" w:sz="4" w:space="0"/>
              <w:bottom w:val="single" w:color="auto" w:sz="4" w:space="0"/>
              <w:right w:val="double" w:color="auto" w:sz="4" w:space="0"/>
            </w:tcBorders>
            <w:vAlign w:val="center"/>
          </w:tcPr>
          <w:p>
            <w:pPr>
              <w:spacing w:after="120"/>
              <w:rPr>
                <w:rFonts w:hint="eastAsia" w:ascii="宋体" w:hAnsi="宋体" w:cs="宋体"/>
                <w:color w:val="auto"/>
                <w:szCs w:val="21"/>
                <w:highlight w:val="none"/>
              </w:rPr>
            </w:pPr>
            <w:r>
              <w:rPr>
                <w:rFonts w:hint="eastAsia" w:ascii="宋体" w:hAnsi="宋体" w:cs="宋体"/>
                <w:color w:val="auto"/>
                <w:szCs w:val="21"/>
                <w:highlight w:val="none"/>
              </w:rPr>
              <w:t>方式一：选取办法七（适合综合评分法四，技术标与经济标同时开启）；</w:t>
            </w:r>
          </w:p>
          <w:p>
            <w:pPr>
              <w:pStyle w:val="25"/>
              <w:spacing w:after="0"/>
              <w:ind w:firstLine="0"/>
              <w:rPr>
                <w:rFonts w:ascii="宋体" w:hAnsi="宋体"/>
                <w:color w:val="auto"/>
                <w:kern w:val="2"/>
                <w:sz w:val="21"/>
                <w:highlight w:val="none"/>
              </w:rPr>
            </w:pPr>
            <w:r>
              <w:rPr>
                <w:rFonts w:hint="eastAsia" w:ascii="宋体" w:hAnsi="宋体" w:cs="宋体"/>
                <w:b/>
                <w:color w:val="auto"/>
                <w:highlight w:val="none"/>
                <w:u w:val="single"/>
              </w:rPr>
              <w:t>投标人总得分=技术得分（满分100分）×技术得分权重（</w:t>
            </w:r>
            <w:r>
              <w:rPr>
                <w:rFonts w:hint="eastAsia" w:ascii="宋体" w:hAnsi="宋体" w:cs="宋体"/>
                <w:b/>
                <w:color w:val="auto"/>
                <w:highlight w:val="none"/>
                <w:u w:val="single"/>
                <w:lang w:val="en-US" w:eastAsia="zh-CN"/>
              </w:rPr>
              <w:t>80</w:t>
            </w:r>
            <w:r>
              <w:rPr>
                <w:rFonts w:hint="eastAsia" w:ascii="宋体" w:hAnsi="宋体" w:cs="宋体"/>
                <w:b/>
                <w:color w:val="auto"/>
                <w:highlight w:val="none"/>
                <w:u w:val="single"/>
              </w:rPr>
              <w:t>%）＋经济得分（满分100分）×经济得分权重（</w:t>
            </w:r>
            <w:r>
              <w:rPr>
                <w:rFonts w:hint="eastAsia" w:ascii="宋体" w:hAnsi="宋体" w:cs="宋体"/>
                <w:b/>
                <w:color w:val="auto"/>
                <w:highlight w:val="none"/>
                <w:u w:val="single"/>
                <w:lang w:val="en-US" w:eastAsia="zh-CN"/>
              </w:rPr>
              <w:t>20</w:t>
            </w:r>
            <w:r>
              <w:rPr>
                <w:rFonts w:hint="eastAsia" w:ascii="宋体" w:hAnsi="宋体" w:cs="宋体"/>
                <w:b/>
                <w:color w:val="auto"/>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39" w:type="dxa"/>
            <w:tcBorders>
              <w:top w:val="single" w:color="auto" w:sz="4" w:space="0"/>
              <w:left w:val="double" w:color="auto" w:sz="4" w:space="0"/>
              <w:bottom w:val="single" w:color="auto" w:sz="4" w:space="0"/>
              <w:right w:val="single" w:color="auto" w:sz="4" w:space="0"/>
            </w:tcBorders>
            <w:vAlign w:val="center"/>
          </w:tcPr>
          <w:p>
            <w:pPr>
              <w:rPr>
                <w:rFonts w:hint="default" w:eastAsia="宋体"/>
                <w:color w:val="auto"/>
                <w:szCs w:val="21"/>
                <w:highlight w:val="none"/>
                <w:lang w:val="en-US" w:eastAsia="zh-CN"/>
              </w:rPr>
            </w:pPr>
            <w:r>
              <w:rPr>
                <w:rFonts w:hint="eastAsia"/>
                <w:color w:val="auto"/>
                <w:szCs w:val="21"/>
                <w:highlight w:val="none"/>
                <w:lang w:val="en-US" w:eastAsia="zh-CN"/>
              </w:rPr>
              <w:t>20</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29.1</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履约担保</w:t>
            </w:r>
          </w:p>
        </w:tc>
        <w:tc>
          <w:tcPr>
            <w:tcW w:w="608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方式一：中标人提供的履约保证金</w:t>
            </w:r>
            <w:r>
              <w:rPr>
                <w:rFonts w:hint="eastAsia" w:cs="Times New Roman"/>
                <w:color w:val="auto"/>
                <w:kern w:val="2"/>
                <w:sz w:val="21"/>
                <w:szCs w:val="21"/>
                <w:highlight w:val="none"/>
                <w:lang w:val="en-US" w:eastAsia="zh-CN" w:bidi="ar-SA"/>
              </w:rPr>
              <w:t>金额</w:t>
            </w:r>
            <w:r>
              <w:rPr>
                <w:rFonts w:hint="eastAsia" w:ascii="宋体" w:hAnsi="宋体" w:eastAsia="宋体" w:cs="Times New Roman"/>
                <w:color w:val="auto"/>
                <w:kern w:val="2"/>
                <w:sz w:val="21"/>
                <w:szCs w:val="21"/>
                <w:highlight w:val="none"/>
                <w:lang w:val="en-US" w:eastAsia="zh-CN" w:bidi="ar-SA"/>
              </w:rPr>
              <w:t>为中标价款的10%。</w:t>
            </w:r>
            <w:r>
              <w:rPr>
                <w:rFonts w:hint="eastAsia" w:ascii="宋体" w:hAnsi="宋体" w:eastAsia="宋体" w:cs="Times New Roman"/>
                <w:color w:val="auto"/>
                <w:kern w:val="2"/>
                <w:sz w:val="21"/>
                <w:szCs w:val="21"/>
                <w:highlight w:val="none"/>
                <w:u w:val="single"/>
                <w:lang w:val="en-US" w:eastAsia="zh-CN" w:bidi="ar-SA"/>
              </w:rPr>
              <w:t>中标人须提供由银行开具的无条件不可撤销的履约担保。如果中标人的履约担保是以银行保函的形式提供，则该银行保函应由在中国注册且营业的分行级别或以上的银行开具。</w:t>
            </w:r>
          </w:p>
          <w:p>
            <w:pPr>
              <w:pStyle w:val="13"/>
              <w:rPr>
                <w:color w:val="auto"/>
                <w:highlight w:val="none"/>
              </w:rPr>
            </w:pPr>
            <w:r>
              <w:rPr>
                <w:rFonts w:hint="eastAsia"/>
                <w:color w:val="auto"/>
                <w:highlight w:val="none"/>
                <w:lang w:val="en-US" w:eastAsia="zh-CN"/>
              </w:rPr>
              <w:t>中标人</w:t>
            </w:r>
            <w:r>
              <w:rPr>
                <w:rFonts w:hint="eastAsia"/>
                <w:color w:val="auto"/>
                <w:highlight w:val="none"/>
              </w:rPr>
              <w:t>须向</w:t>
            </w:r>
            <w:r>
              <w:rPr>
                <w:rFonts w:hint="eastAsia"/>
                <w:color w:val="auto"/>
                <w:highlight w:val="none"/>
                <w:lang w:val="en-US" w:eastAsia="zh-CN"/>
              </w:rPr>
              <w:t>招标人</w:t>
            </w:r>
            <w:r>
              <w:rPr>
                <w:rFonts w:hint="eastAsia"/>
                <w:color w:val="auto"/>
                <w:highlight w:val="none"/>
              </w:rPr>
              <w:t>提供本合同总价的7%的履约保函或履约保证金作为合同一般履约担保；另</w:t>
            </w:r>
            <w:r>
              <w:rPr>
                <w:rFonts w:hint="eastAsia"/>
                <w:color w:val="auto"/>
                <w:highlight w:val="none"/>
                <w:lang w:val="en-US" w:eastAsia="zh-CN"/>
              </w:rPr>
              <w:t>中标人</w:t>
            </w:r>
            <w:r>
              <w:rPr>
                <w:rFonts w:hint="eastAsia"/>
                <w:color w:val="auto"/>
                <w:highlight w:val="none"/>
              </w:rPr>
              <w:t>须向</w:t>
            </w:r>
            <w:r>
              <w:rPr>
                <w:rFonts w:hint="eastAsia"/>
                <w:color w:val="auto"/>
                <w:highlight w:val="none"/>
                <w:lang w:val="en-US" w:eastAsia="zh-CN"/>
              </w:rPr>
              <w:t>招标</w:t>
            </w:r>
            <w:r>
              <w:rPr>
                <w:rFonts w:hint="eastAsia"/>
                <w:color w:val="auto"/>
                <w:highlight w:val="none"/>
              </w:rPr>
              <w:t>人提供本合同总价的3%的履约保函或履约保证金作为农民工工资支付的专项履约担保。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w:t>
            </w:r>
            <w:r>
              <w:rPr>
                <w:rFonts w:hint="eastAsia"/>
                <w:color w:val="auto"/>
                <w:szCs w:val="21"/>
                <w:highlight w:val="none"/>
              </w:rPr>
              <w:t>1</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最高投标限价</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r>
              <w:rPr>
                <w:rFonts w:hint="eastAsia" w:cs="宋体"/>
                <w:color w:val="auto"/>
                <w:szCs w:val="21"/>
                <w:highlight w:val="none"/>
              </w:rPr>
              <w:t>本项目最高投标限价为人民币</w:t>
            </w:r>
            <w:r>
              <w:rPr>
                <w:rFonts w:hint="eastAsia" w:cs="宋体"/>
                <w:color w:val="auto"/>
                <w:szCs w:val="21"/>
                <w:highlight w:val="none"/>
                <w:u w:val="single"/>
              </w:rPr>
              <w:t>38156547.33</w:t>
            </w:r>
            <w:r>
              <w:rPr>
                <w:rFonts w:hint="eastAsia" w:cs="宋体"/>
                <w:color w:val="auto"/>
                <w:szCs w:val="21"/>
                <w:highlight w:val="none"/>
              </w:rPr>
              <w:t>元，投标总价超过最高投标限价的投标文件将被拒绝。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w:t>
            </w:r>
            <w:r>
              <w:rPr>
                <w:rFonts w:hint="eastAsia"/>
                <w:color w:val="auto"/>
                <w:szCs w:val="21"/>
                <w:highlight w:val="none"/>
              </w:rPr>
              <w:t>2</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非竞争费用</w:t>
            </w:r>
          </w:p>
        </w:tc>
        <w:tc>
          <w:tcPr>
            <w:tcW w:w="6089" w:type="dxa"/>
            <w:tcBorders>
              <w:top w:val="single" w:color="auto" w:sz="4" w:space="0"/>
              <w:left w:val="single" w:color="auto" w:sz="4" w:space="0"/>
              <w:bottom w:val="single" w:color="auto" w:sz="4" w:space="0"/>
              <w:right w:val="double" w:color="auto" w:sz="4" w:space="0"/>
            </w:tcBorders>
            <w:vAlign w:val="center"/>
          </w:tcPr>
          <w:p>
            <w:pPr>
              <w:jc w:val="left"/>
              <w:rPr>
                <w:rFonts w:cs="宋体"/>
                <w:color w:val="auto"/>
                <w:szCs w:val="21"/>
                <w:highlight w:val="none"/>
              </w:rPr>
            </w:pPr>
            <w:r>
              <w:rPr>
                <w:rFonts w:hint="eastAsia" w:cs="宋体"/>
                <w:color w:val="auto"/>
                <w:szCs w:val="21"/>
                <w:highlight w:val="none"/>
              </w:rPr>
              <w:t>本项目绿色施工安全防护措施费为</w:t>
            </w:r>
            <w:r>
              <w:rPr>
                <w:rFonts w:hint="eastAsia" w:cs="宋体"/>
                <w:color w:val="auto"/>
                <w:szCs w:val="21"/>
                <w:highlight w:val="none"/>
                <w:lang w:val="en-US" w:eastAsia="zh-CN"/>
              </w:rPr>
              <w:t>人民币</w:t>
            </w:r>
            <w:r>
              <w:rPr>
                <w:rFonts w:hint="eastAsia" w:cs="宋体"/>
                <w:color w:val="auto"/>
                <w:szCs w:val="21"/>
                <w:highlight w:val="none"/>
              </w:rPr>
              <w:t>1</w:t>
            </w:r>
            <w:r>
              <w:rPr>
                <w:rFonts w:hint="eastAsia" w:cs="宋体"/>
                <w:color w:val="auto"/>
                <w:szCs w:val="21"/>
                <w:highlight w:val="none"/>
                <w:lang w:val="en-US" w:eastAsia="zh-CN"/>
              </w:rPr>
              <w:t>,</w:t>
            </w:r>
            <w:r>
              <w:rPr>
                <w:rFonts w:hint="eastAsia" w:cs="宋体"/>
                <w:color w:val="auto"/>
                <w:szCs w:val="21"/>
                <w:highlight w:val="none"/>
              </w:rPr>
              <w:t>400</w:t>
            </w:r>
            <w:r>
              <w:rPr>
                <w:rFonts w:hint="eastAsia" w:cs="宋体"/>
                <w:color w:val="auto"/>
                <w:szCs w:val="21"/>
                <w:highlight w:val="none"/>
                <w:lang w:val="en-US" w:eastAsia="zh-CN"/>
              </w:rPr>
              <w:t>,</w:t>
            </w:r>
            <w:r>
              <w:rPr>
                <w:rFonts w:hint="eastAsia" w:cs="宋体"/>
                <w:color w:val="auto"/>
                <w:szCs w:val="21"/>
                <w:highlight w:val="none"/>
              </w:rPr>
              <w:t>685.33元，暂列金额为人民币</w:t>
            </w:r>
            <w:r>
              <w:rPr>
                <w:rFonts w:hint="eastAsia" w:cs="宋体"/>
                <w:color w:val="auto"/>
                <w:szCs w:val="21"/>
                <w:highlight w:val="none"/>
                <w:lang w:val="en-US" w:eastAsia="zh-CN"/>
              </w:rPr>
              <w:t>1,817,000.00</w:t>
            </w:r>
            <w:r>
              <w:rPr>
                <w:rFonts w:hint="eastAsia" w:cs="宋体"/>
                <w:color w:val="auto"/>
                <w:szCs w:val="21"/>
                <w:highlight w:val="none"/>
              </w:rPr>
              <w:t>元，暂估价为</w:t>
            </w:r>
            <w:r>
              <w:rPr>
                <w:rFonts w:hint="eastAsia" w:cs="宋体"/>
                <w:color w:val="auto"/>
                <w:szCs w:val="21"/>
                <w:highlight w:val="none"/>
                <w:u w:val="single"/>
                <w:lang w:val="en-US" w:eastAsia="zh-CN"/>
              </w:rPr>
              <w:t>/</w:t>
            </w:r>
            <w:r>
              <w:rPr>
                <w:rFonts w:hint="eastAsia" w:cs="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23</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pStyle w:val="25"/>
              <w:ind w:firstLine="0"/>
              <w:rPr>
                <w:rFonts w:ascii="宋体" w:hAnsi="宋体"/>
                <w:color w:val="auto"/>
                <w:kern w:val="2"/>
                <w:sz w:val="21"/>
                <w:szCs w:val="21"/>
                <w:highlight w:val="none"/>
              </w:rPr>
            </w:pPr>
            <w:r>
              <w:rPr>
                <w:rFonts w:hint="eastAsia" w:ascii="宋体" w:hAnsi="宋体"/>
                <w:color w:val="auto"/>
                <w:kern w:val="2"/>
                <w:sz w:val="21"/>
                <w:szCs w:val="21"/>
                <w:highlight w:val="none"/>
              </w:rPr>
              <w:t>保修期</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按照《建设工程质量管理条例》规定</w:t>
            </w:r>
            <w:r>
              <w:rPr>
                <w:rFonts w:hint="eastAsia"/>
                <w:color w:val="auto"/>
                <w:szCs w:val="21"/>
                <w:highlight w:val="none"/>
                <w:lang w:eastAsia="zh-CN"/>
              </w:rPr>
              <w:t>，</w:t>
            </w:r>
            <w:r>
              <w:rPr>
                <w:rFonts w:hint="eastAsia"/>
                <w:color w:val="auto"/>
                <w:szCs w:val="21"/>
                <w:highlight w:val="none"/>
                <w:lang w:val="en-US" w:eastAsia="zh-CN"/>
              </w:rPr>
              <w:t>苗木养护按合同要求。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2</w:t>
            </w:r>
            <w:r>
              <w:rPr>
                <w:rFonts w:hint="eastAsia"/>
                <w:color w:val="auto"/>
                <w:szCs w:val="21"/>
                <w:highlight w:val="none"/>
              </w:rPr>
              <w:t>4</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计算评标参考价的等分点值</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计算评标参考价的等分点值X在开标前从[0,100]的整数中随机抽取。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25</w:t>
            </w:r>
          </w:p>
        </w:tc>
        <w:tc>
          <w:tcPr>
            <w:tcW w:w="893" w:type="dxa"/>
            <w:tcBorders>
              <w:top w:val="single" w:color="auto" w:sz="4" w:space="0"/>
              <w:left w:val="single" w:color="auto" w:sz="4" w:space="0"/>
              <w:bottom w:val="single" w:color="auto" w:sz="4" w:space="0"/>
              <w:right w:val="single" w:color="auto" w:sz="4" w:space="0"/>
            </w:tcBorders>
            <w:vAlign w:val="center"/>
          </w:tcPr>
          <w:p>
            <w:pPr>
              <w:ind w:firstLine="458"/>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进入第二阶段评审的家数</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ascii="宋体" w:hAnsi="宋体" w:cs="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26</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工程成本警戒价</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rPr>
              <w:t>工程成本警戒价为</w:t>
            </w:r>
            <w:r>
              <w:rPr>
                <w:rFonts w:hint="eastAsia" w:cs="宋体"/>
                <w:color w:val="auto"/>
                <w:szCs w:val="21"/>
                <w:highlight w:val="none"/>
                <w:u w:val="single"/>
                <w:lang w:val="en-US" w:eastAsia="zh-CN"/>
              </w:rPr>
              <w:t>/</w:t>
            </w:r>
            <w:r>
              <w:rPr>
                <w:rFonts w:hint="eastAsia" w:cs="宋体"/>
                <w:color w:val="auto"/>
                <w:szCs w:val="21"/>
                <w:highlight w:val="none"/>
              </w:rPr>
              <w:t>元</w:t>
            </w:r>
            <w:r>
              <w:rPr>
                <w:rFonts w:hint="eastAsia"/>
                <w:color w:val="auto"/>
                <w:szCs w:val="21"/>
                <w:highlight w:val="none"/>
              </w:rPr>
              <w:t>(按最高投标限价的</w:t>
            </w:r>
            <w:r>
              <w:rPr>
                <w:rFonts w:hint="eastAsia"/>
                <w:color w:val="auto"/>
                <w:szCs w:val="21"/>
                <w:highlight w:val="none"/>
                <w:u w:val="single"/>
                <w:lang w:val="en-US" w:eastAsia="zh-CN"/>
              </w:rPr>
              <w:t>/</w:t>
            </w:r>
            <w:r>
              <w:rPr>
                <w:rFonts w:hint="eastAsia"/>
                <w:color w:val="auto"/>
                <w:szCs w:val="21"/>
                <w:highlight w:val="none"/>
              </w:rPr>
              <w:t>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color w:val="auto"/>
                <w:szCs w:val="21"/>
                <w:highlight w:val="none"/>
                <w:u w:val="single"/>
              </w:rPr>
            </w:pPr>
            <w:r>
              <w:rPr>
                <w:rFonts w:hint="eastAsia"/>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27</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第一阶段各分值的权重</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r>
              <w:rPr>
                <w:rFonts w:hint="eastAsia"/>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28</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评标委员会人数</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29</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企业综合诚信评价分数</w:t>
            </w:r>
          </w:p>
        </w:tc>
        <w:tc>
          <w:tcPr>
            <w:tcW w:w="6089" w:type="dxa"/>
            <w:tcBorders>
              <w:top w:val="single" w:color="auto" w:sz="4" w:space="0"/>
              <w:left w:val="single" w:color="auto" w:sz="4" w:space="0"/>
              <w:bottom w:val="single" w:color="auto" w:sz="4" w:space="0"/>
              <w:right w:val="double" w:color="auto" w:sz="4" w:space="0"/>
            </w:tcBorders>
            <w:vAlign w:val="center"/>
          </w:tcPr>
          <w:p>
            <w:pPr>
              <w:pStyle w:val="7"/>
              <w:ind w:firstLine="0" w:firstLineChars="0"/>
              <w:rPr>
                <w:rFonts w:hint="eastAsia" w:eastAsia="宋体"/>
                <w:color w:val="auto"/>
                <w:highlight w:val="none"/>
                <w:u w:val="single"/>
                <w:lang w:eastAsia="zh-CN"/>
              </w:rPr>
            </w:pPr>
            <w:r>
              <w:rPr>
                <w:rFonts w:hint="eastAsia"/>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30</w:t>
            </w:r>
          </w:p>
        </w:tc>
        <w:tc>
          <w:tcPr>
            <w:tcW w:w="893" w:type="dxa"/>
            <w:tcBorders>
              <w:top w:val="single" w:color="auto" w:sz="4" w:space="0"/>
              <w:left w:val="single" w:color="auto" w:sz="4" w:space="0"/>
              <w:bottom w:val="single" w:color="auto" w:sz="4" w:space="0"/>
              <w:right w:val="single" w:color="auto" w:sz="4" w:space="0"/>
            </w:tcBorders>
            <w:vAlign w:val="center"/>
          </w:tcPr>
          <w:p>
            <w:pPr>
              <w:ind w:firstLine="458"/>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第二阶段投标人名次的排序方法（适用于办法一、办法二）</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u w:val="single"/>
              </w:rPr>
            </w:pPr>
            <w:r>
              <w:rPr>
                <w:rFonts w:hint="eastAsia"/>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31</w:t>
            </w:r>
          </w:p>
        </w:tc>
        <w:tc>
          <w:tcPr>
            <w:tcW w:w="893" w:type="dxa"/>
            <w:tcBorders>
              <w:top w:val="single" w:color="auto" w:sz="4" w:space="0"/>
              <w:left w:val="single" w:color="auto" w:sz="4" w:space="0"/>
              <w:bottom w:val="single" w:color="auto" w:sz="4" w:space="0"/>
              <w:right w:val="single" w:color="auto" w:sz="4" w:space="0"/>
            </w:tcBorders>
            <w:vAlign w:val="center"/>
          </w:tcPr>
          <w:p>
            <w:pPr>
              <w:ind w:firstLine="458"/>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经济分相同情况下的排序方法（适用于办法三、办法四）</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u w:val="single"/>
              </w:rPr>
            </w:pPr>
            <w:r>
              <w:rPr>
                <w:rFonts w:hint="eastAsia"/>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32</w:t>
            </w:r>
          </w:p>
        </w:tc>
        <w:tc>
          <w:tcPr>
            <w:tcW w:w="893" w:type="dxa"/>
            <w:tcBorders>
              <w:top w:val="single" w:color="auto" w:sz="4" w:space="0"/>
              <w:left w:val="single" w:color="auto" w:sz="4" w:space="0"/>
              <w:bottom w:val="single" w:color="auto" w:sz="4" w:space="0"/>
              <w:right w:val="single" w:color="auto" w:sz="4" w:space="0"/>
            </w:tcBorders>
            <w:vAlign w:val="center"/>
          </w:tcPr>
          <w:p>
            <w:pPr>
              <w:ind w:firstLine="458"/>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第二阶段投标人名次的排序方法（适用于办法五、办法六）</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rFonts w:hint="eastAsia"/>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33</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13.4</w:t>
            </w:r>
            <w:r>
              <w:rPr>
                <w:rFonts w:hint="eastAsia"/>
                <w:color w:val="auto"/>
                <w:szCs w:val="21"/>
                <w:highlight w:val="none"/>
              </w:rPr>
              <w:t>、</w:t>
            </w:r>
            <w:r>
              <w:rPr>
                <w:color w:val="auto"/>
                <w:szCs w:val="21"/>
                <w:highlight w:val="none"/>
              </w:rPr>
              <w:t>13.5.2</w:t>
            </w: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合同价款的调整办法</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szCs w:val="21"/>
                <w:highlight w:val="none"/>
                <w:u w:val="single"/>
              </w:rPr>
            </w:pPr>
            <w:r>
              <w:rPr>
                <w:rFonts w:hint="eastAsia"/>
                <w:color w:val="auto"/>
                <w:szCs w:val="21"/>
                <w:highlight w:val="none"/>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color w:val="auto"/>
                <w:szCs w:val="21"/>
                <w:highlight w:val="none"/>
              </w:rPr>
              <w:t>3</w:t>
            </w:r>
            <w:r>
              <w:rPr>
                <w:rFonts w:hint="eastAsia"/>
                <w:color w:val="auto"/>
                <w:szCs w:val="21"/>
                <w:highlight w:val="none"/>
              </w:rPr>
              <w:t>4</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kern w:val="0"/>
                <w:szCs w:val="21"/>
                <w:highlight w:val="none"/>
                <w:lang w:val="zh-CN"/>
              </w:rPr>
              <w:t>建设工程质量检测单位</w:t>
            </w:r>
          </w:p>
        </w:tc>
        <w:tc>
          <w:tcPr>
            <w:tcW w:w="6089" w:type="dxa"/>
            <w:tcBorders>
              <w:top w:val="single" w:color="auto" w:sz="4" w:space="0"/>
              <w:left w:val="single" w:color="auto" w:sz="4" w:space="0"/>
              <w:bottom w:val="single" w:color="auto" w:sz="4" w:space="0"/>
              <w:right w:val="double" w:color="auto" w:sz="4" w:space="0"/>
            </w:tcBorders>
            <w:vAlign w:val="center"/>
          </w:tcPr>
          <w:p>
            <w:pPr>
              <w:rPr>
                <w:color w:val="auto"/>
                <w:kern w:val="0"/>
                <w:sz w:val="21"/>
                <w:szCs w:val="21"/>
                <w:highlight w:val="none"/>
                <w:lang w:val="zh-CN"/>
              </w:rPr>
            </w:pPr>
            <w:r>
              <w:rPr>
                <w:rFonts w:hint="eastAsia" w:ascii="宋体" w:hAnsi="宋体"/>
                <w:color w:val="auto"/>
                <w:kern w:val="0"/>
                <w:sz w:val="21"/>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35</w:t>
            </w:r>
          </w:p>
        </w:tc>
        <w:tc>
          <w:tcPr>
            <w:tcW w:w="89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rPr>
                <w:color w:val="auto"/>
                <w:kern w:val="0"/>
                <w:szCs w:val="21"/>
                <w:highlight w:val="none"/>
                <w:lang w:val="zh-CN"/>
              </w:rPr>
            </w:pPr>
            <w:r>
              <w:rPr>
                <w:rFonts w:hint="eastAsia"/>
                <w:color w:val="auto"/>
                <w:kern w:val="0"/>
                <w:szCs w:val="21"/>
                <w:highlight w:val="none"/>
                <w:lang w:val="zh-CN"/>
              </w:rPr>
              <w:t>分包</w:t>
            </w:r>
          </w:p>
        </w:tc>
        <w:tc>
          <w:tcPr>
            <w:tcW w:w="608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sym w:font="Wingdings 2" w:char="0052"/>
            </w:r>
            <w:r>
              <w:rPr>
                <w:rFonts w:hint="eastAsia" w:ascii="宋体" w:hAnsi="宋体"/>
                <w:color w:val="auto"/>
                <w:kern w:val="0"/>
                <w:szCs w:val="21"/>
                <w:highlight w:val="none"/>
                <w:lang w:val="zh-CN"/>
              </w:rPr>
              <w:t>不允许分包（劳务作业除外）；</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□允许：分包内容要要求：</w:t>
            </w:r>
            <w:r>
              <w:rPr>
                <w:rFonts w:hint="eastAsia" w:ascii="宋体" w:hAnsi="宋体"/>
                <w:color w:val="auto"/>
                <w:kern w:val="0"/>
                <w:szCs w:val="21"/>
                <w:highlight w:val="none"/>
                <w:u w:val="single"/>
              </w:rPr>
              <w:t>/</w:t>
            </w:r>
            <w:r>
              <w:rPr>
                <w:rFonts w:hint="eastAsia" w:ascii="宋体" w:hAnsi="宋体"/>
                <w:color w:val="auto"/>
                <w:kern w:val="0"/>
                <w:szCs w:val="21"/>
                <w:highlight w:val="none"/>
                <w:u w:val="single"/>
                <w:lang w:val="zh-CN"/>
              </w:rPr>
              <w:t>。</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w:t>
            </w:r>
            <w:r>
              <w:rPr>
                <w:rFonts w:hint="eastAsia" w:ascii="宋体" w:hAnsi="宋体"/>
                <w:color w:val="auto"/>
                <w:kern w:val="0"/>
                <w:szCs w:val="21"/>
                <w:highlight w:val="none"/>
                <w:u w:val="single"/>
              </w:rPr>
              <w:t>/</w:t>
            </w:r>
            <w:r>
              <w:rPr>
                <w:rFonts w:hint="eastAsia" w:ascii="宋体" w:hAnsi="宋体"/>
                <w:color w:val="auto"/>
                <w:kern w:val="0"/>
                <w:szCs w:val="21"/>
                <w:highlight w:val="none"/>
                <w:u w:val="single"/>
                <w:lang w:val="zh-CN"/>
              </w:rPr>
              <w:t>。</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w:t>
            </w:r>
            <w:r>
              <w:rPr>
                <w:rFonts w:hint="eastAsia" w:ascii="宋体" w:hAnsi="宋体"/>
                <w:color w:val="auto"/>
                <w:kern w:val="0"/>
                <w:szCs w:val="21"/>
                <w:highlight w:val="none"/>
                <w:u w:val="single"/>
              </w:rPr>
              <w:t>/</w:t>
            </w:r>
            <w:r>
              <w:rPr>
                <w:rFonts w:hint="eastAsia" w:ascii="宋体" w:hAnsi="宋体"/>
                <w:color w:val="auto"/>
                <w:kern w:val="0"/>
                <w:szCs w:val="21"/>
                <w:highlight w:val="none"/>
                <w:u w:val="single"/>
                <w:lang w:val="zh-CN"/>
              </w:rPr>
              <w:t>。</w:t>
            </w:r>
          </w:p>
          <w:p>
            <w:pPr>
              <w:tabs>
                <w:tab w:val="left" w:pos="2940"/>
              </w:tabs>
              <w:rPr>
                <w:color w:val="auto"/>
                <w:kern w:val="0"/>
                <w:sz w:val="21"/>
                <w:szCs w:val="21"/>
                <w:highlight w:val="none"/>
                <w:lang w:val="zh-CN"/>
              </w:rPr>
            </w:pPr>
            <w:r>
              <w:rPr>
                <w:rFonts w:hint="eastAsia" w:ascii="宋体" w:hAnsi="宋体"/>
                <w:color w:val="auto"/>
                <w:kern w:val="0"/>
                <w:szCs w:val="21"/>
                <w:highlight w:val="none"/>
                <w:lang w:val="zh-CN"/>
              </w:rPr>
              <w:t xml:space="preserve">     对分包人的其他要求：</w:t>
            </w:r>
            <w:r>
              <w:rPr>
                <w:rFonts w:hint="eastAsia" w:ascii="宋体" w:hAnsi="宋体"/>
                <w:color w:val="auto"/>
                <w:kern w:val="0"/>
                <w:szCs w:val="21"/>
                <w:highlight w:val="none"/>
                <w:u w:val="single"/>
              </w:rPr>
              <w:t>/</w:t>
            </w:r>
            <w:r>
              <w:rPr>
                <w:rFonts w:hint="eastAsia" w:ascii="宋体" w:hAnsi="宋体"/>
                <w:color w:val="auto"/>
                <w:kern w:val="0"/>
                <w:szCs w:val="21"/>
                <w:highlight w:val="none"/>
                <w:u w:val="single"/>
                <w:lang w:val="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36</w:t>
            </w:r>
          </w:p>
        </w:tc>
        <w:tc>
          <w:tcPr>
            <w:tcW w:w="893"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电子招标投标解密失败及突发情况的补救</w:t>
            </w:r>
          </w:p>
        </w:tc>
        <w:tc>
          <w:tcPr>
            <w:tcW w:w="6089" w:type="dxa"/>
            <w:tcBorders>
              <w:top w:val="single" w:color="auto" w:sz="4" w:space="0"/>
              <w:left w:val="single" w:color="auto" w:sz="4" w:space="0"/>
              <w:bottom w:val="single" w:color="auto" w:sz="4" w:space="0"/>
              <w:right w:val="double" w:color="auto" w:sz="4" w:space="0"/>
            </w:tcBorders>
            <w:vAlign w:val="center"/>
          </w:tcPr>
          <w:p>
            <w:pPr>
              <w:rPr>
                <w:rFonts w:cs="Courier New"/>
                <w:color w:val="auto"/>
                <w:szCs w:val="21"/>
                <w:highlight w:val="none"/>
              </w:rPr>
            </w:pPr>
            <w:r>
              <w:rPr>
                <w:rFonts w:hint="eastAsia" w:cs="Courier New"/>
                <w:color w:val="auto"/>
                <w:szCs w:val="21"/>
                <w:highlight w:val="none"/>
              </w:rPr>
              <w:t>1、按照交易平台关于全流程电子化项目的相关指南进行操作。详见：</w:t>
            </w:r>
            <w:r>
              <w:rPr>
                <w:rFonts w:hint="eastAsia" w:cs="Courier New"/>
                <w:color w:val="auto"/>
                <w:szCs w:val="21"/>
                <w:highlight w:val="none"/>
                <w:u w:val="single"/>
              </w:rPr>
              <w:t>广州公共资源交易中心网站。</w:t>
            </w:r>
          </w:p>
          <w:p>
            <w:pPr>
              <w:rPr>
                <w:rFonts w:cs="Courier New"/>
                <w:color w:val="auto"/>
                <w:szCs w:val="21"/>
                <w:highlight w:val="none"/>
              </w:rPr>
            </w:pPr>
            <w:r>
              <w:rPr>
                <w:rFonts w:hint="eastAsia" w:cs="Courier New"/>
                <w:color w:val="auto"/>
                <w:szCs w:val="21"/>
                <w:highlight w:val="none"/>
              </w:rPr>
              <w:t>2、提交投标文件光盘备用</w:t>
            </w:r>
          </w:p>
          <w:p>
            <w:pPr>
              <w:rPr>
                <w:rFonts w:cs="Courier New"/>
                <w:color w:val="auto"/>
                <w:szCs w:val="21"/>
                <w:highlight w:val="none"/>
              </w:rPr>
            </w:pPr>
            <w:r>
              <w:rPr>
                <w:rFonts w:hint="eastAsia"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cs="Courier New"/>
                <w:color w:val="auto"/>
                <w:szCs w:val="21"/>
                <w:highlight w:val="none"/>
              </w:rPr>
            </w:pPr>
            <w:r>
              <w:rPr>
                <w:rFonts w:hint="eastAsia" w:cs="Courier New"/>
                <w:color w:val="auto"/>
                <w:szCs w:val="21"/>
                <w:highlight w:val="none"/>
              </w:rPr>
              <w:t>3、补救方案</w:t>
            </w:r>
          </w:p>
          <w:p>
            <w:pPr>
              <w:rPr>
                <w:rFonts w:cs="Courier New"/>
                <w:color w:val="auto"/>
                <w:szCs w:val="21"/>
                <w:highlight w:val="none"/>
              </w:rPr>
            </w:pPr>
            <w:r>
              <w:rPr>
                <w:rFonts w:hint="eastAsia" w:cs="Courier New"/>
                <w:color w:val="auto"/>
                <w:szCs w:val="21"/>
                <w:highlight w:val="none"/>
              </w:rPr>
              <w:t>（1）投标文件解密失败的补救方案：</w:t>
            </w:r>
          </w:p>
          <w:p>
            <w:pPr>
              <w:rPr>
                <w:rFonts w:cs="Courier New"/>
                <w:color w:val="auto"/>
                <w:szCs w:val="21"/>
                <w:highlight w:val="none"/>
              </w:rPr>
            </w:pPr>
            <w:r>
              <w:rPr>
                <w:rFonts w:hint="eastAsia"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cs="Courier New"/>
                <w:color w:val="auto"/>
                <w:szCs w:val="21"/>
                <w:highlight w:val="none"/>
              </w:rPr>
            </w:pPr>
            <w:r>
              <w:rPr>
                <w:rFonts w:hint="eastAsia" w:cs="Courier New"/>
                <w:color w:val="auto"/>
                <w:szCs w:val="21"/>
                <w:highlight w:val="none"/>
              </w:rPr>
              <w:t>（2）评标时突发情况的补救方案</w:t>
            </w:r>
          </w:p>
          <w:p>
            <w:pPr>
              <w:rPr>
                <w:rFonts w:cs="Courier New"/>
                <w:color w:val="auto"/>
                <w:szCs w:val="21"/>
                <w:highlight w:val="none"/>
              </w:rPr>
            </w:pPr>
            <w:r>
              <w:rPr>
                <w:rFonts w:hint="eastAsia"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cs="Courier New"/>
                <w:color w:val="auto"/>
                <w:szCs w:val="21"/>
                <w:highlight w:val="none"/>
              </w:rPr>
            </w:pPr>
            <w:r>
              <w:rPr>
                <w:rFonts w:hint="eastAsia"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39" w:type="dxa"/>
            <w:tcBorders>
              <w:top w:val="single" w:color="auto" w:sz="4" w:space="0"/>
              <w:left w:val="doub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u w:val="single"/>
              </w:rPr>
              <w:t>37</w:t>
            </w:r>
          </w:p>
        </w:tc>
        <w:tc>
          <w:tcPr>
            <w:tcW w:w="893"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spacing w:line="276" w:lineRule="auto"/>
              <w:rPr>
                <w:color w:val="auto"/>
                <w:highlight w:val="none"/>
              </w:rPr>
            </w:pPr>
            <w:r>
              <w:rPr>
                <w:rFonts w:hint="eastAsia" w:cs="宋体"/>
                <w:color w:val="auto"/>
                <w:szCs w:val="21"/>
                <w:highlight w:val="none"/>
                <w:u w:val="single"/>
              </w:rPr>
              <w:t>招标人拒绝接收投标文件备用光盘的情况</w:t>
            </w:r>
          </w:p>
        </w:tc>
        <w:tc>
          <w:tcPr>
            <w:tcW w:w="6089" w:type="dxa"/>
            <w:tcBorders>
              <w:top w:val="single" w:color="auto" w:sz="4" w:space="0"/>
              <w:left w:val="single" w:color="auto" w:sz="4" w:space="0"/>
              <w:bottom w:val="single" w:color="auto" w:sz="4" w:space="0"/>
              <w:right w:val="double" w:color="auto" w:sz="4" w:space="0"/>
            </w:tcBorders>
            <w:vAlign w:val="center"/>
          </w:tcPr>
          <w:p>
            <w:pPr>
              <w:spacing w:line="276" w:lineRule="auto"/>
              <w:rPr>
                <w:rFonts w:cs="宋体"/>
                <w:color w:val="auto"/>
                <w:szCs w:val="21"/>
                <w:highlight w:val="none"/>
                <w:u w:val="single"/>
              </w:rPr>
            </w:pPr>
            <w:r>
              <w:rPr>
                <w:rFonts w:hint="eastAsia" w:cs="宋体"/>
                <w:color w:val="auto"/>
                <w:szCs w:val="21"/>
                <w:highlight w:val="none"/>
                <w:u w:val="single"/>
              </w:rPr>
              <w:t>1、在投标截止期后逾期或未在指定地点递交投标文件备用光盘的；</w:t>
            </w:r>
          </w:p>
          <w:p>
            <w:pPr>
              <w:spacing w:line="276" w:lineRule="auto"/>
              <w:rPr>
                <w:rFonts w:cs="宋体"/>
                <w:color w:val="auto"/>
                <w:szCs w:val="21"/>
                <w:highlight w:val="none"/>
                <w:u w:val="single"/>
              </w:rPr>
            </w:pPr>
            <w:r>
              <w:rPr>
                <w:rFonts w:hint="eastAsia" w:cs="宋体"/>
                <w:color w:val="auto"/>
                <w:szCs w:val="21"/>
                <w:highlight w:val="none"/>
                <w:u w:val="single"/>
              </w:rPr>
              <w:t>2、投标文件备用光盘未按招标文件要求密封或未在密封处盖章的；</w:t>
            </w:r>
          </w:p>
          <w:p>
            <w:pPr>
              <w:spacing w:line="276" w:lineRule="auto"/>
              <w:rPr>
                <w:color w:val="auto"/>
                <w:highlight w:val="none"/>
              </w:rPr>
            </w:pPr>
            <w:r>
              <w:rPr>
                <w:rFonts w:hint="eastAsia" w:cs="宋体"/>
                <w:color w:val="auto"/>
                <w:szCs w:val="21"/>
                <w:highlight w:val="none"/>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39" w:type="dxa"/>
            <w:tcBorders>
              <w:top w:val="single" w:color="auto" w:sz="4" w:space="0"/>
              <w:left w:val="double" w:color="auto" w:sz="4" w:space="0"/>
              <w:bottom w:val="single" w:color="auto" w:sz="4" w:space="0"/>
              <w:right w:val="single" w:color="auto" w:sz="4" w:space="0"/>
            </w:tcBorders>
            <w:vAlign w:val="center"/>
          </w:tcPr>
          <w:p>
            <w:pPr>
              <w:rPr>
                <w:rFonts w:cs="宋体"/>
                <w:color w:val="auto"/>
                <w:szCs w:val="21"/>
                <w:highlight w:val="none"/>
                <w:u w:val="single"/>
              </w:rPr>
            </w:pPr>
            <w:r>
              <w:rPr>
                <w:rFonts w:hint="eastAsia" w:ascii="宋体" w:hAnsi="宋体"/>
                <w:color w:val="auto"/>
                <w:szCs w:val="21"/>
                <w:highlight w:val="none"/>
                <w:u w:val="single"/>
              </w:rPr>
              <w:t>38</w:t>
            </w:r>
          </w:p>
        </w:tc>
        <w:tc>
          <w:tcPr>
            <w:tcW w:w="893"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highlight w:val="none"/>
                <w:u w:val="single"/>
              </w:rPr>
            </w:pPr>
            <w:r>
              <w:rPr>
                <w:rFonts w:hint="eastAsia" w:ascii="宋体" w:hAnsi="宋体" w:cs="宋体"/>
                <w:color w:val="auto"/>
                <w:szCs w:val="21"/>
                <w:highlight w:val="none"/>
                <w:u w:val="single"/>
              </w:rPr>
              <w:t>中标公示后中标单位提交投标文件要求</w:t>
            </w:r>
          </w:p>
        </w:tc>
        <w:tc>
          <w:tcPr>
            <w:tcW w:w="6089" w:type="dxa"/>
            <w:tcBorders>
              <w:top w:val="single" w:color="auto" w:sz="4" w:space="0"/>
              <w:left w:val="single" w:color="auto" w:sz="4" w:space="0"/>
              <w:bottom w:val="single" w:color="auto" w:sz="4" w:space="0"/>
              <w:right w:val="double" w:color="auto" w:sz="4" w:space="0"/>
            </w:tcBorders>
            <w:vAlign w:val="center"/>
          </w:tcPr>
          <w:p>
            <w:pPr>
              <w:rPr>
                <w:rFonts w:cs="宋体"/>
                <w:color w:val="auto"/>
                <w:szCs w:val="21"/>
                <w:highlight w:val="none"/>
                <w:u w:val="single"/>
              </w:rPr>
            </w:pPr>
            <w:r>
              <w:rPr>
                <w:rFonts w:hint="eastAsia" w:ascii="宋体" w:hAnsi="宋体" w:cs="宋体"/>
                <w:color w:val="auto"/>
                <w:szCs w:val="21"/>
                <w:highlight w:val="none"/>
                <w:u w:val="single"/>
              </w:rPr>
              <w:t>中标单位在中标公示后，须提供与所递交投标电子标书内容一致且加盖单位公章的纸质文件</w:t>
            </w:r>
            <w:r>
              <w:rPr>
                <w:rFonts w:hint="eastAsia" w:cs="宋体"/>
                <w:color w:val="auto"/>
                <w:szCs w:val="21"/>
                <w:highlight w:val="none"/>
                <w:u w:val="single"/>
                <w:lang w:val="en-US" w:eastAsia="zh-CN"/>
              </w:rPr>
              <w:t>二</w:t>
            </w:r>
            <w:r>
              <w:rPr>
                <w:rFonts w:hint="eastAsia" w:ascii="宋体" w:hAnsi="宋体" w:cs="宋体"/>
                <w:color w:val="auto"/>
                <w:szCs w:val="21"/>
                <w:highlight w:val="none"/>
                <w:u w:val="single"/>
              </w:rPr>
              <w:t>套及电子文件二套（不用生成投标书；包括用Microsoft Excel 软件或广州公共资源交易中心提供的投标书制作软件制作的工程量清单报价表和单价分析表，用Microsoft Word软件或广州公共资源交易中心提供的投标书制作软件制作的经济投标文件其他部分。电子文件介质使用CD-R光盘，所有电子文件不能采用压缩处理）给招标单位。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39" w:type="dxa"/>
            <w:tcBorders>
              <w:top w:val="single" w:color="auto" w:sz="4" w:space="0"/>
              <w:left w:val="double" w:color="auto" w:sz="4" w:space="0"/>
              <w:bottom w:val="single" w:color="auto" w:sz="4" w:space="0"/>
              <w:right w:val="single" w:color="auto" w:sz="4" w:space="0"/>
            </w:tcBorders>
            <w:vAlign w:val="center"/>
          </w:tcPr>
          <w:p>
            <w:pPr>
              <w:spacing w:line="276" w:lineRule="auto"/>
              <w:rPr>
                <w:rFonts w:hint="eastAsia" w:ascii="宋体" w:hAnsi="宋体"/>
                <w:color w:val="auto"/>
                <w:szCs w:val="21"/>
                <w:highlight w:val="none"/>
                <w:u w:val="single"/>
              </w:rPr>
            </w:pPr>
            <w:r>
              <w:rPr>
                <w:rFonts w:hint="eastAsia" w:cs="宋体"/>
                <w:color w:val="auto"/>
                <w:szCs w:val="21"/>
                <w:highlight w:val="none"/>
                <w:u w:val="single"/>
              </w:rPr>
              <w:t>39</w:t>
            </w:r>
          </w:p>
        </w:tc>
        <w:tc>
          <w:tcPr>
            <w:tcW w:w="89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cs="宋体"/>
                <w:color w:val="auto"/>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pPr>
              <w:ind w:left="-65" w:leftChars="-31" w:right="-59" w:rightChars="-28"/>
              <w:rPr>
                <w:rFonts w:hint="eastAsia" w:ascii="宋体" w:hAnsi="宋体" w:cs="宋体"/>
                <w:color w:val="auto"/>
                <w:szCs w:val="21"/>
                <w:highlight w:val="none"/>
                <w:u w:val="single"/>
              </w:rPr>
            </w:pPr>
            <w:r>
              <w:rPr>
                <w:rFonts w:hint="eastAsia" w:cs="宋体"/>
                <w:color w:val="auto"/>
                <w:szCs w:val="21"/>
                <w:highlight w:val="none"/>
                <w:u w:val="single"/>
              </w:rPr>
              <w:t>安全生产责任保险</w:t>
            </w:r>
          </w:p>
        </w:tc>
        <w:tc>
          <w:tcPr>
            <w:tcW w:w="6089" w:type="dxa"/>
            <w:tcBorders>
              <w:top w:val="single" w:color="auto" w:sz="4" w:space="0"/>
              <w:left w:val="single" w:color="auto" w:sz="4" w:space="0"/>
              <w:bottom w:val="single" w:color="auto" w:sz="4" w:space="0"/>
              <w:right w:val="double" w:color="auto" w:sz="4" w:space="0"/>
            </w:tcBorders>
            <w:vAlign w:val="center"/>
          </w:tcPr>
          <w:p>
            <w:pPr>
              <w:ind w:left="-27" w:leftChars="-13" w:right="-59" w:rightChars="-28"/>
              <w:rPr>
                <w:rFonts w:hint="eastAsia" w:ascii="宋体" w:hAnsi="宋体" w:cs="宋体"/>
                <w:color w:val="auto"/>
                <w:szCs w:val="21"/>
                <w:highlight w:val="none"/>
                <w:u w:val="single"/>
              </w:rPr>
            </w:pPr>
            <w:r>
              <w:rPr>
                <w:rFonts w:hint="eastAsia" w:cs="宋体"/>
                <w:color w:val="auto"/>
                <w:szCs w:val="21"/>
                <w:highlight w:val="none"/>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w:t>
            </w:r>
          </w:p>
        </w:tc>
      </w:tr>
    </w:tbl>
    <w:p>
      <w:pPr>
        <w:rPr>
          <w:rFonts w:ascii="宋体" w:hAnsi="宋体" w:cs="宋体"/>
          <w:strike w:val="0"/>
          <w:color w:val="auto"/>
          <w:sz w:val="24"/>
          <w:highlight w:val="none"/>
        </w:rPr>
      </w:pPr>
    </w:p>
    <w:p>
      <w:pPr>
        <w:pStyle w:val="3"/>
        <w:rPr>
          <w:color w:val="auto"/>
          <w:highlight w:val="none"/>
        </w:rPr>
      </w:pPr>
      <w:r>
        <w:rPr>
          <w:color w:val="auto"/>
          <w:highlight w:val="none"/>
        </w:rPr>
        <w:br w:type="page"/>
      </w:r>
      <w:bookmarkStart w:id="2" w:name="_Toc18664059"/>
      <w:r>
        <w:rPr>
          <w:rFonts w:hint="eastAsia"/>
          <w:color w:val="auto"/>
          <w:highlight w:val="none"/>
        </w:rPr>
        <w:t>二、投标须知修改表</w:t>
      </w:r>
      <w:bookmarkEnd w:id="2"/>
    </w:p>
    <w:p>
      <w:pPr>
        <w:pStyle w:val="25"/>
        <w:pBdr>
          <w:bottom w:val="single" w:color="auto" w:sz="6" w:space="1"/>
        </w:pBdr>
        <w:spacing w:line="360" w:lineRule="auto"/>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rFonts w:hint="eastAsia" w:ascii="宋体" w:hAnsi="宋体" w:cs="宋体"/>
          <w:b/>
          <w:color w:val="auto"/>
          <w:szCs w:val="21"/>
          <w:highlight w:val="none"/>
          <w:u w:val="single"/>
        </w:rPr>
        <w:t>网址：http://zfcj.gz.gov.cn/</w:t>
      </w:r>
      <w:r>
        <w:rPr>
          <w:rFonts w:hint="eastAsia" w:ascii="宋体" w:hAnsi="宋体" w:cs="宋体"/>
          <w:b/>
          <w:color w:val="auto"/>
          <w:szCs w:val="21"/>
          <w:highlight w:val="none"/>
        </w:rPr>
        <w:t>）下载查阅。</w:t>
      </w:r>
    </w:p>
    <w:p>
      <w:pPr>
        <w:pStyle w:val="25"/>
        <w:pBdr>
          <w:bottom w:val="single" w:color="auto" w:sz="4" w:space="1"/>
        </w:pBdr>
        <w:spacing w:line="360" w:lineRule="auto"/>
        <w:rPr>
          <w:rFonts w:hint="eastAsia" w:ascii="宋体" w:hAnsi="宋体" w:eastAsia="宋体" w:cs="宋体"/>
          <w:b/>
          <w:color w:val="auto"/>
          <w:kern w:val="2"/>
          <w:sz w:val="21"/>
          <w:szCs w:val="21"/>
          <w:highlight w:val="none"/>
          <w:lang w:val="en-US" w:eastAsia="zh-CN" w:bidi="ar-SA"/>
        </w:rPr>
      </w:pPr>
      <w:bookmarkStart w:id="3" w:name="_Toc18664060"/>
      <w:r>
        <w:rPr>
          <w:rFonts w:hint="eastAsia" w:ascii="宋体" w:hAnsi="宋体" w:eastAsia="宋体" w:cs="宋体"/>
          <w:b/>
          <w:color w:val="auto"/>
          <w:kern w:val="2"/>
          <w:sz w:val="21"/>
          <w:szCs w:val="21"/>
          <w:highlight w:val="none"/>
          <w:lang w:val="en-US" w:eastAsia="zh-CN" w:bidi="ar-SA"/>
        </w:rPr>
        <w:t>条款号：</w:t>
      </w:r>
      <w:r>
        <w:rPr>
          <w:rFonts w:hint="eastAsia" w:ascii="宋体" w:hAnsi="宋体" w:cs="宋体"/>
          <w:b/>
          <w:color w:val="auto"/>
          <w:kern w:val="2"/>
          <w:sz w:val="21"/>
          <w:szCs w:val="21"/>
          <w:highlight w:val="none"/>
          <w:lang w:val="en-US" w:eastAsia="zh-CN" w:bidi="ar-SA"/>
        </w:rPr>
        <w:t>2.5</w:t>
      </w:r>
      <w:r>
        <w:rPr>
          <w:rFonts w:hint="eastAsia" w:ascii="宋体" w:hAnsi="宋体" w:eastAsia="宋体" w:cs="宋体"/>
          <w:b/>
          <w:color w:val="auto"/>
          <w:kern w:val="2"/>
          <w:sz w:val="21"/>
          <w:szCs w:val="21"/>
          <w:highlight w:val="none"/>
          <w:lang w:val="en-US" w:eastAsia="zh-CN" w:bidi="ar-SA"/>
        </w:rPr>
        <w:t xml:space="preserve">                          修改类型：增加</w:t>
      </w:r>
    </w:p>
    <w:p>
      <w:pPr>
        <w:pBdr>
          <w:bottom w:val="single" w:color="auto" w:sz="4"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lang w:val="en-US" w:eastAsia="zh-CN"/>
        </w:rPr>
        <w:t>2.5</w:t>
      </w:r>
      <w:r>
        <w:rPr>
          <w:rFonts w:hint="eastAsia" w:cs="宋体"/>
          <w:color w:val="auto"/>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w:t>
      </w:r>
      <w:r>
        <w:rPr>
          <w:rFonts w:hint="eastAsia" w:cs="宋体"/>
          <w:color w:val="auto"/>
          <w:szCs w:val="21"/>
          <w:highlight w:val="none"/>
          <w:lang w:val="en-US" w:eastAsia="zh-CN"/>
        </w:rPr>
        <w:t>测</w:t>
      </w:r>
      <w:r>
        <w:rPr>
          <w:rFonts w:hint="eastAsia" w:cs="宋体"/>
          <w:color w:val="auto"/>
          <w:szCs w:val="21"/>
          <w:highlight w:val="none"/>
        </w:rPr>
        <w:t>工作。</w:t>
      </w:r>
    </w:p>
    <w:p>
      <w:pPr>
        <w:pStyle w:val="25"/>
        <w:pBdr>
          <w:bottom w:val="single" w:color="auto" w:sz="6" w:space="1"/>
        </w:pBdr>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条款号：5.1                          修改类型：修改</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：5.1</w:t>
      </w:r>
      <w:r>
        <w:rPr>
          <w:rFonts w:hint="eastAsia" w:cs="宋体"/>
          <w:bCs/>
          <w:color w:val="auto"/>
          <w:szCs w:val="21"/>
          <w:highlight w:val="none"/>
        </w:rPr>
        <w:t>投标人应按本投标须知前附表第15项所述时间和要求对工程现场及周围环境进行踏勘，</w:t>
      </w:r>
      <w:r>
        <w:rPr>
          <w:rFonts w:hint="eastAsia" w:cs="宋体"/>
          <w:color w:val="auto"/>
          <w:szCs w:val="21"/>
          <w:highlight w:val="none"/>
        </w:rPr>
        <w:t>投标人应充分重视和仔细地进行这种考察，</w:t>
      </w:r>
      <w:r>
        <w:rPr>
          <w:rFonts w:hint="eastAsia" w:cs="宋体"/>
          <w:bCs/>
          <w:color w:val="auto"/>
          <w:szCs w:val="21"/>
          <w:highlight w:val="none"/>
        </w:rPr>
        <w:t>以便投标人获取</w:t>
      </w:r>
      <w:r>
        <w:rPr>
          <w:rFonts w:hint="eastAsia" w:cs="宋体"/>
          <w:color w:val="auto"/>
          <w:szCs w:val="21"/>
          <w:highlight w:val="none"/>
        </w:rPr>
        <w:t>那些须投标人自己负责的</w:t>
      </w:r>
      <w:r>
        <w:rPr>
          <w:rFonts w:hint="eastAsia" w:cs="宋体"/>
          <w:bCs/>
          <w:color w:val="auto"/>
          <w:szCs w:val="21"/>
          <w:highlight w:val="none"/>
        </w:rPr>
        <w:t>有关编制投标文件和签署合同所涉及现场所有的资料。</w:t>
      </w:r>
      <w:r>
        <w:rPr>
          <w:rFonts w:hint="eastAsia" w:cs="宋体"/>
          <w:color w:val="auto"/>
          <w:szCs w:val="21"/>
          <w:highlight w:val="none"/>
        </w:rPr>
        <w:t>一旦中标，这种考察即被认为其结果已在中标文件中得到充分反映。考察现场的费用由投标人自己承担。</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cs="宋体"/>
          <w:color w:val="auto"/>
          <w:szCs w:val="21"/>
          <w:highlight w:val="none"/>
          <w:u w:val="single"/>
        </w:rPr>
        <w:t>招标人不受理因投标人缺乏对现场条件的了解或掌握而提出的任何索赔。</w:t>
      </w:r>
      <w:r>
        <w:rPr>
          <w:rFonts w:hint="eastAsia" w:cs="宋体"/>
          <w:color w:val="auto"/>
          <w:szCs w:val="21"/>
          <w:highlight w:val="none"/>
        </w:rPr>
        <w:t>考察现场的费用由投标人自己承担。</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条款号：8.1                          修改类型：修改</w:t>
      </w:r>
    </w:p>
    <w:p>
      <w:pPr>
        <w:pStyle w:val="25"/>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8.1投标人若对招标文件（包括招标图纸）中有疑问，可以书面形式通过交易平台提交给招标人或招标代理人，提交形式见本须知前附表第16项。</w:t>
      </w:r>
    </w:p>
    <w:p>
      <w:pPr>
        <w:pStyle w:val="25"/>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w:t>
      </w:r>
      <w:r>
        <w:rPr>
          <w:rFonts w:hint="eastAsia" w:ascii="宋体" w:hAnsi="宋体" w:cs="宋体"/>
          <w:bCs/>
          <w:color w:val="auto"/>
          <w:sz w:val="21"/>
          <w:szCs w:val="21"/>
          <w:highlight w:val="none"/>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条款号：8.2                         修改类型：修改</w:t>
      </w:r>
    </w:p>
    <w:p>
      <w:pPr>
        <w:pStyle w:val="25"/>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8.2招标答疑会会议纪要将在提交投标文件截止时间15日前在交易平台 “项目答疑纪要”专区公开发布。答疑纪要一经在交易平台发布，视作已发放给所有投标人。</w:t>
      </w:r>
    </w:p>
    <w:p>
      <w:pPr>
        <w:pStyle w:val="25"/>
        <w:pBdr>
          <w:bottom w:val="single" w:color="auto" w:sz="4"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 w:val="21"/>
          <w:szCs w:val="21"/>
          <w:highlight w:val="none"/>
          <w:u w:val="single"/>
        </w:rPr>
        <w:t>项目查询(日程安排、答疑纪要)</w:t>
      </w:r>
      <w:r>
        <w:rPr>
          <w:rFonts w:hint="eastAsia" w:ascii="宋体" w:hAnsi="宋体" w:cs="宋体"/>
          <w:color w:val="auto"/>
          <w:sz w:val="21"/>
          <w:szCs w:val="21"/>
          <w:highlight w:val="none"/>
          <w:u w:val="single"/>
        </w:rPr>
        <w:fldChar w:fldCharType="end"/>
      </w:r>
      <w:r>
        <w:rPr>
          <w:rFonts w:hint="eastAsia" w:ascii="宋体" w:hAnsi="宋体" w:cs="宋体"/>
          <w:color w:val="auto"/>
          <w:sz w:val="21"/>
          <w:szCs w:val="21"/>
          <w:highlight w:val="none"/>
        </w:rPr>
        <w:t>”专区公开发布。答疑纪要一经在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交易平台发布，视作已发放给所有投标人。</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条款号：9.2                         修改类型：修改</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9.2招标文件的澄清或修改将在</w:t>
      </w:r>
      <w:r>
        <w:rPr>
          <w:rFonts w:hint="eastAsia" w:ascii="宋体" w:hAnsi="宋体" w:cs="宋体"/>
          <w:color w:val="auto"/>
          <w:sz w:val="21"/>
          <w:szCs w:val="21"/>
          <w:highlight w:val="none"/>
          <w:u w:val="single"/>
        </w:rPr>
        <w:t>广州交易集团有限公司（广州公共资源交易中心）</w:t>
      </w:r>
      <w:r>
        <w:rPr>
          <w:rFonts w:hint="eastAsia"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cs="宋体"/>
          <w:color w:val="auto"/>
          <w:szCs w:val="21"/>
          <w:highlight w:val="none"/>
          <w:u w:val="single"/>
        </w:rPr>
        <w:t>项目查询(日程安排、答疑纪要)</w:t>
      </w:r>
      <w:r>
        <w:rPr>
          <w:rFonts w:hint="eastAsia" w:cs="宋体"/>
          <w:color w:val="auto"/>
          <w:szCs w:val="21"/>
          <w:highlight w:val="none"/>
          <w:u w:val="single"/>
        </w:rPr>
        <w:fldChar w:fldCharType="end"/>
      </w:r>
      <w:r>
        <w:rPr>
          <w:rFonts w:hint="eastAsia" w:cs="宋体"/>
          <w:color w:val="auto"/>
          <w:szCs w:val="21"/>
          <w:highlight w:val="none"/>
        </w:rPr>
        <w:t>”专区公开发布。答疑纪要一经在</w:t>
      </w:r>
      <w:r>
        <w:rPr>
          <w:rFonts w:hint="eastAsia" w:ascii="宋体" w:hAnsi="宋体" w:cs="宋体"/>
          <w:color w:val="auto"/>
          <w:sz w:val="21"/>
          <w:szCs w:val="21"/>
          <w:highlight w:val="none"/>
          <w:u w:val="single"/>
        </w:rPr>
        <w:t>广州交易集团有限公司（广州公共资源交易中心）</w:t>
      </w:r>
      <w:r>
        <w:rPr>
          <w:rFonts w:hint="eastAsia" w:cs="宋体"/>
          <w:color w:val="auto"/>
          <w:szCs w:val="21"/>
          <w:highlight w:val="none"/>
        </w:rPr>
        <w:t>交易平台发布，视作已发放给所有投标人，以</w:t>
      </w:r>
      <w:r>
        <w:rPr>
          <w:rFonts w:hint="eastAsia" w:ascii="宋体" w:hAnsi="宋体" w:cs="宋体"/>
          <w:color w:val="auto"/>
          <w:sz w:val="21"/>
          <w:szCs w:val="21"/>
          <w:highlight w:val="none"/>
          <w:u w:val="single"/>
        </w:rPr>
        <w:t>广州交易集团有限公司（广州公共资源交易中心）</w:t>
      </w:r>
      <w:r>
        <w:rPr>
          <w:rFonts w:hint="eastAsia" w:cs="宋体"/>
          <w:color w:val="auto"/>
          <w:szCs w:val="21"/>
          <w:highlight w:val="none"/>
        </w:rPr>
        <w:t>交易平台上网发布时间作为送达时间。</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条款号：9.4                         修改类型：修改</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9.4招标文件的澄清或修改均以</w:t>
      </w:r>
      <w:r>
        <w:rPr>
          <w:rFonts w:hint="eastAsia" w:cs="宋体"/>
          <w:color w:val="auto"/>
          <w:szCs w:val="21"/>
          <w:highlight w:val="none"/>
          <w:u w:val="single"/>
        </w:rPr>
        <w:t>网上答疑公布</w:t>
      </w:r>
      <w:r>
        <w:rPr>
          <w:rFonts w:hint="eastAsia" w:cs="宋体"/>
          <w:color w:val="auto"/>
          <w:szCs w:val="21"/>
          <w:highlight w:val="none"/>
        </w:rPr>
        <w:t>的内容为准。当招标文件的澄清、修改、补充等在同一内容的表述不一致时，以最后发出的</w:t>
      </w:r>
      <w:r>
        <w:rPr>
          <w:rFonts w:hint="eastAsia" w:cs="宋体"/>
          <w:color w:val="auto"/>
          <w:szCs w:val="21"/>
          <w:highlight w:val="none"/>
          <w:u w:val="single"/>
        </w:rPr>
        <w:t>文件</w:t>
      </w:r>
      <w:r>
        <w:rPr>
          <w:rFonts w:hint="eastAsia" w:cs="宋体"/>
          <w:color w:val="auto"/>
          <w:szCs w:val="21"/>
          <w:highlight w:val="none"/>
        </w:rPr>
        <w:t>为准。</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条款号：11.2                       修改类型：修改</w:t>
      </w:r>
    </w:p>
    <w:p>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bCs/>
          <w:color w:val="auto"/>
          <w:szCs w:val="21"/>
          <w:highlight w:val="none"/>
        </w:rPr>
        <w:t>11.2投标文件技术标部分主要包括下列内容:</w:t>
      </w:r>
    </w:p>
    <w:p>
      <w:pPr>
        <w:spacing w:line="360" w:lineRule="auto"/>
        <w:ind w:firstLine="409" w:firstLineChars="195"/>
        <w:rPr>
          <w:rFonts w:cs="宋体"/>
          <w:bCs/>
          <w:color w:val="auto"/>
          <w:szCs w:val="21"/>
          <w:highlight w:val="none"/>
        </w:rPr>
      </w:pPr>
      <w:r>
        <w:rPr>
          <w:rFonts w:hint="eastAsia" w:cs="宋体"/>
          <w:bCs/>
          <w:color w:val="auto"/>
          <w:szCs w:val="21"/>
          <w:highlight w:val="none"/>
        </w:rPr>
        <w:t>11.2.1 技术投标文件</w:t>
      </w:r>
      <w:r>
        <w:rPr>
          <w:rFonts w:hint="eastAsia" w:cs="宋体"/>
          <w:color w:val="auto"/>
          <w:szCs w:val="21"/>
          <w:highlight w:val="none"/>
        </w:rPr>
        <w:t>(按招标文件的要求填写)</w:t>
      </w:r>
      <w:r>
        <w:rPr>
          <w:rFonts w:hint="eastAsia" w:cs="宋体"/>
          <w:bCs/>
          <w:color w:val="auto"/>
          <w:szCs w:val="21"/>
          <w:highlight w:val="none"/>
        </w:rPr>
        <w:t>；</w:t>
      </w:r>
    </w:p>
    <w:p>
      <w:pPr>
        <w:spacing w:line="360" w:lineRule="auto"/>
        <w:ind w:firstLine="409" w:firstLineChars="195"/>
        <w:rPr>
          <w:rFonts w:cs="宋体"/>
          <w:bCs/>
          <w:color w:val="auto"/>
          <w:szCs w:val="21"/>
          <w:highlight w:val="none"/>
        </w:rPr>
      </w:pPr>
      <w:r>
        <w:rPr>
          <w:rFonts w:hint="eastAsia" w:cs="宋体"/>
          <w:bCs/>
          <w:color w:val="auto"/>
          <w:szCs w:val="21"/>
          <w:highlight w:val="none"/>
        </w:rPr>
        <w:t>11.2.2 资格审查文件：</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 xml:space="preserve">（1）投标人声明； </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（2）法定代表人证明书、法定代表人签字或盖章的本投标文件授权委托证明书；</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（3）企业营业执照扫描件或电子证照；</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（4）企业资质证书扫描件或电子证照；</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（5）建筑施工企业安全生产许可证扫描件或电子证照；</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（6）项目负责人（按网上投标登记时选择拟投入本项目的项目负责人）</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（7）专职安全员（按网上投标登记时选择拟投入本项目的专职安全员）</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（8）拟委托技术负责人的相关证书、资料（具体要求由招标人明确）</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 xml:space="preserve">（9）拟委派项目负责人的有效期内的建造师注册证书扫描件或电子证书；  </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（10）项目负责人在有效期内的安全生产考核合格证书（B类）或建筑施工企业项目负责人安全生产考核合格证书扫描件或电子证书；</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（11）专职安全员须具有在有效期内的安全生产考核合格证书（C类）或建筑施工企业专职安全生产管理人员安全生产考核合格证书扫描件或电子证书；</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（12）用于资格审查的业绩（设置业绩要求时选择此项，投标人须提供类似工程业绩的项目名称及项目编号，具体格式由招标人自定）；</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注：1.相关电子证书按规定需打印后手写本人签名的，应按照规定手写本人签名后再扫描提交。</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11.2.3 项目管理机构配备。</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（1）投标人应列出该项目工程的施工组织机构构成和画出机构框架图及其负责人；</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（2）投标人应详细列出该施工组织机构中主要成员的名单、简历资料、职务职称和</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在本项目中拟担任的职务等资料，并附上有关证明材料扫描件；</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（3）其他辅助说明资料。</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11.2.4 投标人在广州市可使用适合本工程的机械设备（附：机械设备为自有或租赁的说明；及承诺机械设备如属于租赁的，其租赁是不属于重复租赁）。</w:t>
      </w:r>
    </w:p>
    <w:p>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11.2.</w:t>
      </w:r>
      <w:r>
        <w:rPr>
          <w:rFonts w:hint="default" w:cs="宋体"/>
          <w:color w:val="auto"/>
          <w:szCs w:val="21"/>
          <w:highlight w:val="none"/>
          <w:lang w:val="en-US"/>
        </w:rPr>
        <w:t xml:space="preserve">5 </w:t>
      </w:r>
      <w:r>
        <w:rPr>
          <w:rFonts w:hint="eastAsia" w:cs="宋体"/>
          <w:color w:val="auto"/>
          <w:szCs w:val="21"/>
          <w:highlight w:val="none"/>
          <w:lang w:val="en-US" w:eastAsia="zh-CN"/>
        </w:rPr>
        <w:t xml:space="preserve"> </w:t>
      </w:r>
      <w:r>
        <w:rPr>
          <w:rFonts w:hint="eastAsia" w:cs="宋体"/>
          <w:color w:val="auto"/>
          <w:szCs w:val="21"/>
          <w:highlight w:val="none"/>
        </w:rPr>
        <w:t>施工组织设计或施工方案。</w:t>
      </w:r>
    </w:p>
    <w:p>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09" w:firstLineChars="195"/>
        <w:rPr>
          <w:rFonts w:cs="宋体"/>
          <w:b w:val="0"/>
          <w:bCs w:val="0"/>
          <w:color w:val="auto"/>
          <w:sz w:val="21"/>
          <w:szCs w:val="21"/>
          <w:highlight w:val="none"/>
        </w:rPr>
      </w:pPr>
      <w:r>
        <w:rPr>
          <w:rFonts w:hint="eastAsia"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w:t>
      </w:r>
      <w:r>
        <w:rPr>
          <w:rFonts w:hint="default" w:cs="宋体"/>
          <w:color w:val="auto"/>
          <w:szCs w:val="21"/>
          <w:highlight w:val="none"/>
          <w:lang w:val="en-US"/>
        </w:rPr>
        <w:t>6</w:t>
      </w:r>
      <w:r>
        <w:rPr>
          <w:rFonts w:hint="eastAsia" w:cs="宋体"/>
          <w:color w:val="auto"/>
          <w:szCs w:val="21"/>
          <w:highlight w:val="none"/>
        </w:rPr>
        <w:t xml:space="preserve"> 按照招标文件要求填写的《参与编制技术标投标文件人员名单》。</w:t>
      </w:r>
    </w:p>
    <w:p>
      <w:pPr>
        <w:spacing w:line="360" w:lineRule="auto"/>
        <w:ind w:firstLine="411" w:firstLineChars="195"/>
        <w:rPr>
          <w:rFonts w:cs="宋体"/>
          <w:b/>
          <w:color w:val="auto"/>
          <w:szCs w:val="21"/>
          <w:highlight w:val="none"/>
        </w:rPr>
      </w:pPr>
      <w:r>
        <w:rPr>
          <w:rFonts w:hint="eastAsia" w:cs="宋体"/>
          <w:b/>
          <w:color w:val="auto"/>
          <w:szCs w:val="21"/>
          <w:highlight w:val="none"/>
        </w:rPr>
        <w:t>现文：</w:t>
      </w:r>
    </w:p>
    <w:p>
      <w:pPr>
        <w:spacing w:line="360" w:lineRule="auto"/>
        <w:ind w:firstLine="409" w:firstLineChars="195"/>
        <w:rPr>
          <w:rFonts w:cs="宋体"/>
          <w:bCs/>
          <w:color w:val="auto"/>
          <w:szCs w:val="21"/>
          <w:highlight w:val="none"/>
        </w:rPr>
      </w:pPr>
      <w:r>
        <w:rPr>
          <w:rFonts w:hint="eastAsia" w:cs="宋体"/>
          <w:bCs/>
          <w:color w:val="auto"/>
          <w:szCs w:val="21"/>
          <w:highlight w:val="none"/>
        </w:rPr>
        <w:t>11.2投标文件技术标部分主要包括下列内容</w:t>
      </w:r>
      <w:r>
        <w:rPr>
          <w:rFonts w:hint="eastAsia" w:cs="宋体"/>
          <w:color w:val="auto"/>
          <w:szCs w:val="21"/>
          <w:highlight w:val="none"/>
          <w:u w:val="single"/>
        </w:rPr>
        <w:t>（除注明原件外，均为清晰扫描件即可）</w:t>
      </w:r>
      <w:r>
        <w:rPr>
          <w:rFonts w:hint="eastAsia" w:cs="宋体"/>
          <w:bCs/>
          <w:color w:val="auto"/>
          <w:szCs w:val="21"/>
          <w:highlight w:val="none"/>
        </w:rPr>
        <w:t>:</w:t>
      </w:r>
    </w:p>
    <w:p>
      <w:pPr>
        <w:spacing w:line="360" w:lineRule="auto"/>
        <w:ind w:firstLine="409" w:firstLineChars="195"/>
        <w:rPr>
          <w:rFonts w:cs="宋体"/>
          <w:bCs/>
          <w:color w:val="auto"/>
          <w:szCs w:val="21"/>
          <w:highlight w:val="none"/>
        </w:rPr>
      </w:pPr>
      <w:r>
        <w:rPr>
          <w:rFonts w:hint="eastAsia" w:cs="宋体"/>
          <w:bCs/>
          <w:color w:val="auto"/>
          <w:szCs w:val="21"/>
          <w:highlight w:val="none"/>
        </w:rPr>
        <w:t xml:space="preserve">11.2.1 </w:t>
      </w:r>
      <w:r>
        <w:rPr>
          <w:rFonts w:hint="eastAsia" w:ascii="宋体" w:hAnsi="宋体" w:cs="宋体"/>
          <w:bCs/>
          <w:color w:val="auto"/>
          <w:szCs w:val="21"/>
          <w:highlight w:val="none"/>
          <w:u w:val="single"/>
        </w:rPr>
        <w:t>广州建设工程施工招标投标书(需按招标文件第四章要求的格式填写，具体格式以《广州建设工程施工招标投标书》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r>
        <w:rPr>
          <w:rFonts w:hint="eastAsia" w:cs="宋体"/>
          <w:bCs/>
          <w:color w:val="auto"/>
          <w:szCs w:val="21"/>
          <w:highlight w:val="none"/>
        </w:rPr>
        <w:t>；</w:t>
      </w:r>
    </w:p>
    <w:p>
      <w:pPr>
        <w:spacing w:line="360" w:lineRule="auto"/>
        <w:ind w:firstLine="409" w:firstLineChars="195"/>
        <w:rPr>
          <w:rFonts w:cs="宋体"/>
          <w:bCs/>
          <w:color w:val="auto"/>
          <w:szCs w:val="21"/>
          <w:highlight w:val="none"/>
        </w:rPr>
      </w:pPr>
      <w:r>
        <w:rPr>
          <w:rFonts w:hint="eastAsia" w:cs="宋体"/>
          <w:bCs/>
          <w:color w:val="auto"/>
          <w:szCs w:val="21"/>
          <w:highlight w:val="none"/>
        </w:rPr>
        <w:t>11.2.2 资格审查文件：</w:t>
      </w:r>
    </w:p>
    <w:p>
      <w:pPr>
        <w:spacing w:line="360" w:lineRule="auto"/>
        <w:ind w:left="409" w:leftChars="190" w:hanging="10" w:hangingChars="5"/>
        <w:rPr>
          <w:rFonts w:hint="eastAsia" w:cs="宋体"/>
          <w:bCs/>
          <w:color w:val="auto"/>
          <w:szCs w:val="21"/>
          <w:highlight w:val="none"/>
          <w:u w:val="single"/>
        </w:rPr>
      </w:pPr>
      <w:r>
        <w:rPr>
          <w:rFonts w:hint="eastAsia" w:cs="宋体"/>
          <w:bCs/>
          <w:color w:val="auto"/>
          <w:szCs w:val="21"/>
          <w:highlight w:val="none"/>
          <w:u w:val="single"/>
        </w:rPr>
        <w:t xml:space="preserve">（1）投标人声明（见招标公告附件一）； </w:t>
      </w:r>
    </w:p>
    <w:p>
      <w:pPr>
        <w:spacing w:line="360" w:lineRule="auto"/>
        <w:ind w:left="409" w:leftChars="190" w:hanging="10" w:hangingChars="5"/>
        <w:rPr>
          <w:rFonts w:hint="eastAsia" w:cs="宋体"/>
          <w:bCs/>
          <w:color w:val="auto"/>
          <w:szCs w:val="21"/>
          <w:highlight w:val="none"/>
          <w:u w:val="single"/>
        </w:rPr>
      </w:pPr>
      <w:r>
        <w:rPr>
          <w:rFonts w:hint="eastAsia" w:cs="宋体"/>
          <w:bCs/>
          <w:color w:val="auto"/>
          <w:szCs w:val="21"/>
          <w:highlight w:val="none"/>
          <w:u w:val="single"/>
        </w:rPr>
        <w:t>（2）法定代表人证明书、法定代表人签字或盖章的本投标文件授权委托证明书</w:t>
      </w:r>
      <w:r>
        <w:rPr>
          <w:rFonts w:hint="eastAsia" w:cs="宋体"/>
          <w:color w:val="auto"/>
          <w:szCs w:val="21"/>
          <w:highlight w:val="none"/>
          <w:u w:val="single"/>
        </w:rPr>
        <w:t>（</w:t>
      </w:r>
      <w:r>
        <w:rPr>
          <w:rFonts w:hint="default" w:eastAsia="宋体" w:cs="宋体"/>
          <w:color w:val="auto"/>
          <w:szCs w:val="21"/>
          <w:highlight w:val="none"/>
          <w:u w:val="single"/>
          <w:lang w:val="en-US" w:eastAsia="zh-CN"/>
        </w:rPr>
        <w:t>按招标文件的要求填写</w:t>
      </w:r>
      <w:r>
        <w:rPr>
          <w:rFonts w:hint="eastAsia" w:cs="宋体"/>
          <w:color w:val="auto"/>
          <w:szCs w:val="21"/>
          <w:highlight w:val="none"/>
          <w:u w:val="single"/>
          <w:lang w:eastAsia="zh-CN"/>
        </w:rPr>
        <w:t>）</w:t>
      </w:r>
      <w:r>
        <w:rPr>
          <w:rFonts w:hint="eastAsia" w:cs="宋体"/>
          <w:bCs/>
          <w:color w:val="auto"/>
          <w:szCs w:val="21"/>
          <w:highlight w:val="none"/>
          <w:u w:val="single"/>
        </w:rPr>
        <w:t>；</w:t>
      </w:r>
    </w:p>
    <w:p>
      <w:pPr>
        <w:spacing w:line="360" w:lineRule="auto"/>
        <w:ind w:left="409" w:leftChars="190" w:hanging="10" w:hangingChars="5"/>
        <w:rPr>
          <w:rFonts w:hint="eastAsia" w:cs="宋体"/>
          <w:bCs/>
          <w:color w:val="auto"/>
          <w:szCs w:val="21"/>
          <w:highlight w:val="none"/>
          <w:u w:val="single"/>
        </w:rPr>
      </w:pPr>
      <w:r>
        <w:rPr>
          <w:rFonts w:hint="eastAsia" w:cs="宋体"/>
          <w:bCs/>
          <w:color w:val="auto"/>
          <w:szCs w:val="21"/>
          <w:highlight w:val="none"/>
          <w:u w:val="single"/>
        </w:rPr>
        <w:t>（3）企业营业执照扫描件或电子证照；</w:t>
      </w:r>
    </w:p>
    <w:p>
      <w:pPr>
        <w:spacing w:line="360" w:lineRule="auto"/>
        <w:ind w:left="409" w:leftChars="190" w:hanging="10" w:hangingChars="5"/>
        <w:rPr>
          <w:rFonts w:hint="eastAsia" w:cs="宋体"/>
          <w:bCs/>
          <w:color w:val="auto"/>
          <w:szCs w:val="21"/>
          <w:highlight w:val="none"/>
          <w:u w:val="single"/>
        </w:rPr>
      </w:pPr>
      <w:r>
        <w:rPr>
          <w:rFonts w:hint="eastAsia" w:cs="宋体"/>
          <w:bCs/>
          <w:color w:val="auto"/>
          <w:szCs w:val="21"/>
          <w:highlight w:val="none"/>
          <w:u w:val="single"/>
        </w:rPr>
        <w:t>（4）项目负责人（按网上投标登记时选择拟投入本项目的项目负责人）；</w:t>
      </w:r>
    </w:p>
    <w:p>
      <w:pPr>
        <w:spacing w:line="360" w:lineRule="auto"/>
        <w:ind w:left="409" w:leftChars="190" w:hanging="10" w:hangingChars="5"/>
        <w:rPr>
          <w:rFonts w:hint="eastAsia" w:cs="宋体"/>
          <w:bCs/>
          <w:color w:val="auto"/>
          <w:szCs w:val="21"/>
          <w:highlight w:val="none"/>
          <w:u w:val="single"/>
        </w:rPr>
      </w:pPr>
      <w:r>
        <w:rPr>
          <w:rFonts w:hint="eastAsia" w:cs="宋体"/>
          <w:bCs/>
          <w:color w:val="auto"/>
          <w:szCs w:val="21"/>
          <w:highlight w:val="none"/>
          <w:u w:val="single"/>
        </w:rPr>
        <w:t>（</w:t>
      </w:r>
      <w:r>
        <w:rPr>
          <w:rFonts w:hint="eastAsia" w:cs="宋体"/>
          <w:bCs/>
          <w:color w:val="auto"/>
          <w:szCs w:val="21"/>
          <w:highlight w:val="none"/>
          <w:u w:val="single"/>
          <w:lang w:val="en-US" w:eastAsia="zh-CN"/>
        </w:rPr>
        <w:t>5</w:t>
      </w:r>
      <w:r>
        <w:rPr>
          <w:rFonts w:hint="eastAsia" w:cs="宋体"/>
          <w:bCs/>
          <w:color w:val="auto"/>
          <w:szCs w:val="21"/>
          <w:highlight w:val="none"/>
          <w:u w:val="single"/>
        </w:rPr>
        <w:t>）拟委派项目负责人的相关证书、资料（按招标公告要求）；</w:t>
      </w:r>
    </w:p>
    <w:p>
      <w:pPr>
        <w:spacing w:line="360" w:lineRule="auto"/>
        <w:ind w:firstLine="409" w:firstLineChars="195"/>
        <w:rPr>
          <w:rFonts w:cs="宋体"/>
          <w:bCs/>
          <w:color w:val="auto"/>
          <w:szCs w:val="21"/>
          <w:highlight w:val="none"/>
          <w:u w:val="single"/>
        </w:rPr>
      </w:pPr>
      <w:r>
        <w:rPr>
          <w:rFonts w:hint="eastAsia" w:cs="宋体"/>
          <w:bCs/>
          <w:color w:val="auto"/>
          <w:szCs w:val="21"/>
          <w:highlight w:val="none"/>
          <w:u w:val="single"/>
        </w:rPr>
        <w:t>（</w:t>
      </w:r>
      <w:r>
        <w:rPr>
          <w:rFonts w:hint="eastAsia" w:cs="宋体"/>
          <w:bCs/>
          <w:color w:val="auto"/>
          <w:szCs w:val="21"/>
          <w:highlight w:val="none"/>
          <w:u w:val="single"/>
          <w:lang w:val="en-US" w:eastAsia="zh-CN"/>
        </w:rPr>
        <w:t>6</w:t>
      </w:r>
      <w:r>
        <w:rPr>
          <w:rFonts w:hint="eastAsia" w:cs="宋体"/>
          <w:bCs/>
          <w:color w:val="auto"/>
          <w:szCs w:val="21"/>
          <w:highlight w:val="none"/>
          <w:u w:val="single"/>
        </w:rPr>
        <w:t>）资格审查前，投标人须在广州市住房和城乡建设局建立企业信用档案或在广州公共资源交易平台企业库办理企业信息登记，拟担任本工程项目负责人、专职安全员须是本企业信用档案中或本企业信息登记中的在册人员。企业诚信档案取自投标截止时间投标人在企业库内的信息，投标人无需提交相关资料，若招标人延长递交投标文件截止时间的，信用档案信息的评审时点也相应延长。（信用档案办理详见《广州市住建行业信用管理平台施工企业信息录入指引》。</w:t>
      </w:r>
    </w:p>
    <w:p>
      <w:pPr>
        <w:spacing w:line="360" w:lineRule="auto"/>
        <w:ind w:firstLine="409" w:firstLineChars="195"/>
        <w:rPr>
          <w:rFonts w:hint="eastAsia" w:cs="宋体"/>
          <w:bCs/>
          <w:color w:val="auto"/>
          <w:szCs w:val="21"/>
          <w:highlight w:val="none"/>
          <w:u w:val="single"/>
        </w:rPr>
      </w:pPr>
      <w:r>
        <w:rPr>
          <w:rFonts w:hint="eastAsia" w:cs="宋体"/>
          <w:bCs/>
          <w:color w:val="auto"/>
          <w:szCs w:val="21"/>
          <w:highlight w:val="none"/>
          <w:u w:val="single"/>
        </w:rPr>
        <w:t>（</w:t>
      </w:r>
      <w:r>
        <w:rPr>
          <w:rFonts w:hint="eastAsia" w:cs="宋体"/>
          <w:bCs/>
          <w:color w:val="auto"/>
          <w:szCs w:val="21"/>
          <w:highlight w:val="none"/>
          <w:u w:val="single"/>
          <w:lang w:val="en-US" w:eastAsia="zh-CN"/>
        </w:rPr>
        <w:t>7</w:t>
      </w:r>
      <w:r>
        <w:rPr>
          <w:rFonts w:hint="eastAsia" w:cs="宋体"/>
          <w:bCs/>
          <w:color w:val="auto"/>
          <w:szCs w:val="21"/>
          <w:highlight w:val="none"/>
          <w:u w:val="single"/>
        </w:rPr>
        <w:t>）</w:t>
      </w:r>
      <w:r>
        <w:rPr>
          <w:rFonts w:hint="eastAsia" w:ascii="宋体" w:hAnsi="宋体" w:cs="宋体"/>
          <w:color w:val="auto"/>
          <w:szCs w:val="21"/>
          <w:highlight w:val="none"/>
          <w:u w:val="single"/>
        </w:rPr>
        <w:t>投标人未出现以下情形：与其它投标人的单位负责人为同一人或者存在控股、管理关系的（按投标人提供的《投标人声明》第九条内容进行评审）。如不同投标申请人出现单位负责人为同一人或者存在控股、管理关系的情形，则相关投标均无效。</w:t>
      </w:r>
    </w:p>
    <w:p>
      <w:pPr>
        <w:spacing w:line="360" w:lineRule="auto"/>
        <w:ind w:firstLine="409" w:firstLineChars="195"/>
        <w:rPr>
          <w:rFonts w:hint="eastAsia" w:eastAsia="宋体" w:cs="宋体"/>
          <w:bCs/>
          <w:color w:val="auto"/>
          <w:szCs w:val="21"/>
          <w:highlight w:val="none"/>
          <w:u w:val="single"/>
          <w:lang w:eastAsia="zh-CN"/>
        </w:rPr>
      </w:pPr>
      <w:r>
        <w:rPr>
          <w:rFonts w:hint="eastAsia" w:cs="宋体"/>
          <w:bCs/>
          <w:color w:val="auto"/>
          <w:szCs w:val="21"/>
          <w:highlight w:val="none"/>
          <w:u w:val="single"/>
        </w:rPr>
        <w:t>（</w:t>
      </w:r>
      <w:r>
        <w:rPr>
          <w:rFonts w:hint="eastAsia" w:cs="宋体"/>
          <w:bCs/>
          <w:color w:val="auto"/>
          <w:szCs w:val="21"/>
          <w:highlight w:val="none"/>
          <w:u w:val="single"/>
          <w:lang w:val="en-US" w:eastAsia="zh-CN"/>
        </w:rPr>
        <w:t>8</w:t>
      </w:r>
      <w:r>
        <w:rPr>
          <w:rFonts w:hint="eastAsia" w:cs="宋体"/>
          <w:bCs/>
          <w:color w:val="auto"/>
          <w:szCs w:val="21"/>
          <w:highlight w:val="none"/>
          <w:u w:val="single"/>
        </w:rPr>
        <w:t>）</w:t>
      </w:r>
      <w:r>
        <w:rPr>
          <w:rFonts w:hint="eastAsia" w:cs="宋体"/>
          <w:bCs/>
          <w:color w:val="auto"/>
          <w:szCs w:val="21"/>
          <w:highlight w:val="none"/>
          <w:u w:val="single"/>
          <w:lang w:val="en-US" w:eastAsia="zh-CN"/>
        </w:rPr>
        <w:t>投标人未被列入拖欠农民工工资失信联合惩戒对象名单（投标人无需提供资料，资格审查时，按投标截止时间广州交易集团有限公司（广州公共资源交易中心）交易系统比对的结果进行评审</w:t>
      </w:r>
      <w:r>
        <w:rPr>
          <w:rFonts w:hint="eastAsia" w:cs="宋体"/>
          <w:bCs/>
          <w:color w:val="auto"/>
          <w:szCs w:val="21"/>
          <w:highlight w:val="none"/>
          <w:u w:val="single"/>
          <w:lang w:eastAsia="zh-CN"/>
        </w:rPr>
        <w:t>）。</w:t>
      </w:r>
    </w:p>
    <w:p>
      <w:pPr>
        <w:spacing w:line="360" w:lineRule="auto"/>
        <w:ind w:firstLine="409" w:firstLineChars="195"/>
        <w:rPr>
          <w:rFonts w:cs="宋体"/>
          <w:bCs/>
          <w:color w:val="auto"/>
          <w:szCs w:val="21"/>
          <w:highlight w:val="none"/>
          <w:u w:val="single"/>
        </w:rPr>
      </w:pPr>
      <w:r>
        <w:rPr>
          <w:rFonts w:hint="eastAsia" w:cs="宋体"/>
          <w:bCs/>
          <w:color w:val="auto"/>
          <w:szCs w:val="21"/>
          <w:highlight w:val="none"/>
          <w:u w:val="single"/>
        </w:rPr>
        <w:t>（</w:t>
      </w:r>
      <w:r>
        <w:rPr>
          <w:rFonts w:hint="eastAsia" w:cs="宋体"/>
          <w:bCs/>
          <w:color w:val="auto"/>
          <w:szCs w:val="21"/>
          <w:highlight w:val="none"/>
          <w:u w:val="single"/>
          <w:lang w:val="en-US" w:eastAsia="zh-CN"/>
        </w:rPr>
        <w:t>9</w:t>
      </w:r>
      <w:r>
        <w:rPr>
          <w:rFonts w:hint="eastAsia" w:cs="宋体"/>
          <w:bCs/>
          <w:color w:val="auto"/>
          <w:szCs w:val="21"/>
          <w:highlight w:val="none"/>
          <w:u w:val="single"/>
        </w:rPr>
        <w:t>）投标人认为应提供的其他资料。</w:t>
      </w:r>
    </w:p>
    <w:p>
      <w:pPr>
        <w:spacing w:line="360" w:lineRule="auto"/>
        <w:ind w:left="409" w:leftChars="190" w:hanging="10" w:hangingChars="5"/>
        <w:rPr>
          <w:rFonts w:hint="eastAsia" w:cs="宋体"/>
          <w:bCs/>
          <w:color w:val="auto"/>
          <w:szCs w:val="21"/>
          <w:highlight w:val="none"/>
          <w:u w:val="single"/>
        </w:rPr>
      </w:pPr>
      <w:r>
        <w:rPr>
          <w:rFonts w:hint="eastAsia" w:cs="宋体"/>
          <w:bCs/>
          <w:color w:val="auto"/>
          <w:szCs w:val="21"/>
          <w:highlight w:val="none"/>
          <w:u w:val="single"/>
        </w:rPr>
        <w:t>注：1.相关电子证书按规定需打印后手写本人签名的，应按照规定手写本人签名后再扫描提交。</w:t>
      </w:r>
    </w:p>
    <w:p>
      <w:pPr>
        <w:numPr>
          <w:ilvl w:val="-1"/>
          <w:numId w:val="0"/>
        </w:numPr>
        <w:spacing w:line="360" w:lineRule="auto"/>
        <w:ind w:left="409" w:leftChars="190" w:hanging="10" w:hangingChars="5"/>
        <w:rPr>
          <w:rFonts w:hint="eastAsia" w:cs="宋体"/>
          <w:color w:val="auto"/>
          <w:szCs w:val="21"/>
          <w:highlight w:val="none"/>
          <w:u w:val="single"/>
        </w:rPr>
      </w:pPr>
      <w:r>
        <w:rPr>
          <w:rFonts w:hint="eastAsia" w:cs="宋体"/>
          <w:bCs/>
          <w:color w:val="auto"/>
          <w:szCs w:val="21"/>
          <w:highlight w:val="none"/>
          <w:u w:val="single"/>
        </w:rPr>
        <w:t>2.投标人在投标登记时选择了拟投入本项目的项目负责人，即已满足“资格审查前，投标人须在广州公共资源交易平台企业库或广州市住建行业信用平台办理企业信息登记，拟担任本工程项目负责人须是本企业中的在册人员”的要求，投标人无需提供证明材料。</w:t>
      </w:r>
    </w:p>
    <w:p>
      <w:pPr>
        <w:numPr>
          <w:ilvl w:val="0"/>
          <w:numId w:val="1"/>
        </w:numPr>
        <w:spacing w:line="360" w:lineRule="auto"/>
        <w:ind w:firstLine="409" w:firstLineChars="195"/>
        <w:rPr>
          <w:rFonts w:cs="宋体"/>
          <w:bCs/>
          <w:color w:val="auto"/>
          <w:szCs w:val="21"/>
          <w:highlight w:val="none"/>
          <w:u w:val="single"/>
        </w:rPr>
      </w:pPr>
      <w:r>
        <w:rPr>
          <w:rFonts w:hint="eastAsia" w:cs="宋体"/>
          <w:color w:val="auto"/>
          <w:szCs w:val="21"/>
          <w:highlight w:val="none"/>
          <w:u w:val="single"/>
        </w:rPr>
        <w:t>上述第</w:t>
      </w:r>
      <w:r>
        <w:rPr>
          <w:rFonts w:hint="eastAsia" w:cs="宋体"/>
          <w:bCs/>
          <w:color w:val="auto"/>
          <w:szCs w:val="21"/>
          <w:highlight w:val="none"/>
          <w:u w:val="single"/>
        </w:rPr>
        <w:t>11.2.2（1）—（</w:t>
      </w:r>
      <w:r>
        <w:rPr>
          <w:rFonts w:hint="eastAsia" w:cs="宋体"/>
          <w:bCs/>
          <w:color w:val="auto"/>
          <w:szCs w:val="21"/>
          <w:highlight w:val="none"/>
          <w:u w:val="single"/>
          <w:lang w:val="en-US" w:eastAsia="zh-CN"/>
        </w:rPr>
        <w:t>9</w:t>
      </w:r>
      <w:r>
        <w:rPr>
          <w:rFonts w:hint="eastAsia" w:cs="宋体"/>
          <w:bCs/>
          <w:color w:val="auto"/>
          <w:szCs w:val="21"/>
          <w:highlight w:val="none"/>
          <w:u w:val="single"/>
        </w:rPr>
        <w:t>）条没有要求提交的资料，不作为资格审查不合格的依据。</w:t>
      </w:r>
    </w:p>
    <w:p>
      <w:pPr>
        <w:spacing w:line="360" w:lineRule="auto"/>
        <w:ind w:firstLine="409" w:firstLineChars="195"/>
        <w:rPr>
          <w:rFonts w:hint="default" w:eastAsia="宋体" w:cs="宋体"/>
          <w:color w:val="auto"/>
          <w:szCs w:val="21"/>
          <w:highlight w:val="none"/>
          <w:u w:val="single"/>
          <w:lang w:val="en-US" w:eastAsia="zh-CN"/>
        </w:rPr>
      </w:pPr>
      <w:r>
        <w:rPr>
          <w:rFonts w:hint="default" w:eastAsia="宋体" w:cs="宋体"/>
          <w:color w:val="auto"/>
          <w:szCs w:val="21"/>
          <w:highlight w:val="none"/>
          <w:u w:val="single"/>
          <w:lang w:val="en-US" w:eastAsia="zh-CN"/>
        </w:rPr>
        <w:t>11.2.</w:t>
      </w:r>
      <w:r>
        <w:rPr>
          <w:rFonts w:hint="eastAsia" w:cs="宋体"/>
          <w:color w:val="auto"/>
          <w:szCs w:val="21"/>
          <w:highlight w:val="none"/>
          <w:u w:val="single"/>
          <w:lang w:val="en-US" w:eastAsia="zh-CN"/>
        </w:rPr>
        <w:t>3</w:t>
      </w:r>
      <w:r>
        <w:rPr>
          <w:rFonts w:hint="default" w:eastAsia="宋体" w:cs="宋体"/>
          <w:color w:val="auto"/>
          <w:szCs w:val="21"/>
          <w:highlight w:val="none"/>
          <w:u w:val="single"/>
          <w:lang w:val="en-US" w:eastAsia="zh-CN"/>
        </w:rPr>
        <w:t>其他投标人认为应该提供的资料。</w:t>
      </w:r>
    </w:p>
    <w:p>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11.2.</w:t>
      </w:r>
      <w:r>
        <w:rPr>
          <w:rFonts w:hint="eastAsia" w:cs="宋体"/>
          <w:color w:val="auto"/>
          <w:szCs w:val="21"/>
          <w:highlight w:val="none"/>
          <w:u w:val="single"/>
          <w:lang w:val="en-US" w:eastAsia="zh-CN"/>
        </w:rPr>
        <w:t>4</w:t>
      </w:r>
      <w:r>
        <w:rPr>
          <w:rFonts w:hint="eastAsia" w:cs="宋体"/>
          <w:color w:val="auto"/>
          <w:szCs w:val="21"/>
          <w:highlight w:val="none"/>
          <w:u w:val="single"/>
        </w:rPr>
        <w:t>企业资信证明资料（附有关证明材料扫描件</w:t>
      </w:r>
      <w:r>
        <w:rPr>
          <w:rFonts w:hint="eastAsia" w:cs="宋体"/>
          <w:color w:val="auto"/>
          <w:szCs w:val="21"/>
          <w:highlight w:val="none"/>
          <w:u w:val="single"/>
          <w:lang w:eastAsia="zh-CN"/>
        </w:rPr>
        <w:t>，</w:t>
      </w:r>
      <w:r>
        <w:rPr>
          <w:rFonts w:hint="eastAsia" w:cs="宋体"/>
          <w:color w:val="auto"/>
          <w:szCs w:val="21"/>
          <w:highlight w:val="none"/>
          <w:u w:val="single"/>
          <w:lang w:val="en-US" w:eastAsia="zh-CN"/>
        </w:rPr>
        <w:t>用于技术标评分的企业业绩、工程奖项</w:t>
      </w:r>
      <w:r>
        <w:rPr>
          <w:rFonts w:hint="eastAsia" w:cs="宋体"/>
          <w:color w:val="auto"/>
          <w:szCs w:val="21"/>
          <w:highlight w:val="none"/>
          <w:u w:val="single"/>
        </w:rPr>
        <w:t>》（</w:t>
      </w:r>
      <w:r>
        <w:rPr>
          <w:rFonts w:hint="eastAsia" w:cs="宋体"/>
          <w:color w:val="auto"/>
          <w:szCs w:val="21"/>
          <w:highlight w:val="none"/>
          <w:u w:val="single"/>
          <w:lang w:val="en-US" w:eastAsia="zh-CN"/>
        </w:rPr>
        <w:t>格式自拟</w:t>
      </w:r>
      <w:r>
        <w:rPr>
          <w:rFonts w:hint="eastAsia" w:cs="宋体"/>
          <w:color w:val="auto"/>
          <w:szCs w:val="21"/>
          <w:highlight w:val="none"/>
          <w:u w:val="single"/>
          <w:lang w:eastAsia="zh-CN"/>
        </w:rPr>
        <w:t>）</w:t>
      </w:r>
      <w:r>
        <w:rPr>
          <w:rFonts w:hint="eastAsia" w:cs="宋体"/>
          <w:color w:val="auto"/>
          <w:szCs w:val="21"/>
          <w:highlight w:val="none"/>
          <w:u w:val="single"/>
        </w:rPr>
        <w:t>。</w:t>
      </w:r>
    </w:p>
    <w:p>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11.2.</w:t>
      </w:r>
      <w:r>
        <w:rPr>
          <w:rFonts w:hint="eastAsia" w:cs="宋体"/>
          <w:color w:val="auto"/>
          <w:szCs w:val="21"/>
          <w:highlight w:val="none"/>
          <w:u w:val="single"/>
          <w:lang w:val="en-US" w:eastAsia="zh-CN"/>
        </w:rPr>
        <w:t>5项目管理机构能力</w:t>
      </w:r>
      <w:r>
        <w:rPr>
          <w:rFonts w:hint="eastAsia" w:cs="宋体"/>
          <w:color w:val="auto"/>
          <w:szCs w:val="21"/>
          <w:highlight w:val="none"/>
          <w:u w:val="single"/>
        </w:rPr>
        <w:t>。</w:t>
      </w:r>
    </w:p>
    <w:p>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（1）投标人应列出该项目工程的施工组织机构构成和画出机构框架图及其负责人；</w:t>
      </w:r>
    </w:p>
    <w:p>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（2）投标人应详细列出该施工组织机构中主要成员的名单、职务职称和在本项目中拟担任的职务等资料，并附上有关证明材料扫描件（</w:t>
      </w:r>
      <w:r>
        <w:rPr>
          <w:rFonts w:hint="default" w:eastAsia="宋体" w:cs="宋体"/>
          <w:color w:val="auto"/>
          <w:szCs w:val="21"/>
          <w:highlight w:val="none"/>
          <w:u w:val="single"/>
          <w:lang w:val="en-US" w:eastAsia="zh-CN"/>
        </w:rPr>
        <w:t>按招标文件的要求填写</w:t>
      </w:r>
      <w:r>
        <w:rPr>
          <w:rFonts w:hint="eastAsia" w:cs="宋体"/>
          <w:color w:val="auto"/>
          <w:szCs w:val="21"/>
          <w:highlight w:val="none"/>
          <w:u w:val="single"/>
          <w:lang w:eastAsia="zh-CN"/>
        </w:rPr>
        <w:t>）</w:t>
      </w:r>
      <w:r>
        <w:rPr>
          <w:rFonts w:hint="eastAsia" w:cs="宋体"/>
          <w:color w:val="auto"/>
          <w:szCs w:val="21"/>
          <w:highlight w:val="none"/>
          <w:u w:val="single"/>
        </w:rPr>
        <w:t>；</w:t>
      </w:r>
    </w:p>
    <w:p>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（3）其他辅助说明资料（若有）。</w:t>
      </w:r>
    </w:p>
    <w:p>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11.2.</w:t>
      </w:r>
      <w:r>
        <w:rPr>
          <w:rFonts w:hint="eastAsia" w:cs="宋体"/>
          <w:color w:val="auto"/>
          <w:szCs w:val="21"/>
          <w:highlight w:val="none"/>
          <w:u w:val="single"/>
          <w:lang w:val="en-US" w:eastAsia="zh-CN"/>
        </w:rPr>
        <w:t>6</w:t>
      </w:r>
      <w:r>
        <w:rPr>
          <w:rFonts w:hint="eastAsia" w:cs="宋体"/>
          <w:color w:val="auto"/>
          <w:szCs w:val="21"/>
          <w:highlight w:val="none"/>
          <w:u w:val="single"/>
        </w:rPr>
        <w:t>按照招标文件要求填写的《参与编制技术标投标文件人员名单》。（</w:t>
      </w:r>
      <w:r>
        <w:rPr>
          <w:rFonts w:hint="default" w:eastAsia="宋体" w:cs="宋体"/>
          <w:color w:val="auto"/>
          <w:szCs w:val="21"/>
          <w:highlight w:val="none"/>
          <w:u w:val="single"/>
          <w:lang w:val="en-US" w:eastAsia="zh-CN"/>
        </w:rPr>
        <w:t>按招标文件的要求填写</w:t>
      </w:r>
      <w:r>
        <w:rPr>
          <w:rFonts w:hint="eastAsia" w:cs="宋体"/>
          <w:color w:val="auto"/>
          <w:szCs w:val="21"/>
          <w:highlight w:val="none"/>
          <w:u w:val="single"/>
        </w:rPr>
        <w:t>）。</w:t>
      </w:r>
    </w:p>
    <w:p>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11.2.</w:t>
      </w:r>
      <w:r>
        <w:rPr>
          <w:rFonts w:hint="eastAsia" w:cs="宋体"/>
          <w:color w:val="auto"/>
          <w:szCs w:val="21"/>
          <w:highlight w:val="none"/>
          <w:u w:val="single"/>
          <w:lang w:val="en-US" w:eastAsia="zh-CN"/>
        </w:rPr>
        <w:t>7</w:t>
      </w:r>
      <w:r>
        <w:rPr>
          <w:rFonts w:hint="eastAsia" w:cs="宋体"/>
          <w:color w:val="auto"/>
          <w:szCs w:val="21"/>
          <w:highlight w:val="none"/>
          <w:u w:val="single"/>
        </w:rPr>
        <w:t>《投标函》（</w:t>
      </w:r>
      <w:r>
        <w:rPr>
          <w:rFonts w:hint="default" w:eastAsia="宋体" w:cs="宋体"/>
          <w:color w:val="auto"/>
          <w:szCs w:val="21"/>
          <w:highlight w:val="none"/>
          <w:u w:val="single"/>
          <w:lang w:val="en-US" w:eastAsia="zh-CN"/>
        </w:rPr>
        <w:t>按招标文件的要求填写</w:t>
      </w:r>
      <w:r>
        <w:rPr>
          <w:rFonts w:hint="eastAsia" w:cs="宋体"/>
          <w:color w:val="auto"/>
          <w:szCs w:val="21"/>
          <w:highlight w:val="none"/>
          <w:u w:val="single"/>
        </w:rPr>
        <w:t>）。</w:t>
      </w:r>
    </w:p>
    <w:p>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11.2.</w:t>
      </w:r>
      <w:r>
        <w:rPr>
          <w:rFonts w:hint="eastAsia" w:cs="宋体"/>
          <w:color w:val="auto"/>
          <w:szCs w:val="21"/>
          <w:highlight w:val="none"/>
          <w:u w:val="single"/>
          <w:lang w:val="en-US" w:eastAsia="zh-CN"/>
        </w:rPr>
        <w:t>8</w:t>
      </w:r>
      <w:r>
        <w:rPr>
          <w:rFonts w:hint="eastAsia" w:cs="宋体"/>
          <w:color w:val="auto"/>
          <w:szCs w:val="21"/>
          <w:highlight w:val="none"/>
          <w:u w:val="single"/>
        </w:rPr>
        <w:t>危险性较大的分部分项工程清单及超过一定规模的危险性较大的分部分项工程清单（</w:t>
      </w:r>
      <w:r>
        <w:rPr>
          <w:rFonts w:hint="default" w:eastAsia="宋体" w:cs="宋体"/>
          <w:color w:val="auto"/>
          <w:szCs w:val="21"/>
          <w:highlight w:val="none"/>
          <w:u w:val="single"/>
          <w:lang w:val="en-US" w:eastAsia="zh-CN"/>
        </w:rPr>
        <w:t>按招标文件的要求填写</w:t>
      </w:r>
      <w:r>
        <w:rPr>
          <w:rFonts w:hint="eastAsia" w:cs="宋体"/>
          <w:color w:val="auto"/>
          <w:szCs w:val="21"/>
          <w:highlight w:val="none"/>
          <w:u w:val="single"/>
        </w:rPr>
        <w:t>）。</w:t>
      </w:r>
    </w:p>
    <w:p>
      <w:pPr>
        <w:adjustRightInd w:val="0"/>
        <w:spacing w:line="360" w:lineRule="auto"/>
        <w:ind w:firstLine="409" w:firstLineChars="195"/>
        <w:textAlignment w:val="baseline"/>
        <w:rPr>
          <w:rFonts w:hint="eastAsia" w:cs="宋体"/>
          <w:color w:val="auto"/>
          <w:szCs w:val="21"/>
          <w:highlight w:val="none"/>
          <w:u w:val="single"/>
        </w:rPr>
      </w:pPr>
      <w:r>
        <w:rPr>
          <w:rFonts w:hint="eastAsia" w:cs="宋体"/>
          <w:color w:val="auto"/>
          <w:szCs w:val="21"/>
          <w:highlight w:val="none"/>
          <w:u w:val="single"/>
        </w:rPr>
        <w:t>11.2.</w:t>
      </w:r>
      <w:r>
        <w:rPr>
          <w:rFonts w:hint="eastAsia" w:cs="宋体"/>
          <w:color w:val="auto"/>
          <w:szCs w:val="21"/>
          <w:highlight w:val="none"/>
          <w:u w:val="single"/>
          <w:lang w:val="en-US" w:eastAsia="zh-CN"/>
        </w:rPr>
        <w:t>9</w:t>
      </w:r>
      <w:r>
        <w:rPr>
          <w:rFonts w:hint="eastAsia" w:cs="宋体"/>
          <w:color w:val="auto"/>
          <w:szCs w:val="21"/>
          <w:highlight w:val="none"/>
          <w:u w:val="single"/>
        </w:rPr>
        <w:t xml:space="preserve"> 施工组织设计或施工方案。</w:t>
      </w:r>
    </w:p>
    <w:p>
      <w:pPr>
        <w:adjustRightInd w:val="0"/>
        <w:spacing w:line="360" w:lineRule="auto"/>
        <w:ind w:firstLine="409" w:firstLineChars="195"/>
        <w:textAlignment w:val="baseline"/>
        <w:rPr>
          <w:rFonts w:hint="eastAsia" w:cs="宋体"/>
          <w:color w:val="auto"/>
          <w:szCs w:val="21"/>
          <w:highlight w:val="none"/>
          <w:u w:val="single"/>
        </w:rPr>
      </w:pPr>
      <w:r>
        <w:rPr>
          <w:rFonts w:hint="eastAsia" w:cs="宋体"/>
          <w:color w:val="auto"/>
          <w:szCs w:val="21"/>
          <w:highlight w:val="none"/>
          <w:u w:val="single"/>
        </w:rPr>
        <w:t>（1）</w:t>
      </w:r>
      <w:r>
        <w:rPr>
          <w:rFonts w:hint="eastAsia" w:cs="宋体"/>
          <w:b/>
          <w:bCs/>
          <w:color w:val="auto"/>
          <w:szCs w:val="21"/>
          <w:highlight w:val="none"/>
          <w:u w:val="single"/>
        </w:rPr>
        <w:t>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w:t>
      </w:r>
      <w:r>
        <w:rPr>
          <w:rFonts w:hint="eastAsia" w:cs="宋体"/>
          <w:b/>
          <w:bCs/>
          <w:color w:val="auto"/>
          <w:szCs w:val="21"/>
          <w:highlight w:val="none"/>
          <w:u w:val="single"/>
          <w:lang w:val="en-US" w:eastAsia="zh-CN"/>
        </w:rPr>
        <w:t>,</w:t>
      </w:r>
      <w:r>
        <w:rPr>
          <w:rFonts w:hint="eastAsia" w:cs="宋体"/>
          <w:b/>
          <w:bCs/>
          <w:color w:val="auto"/>
          <w:szCs w:val="21"/>
          <w:highlight w:val="none"/>
          <w:u w:val="single"/>
        </w:rPr>
        <w:t>超过部分不予评审。</w:t>
      </w:r>
    </w:p>
    <w:p>
      <w:pPr>
        <w:pBdr>
          <w:top w:val="single" w:color="auto" w:sz="4" w:space="0"/>
        </w:pBd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条款号：11.3                      修改类型：修改</w:t>
      </w:r>
    </w:p>
    <w:p>
      <w:pPr>
        <w:spacing w:line="360" w:lineRule="auto"/>
        <w:ind w:firstLine="411" w:firstLineChars="195"/>
        <w:rPr>
          <w:rFonts w:cs="宋体"/>
          <w:bCs/>
          <w:color w:val="auto"/>
          <w:szCs w:val="21"/>
          <w:highlight w:val="none"/>
        </w:rPr>
      </w:pPr>
      <w:r>
        <w:rPr>
          <w:rFonts w:hint="eastAsia" w:cs="宋体"/>
          <w:b/>
          <w:bCs/>
          <w:color w:val="auto"/>
          <w:szCs w:val="21"/>
          <w:highlight w:val="none"/>
        </w:rPr>
        <w:t>原文：</w:t>
      </w:r>
    </w:p>
    <w:p>
      <w:pPr>
        <w:spacing w:line="360" w:lineRule="auto"/>
        <w:ind w:firstLine="409" w:firstLineChars="195"/>
        <w:rPr>
          <w:rFonts w:cs="宋体"/>
          <w:bCs/>
          <w:color w:val="auto"/>
          <w:szCs w:val="21"/>
          <w:highlight w:val="none"/>
        </w:rPr>
      </w:pPr>
      <w:r>
        <w:rPr>
          <w:rFonts w:hint="eastAsia" w:cs="宋体"/>
          <w:bCs/>
          <w:color w:val="auto"/>
          <w:szCs w:val="21"/>
          <w:highlight w:val="none"/>
        </w:rPr>
        <w:t>11.3投标文件主要包括下列内容：</w:t>
      </w:r>
    </w:p>
    <w:p>
      <w:pPr>
        <w:spacing w:line="360" w:lineRule="auto"/>
        <w:ind w:firstLine="409" w:firstLineChars="195"/>
        <w:rPr>
          <w:rFonts w:cs="宋体"/>
          <w:color w:val="auto"/>
          <w:szCs w:val="21"/>
          <w:highlight w:val="none"/>
        </w:rPr>
      </w:pPr>
      <w:r>
        <w:rPr>
          <w:rFonts w:hint="eastAsia" w:cs="宋体"/>
          <w:color w:val="auto"/>
          <w:szCs w:val="21"/>
          <w:highlight w:val="none"/>
        </w:rPr>
        <w:t>11.3.1 经济投标文件(按招标文件的要求填写)。</w:t>
      </w:r>
    </w:p>
    <w:p>
      <w:pPr>
        <w:spacing w:line="360" w:lineRule="auto"/>
        <w:ind w:firstLine="409" w:firstLineChars="195"/>
        <w:rPr>
          <w:rFonts w:cs="宋体"/>
          <w:color w:val="auto"/>
          <w:szCs w:val="21"/>
          <w:highlight w:val="none"/>
        </w:rPr>
      </w:pPr>
      <w:r>
        <w:rPr>
          <w:rFonts w:hint="eastAsia"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09" w:firstLineChars="195"/>
        <w:rPr>
          <w:rFonts w:cs="宋体"/>
          <w:color w:val="auto"/>
          <w:szCs w:val="21"/>
          <w:highlight w:val="none"/>
        </w:rPr>
      </w:pPr>
      <w:r>
        <w:rPr>
          <w:rFonts w:hint="eastAsia" w:cs="宋体"/>
          <w:color w:val="auto"/>
          <w:szCs w:val="21"/>
          <w:highlight w:val="none"/>
        </w:rPr>
        <w:t>（1）投标总价封面、扉页；</w:t>
      </w:r>
    </w:p>
    <w:p>
      <w:pPr>
        <w:spacing w:line="360" w:lineRule="auto"/>
        <w:ind w:firstLine="409" w:firstLineChars="195"/>
        <w:rPr>
          <w:rFonts w:cs="宋体"/>
          <w:color w:val="auto"/>
          <w:szCs w:val="21"/>
          <w:highlight w:val="none"/>
        </w:rPr>
      </w:pPr>
      <w:r>
        <w:rPr>
          <w:rFonts w:hint="eastAsia" w:cs="宋体"/>
          <w:color w:val="auto"/>
          <w:szCs w:val="21"/>
          <w:highlight w:val="none"/>
        </w:rPr>
        <w:t>（2）总说明</w:t>
      </w:r>
    </w:p>
    <w:p>
      <w:pPr>
        <w:spacing w:line="360" w:lineRule="auto"/>
        <w:ind w:firstLine="409" w:firstLineChars="195"/>
        <w:rPr>
          <w:rFonts w:cs="宋体"/>
          <w:color w:val="auto"/>
          <w:szCs w:val="21"/>
          <w:highlight w:val="none"/>
        </w:rPr>
      </w:pPr>
      <w:r>
        <w:rPr>
          <w:rFonts w:hint="eastAsia" w:cs="宋体"/>
          <w:color w:val="auto"/>
          <w:szCs w:val="21"/>
          <w:highlight w:val="none"/>
        </w:rPr>
        <w:t>（3）工程项目投标报价汇总表；</w:t>
      </w:r>
    </w:p>
    <w:p>
      <w:pPr>
        <w:spacing w:line="360" w:lineRule="auto"/>
        <w:ind w:firstLine="409" w:firstLineChars="195"/>
        <w:rPr>
          <w:rFonts w:cs="宋体"/>
          <w:color w:val="auto"/>
          <w:szCs w:val="21"/>
          <w:highlight w:val="none"/>
        </w:rPr>
      </w:pPr>
      <w:r>
        <w:rPr>
          <w:rFonts w:hint="eastAsia" w:cs="宋体"/>
          <w:color w:val="auto"/>
          <w:szCs w:val="21"/>
          <w:highlight w:val="none"/>
        </w:rPr>
        <w:t>（4）单项工程投标报价汇总表；</w:t>
      </w:r>
    </w:p>
    <w:p>
      <w:pPr>
        <w:spacing w:line="360" w:lineRule="auto"/>
        <w:ind w:firstLine="409" w:firstLineChars="195"/>
        <w:rPr>
          <w:rFonts w:cs="宋体"/>
          <w:color w:val="auto"/>
          <w:szCs w:val="21"/>
          <w:highlight w:val="none"/>
        </w:rPr>
      </w:pPr>
      <w:r>
        <w:rPr>
          <w:rFonts w:hint="eastAsia" w:cs="宋体"/>
          <w:color w:val="auto"/>
          <w:szCs w:val="21"/>
          <w:highlight w:val="none"/>
        </w:rPr>
        <w:t>（5）单位工程投标报价汇总表；</w:t>
      </w:r>
    </w:p>
    <w:p>
      <w:pPr>
        <w:spacing w:line="360" w:lineRule="auto"/>
        <w:ind w:firstLine="409" w:firstLineChars="195"/>
        <w:rPr>
          <w:rFonts w:cs="宋体"/>
          <w:color w:val="auto"/>
          <w:szCs w:val="21"/>
          <w:highlight w:val="none"/>
        </w:rPr>
      </w:pPr>
      <w:r>
        <w:rPr>
          <w:rFonts w:hint="eastAsia" w:cs="宋体"/>
          <w:color w:val="auto"/>
          <w:szCs w:val="21"/>
          <w:highlight w:val="none"/>
        </w:rPr>
        <w:t>（6）分部分项工程清单与计价表；</w:t>
      </w:r>
    </w:p>
    <w:p>
      <w:pPr>
        <w:spacing w:line="360" w:lineRule="auto"/>
        <w:ind w:firstLine="409" w:firstLineChars="195"/>
        <w:rPr>
          <w:rFonts w:cs="宋体"/>
          <w:color w:val="auto"/>
          <w:szCs w:val="21"/>
          <w:highlight w:val="none"/>
        </w:rPr>
      </w:pPr>
      <w:r>
        <w:rPr>
          <w:rFonts w:hint="eastAsia" w:cs="宋体"/>
          <w:color w:val="auto"/>
          <w:szCs w:val="21"/>
          <w:highlight w:val="none"/>
        </w:rPr>
        <w:t>（7）单价措施项目清单与计价表；</w:t>
      </w:r>
    </w:p>
    <w:p>
      <w:pPr>
        <w:spacing w:line="360" w:lineRule="auto"/>
        <w:ind w:firstLine="409" w:firstLineChars="195"/>
        <w:rPr>
          <w:rFonts w:cs="宋体"/>
          <w:color w:val="auto"/>
          <w:szCs w:val="21"/>
          <w:highlight w:val="none"/>
        </w:rPr>
      </w:pPr>
      <w:r>
        <w:rPr>
          <w:rFonts w:hint="eastAsia" w:cs="宋体"/>
          <w:color w:val="auto"/>
          <w:szCs w:val="21"/>
          <w:highlight w:val="none"/>
        </w:rPr>
        <w:t>（8）总价措施项目清单与计价表；</w:t>
      </w:r>
    </w:p>
    <w:p>
      <w:pPr>
        <w:spacing w:line="360" w:lineRule="auto"/>
        <w:ind w:firstLine="409" w:firstLineChars="195"/>
        <w:rPr>
          <w:rFonts w:cs="宋体"/>
          <w:color w:val="auto"/>
          <w:szCs w:val="21"/>
          <w:highlight w:val="none"/>
        </w:rPr>
      </w:pPr>
      <w:r>
        <w:rPr>
          <w:rFonts w:hint="eastAsia" w:cs="宋体"/>
          <w:color w:val="auto"/>
          <w:szCs w:val="21"/>
          <w:highlight w:val="none"/>
        </w:rPr>
        <w:t>（9）综合单价分析表；</w:t>
      </w:r>
    </w:p>
    <w:p>
      <w:pPr>
        <w:spacing w:line="360" w:lineRule="auto"/>
        <w:ind w:firstLine="409" w:firstLineChars="195"/>
        <w:rPr>
          <w:rFonts w:cs="宋体"/>
          <w:color w:val="auto"/>
          <w:szCs w:val="21"/>
          <w:highlight w:val="none"/>
        </w:rPr>
      </w:pPr>
      <w:r>
        <w:rPr>
          <w:rFonts w:hint="eastAsia" w:cs="宋体"/>
          <w:color w:val="auto"/>
          <w:szCs w:val="21"/>
          <w:highlight w:val="none"/>
        </w:rPr>
        <w:t>（10）其他项目清单与计价汇总表；</w:t>
      </w:r>
    </w:p>
    <w:p>
      <w:pPr>
        <w:spacing w:line="360" w:lineRule="auto"/>
        <w:ind w:firstLine="409" w:firstLineChars="195"/>
        <w:rPr>
          <w:rFonts w:cs="宋体"/>
          <w:color w:val="auto"/>
          <w:szCs w:val="21"/>
          <w:highlight w:val="none"/>
        </w:rPr>
      </w:pPr>
      <w:r>
        <w:rPr>
          <w:rFonts w:hint="eastAsia" w:cs="宋体"/>
          <w:color w:val="auto"/>
          <w:szCs w:val="21"/>
          <w:highlight w:val="none"/>
        </w:rPr>
        <w:t>（11）暂列金额明细表；</w:t>
      </w:r>
    </w:p>
    <w:p>
      <w:pPr>
        <w:spacing w:line="360" w:lineRule="auto"/>
        <w:ind w:firstLine="409" w:firstLineChars="195"/>
        <w:rPr>
          <w:rFonts w:cs="宋体"/>
          <w:color w:val="auto"/>
          <w:szCs w:val="21"/>
          <w:highlight w:val="none"/>
        </w:rPr>
      </w:pPr>
      <w:r>
        <w:rPr>
          <w:rFonts w:hint="eastAsia" w:cs="宋体"/>
          <w:color w:val="auto"/>
          <w:szCs w:val="21"/>
          <w:highlight w:val="none"/>
        </w:rPr>
        <w:t>（12）材料（工程设备）暂估价明细表；</w:t>
      </w:r>
    </w:p>
    <w:p>
      <w:pPr>
        <w:spacing w:line="360" w:lineRule="auto"/>
        <w:ind w:firstLine="409" w:firstLineChars="195"/>
        <w:rPr>
          <w:rFonts w:cs="宋体"/>
          <w:color w:val="auto"/>
          <w:szCs w:val="21"/>
          <w:highlight w:val="none"/>
        </w:rPr>
      </w:pPr>
      <w:r>
        <w:rPr>
          <w:rFonts w:hint="eastAsia" w:cs="宋体"/>
          <w:color w:val="auto"/>
          <w:szCs w:val="21"/>
          <w:highlight w:val="none"/>
        </w:rPr>
        <w:t>（13）专业工程暂估价明细表；</w:t>
      </w:r>
    </w:p>
    <w:p>
      <w:pPr>
        <w:spacing w:line="360" w:lineRule="auto"/>
        <w:ind w:firstLine="409" w:firstLineChars="195"/>
        <w:rPr>
          <w:rFonts w:cs="宋体"/>
          <w:color w:val="auto"/>
          <w:szCs w:val="21"/>
          <w:highlight w:val="none"/>
        </w:rPr>
      </w:pPr>
      <w:r>
        <w:rPr>
          <w:rFonts w:hint="eastAsia" w:cs="宋体"/>
          <w:color w:val="auto"/>
          <w:szCs w:val="21"/>
          <w:highlight w:val="none"/>
        </w:rPr>
        <w:t>（14）计日工表；</w:t>
      </w:r>
    </w:p>
    <w:p>
      <w:pPr>
        <w:spacing w:line="360" w:lineRule="auto"/>
        <w:ind w:firstLine="409" w:firstLineChars="195"/>
        <w:rPr>
          <w:rFonts w:cs="宋体"/>
          <w:color w:val="auto"/>
          <w:szCs w:val="21"/>
          <w:highlight w:val="none"/>
        </w:rPr>
      </w:pPr>
      <w:r>
        <w:rPr>
          <w:rFonts w:hint="eastAsia" w:cs="宋体"/>
          <w:color w:val="auto"/>
          <w:szCs w:val="21"/>
          <w:highlight w:val="none"/>
        </w:rPr>
        <w:t>（15）总承包服务计价表；</w:t>
      </w:r>
    </w:p>
    <w:p>
      <w:pPr>
        <w:spacing w:line="360" w:lineRule="auto"/>
        <w:ind w:firstLine="409" w:firstLineChars="195"/>
        <w:rPr>
          <w:rFonts w:cs="宋体"/>
          <w:color w:val="auto"/>
          <w:szCs w:val="21"/>
          <w:highlight w:val="none"/>
        </w:rPr>
      </w:pPr>
      <w:r>
        <w:rPr>
          <w:rFonts w:hint="eastAsia" w:cs="宋体"/>
          <w:color w:val="auto"/>
          <w:szCs w:val="21"/>
          <w:highlight w:val="none"/>
        </w:rPr>
        <w:t>（16）规费和税金项目计价表；</w:t>
      </w:r>
    </w:p>
    <w:p>
      <w:pPr>
        <w:spacing w:line="360" w:lineRule="auto"/>
        <w:ind w:firstLine="409" w:firstLineChars="195"/>
        <w:rPr>
          <w:rFonts w:cs="宋体"/>
          <w:color w:val="auto"/>
          <w:szCs w:val="21"/>
          <w:highlight w:val="none"/>
        </w:rPr>
      </w:pPr>
      <w:r>
        <w:rPr>
          <w:rFonts w:hint="eastAsia" w:cs="宋体"/>
          <w:color w:val="auto"/>
          <w:szCs w:val="21"/>
          <w:highlight w:val="none"/>
        </w:rPr>
        <w:t>（17）人工、主要材料和设备一览表</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11.3.3按照</w:t>
      </w:r>
      <w:r>
        <w:rPr>
          <w:rFonts w:hint="eastAsia" w:cs="宋体"/>
          <w:bCs/>
          <w:color w:val="auto"/>
          <w:szCs w:val="21"/>
          <w:highlight w:val="none"/>
        </w:rPr>
        <w:t>招标文件要求</w:t>
      </w:r>
      <w:r>
        <w:rPr>
          <w:rFonts w:hint="eastAsia" w:cs="宋体"/>
          <w:color w:val="auto"/>
          <w:szCs w:val="21"/>
          <w:highlight w:val="none"/>
        </w:rPr>
        <w:t>填写的《参与编制经济标投标文件人员名单》。</w:t>
      </w:r>
    </w:p>
    <w:p>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现文：</w:t>
      </w:r>
    </w:p>
    <w:p>
      <w:pPr>
        <w:pBdr>
          <w:bottom w:val="single" w:color="auto" w:sz="6" w:space="1"/>
        </w:pBdr>
        <w:adjustRightInd w:val="0"/>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11.3 经济标投标文件主要包括下列内容：</w:t>
      </w:r>
    </w:p>
    <w:p>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11.3.1</w:t>
      </w:r>
      <w:r>
        <w:rPr>
          <w:rFonts w:hint="eastAsia" w:cs="宋体"/>
          <w:color w:val="auto"/>
          <w:szCs w:val="21"/>
          <w:highlight w:val="none"/>
          <w:u w:val="single"/>
        </w:rPr>
        <w:t>广州建设工程施工招标投标书(需按招标文件第四章要求的格式填写，具体格式以《广州建设工程施工招标投标书（经济标）》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企业定额、施工现场情况和投标时拟定的施工组织设计或者施工方案，结合企业成本、市场价格以及招标文件中载明的风险内容和范围等编制。其中包括如下：</w:t>
      </w:r>
    </w:p>
    <w:p>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（1）投标总价封面、扉页；</w:t>
      </w:r>
    </w:p>
    <w:p>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（2）总说明；</w:t>
      </w:r>
    </w:p>
    <w:p>
      <w:pPr>
        <w:pBdr>
          <w:bottom w:val="single" w:color="auto" w:sz="6" w:space="1"/>
        </w:pBdr>
        <w:adjustRightInd w:val="0"/>
        <w:spacing w:line="360" w:lineRule="auto"/>
        <w:ind w:firstLine="409" w:firstLineChars="195"/>
        <w:textAlignment w:val="baseline"/>
        <w:rPr>
          <w:rFonts w:cs="宋体"/>
          <w:b/>
          <w:color w:val="auto"/>
          <w:szCs w:val="21"/>
          <w:highlight w:val="none"/>
        </w:rPr>
      </w:pPr>
      <w:r>
        <w:rPr>
          <w:rFonts w:hint="eastAsia" w:cs="宋体"/>
          <w:color w:val="auto"/>
          <w:szCs w:val="21"/>
          <w:highlight w:val="none"/>
          <w:u w:val="single"/>
        </w:rPr>
        <w:t>（3）工程量清单报价表及综合单价分析表</w:t>
      </w:r>
      <w:r>
        <w:rPr>
          <w:rFonts w:hint="eastAsia" w:ascii="宋体" w:hAnsi="宋体" w:cs="宋体"/>
          <w:color w:val="auto"/>
          <w:szCs w:val="21"/>
          <w:highlight w:val="none"/>
          <w:u w:val="single"/>
        </w:rPr>
        <w:t>（投标报价的工程量清单的组成、格式等由广州公共资源交易中心的投标文件管理软件自动生成）</w:t>
      </w:r>
      <w:r>
        <w:rPr>
          <w:rFonts w:hint="eastAsia" w:cs="宋体"/>
          <w:color w:val="auto"/>
          <w:szCs w:val="21"/>
          <w:highlight w:val="none"/>
          <w:u w:val="single"/>
        </w:rPr>
        <w:t>；</w:t>
      </w:r>
    </w:p>
    <w:p>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u w:val="single"/>
        </w:rPr>
        <w:t>（4）其它辅助说明资料（包括但不限于招标文件要求填写的《对投标文件编制的承诺》（格式见第四章））</w:t>
      </w:r>
      <w:r>
        <w:rPr>
          <w:rFonts w:hint="eastAsia" w:cs="宋体"/>
          <w:color w:val="auto"/>
          <w:szCs w:val="21"/>
          <w:highlight w:val="none"/>
        </w:rPr>
        <w:t>。</w:t>
      </w:r>
    </w:p>
    <w:p>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11.3.3按照招标文件要求填写的《参与编制经济标投标文件人员名单》</w:t>
      </w:r>
      <w:r>
        <w:rPr>
          <w:rFonts w:hint="eastAsia" w:cs="宋体"/>
          <w:color w:val="auto"/>
          <w:szCs w:val="21"/>
          <w:highlight w:val="none"/>
          <w:u w:val="single"/>
        </w:rPr>
        <w:t>（格式见第四章）</w:t>
      </w:r>
      <w:r>
        <w:rPr>
          <w:rFonts w:hint="eastAsia" w:cs="宋体"/>
          <w:color w:val="auto"/>
          <w:szCs w:val="21"/>
          <w:highlight w:val="none"/>
        </w:rPr>
        <w:t>。</w:t>
      </w:r>
    </w:p>
    <w:p>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11.3.5投标人认为应提供的其他资料。</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条款号：12.2                        修改类型：修改</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cs="宋体"/>
          <w:color w:val="auto"/>
          <w:szCs w:val="21"/>
          <w:highlight w:val="none"/>
          <w:u w:val="single"/>
        </w:rPr>
        <w:t xml:space="preserve">             </w:t>
      </w:r>
      <w:r>
        <w:rPr>
          <w:rFonts w:hint="eastAsia" w:cs="宋体"/>
          <w:color w:val="auto"/>
          <w:szCs w:val="21"/>
          <w:highlight w:val="none"/>
        </w:rPr>
        <w:t>。注释：投标文件电子文档需要投标人单位盖章的材料，投标人加盖电子印章即可，不得将投标人未对电子文档加盖实物印章作为否决投标的情形。</w:t>
      </w:r>
    </w:p>
    <w:p>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12.2</w:t>
      </w:r>
      <w:r>
        <w:rPr>
          <w:rFonts w:hint="eastAsia" w:cs="宋体"/>
          <w:color w:val="auto"/>
          <w:szCs w:val="21"/>
          <w:highlight w:val="none"/>
          <w:u w:val="none"/>
        </w:rPr>
        <w:t>投标文件全部采用电子文档，投标文件所附证书证件均为原件清晰扫描件，并采用单位数字证书，按招标文件要求在相应位置加盖电子印章。投标文件中需个人签字或盖章的，应加盖个人电子印章或在线下完成后扫描上传。按照</w:t>
      </w:r>
      <w:r>
        <w:rPr>
          <w:rFonts w:hint="eastAsia" w:cs="宋体"/>
          <w:color w:val="auto"/>
          <w:szCs w:val="21"/>
          <w:highlight w:val="none"/>
          <w:u w:val="single"/>
        </w:rPr>
        <w:t>广州交易集团有限公司（广州公共资源交易中心）</w:t>
      </w:r>
      <w:r>
        <w:rPr>
          <w:rFonts w:hint="eastAsia" w:cs="宋体"/>
          <w:color w:val="auto"/>
          <w:szCs w:val="21"/>
          <w:highlight w:val="none"/>
          <w:u w:val="none"/>
        </w:rPr>
        <w:t>交易平台关于全流程电子化项目的相关指南进行操作。详见：</w:t>
      </w:r>
      <w:r>
        <w:rPr>
          <w:rFonts w:hint="eastAsia" w:cs="宋体"/>
          <w:color w:val="auto"/>
          <w:szCs w:val="21"/>
          <w:highlight w:val="none"/>
          <w:u w:val="single"/>
        </w:rPr>
        <w:t>广州交易集团有限公司（广州公共资源交易中心）</w:t>
      </w:r>
      <w:r>
        <w:rPr>
          <w:rFonts w:hint="eastAsia" w:cs="宋体"/>
          <w:color w:val="auto"/>
          <w:szCs w:val="21"/>
          <w:highlight w:val="none"/>
          <w:u w:val="none"/>
        </w:rPr>
        <w:t>网站最新指引。注释：投标文件电子文档需要投标人单位盖章的材料，投标人加盖电子印章即可，不得将投标人未对电子文档加盖实物印章作为否决投标的情形。</w:t>
      </w:r>
    </w:p>
    <w:p>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条款号：12.3                        修改类型：修改</w:t>
      </w:r>
    </w:p>
    <w:p>
      <w:pP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12.3投标文件应按照交易平台关于全流程电子化项目的相关指南进行编制，详见：。</w:t>
      </w:r>
    </w:p>
    <w:p>
      <w:pPr>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如不按上述要求编制引起系统无法检索、读取相关信息的，其后果由投标人承担。</w:t>
      </w:r>
    </w:p>
    <w:p>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12.3</w:t>
      </w:r>
      <w:r>
        <w:rPr>
          <w:rFonts w:hint="eastAsia" w:cs="宋体"/>
          <w:bCs/>
          <w:color w:val="auto"/>
          <w:szCs w:val="21"/>
          <w:highlight w:val="none"/>
        </w:rPr>
        <w:t>投标文件应按</w:t>
      </w:r>
      <w:r>
        <w:rPr>
          <w:rFonts w:hint="eastAsia" w:cs="宋体"/>
          <w:color w:val="auto"/>
          <w:szCs w:val="21"/>
          <w:highlight w:val="none"/>
        </w:rPr>
        <w:t>照</w:t>
      </w:r>
      <w:r>
        <w:rPr>
          <w:rFonts w:hint="eastAsia" w:cs="宋体"/>
          <w:color w:val="auto"/>
          <w:szCs w:val="21"/>
          <w:highlight w:val="none"/>
          <w:u w:val="single"/>
        </w:rPr>
        <w:t>广州交易集团有限公司（广州公共资源交易中心）交易平台</w:t>
      </w:r>
      <w:r>
        <w:rPr>
          <w:rFonts w:hint="eastAsia" w:cs="宋体"/>
          <w:color w:val="auto"/>
          <w:szCs w:val="21"/>
          <w:highlight w:val="none"/>
        </w:rPr>
        <w:t>关于全流程电子化项目的相关指南进行编制，详见：</w:t>
      </w:r>
      <w:r>
        <w:rPr>
          <w:rFonts w:hint="eastAsia" w:ascii="宋体" w:hAnsi="宋体" w:cs="宋体"/>
          <w:color w:val="auto"/>
          <w:szCs w:val="21"/>
          <w:highlight w:val="none"/>
          <w:u w:val="single"/>
        </w:rPr>
        <w:t>广州交易集团有限公司（广州公共资源交易中心）网站最新指引</w:t>
      </w:r>
      <w:r>
        <w:rPr>
          <w:rFonts w:hint="eastAsia" w:cs="宋体"/>
          <w:color w:val="auto"/>
          <w:szCs w:val="21"/>
          <w:highlight w:val="none"/>
        </w:rPr>
        <w:t>。</w:t>
      </w:r>
    </w:p>
    <w:p>
      <w:pPr>
        <w:pBdr>
          <w:bottom w:val="single" w:color="auto" w:sz="6" w:space="1"/>
        </w:pBdr>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如不按上述要求编制引起系统无法检索、读取相关信息的，其后果由投标人承担。</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条款号：13.1                        修改类型：修改</w:t>
      </w:r>
    </w:p>
    <w:p>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原文：</w:t>
      </w:r>
      <w:r>
        <w:rPr>
          <w:rFonts w:hint="eastAsia" w:cs="宋体"/>
          <w:color w:val="auto"/>
          <w:szCs w:val="21"/>
          <w:highlight w:val="none"/>
        </w:rPr>
        <w:t>13.1本工程的投标报价采用投标须知前附表第12项所规定的方式。投标报价（含单价及总价）精确到“分”。</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13.1本工程的投标报价采用投标须知前附表第12项所规定的方式。</w:t>
      </w:r>
      <w:r>
        <w:rPr>
          <w:rFonts w:hint="eastAsia" w:cs="宋体"/>
          <w:color w:val="auto"/>
          <w:szCs w:val="21"/>
          <w:highlight w:val="none"/>
          <w:u w:val="single"/>
        </w:rPr>
        <w:t>投标文件中的大写金额和小写金额不一致的，以大写金额为准。</w:t>
      </w:r>
      <w:r>
        <w:rPr>
          <w:rFonts w:hint="eastAsia" w:cs="宋体"/>
          <w:color w:val="auto"/>
          <w:szCs w:val="21"/>
          <w:highlight w:val="none"/>
        </w:rPr>
        <w:t>投标报价（含单价及总价）精确到“分”。</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条款号：13.3                        修改类型：修改</w:t>
      </w:r>
    </w:p>
    <w:p>
      <w:pPr>
        <w:spacing w:line="360" w:lineRule="auto"/>
        <w:ind w:firstLine="411" w:firstLineChars="195"/>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w:t>
      </w:r>
      <w:r>
        <w:rPr>
          <w:rFonts w:hint="eastAsia" w:cs="宋体"/>
          <w:color w:val="auto"/>
          <w:szCs w:val="21"/>
          <w:highlight w:val="none"/>
          <w:u w:val="single"/>
        </w:rPr>
        <w:t>（含招标的相关资料）</w:t>
      </w:r>
      <w:r>
        <w:rPr>
          <w:rFonts w:hint="eastAsia" w:cs="宋体"/>
          <w:color w:val="auto"/>
          <w:szCs w:val="21"/>
          <w:highlight w:val="none"/>
        </w:rPr>
        <w:t>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条款号：13.4                         修改类型：修改</w:t>
      </w:r>
    </w:p>
    <w:p>
      <w:pPr>
        <w:pStyle w:val="25"/>
        <w:spacing w:after="0" w:line="360" w:lineRule="auto"/>
        <w:ind w:firstLine="392"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13.4投标人一旦中标，投标人对招标人提供的招标工程量清单中列出的工程项目所报出的综合单价</w:t>
      </w:r>
      <w:r>
        <w:rPr>
          <w:rFonts w:hint="eastAsia" w:cs="宋体"/>
          <w:color w:val="auto"/>
          <w:szCs w:val="21"/>
          <w:highlight w:val="none"/>
          <w:u w:val="single"/>
        </w:rPr>
        <w:t>和措施项目费在工程结算时，按招标文件第三章合同条款相关约定调整。</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条款号：13.5                        修改类型：修改</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09" w:firstLineChars="195"/>
        <w:rPr>
          <w:rFonts w:cs="宋体"/>
          <w:color w:val="auto"/>
          <w:szCs w:val="21"/>
          <w:highlight w:val="none"/>
        </w:rPr>
      </w:pPr>
      <w:r>
        <w:rPr>
          <w:rFonts w:hint="eastAsia" w:cs="宋体"/>
          <w:color w:val="auto"/>
          <w:szCs w:val="21"/>
          <w:highlight w:val="none"/>
        </w:rPr>
        <w:t>13.5.1中标的投标文件工程量清单中已有相同项目的适用综合单价，则沿用；</w:t>
      </w:r>
    </w:p>
    <w:p>
      <w:pPr>
        <w:pBdr>
          <w:bottom w:val="single" w:color="auto" w:sz="6" w:space="1"/>
        </w:pBdr>
        <w:spacing w:line="360" w:lineRule="auto"/>
        <w:ind w:firstLine="409" w:firstLineChars="195"/>
        <w:rPr>
          <w:rFonts w:cs="宋体"/>
          <w:color w:val="auto"/>
          <w:szCs w:val="21"/>
          <w:highlight w:val="none"/>
        </w:rPr>
      </w:pPr>
      <w:r>
        <w:rPr>
          <w:rFonts w:hint="eastAsia"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09" w:firstLineChars="195"/>
        <w:rPr>
          <w:rFonts w:cs="宋体"/>
          <w:color w:val="auto"/>
          <w:szCs w:val="21"/>
          <w:highlight w:val="none"/>
        </w:rPr>
      </w:pPr>
      <w:r>
        <w:rPr>
          <w:rFonts w:hint="eastAsia" w:cs="宋体"/>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spacing w:line="360" w:lineRule="auto"/>
        <w:ind w:firstLine="409" w:firstLineChars="195"/>
        <w:rPr>
          <w:rFonts w:cs="宋体"/>
          <w:color w:val="auto"/>
          <w:szCs w:val="21"/>
          <w:highlight w:val="none"/>
          <w:u w:val="single"/>
        </w:rPr>
      </w:pPr>
      <w:r>
        <w:rPr>
          <w:rFonts w:hint="eastAsia" w:cs="宋体"/>
          <w:color w:val="auto"/>
          <w:szCs w:val="21"/>
          <w:highlight w:val="none"/>
        </w:rPr>
        <w:t>13.5.4 如相关定额没有相应子目的，其计价方式由招标人在本招标文件第三章中另行规定。未规定的，中标后双方协商约定。</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13.5</w:t>
      </w:r>
      <w:r>
        <w:rPr>
          <w:rFonts w:hint="eastAsia" w:cs="宋体"/>
          <w:color w:val="auto"/>
          <w:szCs w:val="21"/>
          <w:highlight w:val="none"/>
          <w:u w:val="single"/>
        </w:rPr>
        <w:t>工程项目实施期间和结算时，</w:t>
      </w:r>
      <w:r>
        <w:rPr>
          <w:rFonts w:hint="eastAsia" w:cs="宋体"/>
          <w:color w:val="auto"/>
          <w:szCs w:val="21"/>
          <w:highlight w:val="none"/>
          <w:u w:val="single"/>
          <w:lang w:val="en-US" w:eastAsia="zh-CN"/>
        </w:rPr>
        <w:t>新增项目的认定及其价格的确定</w:t>
      </w:r>
      <w:r>
        <w:rPr>
          <w:rFonts w:hint="eastAsia" w:cs="宋体"/>
          <w:color w:val="auto"/>
          <w:szCs w:val="21"/>
          <w:highlight w:val="none"/>
          <w:u w:val="single"/>
        </w:rPr>
        <w:t>按合同相关约定</w:t>
      </w:r>
      <w:r>
        <w:rPr>
          <w:rFonts w:hint="eastAsia" w:cs="宋体"/>
          <w:color w:val="auto"/>
          <w:szCs w:val="21"/>
          <w:highlight w:val="none"/>
          <w:u w:val="single"/>
          <w:lang w:val="en-US" w:eastAsia="zh-CN"/>
        </w:rPr>
        <w:t>执行</w:t>
      </w:r>
      <w:r>
        <w:rPr>
          <w:rFonts w:hint="eastAsia" w:cs="宋体"/>
          <w:color w:val="auto"/>
          <w:szCs w:val="21"/>
          <w:highlight w:val="none"/>
          <w:u w:val="single"/>
        </w:rPr>
        <w:t>。</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条款号：13.6.2                      修改类型：修改</w:t>
      </w:r>
    </w:p>
    <w:p>
      <w:pPr>
        <w:spacing w:line="360" w:lineRule="auto"/>
        <w:ind w:firstLine="411" w:firstLineChars="195"/>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13.6.2在工程实施中，暂列金额、暂估价所包含的工作范围和图纸、标准深化固定后，按照工程专业、设备、材料类别等分类汇总的金额，达到法定招标范围标准的</w:t>
      </w:r>
      <w:r>
        <w:rPr>
          <w:rFonts w:hint="eastAsia" w:cs="宋体"/>
          <w:color w:val="auto"/>
          <w:szCs w:val="21"/>
          <w:highlight w:val="none"/>
          <w:u w:val="single"/>
        </w:rPr>
        <w:t>应由招标人招标确定承包人和承包价格</w:t>
      </w:r>
      <w:r>
        <w:rPr>
          <w:rFonts w:hint="eastAsia" w:cs="宋体"/>
          <w:color w:val="auto"/>
          <w:szCs w:val="21"/>
          <w:highlight w:val="none"/>
        </w:rPr>
        <w:t>。</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条款号：13.6.4                      修改类型：修改</w:t>
      </w:r>
    </w:p>
    <w:p>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cs="宋体"/>
          <w:color w:val="auto"/>
          <w:szCs w:val="21"/>
          <w:highlight w:val="none"/>
          <w:u w:val="single"/>
        </w:rPr>
        <w:t>经发包人同意</w:t>
      </w:r>
      <w:r>
        <w:rPr>
          <w:rFonts w:hint="eastAsia" w:cs="宋体"/>
          <w:color w:val="auto"/>
          <w:szCs w:val="21"/>
          <w:highlight w:val="none"/>
          <w:u w:val="none"/>
        </w:rPr>
        <w:t>，承包人有法定的承包资格的，由承包人承包，承包人无法定的承包资格但有法定的分包权的，由承包人分包，招标人同承包人结算的价格按本投标须知13.5款规定确定。</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条款号：13.8                      修改类型：修改</w:t>
      </w:r>
    </w:p>
    <w:p>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25"/>
        <w:pBdr>
          <w:bottom w:val="single" w:color="auto" w:sz="6" w:space="1"/>
        </w:pBdr>
        <w:spacing w:after="0" w:line="360" w:lineRule="auto"/>
        <w:ind w:firstLine="392"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 w:val="21"/>
          <w:szCs w:val="21"/>
          <w:highlight w:val="none"/>
          <w:u w:val="single"/>
        </w:rPr>
        <w:t>13.8本工程采用的主要材料推荐选用《</w:t>
      </w:r>
      <w:r>
        <w:rPr>
          <w:rFonts w:hint="eastAsia" w:ascii="宋体" w:hAnsi="宋体" w:cs="宋体"/>
          <w:color w:val="auto"/>
          <w:sz w:val="21"/>
          <w:szCs w:val="21"/>
          <w:highlight w:val="none"/>
          <w:u w:val="single"/>
          <w:lang w:eastAsia="zh-CN"/>
        </w:rPr>
        <w:t>主要材料设备品牌推荐表</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另册</w:t>
      </w:r>
      <w:r>
        <w:rPr>
          <w:rFonts w:hint="eastAsia" w:ascii="宋体" w:hAnsi="宋体" w:cs="宋体"/>
          <w:color w:val="auto"/>
          <w:sz w:val="21"/>
          <w:szCs w:val="21"/>
          <w:highlight w:val="none"/>
          <w:u w:val="single"/>
        </w:rPr>
        <w:t>)品牌或选用相当于该档次（或以上）的产品。实施期间，所有材料品牌选择均须报发包人、监理工程师确认，所有材料及成品质量必须满足设计与规范要求，且经检验合格后方可使用。</w:t>
      </w:r>
    </w:p>
    <w:p>
      <w:pPr>
        <w:spacing w:line="360" w:lineRule="auto"/>
        <w:ind w:firstLine="422" w:firstLineChars="200"/>
        <w:rPr>
          <w:rFonts w:cs="宋体"/>
          <w:b/>
          <w:color w:val="auto"/>
          <w:szCs w:val="21"/>
          <w:highlight w:val="none"/>
        </w:rPr>
      </w:pPr>
      <w:r>
        <w:rPr>
          <w:rFonts w:hint="eastAsia" w:cs="宋体"/>
          <w:b/>
          <w:color w:val="auto"/>
          <w:szCs w:val="21"/>
          <w:highlight w:val="none"/>
        </w:rPr>
        <w:t>条款号：16.1-16.5                        修改类型：修改</w:t>
      </w:r>
    </w:p>
    <w:p>
      <w:pPr>
        <w:spacing w:line="360"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20" w:firstLineChars="200"/>
        <w:rPr>
          <w:rFonts w:cs="宋体"/>
          <w:color w:val="auto"/>
          <w:szCs w:val="21"/>
          <w:highlight w:val="none"/>
        </w:rPr>
      </w:pPr>
      <w:r>
        <w:rPr>
          <w:rFonts w:hint="eastAsia" w:cs="宋体"/>
          <w:color w:val="auto"/>
          <w:szCs w:val="21"/>
          <w:highlight w:val="none"/>
        </w:rPr>
        <w:t>16.1.1 采用现金或者支票形式提交的，投标保证金须从投标人的银行基本账户转出。</w:t>
      </w:r>
    </w:p>
    <w:p>
      <w:pPr>
        <w:spacing w:line="360" w:lineRule="auto"/>
        <w:ind w:firstLine="420" w:firstLineChars="200"/>
        <w:rPr>
          <w:rFonts w:cs="宋体"/>
          <w:color w:val="auto"/>
          <w:szCs w:val="21"/>
          <w:highlight w:val="none"/>
        </w:rPr>
      </w:pPr>
      <w:r>
        <w:rPr>
          <w:rFonts w:hint="eastAsia"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cs="宋体"/>
          <w:color w:val="auto"/>
          <w:szCs w:val="21"/>
          <w:highlight w:val="none"/>
        </w:rPr>
      </w:pPr>
      <w:r>
        <w:rPr>
          <w:rFonts w:hint="eastAsia" w:cs="宋体"/>
          <w:color w:val="auto"/>
          <w:szCs w:val="21"/>
          <w:highlight w:val="none"/>
        </w:rPr>
        <w:t>16.1.3 采用电子形式的保函、担保或保证保险提交投标保证金的，应在招标文件中明确电子递交途径。</w:t>
      </w:r>
    </w:p>
    <w:p>
      <w:pPr>
        <w:spacing w:line="360" w:lineRule="auto"/>
        <w:ind w:firstLine="420" w:firstLineChars="200"/>
        <w:rPr>
          <w:rFonts w:cs="宋体"/>
          <w:color w:val="auto"/>
          <w:szCs w:val="21"/>
          <w:highlight w:val="none"/>
        </w:rPr>
      </w:pPr>
      <w:r>
        <w:rPr>
          <w:rFonts w:hint="eastAsia"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cs="宋体"/>
          <w:color w:val="auto"/>
          <w:szCs w:val="21"/>
          <w:highlight w:val="none"/>
        </w:rPr>
      </w:pPr>
      <w:r>
        <w:rPr>
          <w:rFonts w:hint="eastAsia" w:cs="宋体"/>
          <w:color w:val="auto"/>
          <w:szCs w:val="21"/>
          <w:highlight w:val="none"/>
        </w:rPr>
        <w:t>16.3投标保证金应依据法律法规的相关规定退还。</w:t>
      </w:r>
    </w:p>
    <w:p>
      <w:pPr>
        <w:spacing w:line="360" w:lineRule="auto"/>
        <w:ind w:firstLine="420" w:firstLineChars="200"/>
        <w:rPr>
          <w:rFonts w:cs="宋体"/>
          <w:color w:val="auto"/>
          <w:szCs w:val="21"/>
          <w:highlight w:val="none"/>
        </w:rPr>
      </w:pPr>
      <w:r>
        <w:rPr>
          <w:rFonts w:hint="eastAsia" w:cs="宋体"/>
          <w:color w:val="auto"/>
          <w:szCs w:val="21"/>
          <w:highlight w:val="none"/>
        </w:rPr>
        <w:t>16.4如有下列情况之一的，招标人可以不予退还投标保证金（是否退还投标保证金由招标人在招标文件中规定）：</w:t>
      </w:r>
    </w:p>
    <w:p>
      <w:pPr>
        <w:spacing w:line="360" w:lineRule="auto"/>
        <w:ind w:firstLine="420" w:firstLineChars="200"/>
        <w:rPr>
          <w:rFonts w:cs="宋体"/>
          <w:color w:val="auto"/>
          <w:szCs w:val="21"/>
          <w:highlight w:val="none"/>
        </w:rPr>
      </w:pPr>
      <w:r>
        <w:rPr>
          <w:rFonts w:hint="eastAsia" w:cs="宋体"/>
          <w:color w:val="auto"/>
          <w:szCs w:val="21"/>
          <w:highlight w:val="none"/>
        </w:rPr>
        <w:t>16.4.1因投标人原因造成投标文件未解密的；</w:t>
      </w:r>
    </w:p>
    <w:p>
      <w:pPr>
        <w:spacing w:line="360" w:lineRule="auto"/>
        <w:ind w:firstLine="420" w:firstLineChars="200"/>
        <w:rPr>
          <w:rFonts w:cs="宋体"/>
          <w:color w:val="auto"/>
          <w:szCs w:val="21"/>
          <w:highlight w:val="none"/>
        </w:rPr>
      </w:pPr>
      <w:r>
        <w:rPr>
          <w:rFonts w:hint="eastAsia" w:cs="宋体"/>
          <w:color w:val="auto"/>
          <w:szCs w:val="21"/>
          <w:highlight w:val="none"/>
        </w:rPr>
        <w:t>16.4.2投标人在投标有效期内撤销投标文件；</w:t>
      </w:r>
    </w:p>
    <w:p>
      <w:pPr>
        <w:spacing w:line="360" w:lineRule="auto"/>
        <w:ind w:firstLine="420" w:firstLineChars="200"/>
        <w:rPr>
          <w:rFonts w:cs="宋体"/>
          <w:color w:val="auto"/>
          <w:szCs w:val="21"/>
          <w:highlight w:val="none"/>
        </w:rPr>
      </w:pPr>
      <w:r>
        <w:rPr>
          <w:rFonts w:hint="eastAsia" w:cs="宋体"/>
          <w:color w:val="auto"/>
          <w:szCs w:val="21"/>
          <w:highlight w:val="none"/>
        </w:rPr>
        <w:t>16.4.3中标人未能在规定期限内按要求提交履约担保；</w:t>
      </w:r>
    </w:p>
    <w:p>
      <w:pPr>
        <w:spacing w:line="360" w:lineRule="auto"/>
        <w:ind w:firstLine="420" w:firstLineChars="200"/>
        <w:rPr>
          <w:rFonts w:cs="宋体"/>
          <w:color w:val="auto"/>
          <w:szCs w:val="21"/>
          <w:highlight w:val="none"/>
        </w:rPr>
      </w:pPr>
      <w:r>
        <w:rPr>
          <w:rFonts w:hint="eastAsia" w:cs="宋体"/>
          <w:color w:val="auto"/>
          <w:szCs w:val="21"/>
          <w:highlight w:val="none"/>
        </w:rPr>
        <w:t>16.4.4中标人未能在规定期限内签署合同协议。</w:t>
      </w:r>
    </w:p>
    <w:p>
      <w:pPr>
        <w:spacing w:line="360" w:lineRule="auto"/>
        <w:ind w:firstLine="420" w:firstLineChars="200"/>
        <w:rPr>
          <w:rFonts w:cs="宋体"/>
          <w:color w:val="auto"/>
          <w:szCs w:val="21"/>
          <w:highlight w:val="none"/>
        </w:rPr>
      </w:pPr>
      <w:r>
        <w:rPr>
          <w:rFonts w:hint="eastAsia" w:cs="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cs="宋体"/>
          <w:color w:val="auto"/>
          <w:szCs w:val="21"/>
          <w:highlight w:val="none"/>
        </w:rPr>
      </w:pPr>
      <w:r>
        <w:rPr>
          <w:rFonts w:hint="eastAsia" w:cs="宋体"/>
          <w:color w:val="auto"/>
          <w:szCs w:val="21"/>
          <w:highlight w:val="none"/>
        </w:rPr>
        <w:t>16.5.1投标人存在16.4条款所列情形且投标人提交的保函、担保或保证保险无法兑付的；</w:t>
      </w:r>
    </w:p>
    <w:p>
      <w:pPr>
        <w:spacing w:line="360" w:lineRule="auto"/>
        <w:ind w:firstLine="420" w:firstLineChars="200"/>
        <w:rPr>
          <w:rFonts w:cs="宋体"/>
          <w:color w:val="auto"/>
          <w:szCs w:val="21"/>
          <w:highlight w:val="none"/>
        </w:rPr>
      </w:pPr>
      <w:r>
        <w:rPr>
          <w:rFonts w:hint="eastAsia" w:cs="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cs="宋体"/>
          <w:color w:val="auto"/>
          <w:szCs w:val="21"/>
          <w:highlight w:val="none"/>
        </w:rPr>
      </w:pPr>
      <w:r>
        <w:rPr>
          <w:rFonts w:hint="eastAsia" w:cs="宋体"/>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cs="宋体"/>
          <w:color w:val="auto"/>
          <w:szCs w:val="21"/>
          <w:highlight w:val="none"/>
        </w:rPr>
      </w:pPr>
      <w:r>
        <w:rPr>
          <w:rFonts w:hint="eastAsia" w:cs="宋体"/>
          <w:color w:val="auto"/>
          <w:szCs w:val="21"/>
          <w:highlight w:val="none"/>
        </w:rPr>
        <w:t>16.5.3按招标文件要求免于提供投标保证金的投标人存在16.4条款所列情形的。</w:t>
      </w:r>
    </w:p>
    <w:p>
      <w:pPr>
        <w:spacing w:line="360" w:lineRule="auto"/>
        <w:ind w:firstLine="420" w:firstLineChars="200"/>
        <w:rPr>
          <w:rFonts w:cs="宋体"/>
          <w:color w:val="auto"/>
          <w:szCs w:val="21"/>
          <w:highlight w:val="none"/>
        </w:rPr>
      </w:pPr>
      <w:r>
        <w:rPr>
          <w:rFonts w:hint="eastAsia" w:cs="宋体"/>
          <w:color w:val="auto"/>
          <w:szCs w:val="21"/>
          <w:highlight w:val="none"/>
        </w:rPr>
        <w:t>注：16.5.3款由招标人二选一，需在招标文件中明确。</w:t>
      </w:r>
    </w:p>
    <w:p>
      <w:pPr>
        <w:pStyle w:val="43"/>
        <w:spacing w:line="500" w:lineRule="exact"/>
        <w:ind w:firstLine="482"/>
        <w:rPr>
          <w:rFonts w:ascii="宋体" w:hAnsi="宋体"/>
          <w:b/>
          <w:bCs/>
          <w:color w:val="auto"/>
          <w:sz w:val="21"/>
          <w:szCs w:val="21"/>
          <w:highlight w:val="none"/>
        </w:rPr>
      </w:pPr>
      <w:r>
        <w:rPr>
          <w:rFonts w:hint="eastAsia" w:cs="宋体"/>
          <w:b/>
          <w:color w:val="auto"/>
          <w:sz w:val="21"/>
          <w:szCs w:val="21"/>
          <w:highlight w:val="none"/>
        </w:rPr>
        <w:t>现文：</w:t>
      </w:r>
      <w:r>
        <w:rPr>
          <w:rFonts w:hint="eastAsia" w:ascii="宋体" w:hAnsi="宋体"/>
          <w:color w:val="auto"/>
          <w:sz w:val="21"/>
          <w:szCs w:val="21"/>
          <w:highlight w:val="none"/>
        </w:rPr>
        <w:t>16.1投标人应按投标须知前附表第14项所述金额和时间递交投标保证金。</w:t>
      </w:r>
      <w:r>
        <w:rPr>
          <w:rFonts w:hint="eastAsia" w:ascii="宋体" w:hAnsi="宋体"/>
          <w:b w:val="0"/>
          <w:bCs w:val="0"/>
          <w:color w:val="auto"/>
          <w:sz w:val="21"/>
          <w:szCs w:val="21"/>
          <w:highlight w:val="none"/>
          <w:u w:val="single"/>
        </w:rPr>
        <w:t>允许投标人自主选择现金、银行保函、保证保险、专业工程担保公司担保等方式缴纳投标保证金。</w:t>
      </w:r>
    </w:p>
    <w:p>
      <w:pPr>
        <w:pStyle w:val="43"/>
        <w:spacing w:line="500" w:lineRule="exact"/>
        <w:ind w:firstLine="480"/>
        <w:rPr>
          <w:rFonts w:ascii="宋体" w:hAnsi="宋体"/>
          <w:bCs/>
          <w:color w:val="auto"/>
          <w:sz w:val="21"/>
          <w:szCs w:val="21"/>
          <w:highlight w:val="none"/>
          <w:u w:val="single"/>
        </w:rPr>
      </w:pPr>
      <w:r>
        <w:rPr>
          <w:rFonts w:hint="eastAsia" w:ascii="宋体" w:hAnsi="宋体"/>
          <w:bCs/>
          <w:color w:val="auto"/>
          <w:sz w:val="21"/>
          <w:szCs w:val="21"/>
          <w:highlight w:val="none"/>
        </w:rPr>
        <w:t>16.1.1 采用现金</w:t>
      </w:r>
      <w:r>
        <w:rPr>
          <w:rFonts w:hint="eastAsia" w:ascii="宋体" w:hAnsi="宋体"/>
          <w:b w:val="0"/>
          <w:bCs w:val="0"/>
          <w:color w:val="auto"/>
          <w:sz w:val="21"/>
          <w:szCs w:val="21"/>
          <w:highlight w:val="none"/>
        </w:rPr>
        <w:t>或者支票</w:t>
      </w:r>
      <w:r>
        <w:rPr>
          <w:rFonts w:hint="eastAsia" w:ascii="宋体" w:hAnsi="宋体"/>
          <w:bCs/>
          <w:color w:val="auto"/>
          <w:sz w:val="21"/>
          <w:szCs w:val="21"/>
          <w:highlight w:val="none"/>
        </w:rPr>
        <w:t>形式提交的，投标保证金须从投标人的银行基本账户转出。</w:t>
      </w:r>
      <w:r>
        <w:rPr>
          <w:rFonts w:hint="eastAsia" w:ascii="宋体" w:hAnsi="宋体"/>
          <w:bCs/>
          <w:color w:val="auto"/>
          <w:sz w:val="21"/>
          <w:szCs w:val="21"/>
          <w:highlight w:val="none"/>
          <w:u w:val="single"/>
        </w:rPr>
        <w:t>由广州公共资源交易中心代收。缴纳情况以开标时广州公共资源交易中心网站查询为准。具体操作流程详见广州公共资源交易中心最新的投标保证金缴纳操作指引或自行咨询交易中心。</w:t>
      </w:r>
    </w:p>
    <w:p>
      <w:pPr>
        <w:pStyle w:val="43"/>
        <w:spacing w:line="500" w:lineRule="exact"/>
        <w:ind w:firstLine="480"/>
        <w:rPr>
          <w:rFonts w:hint="eastAsia" w:ascii="宋体" w:hAnsi="宋体"/>
          <w:b/>
          <w:color w:val="auto"/>
          <w:sz w:val="21"/>
          <w:szCs w:val="21"/>
          <w:highlight w:val="none"/>
        </w:rPr>
      </w:pPr>
      <w:r>
        <w:rPr>
          <w:rFonts w:hint="eastAsia" w:ascii="宋体" w:hAnsi="宋体"/>
          <w:bCs/>
          <w:color w:val="auto"/>
          <w:sz w:val="21"/>
          <w:szCs w:val="21"/>
          <w:highlight w:val="none"/>
        </w:rPr>
        <w:t>16.1.2 依法必须招标的房屋建筑工程如采用非电子形式的</w:t>
      </w:r>
      <w:r>
        <w:rPr>
          <w:rFonts w:hint="eastAsia" w:ascii="宋体" w:hAnsi="宋体"/>
          <w:b w:val="0"/>
          <w:bCs w:val="0"/>
          <w:color w:val="auto"/>
          <w:sz w:val="21"/>
          <w:szCs w:val="21"/>
          <w:highlight w:val="none"/>
          <w:u w:val="single"/>
        </w:rPr>
        <w:t>银行保函、专业工程担保公司担保或保证保险</w:t>
      </w:r>
      <w:r>
        <w:rPr>
          <w:rFonts w:hint="eastAsia" w:ascii="宋体" w:hAnsi="宋体"/>
          <w:bCs/>
          <w:color w:val="auto"/>
          <w:sz w:val="21"/>
          <w:szCs w:val="21"/>
          <w:highlight w:val="none"/>
        </w:rPr>
        <w:t>提交投标保证金的，在开标前不强制要求投标人提交纸质原件，由中标候选人在中标候选人公示前提交并在网上公示，投标人应在投标文件中提交</w:t>
      </w:r>
      <w:r>
        <w:rPr>
          <w:rFonts w:hint="eastAsia" w:ascii="宋体" w:hAnsi="宋体"/>
          <w:b w:val="0"/>
          <w:bCs w:val="0"/>
          <w:color w:val="auto"/>
          <w:sz w:val="21"/>
          <w:szCs w:val="21"/>
          <w:highlight w:val="none"/>
          <w:u w:val="single"/>
        </w:rPr>
        <w:t>保函、担保或保证保险</w:t>
      </w:r>
      <w:r>
        <w:rPr>
          <w:rFonts w:hint="eastAsia" w:ascii="宋体" w:hAnsi="宋体"/>
          <w:bCs/>
          <w:color w:val="auto"/>
          <w:sz w:val="21"/>
          <w:szCs w:val="21"/>
          <w:highlight w:val="none"/>
        </w:rPr>
        <w:t>扫描件并加盖投标人电子印章。</w:t>
      </w:r>
      <w:r>
        <w:rPr>
          <w:rFonts w:hint="eastAsia" w:ascii="宋体" w:hAnsi="宋体"/>
          <w:b w:val="0"/>
          <w:bCs/>
          <w:color w:val="auto"/>
          <w:sz w:val="21"/>
          <w:szCs w:val="21"/>
          <w:highlight w:val="none"/>
        </w:rPr>
        <w:t>如投标人存在16.4条款所列情形的，应将纸质原件提交给招标人。</w:t>
      </w:r>
    </w:p>
    <w:p>
      <w:pPr>
        <w:pStyle w:val="43"/>
        <w:spacing w:line="500" w:lineRule="exact"/>
        <w:ind w:firstLine="480"/>
        <w:rPr>
          <w:rFonts w:hint="eastAsia" w:ascii="宋体" w:hAnsi="宋体"/>
          <w:b w:val="0"/>
          <w:bCs/>
          <w:color w:val="auto"/>
          <w:sz w:val="21"/>
          <w:szCs w:val="21"/>
          <w:highlight w:val="none"/>
        </w:rPr>
      </w:pPr>
      <w:r>
        <w:rPr>
          <w:rFonts w:hint="eastAsia" w:ascii="宋体" w:hAnsi="宋体"/>
          <w:b w:val="0"/>
          <w:bCs/>
          <w:color w:val="auto"/>
          <w:sz w:val="21"/>
          <w:szCs w:val="21"/>
          <w:highlight w:val="none"/>
        </w:rPr>
        <w:t>16.1.3 采用电子形式的保函、担保或保证保险提交投标保证金的，</w:t>
      </w:r>
      <w:r>
        <w:rPr>
          <w:rFonts w:hint="eastAsia" w:ascii="宋体" w:hAnsi="宋体"/>
          <w:b w:val="0"/>
          <w:bCs/>
          <w:color w:val="auto"/>
          <w:sz w:val="21"/>
          <w:szCs w:val="21"/>
          <w:highlight w:val="none"/>
          <w:u w:val="single"/>
        </w:rPr>
        <w:t>按广州公共资源交易中心发布的《广州公共资源交易中心关于开通电子保函服务功能的通知》操作。详见：</w:t>
      </w:r>
      <w:r>
        <w:rPr>
          <w:rFonts w:hint="eastAsia" w:ascii="宋体" w:hAnsi="宋体"/>
          <w:bCs/>
          <w:color w:val="auto"/>
          <w:szCs w:val="21"/>
          <w:highlight w:val="none"/>
          <w:u w:val="single"/>
        </w:rPr>
        <w:t>http://www.gzggzy.cn/jtgg/822128.jhtml</w:t>
      </w:r>
      <w:r>
        <w:rPr>
          <w:rFonts w:hint="eastAsia" w:ascii="宋体" w:hAnsi="宋体"/>
          <w:b w:val="0"/>
          <w:bCs/>
          <w:color w:val="auto"/>
          <w:sz w:val="21"/>
          <w:szCs w:val="21"/>
          <w:highlight w:val="none"/>
          <w:u w:val="single"/>
        </w:rPr>
        <w:t>。到账情况以开标时广州公共资源交易中心数据库查询信息为准</w:t>
      </w:r>
      <w:r>
        <w:rPr>
          <w:rFonts w:hint="eastAsia" w:ascii="宋体" w:hAnsi="宋体"/>
          <w:b w:val="0"/>
          <w:bCs/>
          <w:color w:val="auto"/>
          <w:sz w:val="21"/>
          <w:szCs w:val="21"/>
          <w:highlight w:val="none"/>
        </w:rPr>
        <w:t>。</w:t>
      </w:r>
    </w:p>
    <w:p>
      <w:pPr>
        <w:pStyle w:val="43"/>
        <w:spacing w:line="500" w:lineRule="exact"/>
        <w:ind w:firstLine="480"/>
        <w:rPr>
          <w:rFonts w:hint="eastAsia" w:ascii="宋体" w:hAnsi="宋体"/>
          <w:b/>
          <w:bCs/>
          <w:color w:val="auto"/>
          <w:sz w:val="21"/>
          <w:szCs w:val="21"/>
          <w:highlight w:val="none"/>
        </w:rPr>
      </w:pPr>
      <w:r>
        <w:rPr>
          <w:rFonts w:hint="eastAsia" w:ascii="宋体" w:hAnsi="宋体"/>
          <w:color w:val="auto"/>
          <w:sz w:val="21"/>
          <w:szCs w:val="21"/>
          <w:highlight w:val="none"/>
        </w:rPr>
        <w:t>16.2开标时投标人没有按要求提供投标保证金的，其投标文件将被否决</w:t>
      </w:r>
      <w:r>
        <w:rPr>
          <w:rFonts w:hint="eastAsia" w:ascii="宋体" w:hAnsi="宋体"/>
          <w:b w:val="0"/>
          <w:bCs w:val="0"/>
          <w:strike w:val="0"/>
          <w:dstrike w:val="0"/>
          <w:color w:val="auto"/>
          <w:sz w:val="21"/>
          <w:szCs w:val="21"/>
          <w:highlight w:val="none"/>
        </w:rPr>
        <w:t>；未按招标文件要求提交符合免予提供投标保证金相关证明材料，且未提交投标保证金的投标人，视为未按要求提供投标保证金</w:t>
      </w:r>
      <w:r>
        <w:rPr>
          <w:rFonts w:hint="eastAsia" w:ascii="宋体" w:hAnsi="宋体"/>
          <w:b/>
          <w:bCs/>
          <w:strike w:val="0"/>
          <w:color w:val="auto"/>
          <w:sz w:val="21"/>
          <w:szCs w:val="21"/>
          <w:highlight w:val="none"/>
        </w:rPr>
        <w:t>。</w:t>
      </w:r>
    </w:p>
    <w:p>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16.3投标保证金应依据法律法规的相关规定退还。</w:t>
      </w:r>
    </w:p>
    <w:p>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16.4如有下列情况之一的，招标人不予退还投标保证金：</w:t>
      </w:r>
    </w:p>
    <w:p>
      <w:pPr>
        <w:pBdr>
          <w:bottom w:val="single" w:color="auto" w:sz="6" w:space="22"/>
        </w:pBdr>
        <w:spacing w:line="360" w:lineRule="auto"/>
        <w:ind w:firstLine="420" w:firstLineChars="200"/>
        <w:rPr>
          <w:rFonts w:hint="eastAsia" w:eastAsia="宋体" w:cs="宋体"/>
          <w:color w:val="auto"/>
          <w:szCs w:val="21"/>
          <w:highlight w:val="none"/>
          <w:lang w:eastAsia="zh-CN"/>
        </w:rPr>
      </w:pPr>
      <w:r>
        <w:rPr>
          <w:rFonts w:hint="eastAsia" w:cs="宋体"/>
          <w:color w:val="auto"/>
          <w:szCs w:val="21"/>
          <w:highlight w:val="none"/>
        </w:rPr>
        <w:t>16.4.1</w:t>
      </w:r>
      <w:r>
        <w:rPr>
          <w:rFonts w:hint="eastAsia" w:cs="宋体"/>
          <w:color w:val="auto"/>
          <w:szCs w:val="21"/>
          <w:highlight w:val="none"/>
          <w:u w:val="none"/>
        </w:rPr>
        <w:t>因投标人原因造成投标文件未解密的</w:t>
      </w:r>
      <w:r>
        <w:rPr>
          <w:rFonts w:hint="eastAsia" w:cs="宋体"/>
          <w:color w:val="auto"/>
          <w:szCs w:val="21"/>
          <w:highlight w:val="none"/>
          <w:u w:val="none"/>
          <w:lang w:eastAsia="zh-CN"/>
        </w:rPr>
        <w:t>；</w:t>
      </w:r>
    </w:p>
    <w:p>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16.4.</w:t>
      </w:r>
      <w:r>
        <w:rPr>
          <w:rFonts w:hint="eastAsia" w:cs="宋体"/>
          <w:color w:val="auto"/>
          <w:szCs w:val="21"/>
          <w:highlight w:val="none"/>
          <w:lang w:val="en-US" w:eastAsia="zh-CN"/>
        </w:rPr>
        <w:t>2</w:t>
      </w:r>
      <w:r>
        <w:rPr>
          <w:rFonts w:hint="eastAsia" w:cs="宋体"/>
          <w:color w:val="auto"/>
          <w:szCs w:val="21"/>
          <w:highlight w:val="none"/>
          <w:u w:val="single"/>
        </w:rPr>
        <w:t>投标人在投标有效期内撤销投标文件或放弃中标资格的</w:t>
      </w:r>
      <w:r>
        <w:rPr>
          <w:rFonts w:hint="eastAsia" w:cs="宋体"/>
          <w:color w:val="auto"/>
          <w:szCs w:val="21"/>
          <w:highlight w:val="none"/>
        </w:rPr>
        <w:t>；</w:t>
      </w:r>
    </w:p>
    <w:p>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16.4.</w:t>
      </w:r>
      <w:r>
        <w:rPr>
          <w:rFonts w:hint="eastAsia" w:cs="宋体"/>
          <w:color w:val="auto"/>
          <w:szCs w:val="21"/>
          <w:highlight w:val="none"/>
          <w:lang w:val="en-US" w:eastAsia="zh-CN"/>
        </w:rPr>
        <w:t>3</w:t>
      </w:r>
      <w:r>
        <w:rPr>
          <w:rFonts w:hint="eastAsia" w:cs="宋体"/>
          <w:color w:val="auto"/>
          <w:szCs w:val="21"/>
          <w:highlight w:val="none"/>
          <w:u w:val="none"/>
        </w:rPr>
        <w:t>中标人未能在规定期限内按要求提交履约担保；</w:t>
      </w:r>
    </w:p>
    <w:p>
      <w:pPr>
        <w:pBdr>
          <w:bottom w:val="single" w:color="auto" w:sz="6" w:space="22"/>
        </w:pBdr>
        <w:spacing w:line="360" w:lineRule="auto"/>
        <w:ind w:firstLine="420" w:firstLineChars="200"/>
        <w:rPr>
          <w:rFonts w:hint="default" w:eastAsia="宋体" w:cs="宋体"/>
          <w:color w:val="auto"/>
          <w:szCs w:val="21"/>
          <w:highlight w:val="none"/>
          <w:u w:val="none"/>
          <w:lang w:val="en-US" w:eastAsia="zh-CN"/>
        </w:rPr>
      </w:pPr>
      <w:r>
        <w:rPr>
          <w:rFonts w:hint="eastAsia" w:cs="宋体"/>
          <w:color w:val="auto"/>
          <w:szCs w:val="21"/>
          <w:highlight w:val="none"/>
          <w:lang w:val="en-US" w:eastAsia="zh-CN"/>
        </w:rPr>
        <w:t>16.4.4</w:t>
      </w:r>
      <w:r>
        <w:rPr>
          <w:rFonts w:hint="eastAsia" w:cs="宋体"/>
          <w:color w:val="auto"/>
          <w:szCs w:val="21"/>
          <w:highlight w:val="none"/>
          <w:u w:val="none"/>
          <w:lang w:val="en-US" w:eastAsia="zh-CN"/>
        </w:rPr>
        <w:t>中标人未能在规定期限内签署合同协议</w:t>
      </w:r>
    </w:p>
    <w:p>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16.4.</w:t>
      </w:r>
      <w:r>
        <w:rPr>
          <w:rFonts w:hint="eastAsia" w:cs="宋体"/>
          <w:color w:val="auto"/>
          <w:szCs w:val="21"/>
          <w:highlight w:val="none"/>
          <w:lang w:val="en-US" w:eastAsia="zh-CN"/>
        </w:rPr>
        <w:t>5</w:t>
      </w:r>
      <w:r>
        <w:rPr>
          <w:rFonts w:hint="eastAsia" w:cs="宋体"/>
          <w:color w:val="auto"/>
          <w:szCs w:val="21"/>
          <w:highlight w:val="none"/>
          <w:u w:val="single"/>
        </w:rPr>
        <w:t>投标人弄虚作假骗取中标的</w:t>
      </w:r>
      <w:r>
        <w:rPr>
          <w:rFonts w:hint="eastAsia" w:cs="宋体"/>
          <w:color w:val="auto"/>
          <w:szCs w:val="21"/>
          <w:highlight w:val="none"/>
        </w:rPr>
        <w:t>。</w:t>
      </w:r>
    </w:p>
    <w:p>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16.5投标人如存在下列情况之一的，将被拒绝在1年内参与招标人后续工程投标：</w:t>
      </w:r>
    </w:p>
    <w:p>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16.5.1投标人存在16.4条款所列情形且投标人提交的保函、担保或保证保险无法兑付的；</w:t>
      </w:r>
    </w:p>
    <w:p>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条款号：17.1                        修改类型：修改</w:t>
      </w:r>
    </w:p>
    <w:p>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cs="宋体"/>
          <w:color w:val="auto"/>
          <w:szCs w:val="21"/>
          <w:highlight w:val="none"/>
          <w:u w:val="single"/>
        </w:rPr>
        <w:t xml:space="preserve">             </w:t>
      </w:r>
      <w:r>
        <w:rPr>
          <w:rFonts w:hint="eastAsia" w:cs="宋体"/>
          <w:color w:val="auto"/>
          <w:szCs w:val="21"/>
          <w:highlight w:val="none"/>
        </w:rPr>
        <w:t>。</w:t>
      </w:r>
    </w:p>
    <w:p>
      <w:pPr>
        <w:pBdr>
          <w:bottom w:val="single" w:color="auto" w:sz="6" w:space="1"/>
        </w:pBdr>
        <w:spacing w:line="360" w:lineRule="auto"/>
        <w:ind w:firstLine="411" w:firstLineChars="195"/>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17.1投标人应采用单位数字证书，按招标文件要求在相应位置加盖电子印章。投标文件中需个人签字或盖章的，应加盖个人电子印章或在线下完成后扫描上传。按照</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cs="宋体"/>
          <w:color w:val="auto"/>
          <w:szCs w:val="21"/>
          <w:highlight w:val="none"/>
        </w:rPr>
        <w:t>。</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条款号：18.1                        修改类型：修改</w:t>
      </w:r>
    </w:p>
    <w:p>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color w:val="auto"/>
          <w:szCs w:val="21"/>
          <w:highlight w:val="none"/>
        </w:rPr>
        <w:t>18.1</w:t>
      </w:r>
      <w:r>
        <w:rPr>
          <w:rFonts w:hint="eastAsia" w:cs="宋体"/>
          <w:bCs/>
          <w:color w:val="auto"/>
          <w:szCs w:val="21"/>
          <w:highlight w:val="none"/>
        </w:rPr>
        <w:t>递交的电子投标文件（不含备用光盘）必须进行加密。按照交易平台关于</w:t>
      </w:r>
      <w:r>
        <w:rPr>
          <w:rFonts w:hint="eastAsia" w:cs="宋体"/>
          <w:color w:val="auto"/>
          <w:szCs w:val="21"/>
          <w:highlight w:val="none"/>
        </w:rPr>
        <w:t>全流程电子化项目的相关指南进行操作。详见： 。</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18.1</w:t>
      </w:r>
      <w:r>
        <w:rPr>
          <w:rFonts w:hint="eastAsia" w:cs="宋体"/>
          <w:bCs/>
          <w:color w:val="auto"/>
          <w:szCs w:val="21"/>
          <w:highlight w:val="none"/>
        </w:rPr>
        <w:t>递交的电子投标文件（不含备用光盘）必须进行加密。按照</w:t>
      </w:r>
      <w:r>
        <w:rPr>
          <w:rFonts w:hint="eastAsia" w:cs="宋体"/>
          <w:color w:val="auto"/>
          <w:szCs w:val="21"/>
          <w:highlight w:val="none"/>
          <w:u w:val="single"/>
        </w:rPr>
        <w:t>广州交易集团有限公司（广州公共资源交易中心）</w:t>
      </w:r>
      <w:r>
        <w:rPr>
          <w:rFonts w:hint="eastAsia" w:cs="宋体"/>
          <w:bCs/>
          <w:color w:val="auto"/>
          <w:szCs w:val="21"/>
          <w:highlight w:val="none"/>
        </w:rPr>
        <w:t>交易平台关于</w:t>
      </w:r>
      <w:r>
        <w:rPr>
          <w:rFonts w:hint="eastAsia" w:cs="宋体"/>
          <w:color w:val="auto"/>
          <w:szCs w:val="21"/>
          <w:highlight w:val="none"/>
        </w:rPr>
        <w:t>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cs="宋体"/>
          <w:color w:val="auto"/>
          <w:szCs w:val="21"/>
          <w:highlight w:val="none"/>
        </w:rPr>
        <w:t>。</w:t>
      </w:r>
    </w:p>
    <w:p>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条款号：18.2                       修改类型：修改</w:t>
      </w:r>
    </w:p>
    <w:p>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18.2</w:t>
      </w:r>
      <w:r>
        <w:rPr>
          <w:rFonts w:hint="eastAsia" w:cs="宋体"/>
          <w:bCs/>
          <w:color w:val="auto"/>
          <w:szCs w:val="21"/>
          <w:highlight w:val="none"/>
        </w:rPr>
        <w:t>未按要求加密的投标文件，</w:t>
      </w:r>
      <w:r>
        <w:rPr>
          <w:rFonts w:hint="eastAsia" w:cs="宋体"/>
          <w:color w:val="auto"/>
          <w:szCs w:val="21"/>
          <w:highlight w:val="none"/>
        </w:rPr>
        <w:t>交易平台</w:t>
      </w:r>
      <w:r>
        <w:rPr>
          <w:rFonts w:hint="eastAsia" w:cs="宋体"/>
          <w:bCs/>
          <w:color w:val="auto"/>
          <w:szCs w:val="21"/>
          <w:highlight w:val="none"/>
        </w:rPr>
        <w:t>将予以拒收。</w:t>
      </w:r>
    </w:p>
    <w:p>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18.2</w:t>
      </w:r>
      <w:r>
        <w:rPr>
          <w:rFonts w:hint="eastAsia" w:cs="宋体"/>
          <w:bCs/>
          <w:color w:val="auto"/>
          <w:szCs w:val="21"/>
          <w:highlight w:val="none"/>
        </w:rPr>
        <w:t>未按要求加密的投标文件，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w:t>
      </w:r>
      <w:r>
        <w:rPr>
          <w:rFonts w:hint="eastAsia" w:cs="宋体"/>
          <w:bCs/>
          <w:color w:val="auto"/>
          <w:szCs w:val="21"/>
          <w:highlight w:val="none"/>
        </w:rPr>
        <w:t>将予以拒收。</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条款号：19                          修改类型：修改</w:t>
      </w:r>
    </w:p>
    <w:p>
      <w:pPr>
        <w:pBdr>
          <w:bottom w:val="single" w:color="auto" w:sz="6" w:space="1"/>
        </w:pBdr>
        <w:spacing w:line="360" w:lineRule="auto"/>
        <w:ind w:firstLine="411" w:firstLineChars="195"/>
        <w:rPr>
          <w:rFonts w:cs="宋体"/>
          <w:b w:val="0"/>
          <w:bCs/>
          <w:color w:val="auto"/>
          <w:szCs w:val="21"/>
          <w:highlight w:val="none"/>
        </w:rPr>
      </w:pPr>
      <w:r>
        <w:rPr>
          <w:rFonts w:hint="eastAsia" w:cs="宋体"/>
          <w:b/>
          <w:color w:val="auto"/>
          <w:szCs w:val="21"/>
          <w:highlight w:val="none"/>
        </w:rPr>
        <w:t>原文：</w:t>
      </w:r>
      <w:r>
        <w:rPr>
          <w:rFonts w:hint="eastAsia" w:cs="宋体"/>
          <w:b w:val="0"/>
          <w:bCs/>
          <w:color w:val="auto"/>
          <w:szCs w:val="21"/>
          <w:highlight w:val="none"/>
        </w:rPr>
        <w:t>19.投标文件的递交和接收</w:t>
      </w:r>
    </w:p>
    <w:p>
      <w:pPr>
        <w:pBdr>
          <w:bottom w:val="single" w:color="auto" w:sz="6" w:space="1"/>
        </w:pBdr>
        <w:spacing w:line="360" w:lineRule="auto"/>
        <w:ind w:firstLine="411" w:firstLineChars="195"/>
        <w:rPr>
          <w:rFonts w:cs="宋体"/>
          <w:b w:val="0"/>
          <w:bCs/>
          <w:color w:val="auto"/>
          <w:szCs w:val="21"/>
          <w:highlight w:val="none"/>
        </w:rPr>
      </w:pPr>
      <w:r>
        <w:rPr>
          <w:rFonts w:hint="eastAsia" w:cs="宋体"/>
          <w:b/>
          <w:color w:val="auto"/>
          <w:szCs w:val="21"/>
          <w:highlight w:val="none"/>
        </w:rPr>
        <w:t>现文：</w:t>
      </w:r>
      <w:r>
        <w:rPr>
          <w:rFonts w:hint="eastAsia" w:cs="宋体"/>
          <w:b w:val="0"/>
          <w:bCs/>
          <w:color w:val="auto"/>
          <w:szCs w:val="21"/>
          <w:highlight w:val="none"/>
        </w:rPr>
        <w:t>19.</w:t>
      </w:r>
      <w:r>
        <w:rPr>
          <w:rFonts w:hint="eastAsia" w:cs="宋体"/>
          <w:b w:val="0"/>
          <w:bCs/>
          <w:color w:val="auto"/>
          <w:szCs w:val="21"/>
          <w:highlight w:val="none"/>
          <w:u w:val="single"/>
        </w:rPr>
        <w:t>投标登记和</w:t>
      </w:r>
      <w:r>
        <w:rPr>
          <w:rFonts w:hint="eastAsia" w:cs="宋体"/>
          <w:b w:val="0"/>
          <w:bCs/>
          <w:color w:val="auto"/>
          <w:szCs w:val="21"/>
          <w:highlight w:val="none"/>
        </w:rPr>
        <w:t>投标文件的递交和接收</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条款号：19.1                        修改类型：修改</w:t>
      </w:r>
    </w:p>
    <w:p>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color w:val="auto"/>
          <w:szCs w:val="21"/>
          <w:highlight w:val="none"/>
        </w:rPr>
        <w:t>19.1</w:t>
      </w:r>
      <w:r>
        <w:rPr>
          <w:rFonts w:hint="eastAsia" w:cs="宋体"/>
          <w:bCs/>
          <w:color w:val="auto"/>
          <w:szCs w:val="21"/>
          <w:highlight w:val="none"/>
        </w:rPr>
        <w:t>投标人通过</w:t>
      </w:r>
      <w:r>
        <w:rPr>
          <w:rFonts w:hint="eastAsia" w:cs="宋体"/>
          <w:color w:val="auto"/>
          <w:szCs w:val="21"/>
          <w:highlight w:val="none"/>
        </w:rPr>
        <w:t>交易平台递交电子投标文件。</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19.1</w:t>
      </w:r>
      <w:r>
        <w:rPr>
          <w:rFonts w:hint="eastAsia" w:cs="宋体"/>
          <w:bCs/>
          <w:color w:val="auto"/>
          <w:szCs w:val="21"/>
          <w:highlight w:val="none"/>
        </w:rPr>
        <w:t>投标人通过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交易平台递交电子投标文件。</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条款号：19.2                       修改类型：修改</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19.2</w:t>
      </w:r>
      <w:r>
        <w:rPr>
          <w:rFonts w:hint="eastAsia" w:cs="宋体"/>
          <w:bCs/>
          <w:color w:val="auto"/>
          <w:szCs w:val="21"/>
          <w:highlight w:val="none"/>
        </w:rPr>
        <w:t>投标人完成电子</w:t>
      </w:r>
      <w:r>
        <w:rPr>
          <w:rFonts w:hint="eastAsia" w:cs="宋体"/>
          <w:color w:val="auto"/>
          <w:szCs w:val="21"/>
          <w:highlight w:val="none"/>
        </w:rPr>
        <w:t>投标文件</w:t>
      </w:r>
      <w:r>
        <w:rPr>
          <w:rFonts w:hint="eastAsia" w:cs="宋体"/>
          <w:bCs/>
          <w:color w:val="auto"/>
          <w:szCs w:val="21"/>
          <w:highlight w:val="none"/>
        </w:rPr>
        <w:t>上传后，</w:t>
      </w:r>
      <w:r>
        <w:rPr>
          <w:rFonts w:hint="eastAsia" w:cs="宋体"/>
          <w:color w:val="auto"/>
          <w:szCs w:val="21"/>
          <w:highlight w:val="none"/>
        </w:rPr>
        <w:t>交易平台即时向投标人发出递交回执通知。递交时间以递交回执通知载明的传输完成时间为准。</w:t>
      </w:r>
    </w:p>
    <w:p>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19.2</w:t>
      </w:r>
      <w:r>
        <w:rPr>
          <w:rFonts w:hint="eastAsia" w:cs="宋体"/>
          <w:bCs/>
          <w:color w:val="auto"/>
          <w:szCs w:val="21"/>
          <w:highlight w:val="none"/>
        </w:rPr>
        <w:t>投标人完成电子</w:t>
      </w:r>
      <w:r>
        <w:rPr>
          <w:rFonts w:hint="eastAsia" w:cs="宋体"/>
          <w:color w:val="auto"/>
          <w:szCs w:val="21"/>
          <w:highlight w:val="none"/>
        </w:rPr>
        <w:t>投标文件</w:t>
      </w:r>
      <w:r>
        <w:rPr>
          <w:rFonts w:hint="eastAsia" w:cs="宋体"/>
          <w:bCs/>
          <w:color w:val="auto"/>
          <w:szCs w:val="21"/>
          <w:highlight w:val="none"/>
        </w:rPr>
        <w:t>上传后，</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交易平台即时向投标人发出递交回执通知。递交时间以递交回执通知载明的传输完成时间为准。</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条款号：19.3                       修改类型：修改</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19.3</w:t>
      </w:r>
      <w:r>
        <w:rPr>
          <w:rFonts w:hint="eastAsia" w:cs="宋体"/>
          <w:bCs/>
          <w:color w:val="auto"/>
          <w:szCs w:val="21"/>
          <w:highlight w:val="none"/>
        </w:rPr>
        <w:t>逾期送达的电子投标文件，</w:t>
      </w:r>
      <w:r>
        <w:rPr>
          <w:rFonts w:hint="eastAsia" w:cs="宋体"/>
          <w:color w:val="auto"/>
          <w:szCs w:val="21"/>
          <w:highlight w:val="none"/>
        </w:rPr>
        <w:t>交易平台将予以拒收。</w:t>
      </w:r>
    </w:p>
    <w:p>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19.3</w:t>
      </w:r>
      <w:r>
        <w:rPr>
          <w:rFonts w:hint="eastAsia" w:cs="宋体"/>
          <w:bCs/>
          <w:color w:val="auto"/>
          <w:szCs w:val="21"/>
          <w:highlight w:val="none"/>
        </w:rPr>
        <w:t>逾期送达的电子投标文件，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交易平台将予以拒收。</w:t>
      </w:r>
    </w:p>
    <w:p>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条款号：19.5                       修改类型：修改</w:t>
      </w:r>
    </w:p>
    <w:p>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19.5如技术标和经济标先后分别开启，交易平台将按招标文件规定的时间分别开启技术标和经济标。</w:t>
      </w:r>
    </w:p>
    <w:p>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19.5</w:t>
      </w:r>
      <w:r>
        <w:rPr>
          <w:rFonts w:hint="eastAsia" w:cs="宋体"/>
          <w:color w:val="auto"/>
          <w:szCs w:val="21"/>
          <w:highlight w:val="none"/>
          <w:u w:val="single"/>
        </w:rPr>
        <w:t>广州交易集团有限公司（广州公共资源交易中心）交易平台将按招标文件规定的时间同时开启技术标（含资格审查文件）和经济标。</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条款号：19.6                       修改类型：删除</w:t>
      </w:r>
    </w:p>
    <w:p>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条款号：20.3                       修改类型：修改</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20.3到投标截止时间止，招标人收到的投标文件少于3家的，招标人将重新组织招标（当N个标段同时招标且不允许兼中时，若有效投标人不足N+2家，则重新组织招标）。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20.3</w:t>
      </w:r>
      <w:r>
        <w:rPr>
          <w:rFonts w:hint="eastAsia" w:cs="宋体"/>
          <w:color w:val="auto"/>
          <w:szCs w:val="21"/>
          <w:highlight w:val="none"/>
          <w:u w:val="single"/>
        </w:rPr>
        <w:t>到投标截止时间止，招标人收到的投标文件少于3家的，招标人将重新组织招标。</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条款号：21.1                       修改类型：修改</w:t>
      </w:r>
    </w:p>
    <w:p>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21.1本须知前附表第17项规定的投标截止时间</w:t>
      </w:r>
      <w:r>
        <w:rPr>
          <w:rFonts w:hint="eastAsia" w:cs="宋体"/>
          <w:bCs/>
          <w:color w:val="auto"/>
          <w:szCs w:val="21"/>
          <w:highlight w:val="none"/>
        </w:rPr>
        <w:t>后送达的电子投标文件，</w:t>
      </w:r>
      <w:r>
        <w:rPr>
          <w:rFonts w:hint="eastAsia" w:cs="宋体"/>
          <w:color w:val="auto"/>
          <w:szCs w:val="21"/>
          <w:highlight w:val="none"/>
        </w:rPr>
        <w:t>交易平台将予以拒收。</w:t>
      </w:r>
    </w:p>
    <w:p>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21.1本须知前附表第17项规定的投标截止时间</w:t>
      </w:r>
      <w:r>
        <w:rPr>
          <w:rFonts w:hint="eastAsia" w:cs="宋体"/>
          <w:bCs/>
          <w:color w:val="auto"/>
          <w:szCs w:val="21"/>
          <w:highlight w:val="none"/>
        </w:rPr>
        <w:t>后送达的电子投标文件，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交易平台将予以拒收。</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条款号：27.1                        修改类型：修改</w:t>
      </w:r>
    </w:p>
    <w:p>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27.1招标人将在交易平台、广东省招标投标监管网和中国招标投标公共服务平台公示中标候选人，公示期为三天。</w:t>
      </w:r>
    </w:p>
    <w:p>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27.1招标人将在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交易平台、广东省招标投标监管网和中国招标投标公共服务平台公示中标候选人，公示期为三天。</w:t>
      </w:r>
      <w:r>
        <w:rPr>
          <w:rFonts w:hint="eastAsia" w:cs="宋体"/>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条款号：27.4                        修改类型：修改</w:t>
      </w:r>
    </w:p>
    <w:p>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27.4在产生中标候选人后，招标人将中标候选人的投标文件商务部分文件的所有内容（包括人员、业绩、奖项等资料）在交易平台和广东省招标投标监管网公开。</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27.4在产生中标候选人后，招标人将中标候选人的投标文件商务部分文件的所有内容（</w:t>
      </w:r>
      <w:r>
        <w:rPr>
          <w:rFonts w:hint="eastAsia" w:cs="宋体"/>
          <w:color w:val="auto"/>
          <w:szCs w:val="21"/>
          <w:highlight w:val="none"/>
          <w:u w:val="none"/>
        </w:rPr>
        <w:t>包括人员、业绩、奖项等资料</w:t>
      </w:r>
      <w:r>
        <w:rPr>
          <w:rFonts w:hint="eastAsia" w:cs="宋体"/>
          <w:color w:val="auto"/>
          <w:szCs w:val="21"/>
          <w:highlight w:val="none"/>
        </w:rPr>
        <w:t>）在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交易平台和广东省招标投标监管网公开。</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条款号：29.</w:t>
      </w:r>
      <w:r>
        <w:rPr>
          <w:rFonts w:cs="宋体"/>
          <w:b/>
          <w:color w:val="auto"/>
          <w:szCs w:val="21"/>
          <w:highlight w:val="none"/>
        </w:rPr>
        <w:t>1</w:t>
      </w:r>
      <w:r>
        <w:rPr>
          <w:rFonts w:hint="eastAsia" w:cs="宋体"/>
          <w:b/>
          <w:color w:val="auto"/>
          <w:szCs w:val="21"/>
          <w:highlight w:val="none"/>
        </w:rPr>
        <w:t xml:space="preserve">                        修改类型：修改</w:t>
      </w:r>
    </w:p>
    <w:p>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29.</w:t>
      </w:r>
      <w:r>
        <w:rPr>
          <w:rFonts w:cs="宋体"/>
          <w:color w:val="auto"/>
          <w:szCs w:val="21"/>
          <w:highlight w:val="none"/>
        </w:rPr>
        <w:t>1</w:t>
      </w:r>
      <w:r>
        <w:rPr>
          <w:rFonts w:hint="eastAsia" w:cs="宋体"/>
          <w:color w:val="auto"/>
          <w:szCs w:val="21"/>
          <w:highlight w:val="none"/>
        </w:rPr>
        <w:t>在收到中标通知书后的</w:t>
      </w:r>
      <w:r>
        <w:rPr>
          <w:rFonts w:cs="宋体"/>
          <w:color w:val="auto"/>
          <w:szCs w:val="21"/>
          <w:highlight w:val="none"/>
        </w:rPr>
        <w:t>15</w:t>
      </w:r>
      <w:r>
        <w:rPr>
          <w:rFonts w:hint="eastAsia" w:cs="宋体"/>
          <w:color w:val="auto"/>
          <w:szCs w:val="21"/>
          <w:highlight w:val="none"/>
        </w:rPr>
        <w:t>日内，中标人应按本须知前附表第</w:t>
      </w:r>
      <w:r>
        <w:rPr>
          <w:rFonts w:cs="宋体"/>
          <w:color w:val="auto"/>
          <w:szCs w:val="21"/>
          <w:highlight w:val="none"/>
        </w:rPr>
        <w:t>2</w:t>
      </w:r>
      <w:r>
        <w:rPr>
          <w:rFonts w:hint="eastAsia" w:cs="宋体"/>
          <w:color w:val="auto"/>
          <w:szCs w:val="21"/>
          <w:highlight w:val="none"/>
        </w:rPr>
        <w:t>0项的规定向招标人提交履约担保；如果中标人的履约担保是以银行保函的形式提供，则该银行保函应由在中国注册且营业地点在广州行政辖区内的银行开具。</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：29.</w:t>
      </w:r>
      <w:r>
        <w:rPr>
          <w:rFonts w:cs="宋体"/>
          <w:color w:val="auto"/>
          <w:szCs w:val="21"/>
          <w:highlight w:val="none"/>
        </w:rPr>
        <w:t>1</w:t>
      </w:r>
      <w:r>
        <w:rPr>
          <w:rFonts w:hint="eastAsia" w:cs="宋体"/>
          <w:color w:val="auto"/>
          <w:szCs w:val="21"/>
          <w:highlight w:val="none"/>
          <w:u w:val="single"/>
        </w:rPr>
        <w:t>合同正式签订</w:t>
      </w:r>
      <w:r>
        <w:rPr>
          <w:rFonts w:hint="eastAsia" w:cs="宋体"/>
          <w:color w:val="auto"/>
          <w:szCs w:val="21"/>
          <w:highlight w:val="none"/>
          <w:u w:val="single"/>
          <w:lang w:val="en-US" w:eastAsia="zh-CN"/>
        </w:rPr>
        <w:t>后，在招标人要求的时间内</w:t>
      </w:r>
      <w:r>
        <w:rPr>
          <w:rFonts w:hint="eastAsia" w:cs="宋体"/>
          <w:color w:val="auto"/>
          <w:szCs w:val="21"/>
          <w:highlight w:val="none"/>
        </w:rPr>
        <w:t>，中标人应按本须知前附表第</w:t>
      </w:r>
      <w:r>
        <w:rPr>
          <w:rFonts w:cs="宋体"/>
          <w:color w:val="auto"/>
          <w:szCs w:val="21"/>
          <w:highlight w:val="none"/>
        </w:rPr>
        <w:t>2</w:t>
      </w:r>
      <w:r>
        <w:rPr>
          <w:rFonts w:hint="eastAsia" w:cs="宋体"/>
          <w:color w:val="auto"/>
          <w:szCs w:val="21"/>
          <w:highlight w:val="none"/>
        </w:rPr>
        <w:t>0项的规定向招标人提交</w:t>
      </w:r>
      <w:r>
        <w:rPr>
          <w:rFonts w:hint="eastAsia" w:cs="宋体"/>
          <w:color w:val="auto"/>
          <w:szCs w:val="21"/>
          <w:highlight w:val="none"/>
          <w:u w:val="single"/>
        </w:rPr>
        <w:t>由银行开具的无条件不可撤销的</w:t>
      </w:r>
      <w:r>
        <w:rPr>
          <w:rFonts w:hint="eastAsia" w:cs="宋体"/>
          <w:color w:val="auto"/>
          <w:szCs w:val="21"/>
          <w:highlight w:val="none"/>
        </w:rPr>
        <w:t>履约担保；如果中标人的履约担保是以银行保函的形式提供，则该银行保函应由在中国注册且营业的</w:t>
      </w:r>
      <w:r>
        <w:rPr>
          <w:rFonts w:hint="eastAsia" w:cs="宋体"/>
          <w:color w:val="auto"/>
          <w:szCs w:val="21"/>
          <w:highlight w:val="none"/>
          <w:u w:val="single"/>
        </w:rPr>
        <w:t>分行级别或以上</w:t>
      </w:r>
      <w:r>
        <w:rPr>
          <w:rFonts w:hint="eastAsia" w:cs="宋体"/>
          <w:color w:val="auto"/>
          <w:szCs w:val="21"/>
          <w:highlight w:val="none"/>
        </w:rPr>
        <w:t>的银行开具。</w:t>
      </w:r>
    </w:p>
    <w:p>
      <w:pPr>
        <w:spacing w:line="360" w:lineRule="auto"/>
        <w:ind w:firstLine="411" w:firstLineChars="195"/>
        <w:rPr>
          <w:rFonts w:cs="宋体"/>
          <w:b/>
          <w:color w:val="auto"/>
          <w:szCs w:val="21"/>
          <w:highlight w:val="none"/>
        </w:rPr>
      </w:pPr>
      <w:r>
        <w:rPr>
          <w:rFonts w:hint="eastAsia" w:cs="宋体"/>
          <w:b/>
          <w:color w:val="auto"/>
          <w:szCs w:val="21"/>
          <w:highlight w:val="none"/>
        </w:rPr>
        <w:t>条款号：29.2                        修改类型：修改</w:t>
      </w:r>
    </w:p>
    <w:p>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：29.2</w:t>
      </w:r>
      <w:r>
        <w:rPr>
          <w:rFonts w:hint="eastAsia" w:cs="宋体"/>
          <w:color w:val="auto"/>
          <w:szCs w:val="21"/>
          <w:highlight w:val="none"/>
          <w:u w:val="single"/>
        </w:rPr>
        <w:t>合同正式签订</w:t>
      </w:r>
      <w:r>
        <w:rPr>
          <w:rFonts w:hint="eastAsia" w:cs="宋体"/>
          <w:color w:val="auto"/>
          <w:szCs w:val="21"/>
          <w:highlight w:val="none"/>
          <w:u w:val="single"/>
          <w:lang w:val="en-US" w:eastAsia="zh-CN"/>
        </w:rPr>
        <w:t>后</w:t>
      </w:r>
      <w:r>
        <w:rPr>
          <w:rFonts w:hint="eastAsia" w:cs="宋体"/>
          <w:color w:val="auto"/>
          <w:szCs w:val="21"/>
          <w:highlight w:val="none"/>
        </w:rPr>
        <w:t>，</w:t>
      </w:r>
      <w:r>
        <w:rPr>
          <w:rFonts w:hint="eastAsia" w:cs="宋体"/>
          <w:color w:val="auto"/>
          <w:szCs w:val="21"/>
          <w:highlight w:val="none"/>
          <w:u w:val="single"/>
          <w:lang w:val="en-US" w:eastAsia="zh-CN"/>
        </w:rPr>
        <w:t>在招标人要求的时间内</w:t>
      </w:r>
      <w:r>
        <w:rPr>
          <w:rFonts w:hint="eastAsia" w:cs="宋体"/>
          <w:color w:val="auto"/>
          <w:szCs w:val="21"/>
          <w:highlight w:val="none"/>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11" w:firstLineChars="195"/>
        <w:rPr>
          <w:rFonts w:cs="宋体"/>
          <w:b/>
          <w:bCs/>
          <w:color w:val="auto"/>
          <w:szCs w:val="21"/>
          <w:highlight w:val="none"/>
        </w:rPr>
      </w:pPr>
      <w:r>
        <w:rPr>
          <w:rFonts w:hint="eastAsia" w:cs="宋体"/>
          <w:b/>
          <w:bCs/>
          <w:color w:val="auto"/>
          <w:szCs w:val="21"/>
          <w:highlight w:val="none"/>
        </w:rPr>
        <w:t>条款号：31                          修改类型：修改</w:t>
      </w:r>
    </w:p>
    <w:p>
      <w:pPr>
        <w:pBdr>
          <w:bottom w:val="single" w:color="auto" w:sz="6" w:space="1"/>
        </w:pBdr>
        <w:spacing w:line="360" w:lineRule="auto"/>
        <w:ind w:firstLine="411" w:firstLineChars="195"/>
        <w:rPr>
          <w:rFonts w:cs="宋体"/>
          <w:b/>
          <w:bCs/>
          <w:color w:val="auto"/>
          <w:szCs w:val="21"/>
          <w:highlight w:val="none"/>
        </w:rPr>
      </w:pPr>
      <w:r>
        <w:rPr>
          <w:rFonts w:hint="eastAsia" w:cs="宋体"/>
          <w:b/>
          <w:bCs/>
          <w:color w:val="auto"/>
          <w:szCs w:val="21"/>
          <w:highlight w:val="none"/>
        </w:rPr>
        <w:t>原文：31.其它费用</w:t>
      </w:r>
    </w:p>
    <w:p>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w:t>
      </w:r>
      <w:r>
        <w:rPr>
          <w:rFonts w:hint="eastAsia" w:cs="宋体"/>
          <w:b/>
          <w:color w:val="auto"/>
          <w:szCs w:val="21"/>
          <w:highlight w:val="none"/>
        </w:rPr>
        <w:t>31.</w:t>
      </w:r>
      <w:r>
        <w:rPr>
          <w:rFonts w:hint="eastAsia" w:cs="宋体"/>
          <w:b/>
          <w:bCs/>
          <w:color w:val="auto"/>
          <w:szCs w:val="21"/>
          <w:highlight w:val="none"/>
        </w:rPr>
        <w:t>其它费用</w:t>
      </w:r>
    </w:p>
    <w:p>
      <w:pPr>
        <w:pBdr>
          <w:bottom w:val="single" w:color="auto" w:sz="6" w:space="1"/>
        </w:pBd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lang w:val="en-US" w:eastAsia="zh-CN"/>
        </w:rPr>
        <w:t>31.1</w:t>
      </w:r>
      <w:r>
        <w:rPr>
          <w:rFonts w:hint="eastAsia" w:cs="宋体"/>
          <w:color w:val="auto"/>
          <w:szCs w:val="21"/>
          <w:highlight w:val="none"/>
          <w:u w:val="single"/>
        </w:rPr>
        <w:t>中标人代缴广州公共资源交易中心的交易服务费，其费用包含在中标人投标报价中，交易中心向中标人开具增值税发票。</w:t>
      </w:r>
    </w:p>
    <w:p>
      <w:pPr>
        <w:pBdr>
          <w:bottom w:val="single" w:color="auto" w:sz="6" w:space="1"/>
        </w:pBdr>
        <w:spacing w:line="360" w:lineRule="auto"/>
        <w:ind w:firstLine="409" w:firstLineChars="195"/>
        <w:rPr>
          <w:rFonts w:hint="eastAsia" w:eastAsia="宋体" w:cs="宋体"/>
          <w:color w:val="auto"/>
          <w:szCs w:val="21"/>
          <w:highlight w:val="none"/>
          <w:u w:val="single"/>
          <w:lang w:eastAsia="zh-CN"/>
        </w:rPr>
      </w:pPr>
      <w:r>
        <w:rPr>
          <w:rFonts w:hint="eastAsia" w:cs="宋体"/>
          <w:color w:val="auto"/>
          <w:szCs w:val="21"/>
          <w:highlight w:val="none"/>
          <w:u w:val="single"/>
          <w:lang w:val="en-US" w:eastAsia="zh-CN"/>
        </w:rPr>
        <w:t>31.2</w:t>
      </w:r>
      <w:r>
        <w:rPr>
          <w:rFonts w:hint="eastAsia" w:cs="宋体"/>
          <w:color w:val="auto"/>
          <w:szCs w:val="21"/>
          <w:highlight w:val="none"/>
          <w:u w:val="single"/>
        </w:rPr>
        <w:t>中标人须向招标代理机构缴纳招标代理服务费</w:t>
      </w:r>
      <w:r>
        <w:rPr>
          <w:rFonts w:hint="eastAsia" w:cs="宋体"/>
          <w:color w:val="auto"/>
          <w:szCs w:val="21"/>
          <w:highlight w:val="none"/>
          <w:u w:val="single"/>
          <w:lang w:eastAsia="zh-CN"/>
        </w:rPr>
        <w:t>，其费用包含在中标人投标报价中。</w:t>
      </w:r>
      <w:r>
        <w:rPr>
          <w:rFonts w:hint="eastAsia" w:cs="宋体"/>
          <w:color w:val="auto"/>
          <w:szCs w:val="21"/>
          <w:highlight w:val="none"/>
          <w:u w:val="single"/>
          <w:lang w:val="en-US" w:eastAsia="zh-CN"/>
        </w:rPr>
        <w:t>以中标金额作为计费基数，</w:t>
      </w:r>
      <w:r>
        <w:rPr>
          <w:rFonts w:hint="eastAsia" w:cs="宋体"/>
          <w:color w:val="auto"/>
          <w:szCs w:val="21"/>
          <w:highlight w:val="none"/>
          <w:u w:val="single"/>
          <w:lang w:eastAsia="zh-CN"/>
        </w:rPr>
        <w:t>收费标准参照“招标代理服务费计费标准计价格〔2002〕1980号</w:t>
      </w:r>
      <w:r>
        <w:rPr>
          <w:rFonts w:hint="eastAsia" w:cs="宋体"/>
          <w:color w:val="auto"/>
          <w:szCs w:val="21"/>
          <w:highlight w:val="none"/>
          <w:u w:val="single"/>
          <w:lang w:val="en-US" w:eastAsia="zh-CN"/>
        </w:rPr>
        <w:t>和发改价格[2011]534号</w:t>
      </w:r>
      <w:r>
        <w:rPr>
          <w:rFonts w:hint="eastAsia" w:cs="宋体"/>
          <w:color w:val="auto"/>
          <w:szCs w:val="21"/>
          <w:highlight w:val="none"/>
          <w:u w:val="single"/>
          <w:lang w:eastAsia="zh-CN"/>
        </w:rPr>
        <w:t>”的（工程类）标准以差额定率累进计费方式</w:t>
      </w:r>
      <w:r>
        <w:rPr>
          <w:rFonts w:hint="eastAsia" w:cs="宋体"/>
          <w:color w:val="auto"/>
          <w:szCs w:val="21"/>
          <w:highlight w:val="none"/>
          <w:u w:val="single"/>
          <w:lang w:val="en-US" w:eastAsia="zh-CN"/>
        </w:rPr>
        <w:t>计算</w:t>
      </w:r>
      <w:r>
        <w:rPr>
          <w:rFonts w:hint="eastAsia" w:cs="宋体"/>
          <w:color w:val="auto"/>
          <w:szCs w:val="21"/>
          <w:highlight w:val="none"/>
          <w:u w:val="single"/>
          <w:lang w:eastAsia="zh-CN"/>
        </w:rPr>
        <w:t>下浮</w:t>
      </w:r>
      <w:r>
        <w:rPr>
          <w:rFonts w:hint="eastAsia" w:cs="宋体"/>
          <w:color w:val="auto"/>
          <w:szCs w:val="21"/>
          <w:highlight w:val="none"/>
          <w:u w:val="single"/>
          <w:lang w:val="en-US" w:eastAsia="zh-CN"/>
        </w:rPr>
        <w:t>4</w:t>
      </w:r>
      <w:r>
        <w:rPr>
          <w:rFonts w:hint="eastAsia" w:cs="宋体"/>
          <w:color w:val="auto"/>
          <w:szCs w:val="21"/>
          <w:highlight w:val="none"/>
          <w:u w:val="single"/>
          <w:lang w:eastAsia="zh-CN"/>
        </w:rPr>
        <w:t>0%后</w:t>
      </w:r>
      <w:r>
        <w:rPr>
          <w:rFonts w:hint="eastAsia" w:cs="宋体"/>
          <w:color w:val="auto"/>
          <w:szCs w:val="21"/>
          <w:highlight w:val="none"/>
          <w:u w:val="single"/>
          <w:lang w:val="en-US" w:eastAsia="zh-CN"/>
        </w:rPr>
        <w:t>计取。</w:t>
      </w:r>
    </w:p>
    <w:p>
      <w:pPr>
        <w:spacing w:line="360" w:lineRule="auto"/>
        <w:rPr>
          <w:rFonts w:cs="宋体"/>
          <w:b/>
          <w:color w:val="auto"/>
          <w:szCs w:val="21"/>
          <w:highlight w:val="none"/>
        </w:rPr>
      </w:pPr>
      <w:r>
        <w:rPr>
          <w:rFonts w:hint="eastAsia" w:cs="宋体"/>
          <w:b/>
          <w:color w:val="auto"/>
          <w:szCs w:val="21"/>
          <w:highlight w:val="none"/>
        </w:rPr>
        <w:t>注：以上修改，仅限于本范本中有可供选择条款的情形。</w:t>
      </w:r>
    </w:p>
    <w:p>
      <w:pPr>
        <w:spacing w:line="360" w:lineRule="auto"/>
        <w:rPr>
          <w:rFonts w:cs="宋体"/>
          <w:color w:val="auto"/>
          <w:highlight w:val="none"/>
        </w:rPr>
      </w:pPr>
      <w:r>
        <w:rPr>
          <w:rFonts w:hint="eastAsia" w:cs="宋体"/>
          <w:b/>
          <w:color w:val="auto"/>
          <w:szCs w:val="21"/>
          <w:highlight w:val="none"/>
        </w:rPr>
        <w:t>（以下无正文）</w:t>
      </w:r>
    </w:p>
    <w:p>
      <w:pPr>
        <w:rPr>
          <w:rFonts w:hint="eastAsia"/>
          <w:color w:val="auto"/>
          <w:highlight w:val="none"/>
        </w:rPr>
      </w:pPr>
      <w:r>
        <w:rPr>
          <w:rFonts w:hint="eastAsia"/>
          <w:color w:val="auto"/>
          <w:highlight w:val="none"/>
        </w:rPr>
        <w:br w:type="page"/>
      </w:r>
    </w:p>
    <w:p>
      <w:pPr>
        <w:pStyle w:val="3"/>
        <w:rPr>
          <w:color w:val="auto"/>
          <w:sz w:val="21"/>
          <w:szCs w:val="21"/>
          <w:highlight w:val="none"/>
        </w:rPr>
      </w:pPr>
      <w:r>
        <w:rPr>
          <w:rFonts w:hint="eastAsia"/>
          <w:color w:val="auto"/>
          <w:sz w:val="21"/>
          <w:szCs w:val="21"/>
          <w:highlight w:val="none"/>
        </w:rPr>
        <w:t>三、投标须知通用条款</w:t>
      </w:r>
      <w:bookmarkEnd w:id="3"/>
    </w:p>
    <w:p>
      <w:pPr>
        <w:pStyle w:val="4"/>
        <w:spacing w:before="156" w:after="156"/>
        <w:jc w:val="center"/>
        <w:rPr>
          <w:color w:val="auto"/>
          <w:sz w:val="21"/>
          <w:szCs w:val="21"/>
          <w:highlight w:val="none"/>
        </w:rPr>
      </w:pPr>
      <w:bookmarkStart w:id="4" w:name="_Toc30203"/>
      <w:bookmarkStart w:id="5" w:name="_Toc18664061"/>
      <w:r>
        <w:rPr>
          <w:rFonts w:hint="eastAsia"/>
          <w:color w:val="auto"/>
          <w:sz w:val="21"/>
          <w:szCs w:val="21"/>
          <w:highlight w:val="none"/>
        </w:rPr>
        <w:t>（一）总则</w:t>
      </w:r>
      <w:bookmarkEnd w:id="4"/>
    </w:p>
    <w:p>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w:t>
      </w:r>
      <w:r>
        <w:rPr>
          <w:rFonts w:hint="eastAsia" w:ascii="宋体" w:hAnsi="宋体"/>
          <w:b/>
          <w:bCs/>
          <w:color w:val="auto"/>
          <w:sz w:val="21"/>
          <w:szCs w:val="21"/>
          <w:highlight w:val="none"/>
        </w:rPr>
        <w:t>、定义</w:t>
      </w:r>
    </w:p>
    <w:p>
      <w:pPr>
        <w:pStyle w:val="25"/>
        <w:spacing w:after="0" w:line="360" w:lineRule="auto"/>
        <w:ind w:firstLine="420" w:firstLineChars="200"/>
        <w:rPr>
          <w:rFonts w:ascii="宋体"/>
          <w:b/>
          <w:bCs/>
          <w:color w:val="auto"/>
          <w:sz w:val="21"/>
          <w:szCs w:val="21"/>
          <w:highlight w:val="none"/>
        </w:rPr>
      </w:pPr>
      <w:r>
        <w:rPr>
          <w:rFonts w:hint="eastAsia" w:ascii="宋体" w:hAnsi="宋体"/>
          <w:color w:val="auto"/>
          <w:sz w:val="21"/>
          <w:szCs w:val="21"/>
          <w:highlight w:val="none"/>
        </w:rPr>
        <w:t>本招标文件使用的下列词语具有如下规定的意义：</w:t>
      </w:r>
    </w:p>
    <w:p>
      <w:pPr>
        <w:pStyle w:val="25"/>
        <w:spacing w:after="0" w:line="360" w:lineRule="auto"/>
        <w:ind w:firstLine="420" w:firstLineChars="200"/>
        <w:rPr>
          <w:rFonts w:ascii="宋体"/>
          <w:b/>
          <w:bCs/>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）“招标人”（即发包人）、“项目建设管理单位</w:t>
      </w:r>
      <w:r>
        <w:rPr>
          <w:rFonts w:hint="eastAsia" w:ascii="宋体"/>
          <w:color w:val="auto"/>
          <w:sz w:val="21"/>
          <w:szCs w:val="21"/>
          <w:highlight w:val="none"/>
        </w:rPr>
        <w:t>”</w:t>
      </w:r>
      <w:r>
        <w:rPr>
          <w:rFonts w:hint="eastAsia" w:ascii="宋体" w:hAnsi="宋体"/>
          <w:color w:val="auto"/>
          <w:sz w:val="21"/>
          <w:szCs w:val="21"/>
          <w:highlight w:val="none"/>
        </w:rPr>
        <w:t>（或称“项目代建单位”）、“招标代理”、“设计单位”、“监理单位”均已在投标须知前附表中列明。</w:t>
      </w:r>
    </w:p>
    <w:p>
      <w:pPr>
        <w:pStyle w:val="25"/>
        <w:spacing w:after="0" w:line="360" w:lineRule="auto"/>
        <w:ind w:firstLine="420" w:firstLineChars="200"/>
        <w:rPr>
          <w:rFonts w:asci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）“投标人”指向招标人提交投标文件的当事人。</w:t>
      </w:r>
      <w:r>
        <w:rPr>
          <w:rFonts w:ascii="宋体" w:hAnsi="宋体"/>
          <w:color w:val="auto"/>
          <w:sz w:val="21"/>
          <w:szCs w:val="21"/>
          <w:highlight w:val="none"/>
        </w:rPr>
        <w:t xml:space="preserve">   </w:t>
      </w:r>
    </w:p>
    <w:p>
      <w:pPr>
        <w:pStyle w:val="25"/>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）“承包人”指其投标被招标人接受并与其签订承包合同的当事人。</w:t>
      </w:r>
    </w:p>
    <w:p>
      <w:pPr>
        <w:pStyle w:val="25"/>
        <w:spacing w:after="0" w:line="360" w:lineRule="auto"/>
        <w:ind w:firstLine="420" w:firstLineChars="200"/>
        <w:rPr>
          <w:rFonts w:asci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）“招标文件”指由招标代理发出的本文件（包括全部章节、附件）及招标答疑会会议纪要和</w:t>
      </w:r>
      <w:r>
        <w:rPr>
          <w:rFonts w:hint="eastAsia" w:ascii="宋体" w:hAnsi="宋体"/>
          <w:bCs/>
          <w:color w:val="auto"/>
          <w:sz w:val="21"/>
          <w:szCs w:val="21"/>
          <w:highlight w:val="none"/>
        </w:rPr>
        <w:t>招标文件的澄清与修改</w:t>
      </w:r>
      <w:r>
        <w:rPr>
          <w:rFonts w:hint="eastAsia" w:ascii="宋体" w:hAnsi="宋体"/>
          <w:color w:val="auto"/>
          <w:sz w:val="21"/>
          <w:szCs w:val="21"/>
          <w:highlight w:val="none"/>
        </w:rPr>
        <w:t>文件。</w:t>
      </w:r>
    </w:p>
    <w:p>
      <w:pPr>
        <w:pStyle w:val="25"/>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5</w:t>
      </w:r>
      <w:r>
        <w:rPr>
          <w:rFonts w:hint="eastAsia" w:ascii="宋体" w:hAnsi="宋体"/>
          <w:color w:val="auto"/>
          <w:sz w:val="21"/>
          <w:szCs w:val="21"/>
          <w:highlight w:val="none"/>
        </w:rPr>
        <w:t>）“投标文件”指投标人根据本项目招标文件向招标人提交的全部文件。</w:t>
      </w:r>
    </w:p>
    <w:p>
      <w:pPr>
        <w:pStyle w:val="25"/>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w:t>
      </w:r>
      <w:r>
        <w:rPr>
          <w:rFonts w:hint="eastAsia" w:ascii="宋体" w:hAnsi="宋体"/>
          <w:color w:val="auto"/>
          <w:sz w:val="21"/>
          <w:szCs w:val="21"/>
          <w:highlight w:val="none"/>
        </w:rPr>
        <w:t>）“书面形式”指打字或印刷的文件和数据电文（包括电报、电传、传真、电子数据交换和电子邮件）。</w:t>
      </w:r>
    </w:p>
    <w:p>
      <w:pPr>
        <w:spacing w:line="360" w:lineRule="auto"/>
        <w:ind w:firstLine="422" w:firstLineChars="200"/>
        <w:rPr>
          <w:b/>
          <w:color w:val="auto"/>
          <w:sz w:val="21"/>
          <w:szCs w:val="21"/>
          <w:highlight w:val="none"/>
        </w:rPr>
      </w:pPr>
      <w:r>
        <w:rPr>
          <w:b/>
          <w:color w:val="auto"/>
          <w:sz w:val="21"/>
          <w:szCs w:val="21"/>
          <w:highlight w:val="none"/>
        </w:rPr>
        <w:t>2</w:t>
      </w:r>
      <w:r>
        <w:rPr>
          <w:rFonts w:hint="eastAsia"/>
          <w:b/>
          <w:color w:val="auto"/>
          <w:sz w:val="21"/>
          <w:szCs w:val="21"/>
          <w:highlight w:val="none"/>
        </w:rPr>
        <w:t>、招标说明</w:t>
      </w:r>
    </w:p>
    <w:p>
      <w:pPr>
        <w:spacing w:line="360" w:lineRule="auto"/>
        <w:ind w:firstLine="420" w:firstLineChars="200"/>
        <w:rPr>
          <w:bCs/>
          <w:color w:val="auto"/>
          <w:sz w:val="21"/>
          <w:szCs w:val="21"/>
          <w:highlight w:val="none"/>
        </w:rPr>
      </w:pPr>
      <w:r>
        <w:rPr>
          <w:bCs/>
          <w:color w:val="auto"/>
          <w:sz w:val="21"/>
          <w:szCs w:val="21"/>
          <w:highlight w:val="none"/>
        </w:rPr>
        <w:t>2.1</w:t>
      </w:r>
      <w:r>
        <w:rPr>
          <w:rFonts w:hint="eastAsia"/>
          <w:bCs/>
          <w:color w:val="auto"/>
          <w:sz w:val="21"/>
          <w:szCs w:val="21"/>
          <w:highlight w:val="none"/>
        </w:rPr>
        <w:t>本招标工程项目按照《中华人民共和国招标投标法》等有关法律、行政法规、规章和规范性文件，通过招标方式选定承包人。</w:t>
      </w:r>
    </w:p>
    <w:p>
      <w:pPr>
        <w:spacing w:line="360" w:lineRule="auto"/>
        <w:ind w:firstLine="420" w:firstLineChars="200"/>
        <w:rPr>
          <w:bCs/>
          <w:color w:val="auto"/>
          <w:sz w:val="21"/>
          <w:szCs w:val="21"/>
          <w:highlight w:val="none"/>
        </w:rPr>
      </w:pPr>
      <w:r>
        <w:rPr>
          <w:bCs/>
          <w:color w:val="auto"/>
          <w:sz w:val="21"/>
          <w:szCs w:val="21"/>
          <w:highlight w:val="none"/>
        </w:rPr>
        <w:t>2.2</w:t>
      </w:r>
      <w:r>
        <w:rPr>
          <w:rFonts w:hint="eastAsia"/>
          <w:bCs/>
          <w:color w:val="auto"/>
          <w:sz w:val="21"/>
          <w:szCs w:val="21"/>
          <w:highlight w:val="none"/>
        </w:rPr>
        <w:t>工程名称、建设地点、建设规模、承包方式、质量标准、招标范围、工期要求等均在投标须知前附表中列明。</w:t>
      </w:r>
    </w:p>
    <w:p>
      <w:pPr>
        <w:spacing w:line="360" w:lineRule="auto"/>
        <w:ind w:firstLine="420" w:firstLineChars="200"/>
        <w:rPr>
          <w:bCs/>
          <w:color w:val="auto"/>
          <w:sz w:val="21"/>
          <w:szCs w:val="21"/>
          <w:highlight w:val="none"/>
        </w:rPr>
      </w:pPr>
      <w:r>
        <w:rPr>
          <w:bCs/>
          <w:color w:val="auto"/>
          <w:sz w:val="21"/>
          <w:szCs w:val="21"/>
          <w:highlight w:val="none"/>
        </w:rPr>
        <w:t>2.3</w:t>
      </w:r>
      <w:r>
        <w:rPr>
          <w:rFonts w:hint="eastAsia"/>
          <w:bCs/>
          <w:color w:val="auto"/>
          <w:sz w:val="21"/>
          <w:szCs w:val="21"/>
          <w:highlight w:val="none"/>
        </w:rPr>
        <w:t>设计说明：详见招标图纸。</w:t>
      </w:r>
    </w:p>
    <w:p>
      <w:pPr>
        <w:spacing w:line="360" w:lineRule="auto"/>
        <w:ind w:firstLine="420" w:firstLineChars="200"/>
        <w:rPr>
          <w:bCs/>
          <w:color w:val="auto"/>
          <w:sz w:val="21"/>
          <w:szCs w:val="21"/>
          <w:highlight w:val="none"/>
        </w:rPr>
      </w:pPr>
      <w:r>
        <w:rPr>
          <w:bCs/>
          <w:color w:val="auto"/>
          <w:sz w:val="21"/>
          <w:szCs w:val="21"/>
          <w:highlight w:val="none"/>
        </w:rPr>
        <w:t>2.4</w:t>
      </w:r>
      <w:r>
        <w:rPr>
          <w:rFonts w:hint="eastAsia"/>
          <w:bCs/>
          <w:color w:val="auto"/>
          <w:sz w:val="21"/>
          <w:szCs w:val="21"/>
          <w:highlight w:val="none"/>
        </w:rPr>
        <w:t>工程施工特点：详见招标图纸。</w:t>
      </w:r>
    </w:p>
    <w:p>
      <w:pPr>
        <w:tabs>
          <w:tab w:val="left" w:pos="105"/>
        </w:tabs>
        <w:spacing w:line="360" w:lineRule="auto"/>
        <w:ind w:firstLine="422" w:firstLineChars="200"/>
        <w:rPr>
          <w:b/>
          <w:color w:val="auto"/>
          <w:sz w:val="21"/>
          <w:szCs w:val="21"/>
          <w:highlight w:val="none"/>
        </w:rPr>
      </w:pPr>
      <w:r>
        <w:rPr>
          <w:b/>
          <w:color w:val="auto"/>
          <w:sz w:val="21"/>
          <w:szCs w:val="21"/>
          <w:highlight w:val="none"/>
        </w:rPr>
        <w:t>3</w:t>
      </w:r>
      <w:r>
        <w:rPr>
          <w:rFonts w:hint="eastAsia"/>
          <w:b/>
          <w:color w:val="auto"/>
          <w:sz w:val="21"/>
          <w:szCs w:val="21"/>
          <w:highlight w:val="none"/>
        </w:rPr>
        <w:t>．资金来源</w:t>
      </w:r>
    </w:p>
    <w:p>
      <w:pPr>
        <w:spacing w:line="360" w:lineRule="auto"/>
        <w:ind w:firstLine="420" w:firstLineChars="200"/>
        <w:rPr>
          <w:bCs/>
          <w:color w:val="auto"/>
          <w:sz w:val="21"/>
          <w:szCs w:val="21"/>
          <w:highlight w:val="none"/>
        </w:rPr>
      </w:pPr>
      <w:r>
        <w:rPr>
          <w:bCs/>
          <w:color w:val="auto"/>
          <w:sz w:val="21"/>
          <w:szCs w:val="21"/>
          <w:highlight w:val="none"/>
        </w:rPr>
        <w:t>3.1</w:t>
      </w:r>
      <w:r>
        <w:rPr>
          <w:rFonts w:hint="eastAsia"/>
          <w:bCs/>
          <w:color w:val="auto"/>
          <w:sz w:val="21"/>
          <w:szCs w:val="21"/>
          <w:highlight w:val="none"/>
        </w:rPr>
        <w:t>本招标工程项目资金来源见投标须知前附表第</w:t>
      </w:r>
      <w:r>
        <w:rPr>
          <w:bCs/>
          <w:color w:val="auto"/>
          <w:sz w:val="21"/>
          <w:szCs w:val="21"/>
          <w:highlight w:val="none"/>
        </w:rPr>
        <w:t>9</w:t>
      </w:r>
      <w:r>
        <w:rPr>
          <w:rFonts w:hint="eastAsia"/>
          <w:bCs/>
          <w:color w:val="auto"/>
          <w:sz w:val="21"/>
          <w:szCs w:val="21"/>
          <w:highlight w:val="none"/>
        </w:rPr>
        <w:t>项</w:t>
      </w:r>
    </w:p>
    <w:p>
      <w:pPr>
        <w:tabs>
          <w:tab w:val="left" w:pos="105"/>
        </w:tabs>
        <w:spacing w:line="360" w:lineRule="auto"/>
        <w:ind w:firstLine="422" w:firstLineChars="200"/>
        <w:rPr>
          <w:b/>
          <w:color w:val="auto"/>
          <w:sz w:val="21"/>
          <w:szCs w:val="21"/>
          <w:highlight w:val="none"/>
        </w:rPr>
      </w:pPr>
      <w:r>
        <w:rPr>
          <w:b/>
          <w:color w:val="auto"/>
          <w:sz w:val="21"/>
          <w:szCs w:val="21"/>
          <w:highlight w:val="none"/>
        </w:rPr>
        <w:t>4</w:t>
      </w:r>
      <w:r>
        <w:rPr>
          <w:rFonts w:hint="eastAsia"/>
          <w:b/>
          <w:color w:val="auto"/>
          <w:sz w:val="21"/>
          <w:szCs w:val="21"/>
          <w:highlight w:val="none"/>
        </w:rPr>
        <w:t>．合格投标人的条件</w:t>
      </w:r>
    </w:p>
    <w:p>
      <w:pPr>
        <w:spacing w:line="360" w:lineRule="auto"/>
        <w:ind w:firstLine="420" w:firstLineChars="200"/>
        <w:rPr>
          <w:bCs/>
          <w:color w:val="auto"/>
          <w:sz w:val="21"/>
          <w:szCs w:val="21"/>
          <w:highlight w:val="none"/>
        </w:rPr>
      </w:pPr>
      <w:r>
        <w:rPr>
          <w:bCs/>
          <w:color w:val="auto"/>
          <w:sz w:val="21"/>
          <w:szCs w:val="21"/>
          <w:highlight w:val="none"/>
        </w:rPr>
        <w:t>4.1</w:t>
      </w:r>
      <w:r>
        <w:rPr>
          <w:rFonts w:hint="eastAsia"/>
          <w:bCs/>
          <w:color w:val="auto"/>
          <w:sz w:val="21"/>
          <w:szCs w:val="21"/>
          <w:highlight w:val="none"/>
        </w:rPr>
        <w:t>详见本项目招标公告</w:t>
      </w:r>
    </w:p>
    <w:p>
      <w:pPr>
        <w:tabs>
          <w:tab w:val="left" w:pos="105"/>
        </w:tabs>
        <w:spacing w:line="360" w:lineRule="auto"/>
        <w:ind w:firstLine="422" w:firstLineChars="200"/>
        <w:rPr>
          <w:b/>
          <w:color w:val="auto"/>
          <w:sz w:val="21"/>
          <w:szCs w:val="21"/>
          <w:highlight w:val="none"/>
        </w:rPr>
      </w:pPr>
      <w:r>
        <w:rPr>
          <w:b/>
          <w:color w:val="auto"/>
          <w:sz w:val="21"/>
          <w:szCs w:val="21"/>
          <w:highlight w:val="none"/>
        </w:rPr>
        <w:t>5</w:t>
      </w:r>
      <w:r>
        <w:rPr>
          <w:rFonts w:hint="eastAsia"/>
          <w:b/>
          <w:color w:val="auto"/>
          <w:sz w:val="21"/>
          <w:szCs w:val="21"/>
          <w:highlight w:val="none"/>
        </w:rPr>
        <w:t>．踏勘现场</w:t>
      </w:r>
    </w:p>
    <w:p>
      <w:pPr>
        <w:spacing w:line="360" w:lineRule="auto"/>
        <w:ind w:firstLine="420" w:firstLineChars="200"/>
        <w:rPr>
          <w:bCs/>
          <w:color w:val="auto"/>
          <w:sz w:val="21"/>
          <w:szCs w:val="21"/>
          <w:highlight w:val="none"/>
          <w:u w:val="single"/>
        </w:rPr>
      </w:pPr>
      <w:r>
        <w:rPr>
          <w:bCs/>
          <w:color w:val="auto"/>
          <w:sz w:val="21"/>
          <w:szCs w:val="21"/>
          <w:highlight w:val="none"/>
        </w:rPr>
        <w:t xml:space="preserve">5.1 </w:t>
      </w:r>
      <w:r>
        <w:rPr>
          <w:rFonts w:hint="eastAsia"/>
          <w:bCs/>
          <w:color w:val="auto"/>
          <w:sz w:val="21"/>
          <w:szCs w:val="21"/>
          <w:highlight w:val="none"/>
        </w:rPr>
        <w:t>投标人应按本投标须知前附表第</w:t>
      </w:r>
      <w:r>
        <w:rPr>
          <w:bCs/>
          <w:color w:val="auto"/>
          <w:sz w:val="21"/>
          <w:szCs w:val="21"/>
          <w:highlight w:val="none"/>
        </w:rPr>
        <w:t>15</w:t>
      </w:r>
      <w:r>
        <w:rPr>
          <w:rFonts w:hint="eastAsia"/>
          <w:bCs/>
          <w:color w:val="auto"/>
          <w:sz w:val="21"/>
          <w:szCs w:val="21"/>
          <w:highlight w:val="none"/>
        </w:rPr>
        <w:t>项所述时间和要求对工程现场及周围环境进行踏勘，</w:t>
      </w:r>
      <w:r>
        <w:rPr>
          <w:rFonts w:hint="eastAsia"/>
          <w:color w:val="auto"/>
          <w:sz w:val="21"/>
          <w:szCs w:val="21"/>
          <w:highlight w:val="none"/>
        </w:rPr>
        <w:t>投标人应充分重视和仔细地进行这种考察，</w:t>
      </w:r>
      <w:r>
        <w:rPr>
          <w:rFonts w:hint="eastAsia"/>
          <w:bCs/>
          <w:color w:val="auto"/>
          <w:sz w:val="21"/>
          <w:szCs w:val="21"/>
          <w:highlight w:val="none"/>
        </w:rPr>
        <w:t>以便投标人获取</w:t>
      </w:r>
      <w:r>
        <w:rPr>
          <w:rFonts w:hint="eastAsia"/>
          <w:color w:val="auto"/>
          <w:sz w:val="21"/>
          <w:szCs w:val="21"/>
          <w:highlight w:val="none"/>
        </w:rPr>
        <w:t>那些须投标人自己负责的</w:t>
      </w:r>
      <w:r>
        <w:rPr>
          <w:rFonts w:hint="eastAsia"/>
          <w:bCs/>
          <w:color w:val="auto"/>
          <w:sz w:val="21"/>
          <w:szCs w:val="21"/>
          <w:highlight w:val="none"/>
        </w:rPr>
        <w:t>有关编制投标文件和签署合同所涉及现场所有的资料。</w:t>
      </w:r>
      <w:r>
        <w:rPr>
          <w:rFonts w:hint="eastAsia"/>
          <w:color w:val="auto"/>
          <w:sz w:val="21"/>
          <w:szCs w:val="21"/>
          <w:highlight w:val="none"/>
        </w:rPr>
        <w:t>一旦中标，这种考察即被认为其结果已在中标文件中得到充分反映。考察现场的费用由投标人自己承担。</w:t>
      </w:r>
    </w:p>
    <w:p>
      <w:pPr>
        <w:tabs>
          <w:tab w:val="left" w:pos="105"/>
        </w:tabs>
        <w:spacing w:line="360" w:lineRule="auto"/>
        <w:ind w:firstLine="420" w:firstLineChars="200"/>
        <w:rPr>
          <w:bCs/>
          <w:color w:val="auto"/>
          <w:sz w:val="21"/>
          <w:szCs w:val="21"/>
          <w:highlight w:val="none"/>
        </w:rPr>
      </w:pPr>
      <w:r>
        <w:rPr>
          <w:bCs/>
          <w:color w:val="auto"/>
          <w:sz w:val="21"/>
          <w:szCs w:val="21"/>
          <w:highlight w:val="none"/>
        </w:rPr>
        <w:t xml:space="preserve">5.2 </w:t>
      </w:r>
      <w:r>
        <w:rPr>
          <w:rFonts w:hint="eastAsia"/>
          <w:bCs/>
          <w:color w:val="auto"/>
          <w:sz w:val="21"/>
          <w:szCs w:val="21"/>
          <w:highlight w:val="none"/>
        </w:rPr>
        <w:t>招标人向投标人提供的有关现场的数据和资料，是招标人现有的能被投标人利用的资料，招标人对投标人做出的任何推论、理解和结论均不负责任。</w:t>
      </w:r>
    </w:p>
    <w:p>
      <w:pPr>
        <w:spacing w:line="360" w:lineRule="auto"/>
        <w:ind w:firstLine="420" w:firstLineChars="200"/>
        <w:rPr>
          <w:bCs/>
          <w:color w:val="auto"/>
          <w:sz w:val="21"/>
          <w:szCs w:val="21"/>
          <w:highlight w:val="none"/>
        </w:rPr>
      </w:pPr>
      <w:r>
        <w:rPr>
          <w:bCs/>
          <w:color w:val="auto"/>
          <w:sz w:val="21"/>
          <w:szCs w:val="21"/>
          <w:highlight w:val="none"/>
        </w:rPr>
        <w:t xml:space="preserve">5.3 </w:t>
      </w:r>
      <w:r>
        <w:rPr>
          <w:rFonts w:hint="eastAsia"/>
          <w:bCs/>
          <w:color w:val="auto"/>
          <w:sz w:val="21"/>
          <w:szCs w:val="21"/>
          <w:highlight w:val="none"/>
        </w:rPr>
        <w:t>经招标人允许，投标人可为踏勘目的进入招标人的项目现场。</w:t>
      </w:r>
      <w:r>
        <w:rPr>
          <w:rFonts w:hint="eastAsia"/>
          <w:color w:val="auto"/>
          <w:sz w:val="21"/>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bCs/>
          <w:color w:val="auto"/>
          <w:sz w:val="21"/>
          <w:szCs w:val="21"/>
          <w:highlight w:val="none"/>
        </w:rPr>
        <w:t>投标人不得因此使招标人承担有关的责任和蒙受损失。</w:t>
      </w:r>
    </w:p>
    <w:p>
      <w:pPr>
        <w:tabs>
          <w:tab w:val="left" w:pos="105"/>
        </w:tabs>
        <w:spacing w:line="360" w:lineRule="auto"/>
        <w:ind w:firstLine="422" w:firstLineChars="200"/>
        <w:rPr>
          <w:b/>
          <w:color w:val="auto"/>
          <w:sz w:val="21"/>
          <w:szCs w:val="21"/>
          <w:highlight w:val="none"/>
        </w:rPr>
      </w:pPr>
      <w:r>
        <w:rPr>
          <w:b/>
          <w:color w:val="auto"/>
          <w:sz w:val="21"/>
          <w:szCs w:val="21"/>
          <w:highlight w:val="none"/>
        </w:rPr>
        <w:t>6</w:t>
      </w:r>
      <w:r>
        <w:rPr>
          <w:rFonts w:hint="eastAsia"/>
          <w:b/>
          <w:color w:val="auto"/>
          <w:sz w:val="21"/>
          <w:szCs w:val="21"/>
          <w:highlight w:val="none"/>
        </w:rPr>
        <w:t>．投标费用</w:t>
      </w:r>
    </w:p>
    <w:p>
      <w:pPr>
        <w:tabs>
          <w:tab w:val="left" w:pos="105"/>
        </w:tabs>
        <w:spacing w:line="360" w:lineRule="auto"/>
        <w:ind w:firstLine="420" w:firstLineChars="200"/>
        <w:rPr>
          <w:bCs/>
          <w:color w:val="auto"/>
          <w:sz w:val="21"/>
          <w:szCs w:val="21"/>
          <w:highlight w:val="none"/>
        </w:rPr>
      </w:pPr>
      <w:r>
        <w:rPr>
          <w:bCs/>
          <w:color w:val="auto"/>
          <w:sz w:val="21"/>
          <w:szCs w:val="21"/>
          <w:highlight w:val="none"/>
        </w:rPr>
        <w:t>6.1</w:t>
      </w:r>
      <w:r>
        <w:rPr>
          <w:rFonts w:hint="eastAsia"/>
          <w:color w:val="auto"/>
          <w:sz w:val="21"/>
          <w:szCs w:val="21"/>
          <w:highlight w:val="none"/>
        </w:rPr>
        <w:t>不论投标结果如何，投标人应承担</w:t>
      </w:r>
      <w:r>
        <w:rPr>
          <w:rFonts w:hint="eastAsia"/>
          <w:bCs/>
          <w:color w:val="auto"/>
          <w:sz w:val="21"/>
          <w:szCs w:val="21"/>
          <w:highlight w:val="none"/>
        </w:rPr>
        <w:t>自身</w:t>
      </w:r>
      <w:r>
        <w:rPr>
          <w:rFonts w:hint="eastAsia"/>
          <w:color w:val="auto"/>
          <w:sz w:val="21"/>
          <w:szCs w:val="21"/>
          <w:highlight w:val="none"/>
        </w:rPr>
        <w:t>因投标文件编制、递交及其他</w:t>
      </w:r>
      <w:r>
        <w:rPr>
          <w:rFonts w:hint="eastAsia"/>
          <w:bCs/>
          <w:color w:val="auto"/>
          <w:sz w:val="21"/>
          <w:szCs w:val="21"/>
          <w:highlight w:val="none"/>
        </w:rPr>
        <w:t>参加本招标活动</w:t>
      </w:r>
      <w:r>
        <w:rPr>
          <w:rFonts w:hint="eastAsia"/>
          <w:color w:val="auto"/>
          <w:sz w:val="21"/>
          <w:szCs w:val="21"/>
          <w:highlight w:val="none"/>
        </w:rPr>
        <w:t>所涉及的一切费用，招标人对上述费用不负任何责任。</w:t>
      </w:r>
    </w:p>
    <w:p>
      <w:pPr>
        <w:pStyle w:val="4"/>
        <w:spacing w:before="156" w:after="156"/>
        <w:rPr>
          <w:color w:val="auto"/>
          <w:sz w:val="21"/>
          <w:szCs w:val="21"/>
          <w:highlight w:val="none"/>
        </w:rPr>
      </w:pPr>
      <w:bookmarkStart w:id="6" w:name="_Toc22955"/>
      <w:r>
        <w:rPr>
          <w:rFonts w:hint="eastAsia"/>
          <w:color w:val="auto"/>
          <w:sz w:val="21"/>
          <w:szCs w:val="21"/>
          <w:highlight w:val="none"/>
        </w:rPr>
        <w:t>（二）招标文件</w:t>
      </w:r>
      <w:bookmarkEnd w:id="6"/>
    </w:p>
    <w:p>
      <w:pPr>
        <w:tabs>
          <w:tab w:val="left" w:pos="105"/>
        </w:tabs>
        <w:spacing w:line="360" w:lineRule="auto"/>
        <w:ind w:firstLine="422" w:firstLineChars="200"/>
        <w:rPr>
          <w:b/>
          <w:color w:val="auto"/>
          <w:sz w:val="21"/>
          <w:szCs w:val="21"/>
          <w:highlight w:val="none"/>
        </w:rPr>
      </w:pPr>
      <w:r>
        <w:rPr>
          <w:b/>
          <w:color w:val="auto"/>
          <w:sz w:val="21"/>
          <w:szCs w:val="21"/>
          <w:highlight w:val="none"/>
        </w:rPr>
        <w:t>7.</w:t>
      </w:r>
      <w:r>
        <w:rPr>
          <w:rFonts w:hint="eastAsia"/>
          <w:b/>
          <w:color w:val="auto"/>
          <w:sz w:val="21"/>
          <w:szCs w:val="21"/>
          <w:highlight w:val="none"/>
        </w:rPr>
        <w:t>招标文件的组成</w:t>
      </w:r>
    </w:p>
    <w:p>
      <w:pPr>
        <w:spacing w:line="360" w:lineRule="auto"/>
        <w:ind w:firstLine="420" w:firstLineChars="200"/>
        <w:rPr>
          <w:color w:val="auto"/>
          <w:sz w:val="21"/>
          <w:szCs w:val="21"/>
          <w:highlight w:val="none"/>
        </w:rPr>
      </w:pPr>
      <w:r>
        <w:rPr>
          <w:bCs/>
          <w:color w:val="auto"/>
          <w:sz w:val="21"/>
          <w:szCs w:val="21"/>
          <w:highlight w:val="none"/>
        </w:rPr>
        <w:t>7.1</w:t>
      </w:r>
      <w:r>
        <w:rPr>
          <w:rFonts w:hint="eastAsia"/>
          <w:color w:val="auto"/>
          <w:sz w:val="21"/>
          <w:szCs w:val="21"/>
          <w:highlight w:val="none"/>
        </w:rPr>
        <w:t>本招标文件包括下列文件，以及所有按本须知第</w:t>
      </w:r>
      <w:r>
        <w:rPr>
          <w:color w:val="auto"/>
          <w:sz w:val="21"/>
          <w:szCs w:val="21"/>
          <w:highlight w:val="none"/>
        </w:rPr>
        <w:t>8</w:t>
      </w:r>
      <w:r>
        <w:rPr>
          <w:rFonts w:hint="eastAsia"/>
          <w:color w:val="auto"/>
          <w:sz w:val="21"/>
          <w:szCs w:val="21"/>
          <w:highlight w:val="none"/>
        </w:rPr>
        <w:t>条发出的招标答疑会会议纪要和按本须知第</w:t>
      </w:r>
      <w:r>
        <w:rPr>
          <w:color w:val="auto"/>
          <w:sz w:val="21"/>
          <w:szCs w:val="21"/>
          <w:highlight w:val="none"/>
        </w:rPr>
        <w:t>9</w:t>
      </w:r>
      <w:r>
        <w:rPr>
          <w:rFonts w:hint="eastAsia"/>
          <w:color w:val="auto"/>
          <w:sz w:val="21"/>
          <w:szCs w:val="21"/>
          <w:highlight w:val="none"/>
        </w:rPr>
        <w:t>条发出的澄清或修改：</w:t>
      </w:r>
    </w:p>
    <w:p>
      <w:pPr>
        <w:pStyle w:val="25"/>
        <w:spacing w:after="0" w:line="360" w:lineRule="auto"/>
        <w:ind w:left="-2" w:firstLine="420" w:firstLineChars="200"/>
        <w:rPr>
          <w:rFonts w:ascii="宋体"/>
          <w:color w:val="auto"/>
          <w:sz w:val="21"/>
          <w:szCs w:val="21"/>
          <w:highlight w:val="none"/>
        </w:rPr>
      </w:pPr>
      <w:r>
        <w:rPr>
          <w:rFonts w:hint="eastAsia" w:ascii="宋体" w:hAnsi="宋体"/>
          <w:bCs/>
          <w:color w:val="auto"/>
          <w:sz w:val="21"/>
          <w:szCs w:val="21"/>
          <w:highlight w:val="none"/>
        </w:rPr>
        <w:t>第一章</w:t>
      </w:r>
      <w:r>
        <w:rPr>
          <w:rFonts w:ascii="宋体" w:hAnsi="宋体"/>
          <w:bCs/>
          <w:color w:val="auto"/>
          <w:sz w:val="21"/>
          <w:szCs w:val="21"/>
          <w:highlight w:val="none"/>
        </w:rPr>
        <w:t xml:space="preserve">  </w:t>
      </w:r>
      <w:r>
        <w:rPr>
          <w:rFonts w:hint="eastAsia" w:ascii="宋体" w:hAnsi="宋体"/>
          <w:color w:val="auto"/>
          <w:sz w:val="21"/>
          <w:szCs w:val="21"/>
          <w:highlight w:val="none"/>
        </w:rPr>
        <w:t>投标须知</w:t>
      </w:r>
    </w:p>
    <w:p>
      <w:pPr>
        <w:pStyle w:val="25"/>
        <w:spacing w:after="0" w:line="360" w:lineRule="auto"/>
        <w:ind w:left="-2" w:firstLine="420" w:firstLineChars="200"/>
        <w:rPr>
          <w:rFonts w:ascii="宋体"/>
          <w:color w:val="auto"/>
          <w:sz w:val="21"/>
          <w:szCs w:val="21"/>
          <w:highlight w:val="none"/>
        </w:rPr>
      </w:pPr>
      <w:r>
        <w:rPr>
          <w:rFonts w:hint="eastAsia" w:ascii="宋体" w:hAnsi="宋体"/>
          <w:bCs/>
          <w:color w:val="auto"/>
          <w:sz w:val="21"/>
          <w:szCs w:val="21"/>
          <w:highlight w:val="none"/>
        </w:rPr>
        <w:t>第二章</w:t>
      </w:r>
      <w:r>
        <w:rPr>
          <w:rFonts w:ascii="宋体" w:hAnsi="宋体"/>
          <w:bCs/>
          <w:color w:val="auto"/>
          <w:sz w:val="21"/>
          <w:szCs w:val="21"/>
          <w:highlight w:val="none"/>
        </w:rPr>
        <w:t xml:space="preserve">  </w:t>
      </w:r>
      <w:r>
        <w:rPr>
          <w:rFonts w:hint="eastAsia" w:ascii="宋体" w:hAnsi="宋体"/>
          <w:color w:val="auto"/>
          <w:sz w:val="21"/>
          <w:szCs w:val="21"/>
          <w:highlight w:val="none"/>
        </w:rPr>
        <w:t>开标、评标及定标办法</w:t>
      </w:r>
    </w:p>
    <w:p>
      <w:pPr>
        <w:pStyle w:val="25"/>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第三章</w:t>
      </w:r>
      <w:r>
        <w:rPr>
          <w:rFonts w:ascii="宋体" w:hAnsi="宋体"/>
          <w:color w:val="auto"/>
          <w:sz w:val="21"/>
          <w:szCs w:val="21"/>
          <w:highlight w:val="none"/>
        </w:rPr>
        <w:t xml:space="preserve">  </w:t>
      </w:r>
      <w:r>
        <w:rPr>
          <w:rFonts w:hint="eastAsia" w:ascii="宋体" w:hAnsi="宋体"/>
          <w:color w:val="auto"/>
          <w:sz w:val="21"/>
          <w:szCs w:val="21"/>
          <w:highlight w:val="none"/>
        </w:rPr>
        <w:t>合同条款</w:t>
      </w:r>
    </w:p>
    <w:p>
      <w:pPr>
        <w:pStyle w:val="25"/>
        <w:spacing w:after="0" w:line="360" w:lineRule="auto"/>
        <w:ind w:firstLine="420" w:firstLineChars="200"/>
        <w:rPr>
          <w:rFonts w:ascii="宋体"/>
          <w:color w:val="auto"/>
          <w:sz w:val="21"/>
          <w:szCs w:val="21"/>
          <w:highlight w:val="none"/>
        </w:rPr>
      </w:pPr>
      <w:r>
        <w:rPr>
          <w:rFonts w:hint="eastAsia" w:ascii="宋体" w:hAnsi="宋体"/>
          <w:bCs/>
          <w:color w:val="auto"/>
          <w:sz w:val="21"/>
          <w:szCs w:val="21"/>
          <w:highlight w:val="none"/>
        </w:rPr>
        <w:t>第四章</w:t>
      </w:r>
      <w:r>
        <w:rPr>
          <w:rFonts w:ascii="宋体" w:hAnsi="宋体"/>
          <w:bCs/>
          <w:color w:val="auto"/>
          <w:sz w:val="21"/>
          <w:szCs w:val="21"/>
          <w:highlight w:val="none"/>
        </w:rPr>
        <w:t xml:space="preserve">  </w:t>
      </w:r>
      <w:r>
        <w:rPr>
          <w:rFonts w:hint="eastAsia" w:ascii="宋体" w:hAnsi="宋体"/>
          <w:color w:val="auto"/>
          <w:sz w:val="21"/>
          <w:szCs w:val="21"/>
          <w:highlight w:val="none"/>
        </w:rPr>
        <w:t>投标文件格式</w:t>
      </w:r>
    </w:p>
    <w:p>
      <w:pPr>
        <w:pStyle w:val="25"/>
        <w:spacing w:after="0" w:line="360" w:lineRule="auto"/>
        <w:ind w:left="-2" w:firstLine="420" w:firstLineChars="200"/>
        <w:rPr>
          <w:rFonts w:ascii="宋体"/>
          <w:color w:val="auto"/>
          <w:sz w:val="21"/>
          <w:szCs w:val="21"/>
          <w:highlight w:val="none"/>
        </w:rPr>
      </w:pPr>
      <w:r>
        <w:rPr>
          <w:rFonts w:hint="eastAsia" w:ascii="宋体" w:hAnsi="宋体"/>
          <w:bCs/>
          <w:color w:val="auto"/>
          <w:sz w:val="21"/>
          <w:szCs w:val="21"/>
          <w:highlight w:val="none"/>
        </w:rPr>
        <w:t>第五章</w:t>
      </w:r>
      <w:r>
        <w:rPr>
          <w:rFonts w:ascii="宋体" w:hAnsi="宋体"/>
          <w:bCs/>
          <w:color w:val="auto"/>
          <w:sz w:val="21"/>
          <w:szCs w:val="21"/>
          <w:highlight w:val="none"/>
        </w:rPr>
        <w:t xml:space="preserve">  </w:t>
      </w:r>
      <w:r>
        <w:rPr>
          <w:rFonts w:hint="eastAsia" w:ascii="宋体" w:hAnsi="宋体"/>
          <w:color w:val="auto"/>
          <w:sz w:val="21"/>
          <w:szCs w:val="21"/>
          <w:highlight w:val="none"/>
        </w:rPr>
        <w:t>技术条件（工程建设标准）（另册）</w:t>
      </w:r>
    </w:p>
    <w:p>
      <w:pPr>
        <w:pStyle w:val="25"/>
        <w:spacing w:after="0" w:line="360" w:lineRule="auto"/>
        <w:ind w:left="-2" w:firstLine="420" w:firstLineChars="200"/>
        <w:rPr>
          <w:rFonts w:ascii="宋体"/>
          <w:color w:val="auto"/>
          <w:sz w:val="21"/>
          <w:szCs w:val="21"/>
          <w:highlight w:val="none"/>
        </w:rPr>
      </w:pPr>
      <w:r>
        <w:rPr>
          <w:rFonts w:hint="eastAsia" w:ascii="宋体" w:hAnsi="宋体"/>
          <w:bCs/>
          <w:color w:val="auto"/>
          <w:sz w:val="21"/>
          <w:szCs w:val="21"/>
          <w:highlight w:val="none"/>
        </w:rPr>
        <w:t>第六章</w:t>
      </w:r>
      <w:r>
        <w:rPr>
          <w:rFonts w:ascii="宋体" w:hAnsi="宋体"/>
          <w:bCs/>
          <w:color w:val="auto"/>
          <w:sz w:val="21"/>
          <w:szCs w:val="21"/>
          <w:highlight w:val="none"/>
        </w:rPr>
        <w:t xml:space="preserve">  </w:t>
      </w:r>
      <w:r>
        <w:rPr>
          <w:rFonts w:hint="eastAsia" w:ascii="宋体" w:hAnsi="宋体"/>
          <w:color w:val="auto"/>
          <w:sz w:val="21"/>
          <w:szCs w:val="21"/>
          <w:highlight w:val="none"/>
        </w:rPr>
        <w:t>图纸及勘察资料（另册）</w:t>
      </w:r>
    </w:p>
    <w:p>
      <w:pPr>
        <w:pStyle w:val="25"/>
        <w:spacing w:after="0" w:line="360" w:lineRule="auto"/>
        <w:ind w:left="-2" w:firstLine="420" w:firstLineChars="200"/>
        <w:rPr>
          <w:rFonts w:ascii="宋体"/>
          <w:color w:val="auto"/>
          <w:sz w:val="21"/>
          <w:szCs w:val="21"/>
          <w:highlight w:val="none"/>
        </w:rPr>
      </w:pPr>
      <w:r>
        <w:rPr>
          <w:rFonts w:hint="eastAsia" w:ascii="宋体" w:hAnsi="宋体"/>
          <w:bCs/>
          <w:color w:val="auto"/>
          <w:sz w:val="21"/>
          <w:szCs w:val="21"/>
          <w:highlight w:val="none"/>
        </w:rPr>
        <w:t>第七章</w:t>
      </w:r>
      <w:r>
        <w:rPr>
          <w:rFonts w:ascii="宋体" w:hAnsi="宋体"/>
          <w:bCs/>
          <w:color w:val="auto"/>
          <w:sz w:val="21"/>
          <w:szCs w:val="21"/>
          <w:highlight w:val="none"/>
        </w:rPr>
        <w:t xml:space="preserve">  </w:t>
      </w:r>
      <w:r>
        <w:rPr>
          <w:rFonts w:hint="eastAsia" w:ascii="宋体" w:hAnsi="宋体"/>
          <w:bCs/>
          <w:color w:val="auto"/>
          <w:sz w:val="21"/>
          <w:szCs w:val="21"/>
          <w:highlight w:val="none"/>
        </w:rPr>
        <w:t>招标</w:t>
      </w:r>
      <w:r>
        <w:rPr>
          <w:rFonts w:hint="eastAsia" w:ascii="宋体" w:hAnsi="宋体"/>
          <w:color w:val="auto"/>
          <w:sz w:val="21"/>
          <w:szCs w:val="21"/>
          <w:highlight w:val="none"/>
        </w:rPr>
        <w:t>工程量清单（另册）</w:t>
      </w:r>
    </w:p>
    <w:p>
      <w:pPr>
        <w:pStyle w:val="25"/>
        <w:spacing w:after="0" w:line="360" w:lineRule="auto"/>
        <w:ind w:left="-2" w:firstLine="420" w:firstLineChars="200"/>
        <w:rPr>
          <w:rFonts w:ascii="宋体"/>
          <w:color w:val="auto"/>
          <w:sz w:val="21"/>
          <w:szCs w:val="21"/>
          <w:highlight w:val="none"/>
        </w:rPr>
      </w:pPr>
      <w:r>
        <w:rPr>
          <w:rFonts w:hint="eastAsia" w:ascii="宋体" w:hAnsi="宋体"/>
          <w:color w:val="auto"/>
          <w:sz w:val="21"/>
          <w:szCs w:val="21"/>
          <w:highlight w:val="none"/>
        </w:rPr>
        <w:t>第八章</w:t>
      </w:r>
      <w:r>
        <w:rPr>
          <w:rFonts w:ascii="宋体" w:hAnsi="宋体"/>
          <w:color w:val="auto"/>
          <w:sz w:val="21"/>
          <w:szCs w:val="21"/>
          <w:highlight w:val="none"/>
        </w:rPr>
        <w:t xml:space="preserve">  </w:t>
      </w:r>
      <w:r>
        <w:rPr>
          <w:rFonts w:hint="eastAsia" w:ascii="宋体" w:hAnsi="宋体"/>
          <w:color w:val="auto"/>
          <w:sz w:val="21"/>
          <w:szCs w:val="21"/>
          <w:highlight w:val="none"/>
        </w:rPr>
        <w:t>最高投标限价</w:t>
      </w:r>
    </w:p>
    <w:p>
      <w:pPr>
        <w:pStyle w:val="25"/>
        <w:spacing w:after="0" w:line="360"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7.2 </w:t>
      </w:r>
      <w:r>
        <w:rPr>
          <w:rFonts w:hint="eastAsia" w:ascii="宋体" w:hAnsi="宋体"/>
          <w:color w:val="auto"/>
          <w:sz w:val="21"/>
          <w:szCs w:val="21"/>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7.3 </w:t>
      </w:r>
      <w:r>
        <w:rPr>
          <w:rFonts w:hint="eastAsia" w:ascii="宋体" w:hAnsi="宋体"/>
          <w:color w:val="auto"/>
          <w:sz w:val="21"/>
          <w:szCs w:val="21"/>
          <w:highlight w:val="none"/>
        </w:rPr>
        <w:t>投标人一旦中标，招标文件的内容对招标人和中标人双方均有约束力。</w:t>
      </w:r>
    </w:p>
    <w:p>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8</w:t>
      </w:r>
      <w:r>
        <w:rPr>
          <w:rFonts w:hint="eastAsia" w:ascii="宋体" w:hAnsi="宋体"/>
          <w:b/>
          <w:bCs/>
          <w:color w:val="auto"/>
          <w:sz w:val="21"/>
          <w:szCs w:val="21"/>
          <w:highlight w:val="none"/>
        </w:rPr>
        <w:t>．招标答疑</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8.1 </w:t>
      </w:r>
      <w:r>
        <w:rPr>
          <w:rFonts w:hint="eastAsia" w:ascii="宋体" w:hAnsi="宋体"/>
          <w:color w:val="auto"/>
          <w:sz w:val="21"/>
          <w:szCs w:val="21"/>
          <w:highlight w:val="none"/>
        </w:rPr>
        <w:t>投标人若对招标文件（包括招标图纸）中有疑问，可以书面形式</w:t>
      </w:r>
      <w:r>
        <w:rPr>
          <w:rFonts w:hint="eastAsia"/>
          <w:color w:val="auto"/>
          <w:sz w:val="21"/>
          <w:szCs w:val="21"/>
          <w:highlight w:val="none"/>
        </w:rPr>
        <w:t>通过</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color w:val="auto"/>
          <w:sz w:val="21"/>
          <w:szCs w:val="21"/>
          <w:highlight w:val="none"/>
        </w:rPr>
        <w:t>提交</w:t>
      </w:r>
      <w:r>
        <w:rPr>
          <w:rFonts w:hint="eastAsia" w:ascii="宋体" w:hAnsi="宋体"/>
          <w:color w:val="auto"/>
          <w:sz w:val="21"/>
          <w:szCs w:val="21"/>
          <w:highlight w:val="none"/>
        </w:rPr>
        <w:t>给招标人或招标代理人，提交形式见本须知前附表第</w:t>
      </w:r>
      <w:r>
        <w:rPr>
          <w:rFonts w:ascii="宋体" w:hAnsi="宋体"/>
          <w:color w:val="auto"/>
          <w:sz w:val="21"/>
          <w:szCs w:val="21"/>
          <w:highlight w:val="none"/>
        </w:rPr>
        <w:t>16</w:t>
      </w:r>
      <w:r>
        <w:rPr>
          <w:rFonts w:hint="eastAsia" w:ascii="宋体" w:hAnsi="宋体"/>
          <w:color w:val="auto"/>
          <w:sz w:val="21"/>
          <w:szCs w:val="21"/>
          <w:highlight w:val="none"/>
        </w:rPr>
        <w:t>项。</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8.2</w:t>
      </w:r>
      <w:r>
        <w:rPr>
          <w:rFonts w:hint="eastAsia" w:ascii="宋体"/>
          <w:color w:val="auto"/>
          <w:sz w:val="21"/>
          <w:szCs w:val="21"/>
          <w:highlight w:val="none"/>
        </w:rPr>
        <w:t>招标答疑会会议纪要将在提交投标文件截止时间15日前在</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 xml:space="preserve"> “项目答疑纪要”专区公开发布。答疑纪要一经在</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发布，视作已发放给所有投标人。</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8.3</w:t>
      </w:r>
      <w:r>
        <w:rPr>
          <w:rFonts w:hint="eastAsia" w:ascii="宋体" w:hAnsi="宋体"/>
          <w:color w:val="auto"/>
          <w:sz w:val="21"/>
          <w:szCs w:val="21"/>
          <w:highlight w:val="none"/>
        </w:rPr>
        <w:t>答疑会会议纪要为招标文件的一部分。</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8.4</w:t>
      </w:r>
      <w:r>
        <w:rPr>
          <w:rFonts w:hint="eastAsia" w:ascii="宋体" w:hAnsi="宋体"/>
          <w:color w:val="auto"/>
          <w:sz w:val="21"/>
          <w:szCs w:val="21"/>
          <w:highlight w:val="none"/>
        </w:rPr>
        <w:t>若招标答疑会会议纪要与招标文件有矛盾，以答疑会议纪要最后发出的书面形式的文件为准。</w:t>
      </w:r>
    </w:p>
    <w:p>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9.</w:t>
      </w:r>
      <w:r>
        <w:rPr>
          <w:rFonts w:hint="eastAsia" w:ascii="宋体" w:hAnsi="宋体"/>
          <w:b/>
          <w:bCs/>
          <w:color w:val="auto"/>
          <w:sz w:val="21"/>
          <w:szCs w:val="21"/>
          <w:highlight w:val="none"/>
        </w:rPr>
        <w:t>招标文件的澄清与修改</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9.1</w:t>
      </w:r>
      <w:r>
        <w:rPr>
          <w:rFonts w:hint="eastAsia" w:ascii="宋体" w:hAnsi="宋体"/>
          <w:color w:val="auto"/>
          <w:sz w:val="21"/>
          <w:szCs w:val="21"/>
          <w:highlight w:val="none"/>
        </w:rPr>
        <w:t>招标文件发出后</w:t>
      </w:r>
      <w:r>
        <w:rPr>
          <w:rFonts w:ascii="宋体"/>
          <w:color w:val="auto"/>
          <w:sz w:val="21"/>
          <w:szCs w:val="21"/>
          <w:highlight w:val="none"/>
        </w:rPr>
        <w:t>,</w:t>
      </w:r>
      <w:r>
        <w:rPr>
          <w:rFonts w:hint="eastAsia" w:ascii="宋体" w:hAnsi="宋体"/>
          <w:color w:val="auto"/>
          <w:sz w:val="21"/>
          <w:szCs w:val="21"/>
          <w:highlight w:val="none"/>
        </w:rPr>
        <w:t>在提交投标文件截止时间15日前，招标人可对招标文件进行必要的澄清或修改。</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9.2</w:t>
      </w:r>
      <w:r>
        <w:rPr>
          <w:rFonts w:hint="eastAsia" w:ascii="宋体"/>
          <w:color w:val="auto"/>
          <w:sz w:val="21"/>
          <w:szCs w:val="21"/>
          <w:highlight w:val="none"/>
        </w:rPr>
        <w:t>招标文件的澄清或修改将在</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“项目答疑纪要”专区公开发布。答疑纪要一经在</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发布，视作已发放给所有投标人，以</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上网发布时间作为送达时间。</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9.3</w:t>
      </w:r>
      <w:r>
        <w:rPr>
          <w:rFonts w:hint="eastAsia" w:ascii="宋体" w:hAnsi="宋体"/>
          <w:color w:val="auto"/>
          <w:sz w:val="21"/>
          <w:szCs w:val="21"/>
          <w:highlight w:val="none"/>
        </w:rPr>
        <w:t>招标文件的修改内容为招标文件的组成部分。</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9.4</w:t>
      </w:r>
      <w:r>
        <w:rPr>
          <w:rFonts w:hint="eastAsia" w:ascii="宋体" w:hAnsi="宋体"/>
          <w:color w:val="auto"/>
          <w:sz w:val="21"/>
          <w:szCs w:val="21"/>
          <w:highlight w:val="none"/>
        </w:rPr>
        <w:t>招标文件的澄清或修改均以书面形式明确的内容为准。当招标文件的澄清、修改、补充等在同一内容的表述不一致时，以最后发出的书面形式的文件为准。</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9.5</w:t>
      </w:r>
      <w:r>
        <w:rPr>
          <w:rFonts w:hint="eastAsia" w:ascii="宋体" w:hAnsi="宋体"/>
          <w:color w:val="auto"/>
          <w:sz w:val="21"/>
          <w:szCs w:val="21"/>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4"/>
        <w:spacing w:before="156" w:after="156"/>
        <w:rPr>
          <w:color w:val="auto"/>
          <w:sz w:val="21"/>
          <w:szCs w:val="21"/>
          <w:highlight w:val="none"/>
        </w:rPr>
      </w:pPr>
      <w:bookmarkStart w:id="7" w:name="_Toc8804"/>
      <w:r>
        <w:rPr>
          <w:rFonts w:hint="eastAsia"/>
          <w:color w:val="auto"/>
          <w:sz w:val="21"/>
          <w:szCs w:val="21"/>
          <w:highlight w:val="none"/>
        </w:rPr>
        <w:t>（三）投标文件的编制</w:t>
      </w:r>
      <w:bookmarkEnd w:id="7"/>
    </w:p>
    <w:p>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10</w:t>
      </w:r>
      <w:r>
        <w:rPr>
          <w:rFonts w:hint="eastAsia" w:ascii="宋体" w:hAnsi="宋体"/>
          <w:b/>
          <w:bCs/>
          <w:color w:val="auto"/>
          <w:sz w:val="21"/>
          <w:szCs w:val="21"/>
          <w:highlight w:val="none"/>
        </w:rPr>
        <w:t>．投标文件的语言及度量衡单位</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10.1 </w:t>
      </w:r>
      <w:r>
        <w:rPr>
          <w:rFonts w:hint="eastAsia" w:ascii="宋体" w:hAnsi="宋体"/>
          <w:color w:val="auto"/>
          <w:sz w:val="21"/>
          <w:szCs w:val="21"/>
          <w:highlight w:val="none"/>
        </w:rPr>
        <w:t>投标文件和与投标有关的所有文件均应使用中文。</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10.2 </w:t>
      </w:r>
      <w:r>
        <w:rPr>
          <w:rFonts w:hint="eastAsia" w:ascii="宋体" w:hAnsi="宋体"/>
          <w:color w:val="auto"/>
          <w:sz w:val="21"/>
          <w:szCs w:val="21"/>
          <w:highlight w:val="none"/>
        </w:rPr>
        <w:t>除工程规范另有规定外，投标文件使用的度量衡单位，均采用中华人民共和国法定计量单位。</w:t>
      </w:r>
    </w:p>
    <w:p>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11</w:t>
      </w:r>
      <w:r>
        <w:rPr>
          <w:rFonts w:hint="eastAsia" w:ascii="宋体" w:hAnsi="宋体"/>
          <w:b/>
          <w:bCs/>
          <w:color w:val="auto"/>
          <w:sz w:val="21"/>
          <w:szCs w:val="21"/>
          <w:highlight w:val="none"/>
        </w:rPr>
        <w:t>．投标文件的组成</w:t>
      </w:r>
    </w:p>
    <w:p>
      <w:pPr>
        <w:pStyle w:val="25"/>
        <w:spacing w:after="0" w:line="360" w:lineRule="auto"/>
        <w:ind w:firstLine="420" w:firstLineChars="200"/>
        <w:rPr>
          <w:rFonts w:ascii="宋体"/>
          <w:b/>
          <w:color w:val="auto"/>
          <w:sz w:val="21"/>
          <w:szCs w:val="21"/>
          <w:highlight w:val="none"/>
        </w:rPr>
      </w:pPr>
      <w:r>
        <w:rPr>
          <w:rFonts w:ascii="宋体" w:hAnsi="宋体"/>
          <w:color w:val="auto"/>
          <w:sz w:val="21"/>
          <w:szCs w:val="21"/>
          <w:highlight w:val="none"/>
        </w:rPr>
        <w:t xml:space="preserve">11.1 </w:t>
      </w:r>
      <w:r>
        <w:rPr>
          <w:rFonts w:hint="eastAsia" w:ascii="宋体" w:hAnsi="宋体"/>
          <w:color w:val="auto"/>
          <w:sz w:val="21"/>
          <w:szCs w:val="21"/>
          <w:highlight w:val="none"/>
        </w:rPr>
        <w:t>投标文件由技术部分（含资格审查文件）和经济部分两部分投标文件组成</w:t>
      </w:r>
      <w:r>
        <w:rPr>
          <w:rFonts w:hint="eastAsia" w:ascii="宋体" w:hAnsi="宋体"/>
          <w:b/>
          <w:color w:val="auto"/>
          <w:sz w:val="21"/>
          <w:szCs w:val="21"/>
          <w:highlight w:val="none"/>
        </w:rPr>
        <w:t>。</w:t>
      </w:r>
    </w:p>
    <w:p>
      <w:pPr>
        <w:spacing w:line="360" w:lineRule="auto"/>
        <w:ind w:firstLine="420" w:firstLineChars="200"/>
        <w:rPr>
          <w:bCs/>
          <w:color w:val="auto"/>
          <w:sz w:val="21"/>
          <w:szCs w:val="21"/>
          <w:highlight w:val="none"/>
        </w:rPr>
      </w:pPr>
      <w:r>
        <w:rPr>
          <w:bCs/>
          <w:color w:val="auto"/>
          <w:sz w:val="21"/>
          <w:szCs w:val="21"/>
          <w:highlight w:val="none"/>
        </w:rPr>
        <w:t>11.2</w:t>
      </w:r>
      <w:r>
        <w:rPr>
          <w:rFonts w:hint="eastAsia"/>
          <w:bCs/>
          <w:color w:val="auto"/>
          <w:sz w:val="21"/>
          <w:szCs w:val="21"/>
          <w:highlight w:val="none"/>
        </w:rPr>
        <w:t>投标文件技术标部分主要包括下列内容</w:t>
      </w:r>
      <w:r>
        <w:rPr>
          <w:bCs/>
          <w:color w:val="auto"/>
          <w:sz w:val="21"/>
          <w:szCs w:val="21"/>
          <w:highlight w:val="none"/>
        </w:rPr>
        <w:t>:</w:t>
      </w:r>
    </w:p>
    <w:p>
      <w:pPr>
        <w:spacing w:line="360" w:lineRule="auto"/>
        <w:ind w:firstLine="420" w:firstLineChars="200"/>
        <w:rPr>
          <w:bCs/>
          <w:color w:val="auto"/>
          <w:sz w:val="21"/>
          <w:szCs w:val="21"/>
          <w:highlight w:val="none"/>
        </w:rPr>
      </w:pPr>
      <w:r>
        <w:rPr>
          <w:rFonts w:hint="eastAsia"/>
          <w:bCs/>
          <w:color w:val="auto"/>
          <w:sz w:val="21"/>
          <w:szCs w:val="21"/>
          <w:highlight w:val="none"/>
        </w:rPr>
        <w:t>11.2.1 技术投标文件</w:t>
      </w:r>
      <w:r>
        <w:rPr>
          <w:color w:val="auto"/>
          <w:sz w:val="21"/>
          <w:szCs w:val="21"/>
          <w:highlight w:val="none"/>
        </w:rPr>
        <w:t>(</w:t>
      </w:r>
      <w:r>
        <w:rPr>
          <w:rFonts w:hint="eastAsia"/>
          <w:color w:val="auto"/>
          <w:sz w:val="21"/>
          <w:szCs w:val="21"/>
          <w:highlight w:val="none"/>
        </w:rPr>
        <w:t>按招标文件的要求填写</w:t>
      </w:r>
      <w:r>
        <w:rPr>
          <w:color w:val="auto"/>
          <w:sz w:val="21"/>
          <w:szCs w:val="21"/>
          <w:highlight w:val="none"/>
        </w:rPr>
        <w:t>)</w:t>
      </w:r>
      <w:r>
        <w:rPr>
          <w:rFonts w:hint="eastAsia"/>
          <w:bCs/>
          <w:color w:val="auto"/>
          <w:sz w:val="21"/>
          <w:szCs w:val="21"/>
          <w:highlight w:val="none"/>
        </w:rPr>
        <w:t>；</w:t>
      </w:r>
    </w:p>
    <w:p>
      <w:pPr>
        <w:spacing w:line="360" w:lineRule="auto"/>
        <w:ind w:firstLine="420" w:firstLineChars="200"/>
        <w:rPr>
          <w:bCs/>
          <w:color w:val="auto"/>
          <w:sz w:val="21"/>
          <w:szCs w:val="21"/>
          <w:highlight w:val="none"/>
        </w:rPr>
      </w:pPr>
      <w:r>
        <w:rPr>
          <w:rFonts w:hint="eastAsia"/>
          <w:bCs/>
          <w:color w:val="auto"/>
          <w:sz w:val="21"/>
          <w:szCs w:val="21"/>
          <w:highlight w:val="none"/>
        </w:rPr>
        <w:t>11.2.2 资格审查文件：</w:t>
      </w:r>
    </w:p>
    <w:p>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 xml:space="preserve">（1）投标人声明； </w:t>
      </w:r>
    </w:p>
    <w:p>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（2）法定代表人证明书、法定代表人签字或盖章的本投标文件授权委托证明书；</w:t>
      </w:r>
    </w:p>
    <w:p>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（3）企业营业执照扫描件或电子证照；</w:t>
      </w:r>
    </w:p>
    <w:p>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（4）企业资质证书扫描件或电子证照；</w:t>
      </w:r>
    </w:p>
    <w:p>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（5）建筑施工企业安全生产许可证扫描件或电子证照；</w:t>
      </w:r>
    </w:p>
    <w:p>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（6）项目负责人（按网上投标登记时选择拟投入本项目的项目负责人）</w:t>
      </w:r>
    </w:p>
    <w:p>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（7）专职安全员（按网上投标登记时选择拟投入本项目的专职安全员）</w:t>
      </w:r>
    </w:p>
    <w:p>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（8）拟委托技术负责人的相关证书、资料（具体要求由招标人明确）</w:t>
      </w:r>
    </w:p>
    <w:p>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 xml:space="preserve">（9）拟委派项目负责人的有效期内的建造师注册证书扫描件或电子证书；  </w:t>
      </w:r>
    </w:p>
    <w:p>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（10）项目负责人在有效期内的安全生产考核合格证书（B类）或建筑施工企业项目负责人安全生产考核合格证书扫描件或电子证书；</w:t>
      </w:r>
    </w:p>
    <w:p>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（11）专职安全员须具有在有效期内的安全生产考核合格证书（C类）或建筑施工企业专职安全生产管理人员安全生产考核合格证书扫描件或电子证书；</w:t>
      </w:r>
    </w:p>
    <w:p>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注：1.相关电子证书按规定需打印后手写本人签名的，应按照规定手写本人签名后再扫描提交。</w:t>
      </w:r>
    </w:p>
    <w:p>
      <w:pPr>
        <w:numPr>
          <w:ilvl w:val="0"/>
          <w:numId w:val="2"/>
        </w:numPr>
        <w:spacing w:line="360" w:lineRule="auto"/>
        <w:ind w:firstLine="420" w:firstLineChars="200"/>
        <w:rPr>
          <w:rFonts w:hint="eastAsia"/>
          <w:bCs/>
          <w:color w:val="auto"/>
          <w:sz w:val="21"/>
          <w:szCs w:val="21"/>
          <w:highlight w:val="none"/>
        </w:rPr>
      </w:pPr>
      <w:r>
        <w:rPr>
          <w:rFonts w:hint="eastAsia"/>
          <w:bCs/>
          <w:color w:val="auto"/>
          <w:sz w:val="21"/>
          <w:szCs w:val="21"/>
          <w:highlight w:val="none"/>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20" w:firstLineChars="200"/>
        <w:rPr>
          <w:color w:val="auto"/>
          <w:sz w:val="21"/>
          <w:szCs w:val="21"/>
          <w:highlight w:val="none"/>
        </w:rPr>
      </w:pPr>
      <w:r>
        <w:rPr>
          <w:color w:val="auto"/>
          <w:sz w:val="21"/>
          <w:szCs w:val="21"/>
          <w:highlight w:val="none"/>
        </w:rPr>
        <w:t>11.2.3</w:t>
      </w:r>
      <w:r>
        <w:rPr>
          <w:rFonts w:hint="eastAsia"/>
          <w:color w:val="auto"/>
          <w:sz w:val="21"/>
          <w:szCs w:val="21"/>
          <w:highlight w:val="none"/>
        </w:rPr>
        <w:t>项目管理机构配备。</w:t>
      </w:r>
    </w:p>
    <w:p>
      <w:pPr>
        <w:spacing w:line="360" w:lineRule="auto"/>
        <w:ind w:firstLine="420" w:firstLineChars="200"/>
        <w:rPr>
          <w:color w:val="auto"/>
          <w:sz w:val="21"/>
          <w:szCs w:val="21"/>
          <w:highlight w:val="none"/>
        </w:rPr>
      </w:pPr>
      <w:r>
        <w:rPr>
          <w:rFonts w:hint="eastAsia"/>
          <w:color w:val="auto"/>
          <w:sz w:val="21"/>
          <w:szCs w:val="21"/>
          <w:highlight w:val="none"/>
        </w:rPr>
        <w:t>（</w:t>
      </w:r>
      <w:r>
        <w:rPr>
          <w:color w:val="auto"/>
          <w:sz w:val="21"/>
          <w:szCs w:val="21"/>
          <w:highlight w:val="none"/>
        </w:rPr>
        <w:t>1</w:t>
      </w:r>
      <w:r>
        <w:rPr>
          <w:rFonts w:hint="eastAsia"/>
          <w:color w:val="auto"/>
          <w:sz w:val="21"/>
          <w:szCs w:val="21"/>
          <w:highlight w:val="none"/>
        </w:rPr>
        <w:t>）投标人应列出该项目工程的施工组织机构构成和画出机构框架图及其负责人；</w:t>
      </w:r>
    </w:p>
    <w:p>
      <w:pPr>
        <w:spacing w:line="360" w:lineRule="auto"/>
        <w:ind w:firstLine="420" w:firstLineChars="200"/>
        <w:rPr>
          <w:color w:val="auto"/>
          <w:sz w:val="21"/>
          <w:szCs w:val="21"/>
          <w:highlight w:val="none"/>
        </w:rPr>
      </w:pPr>
      <w:r>
        <w:rPr>
          <w:rFonts w:hint="eastAsia"/>
          <w:color w:val="auto"/>
          <w:sz w:val="21"/>
          <w:szCs w:val="21"/>
          <w:highlight w:val="none"/>
        </w:rPr>
        <w:t>（</w:t>
      </w:r>
      <w:r>
        <w:rPr>
          <w:color w:val="auto"/>
          <w:sz w:val="21"/>
          <w:szCs w:val="21"/>
          <w:highlight w:val="none"/>
        </w:rPr>
        <w:t>2</w:t>
      </w:r>
      <w:r>
        <w:rPr>
          <w:rFonts w:hint="eastAsia"/>
          <w:color w:val="auto"/>
          <w:sz w:val="21"/>
          <w:szCs w:val="21"/>
          <w:highlight w:val="none"/>
        </w:rPr>
        <w:t>）投标人应详细列出该施工组织机构中主要成员的名单、简历资料、职务职称和在本项目中拟担任的职务等资料，并附上有关证明材料扫描件；</w:t>
      </w:r>
    </w:p>
    <w:p>
      <w:pPr>
        <w:spacing w:line="360" w:lineRule="auto"/>
        <w:ind w:firstLine="420" w:firstLineChars="200"/>
        <w:rPr>
          <w:color w:val="auto"/>
          <w:sz w:val="21"/>
          <w:szCs w:val="21"/>
          <w:highlight w:val="none"/>
        </w:rPr>
      </w:pPr>
      <w:r>
        <w:rPr>
          <w:rFonts w:hint="eastAsia"/>
          <w:color w:val="auto"/>
          <w:sz w:val="21"/>
          <w:szCs w:val="21"/>
          <w:highlight w:val="none"/>
        </w:rPr>
        <w:t>（</w:t>
      </w:r>
      <w:r>
        <w:rPr>
          <w:color w:val="auto"/>
          <w:sz w:val="21"/>
          <w:szCs w:val="21"/>
          <w:highlight w:val="none"/>
        </w:rPr>
        <w:t>3</w:t>
      </w:r>
      <w:r>
        <w:rPr>
          <w:rFonts w:hint="eastAsia"/>
          <w:color w:val="auto"/>
          <w:sz w:val="21"/>
          <w:szCs w:val="21"/>
          <w:highlight w:val="none"/>
        </w:rPr>
        <w:t>）其他辅助说明资料。</w:t>
      </w:r>
    </w:p>
    <w:p>
      <w:pPr>
        <w:spacing w:line="360" w:lineRule="auto"/>
        <w:ind w:firstLine="420" w:firstLineChars="200"/>
        <w:rPr>
          <w:color w:val="auto"/>
          <w:sz w:val="21"/>
          <w:szCs w:val="21"/>
          <w:highlight w:val="none"/>
        </w:rPr>
      </w:pPr>
      <w:r>
        <w:rPr>
          <w:color w:val="auto"/>
          <w:sz w:val="21"/>
          <w:szCs w:val="21"/>
          <w:highlight w:val="none"/>
        </w:rPr>
        <w:t>11.2.4</w:t>
      </w:r>
      <w:r>
        <w:rPr>
          <w:rFonts w:hint="eastAsia"/>
          <w:color w:val="auto"/>
          <w:sz w:val="21"/>
          <w:szCs w:val="21"/>
          <w:highlight w:val="none"/>
        </w:rPr>
        <w:t>投标人在</w:t>
      </w:r>
      <w:r>
        <w:rPr>
          <w:rFonts w:hint="default"/>
          <w:color w:val="auto"/>
          <w:sz w:val="21"/>
          <w:szCs w:val="21"/>
          <w:highlight w:val="none"/>
          <w:lang w:val="en-US"/>
        </w:rPr>
        <w:t>广州</w:t>
      </w:r>
      <w:r>
        <w:rPr>
          <w:rFonts w:hint="eastAsia"/>
          <w:color w:val="auto"/>
          <w:sz w:val="21"/>
          <w:szCs w:val="21"/>
          <w:highlight w:val="none"/>
        </w:rPr>
        <w:t>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hint="eastAsia"/>
          <w:color w:val="auto"/>
          <w:sz w:val="21"/>
          <w:szCs w:val="21"/>
          <w:highlight w:val="none"/>
        </w:rPr>
      </w:pPr>
      <w:r>
        <w:rPr>
          <w:color w:val="auto"/>
          <w:sz w:val="21"/>
          <w:szCs w:val="21"/>
          <w:highlight w:val="none"/>
        </w:rPr>
        <w:t>11.2.</w:t>
      </w:r>
      <w:r>
        <w:rPr>
          <w:rFonts w:hint="default"/>
          <w:color w:val="auto"/>
          <w:sz w:val="21"/>
          <w:szCs w:val="21"/>
          <w:highlight w:val="none"/>
          <w:lang w:val="en-US"/>
        </w:rPr>
        <w:t>5</w:t>
      </w:r>
      <w:r>
        <w:rPr>
          <w:rFonts w:hint="eastAsia"/>
          <w:color w:val="auto"/>
          <w:sz w:val="21"/>
          <w:szCs w:val="21"/>
          <w:highlight w:val="none"/>
        </w:rPr>
        <w:t>施工组织设计或施工方案。</w:t>
      </w:r>
    </w:p>
    <w:p>
      <w:pPr>
        <w:tabs>
          <w:tab w:val="left" w:pos="1125"/>
        </w:tabs>
        <w:spacing w:line="360" w:lineRule="auto"/>
        <w:ind w:firstLine="420" w:firstLineChars="200"/>
        <w:rPr>
          <w:rFonts w:hint="eastAsia"/>
          <w:color w:val="auto"/>
          <w:sz w:val="21"/>
          <w:szCs w:val="21"/>
          <w:highlight w:val="none"/>
        </w:rPr>
      </w:pPr>
      <w:r>
        <w:rPr>
          <w:rFonts w:hint="eastAsia"/>
          <w:color w:val="auto"/>
          <w:sz w:val="21"/>
          <w:szCs w:val="21"/>
          <w:highlight w:val="none"/>
        </w:rPr>
        <w:t>（1）投标人在编制施工组织设计或施工方案时应按照招标人提出的施工现场建筑垃圾源头减量的具体要求以及建筑垃圾综合利用产品的使用要求提供相应措施。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20" w:firstLineChars="200"/>
        <w:rPr>
          <w:color w:val="auto"/>
          <w:sz w:val="21"/>
          <w:szCs w:val="21"/>
          <w:highlight w:val="none"/>
        </w:rPr>
      </w:pPr>
      <w:r>
        <w:rPr>
          <w:rFonts w:hint="eastAsia"/>
          <w:color w:val="auto"/>
          <w:sz w:val="21"/>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tabs>
          <w:tab w:val="left" w:pos="1125"/>
        </w:tabs>
        <w:spacing w:line="360" w:lineRule="auto"/>
        <w:ind w:firstLine="420" w:firstLineChars="200"/>
        <w:rPr>
          <w:color w:val="auto"/>
          <w:sz w:val="21"/>
          <w:szCs w:val="21"/>
          <w:highlight w:val="none"/>
        </w:rPr>
      </w:pPr>
      <w:r>
        <w:rPr>
          <w:color w:val="auto"/>
          <w:sz w:val="21"/>
          <w:szCs w:val="21"/>
          <w:highlight w:val="none"/>
        </w:rPr>
        <w:t>11.2.</w:t>
      </w:r>
      <w:r>
        <w:rPr>
          <w:rFonts w:hint="default"/>
          <w:color w:val="auto"/>
          <w:sz w:val="21"/>
          <w:szCs w:val="21"/>
          <w:highlight w:val="none"/>
          <w:lang w:val="en-US"/>
        </w:rPr>
        <w:t>6</w:t>
      </w:r>
      <w:r>
        <w:rPr>
          <w:rFonts w:hint="eastAsia"/>
          <w:color w:val="auto"/>
          <w:sz w:val="21"/>
          <w:szCs w:val="21"/>
          <w:highlight w:val="none"/>
        </w:rPr>
        <w:t>按照</w:t>
      </w:r>
      <w:r>
        <w:rPr>
          <w:rFonts w:hint="eastAsia"/>
          <w:bCs/>
          <w:color w:val="auto"/>
          <w:sz w:val="21"/>
          <w:szCs w:val="21"/>
          <w:highlight w:val="none"/>
        </w:rPr>
        <w:t>招标文件要求</w:t>
      </w:r>
      <w:r>
        <w:rPr>
          <w:rFonts w:hint="eastAsia"/>
          <w:color w:val="auto"/>
          <w:sz w:val="21"/>
          <w:szCs w:val="21"/>
          <w:highlight w:val="none"/>
        </w:rPr>
        <w:t>填写的《参与编制技术标投标文件人员名单》。</w:t>
      </w:r>
    </w:p>
    <w:p>
      <w:pPr>
        <w:spacing w:line="360" w:lineRule="auto"/>
        <w:ind w:firstLine="420" w:firstLineChars="200"/>
        <w:rPr>
          <w:bCs/>
          <w:color w:val="auto"/>
          <w:sz w:val="21"/>
          <w:szCs w:val="21"/>
          <w:highlight w:val="none"/>
        </w:rPr>
      </w:pPr>
      <w:r>
        <w:rPr>
          <w:bCs/>
          <w:color w:val="auto"/>
          <w:sz w:val="21"/>
          <w:szCs w:val="21"/>
          <w:highlight w:val="none"/>
        </w:rPr>
        <w:t xml:space="preserve">11.3 </w:t>
      </w:r>
      <w:r>
        <w:rPr>
          <w:rFonts w:hint="eastAsia"/>
          <w:bCs/>
          <w:color w:val="auto"/>
          <w:sz w:val="21"/>
          <w:szCs w:val="21"/>
          <w:highlight w:val="none"/>
        </w:rPr>
        <w:t>经济部分投标文件主要包括下列内容：</w:t>
      </w:r>
    </w:p>
    <w:p>
      <w:pPr>
        <w:spacing w:line="360" w:lineRule="auto"/>
        <w:ind w:firstLine="420" w:firstLineChars="200"/>
        <w:rPr>
          <w:color w:val="auto"/>
          <w:sz w:val="21"/>
          <w:szCs w:val="21"/>
          <w:highlight w:val="none"/>
        </w:rPr>
      </w:pPr>
      <w:r>
        <w:rPr>
          <w:color w:val="auto"/>
          <w:sz w:val="21"/>
          <w:szCs w:val="21"/>
          <w:highlight w:val="none"/>
        </w:rPr>
        <w:t xml:space="preserve">11.3.1 </w:t>
      </w:r>
      <w:r>
        <w:rPr>
          <w:rFonts w:hint="eastAsia"/>
          <w:color w:val="auto"/>
          <w:sz w:val="21"/>
          <w:szCs w:val="21"/>
          <w:highlight w:val="none"/>
        </w:rPr>
        <w:t>经济投标文件</w:t>
      </w:r>
      <w:r>
        <w:rPr>
          <w:color w:val="auto"/>
          <w:sz w:val="21"/>
          <w:szCs w:val="21"/>
          <w:highlight w:val="none"/>
        </w:rPr>
        <w:t>(</w:t>
      </w:r>
      <w:r>
        <w:rPr>
          <w:rFonts w:hint="eastAsia"/>
          <w:color w:val="auto"/>
          <w:sz w:val="21"/>
          <w:szCs w:val="21"/>
          <w:highlight w:val="none"/>
        </w:rPr>
        <w:t>按招标文件的要求填写</w:t>
      </w:r>
      <w:r>
        <w:rPr>
          <w:color w:val="auto"/>
          <w:sz w:val="21"/>
          <w:szCs w:val="21"/>
          <w:highlight w:val="none"/>
        </w:rPr>
        <w:t>)</w:t>
      </w:r>
      <w:r>
        <w:rPr>
          <w:rFonts w:hint="eastAsia"/>
          <w:color w:val="auto"/>
          <w:sz w:val="21"/>
          <w:szCs w:val="21"/>
          <w:highlight w:val="none"/>
        </w:rPr>
        <w:t>。</w:t>
      </w:r>
    </w:p>
    <w:p>
      <w:pPr>
        <w:spacing w:line="360" w:lineRule="auto"/>
        <w:ind w:firstLine="420" w:firstLineChars="200"/>
        <w:rPr>
          <w:color w:val="auto"/>
          <w:sz w:val="21"/>
          <w:szCs w:val="21"/>
          <w:highlight w:val="none"/>
        </w:rPr>
      </w:pPr>
      <w:r>
        <w:rPr>
          <w:color w:val="auto"/>
          <w:sz w:val="21"/>
          <w:szCs w:val="21"/>
          <w:highlight w:val="none"/>
        </w:rPr>
        <w:t>11.3.2</w:t>
      </w:r>
      <w:r>
        <w:rPr>
          <w:rFonts w:hint="eastAsia"/>
          <w:color w:val="auto"/>
          <w:sz w:val="21"/>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color w:val="auto"/>
          <w:sz w:val="21"/>
          <w:szCs w:val="21"/>
          <w:highlight w:val="none"/>
        </w:rPr>
        <w:t xml:space="preserve"> </w:t>
      </w:r>
    </w:p>
    <w:p>
      <w:pPr>
        <w:spacing w:line="360" w:lineRule="auto"/>
        <w:ind w:firstLine="495" w:firstLineChars="236"/>
        <w:rPr>
          <w:color w:val="auto"/>
          <w:sz w:val="21"/>
          <w:szCs w:val="21"/>
          <w:highlight w:val="none"/>
        </w:rPr>
      </w:pPr>
      <w:r>
        <w:rPr>
          <w:rFonts w:hint="eastAsia"/>
          <w:color w:val="auto"/>
          <w:sz w:val="21"/>
          <w:szCs w:val="21"/>
          <w:highlight w:val="none"/>
        </w:rPr>
        <w:t>（</w:t>
      </w:r>
      <w:r>
        <w:rPr>
          <w:color w:val="auto"/>
          <w:sz w:val="21"/>
          <w:szCs w:val="21"/>
          <w:highlight w:val="none"/>
        </w:rPr>
        <w:t>1</w:t>
      </w:r>
      <w:r>
        <w:rPr>
          <w:rFonts w:hint="eastAsia"/>
          <w:color w:val="auto"/>
          <w:sz w:val="21"/>
          <w:szCs w:val="21"/>
          <w:highlight w:val="none"/>
        </w:rPr>
        <w:t>）投标总价封面、扉页；</w:t>
      </w:r>
    </w:p>
    <w:p>
      <w:pPr>
        <w:spacing w:line="360" w:lineRule="auto"/>
        <w:ind w:firstLine="495" w:firstLineChars="236"/>
        <w:rPr>
          <w:color w:val="auto"/>
          <w:sz w:val="21"/>
          <w:szCs w:val="21"/>
          <w:highlight w:val="none"/>
        </w:rPr>
      </w:pPr>
      <w:r>
        <w:rPr>
          <w:rFonts w:hint="eastAsia"/>
          <w:color w:val="auto"/>
          <w:sz w:val="21"/>
          <w:szCs w:val="21"/>
          <w:highlight w:val="none"/>
        </w:rPr>
        <w:t>（</w:t>
      </w:r>
      <w:r>
        <w:rPr>
          <w:color w:val="auto"/>
          <w:sz w:val="21"/>
          <w:szCs w:val="21"/>
          <w:highlight w:val="none"/>
        </w:rPr>
        <w:t>2</w:t>
      </w:r>
      <w:r>
        <w:rPr>
          <w:rFonts w:hint="eastAsia"/>
          <w:color w:val="auto"/>
          <w:sz w:val="21"/>
          <w:szCs w:val="21"/>
          <w:highlight w:val="none"/>
        </w:rPr>
        <w:t>）总说明</w:t>
      </w:r>
    </w:p>
    <w:p>
      <w:pPr>
        <w:spacing w:line="360" w:lineRule="auto"/>
        <w:ind w:firstLine="495" w:firstLineChars="236"/>
        <w:rPr>
          <w:color w:val="auto"/>
          <w:sz w:val="21"/>
          <w:szCs w:val="21"/>
          <w:highlight w:val="none"/>
        </w:rPr>
      </w:pPr>
      <w:r>
        <w:rPr>
          <w:rFonts w:hint="eastAsia"/>
          <w:color w:val="auto"/>
          <w:sz w:val="21"/>
          <w:szCs w:val="21"/>
          <w:highlight w:val="none"/>
        </w:rPr>
        <w:t>（3）工程项目投标报价汇总表；</w:t>
      </w:r>
    </w:p>
    <w:p>
      <w:pPr>
        <w:spacing w:line="360" w:lineRule="auto"/>
        <w:ind w:firstLine="495" w:firstLineChars="236"/>
        <w:rPr>
          <w:color w:val="auto"/>
          <w:sz w:val="21"/>
          <w:szCs w:val="21"/>
          <w:highlight w:val="none"/>
        </w:rPr>
      </w:pPr>
      <w:r>
        <w:rPr>
          <w:rFonts w:hint="eastAsia"/>
          <w:color w:val="auto"/>
          <w:sz w:val="21"/>
          <w:szCs w:val="21"/>
          <w:highlight w:val="none"/>
        </w:rPr>
        <w:t>（4）单项工程投标报价汇总表；</w:t>
      </w:r>
    </w:p>
    <w:p>
      <w:pPr>
        <w:spacing w:line="360" w:lineRule="auto"/>
        <w:ind w:firstLine="495" w:firstLineChars="236"/>
        <w:rPr>
          <w:color w:val="auto"/>
          <w:sz w:val="21"/>
          <w:szCs w:val="21"/>
          <w:highlight w:val="none"/>
        </w:rPr>
      </w:pPr>
      <w:r>
        <w:rPr>
          <w:rFonts w:hint="eastAsia"/>
          <w:color w:val="auto"/>
          <w:sz w:val="21"/>
          <w:szCs w:val="21"/>
          <w:highlight w:val="none"/>
        </w:rPr>
        <w:t>（5）单位工程投标报价汇总表；</w:t>
      </w:r>
    </w:p>
    <w:p>
      <w:pPr>
        <w:spacing w:line="360" w:lineRule="auto"/>
        <w:ind w:firstLine="495" w:firstLineChars="236"/>
        <w:rPr>
          <w:color w:val="auto"/>
          <w:sz w:val="21"/>
          <w:szCs w:val="21"/>
          <w:highlight w:val="none"/>
        </w:rPr>
      </w:pPr>
      <w:r>
        <w:rPr>
          <w:rFonts w:hint="eastAsia"/>
          <w:color w:val="auto"/>
          <w:sz w:val="21"/>
          <w:szCs w:val="21"/>
          <w:highlight w:val="none"/>
        </w:rPr>
        <w:t>（6）分部分项工程清单与计价表；</w:t>
      </w:r>
    </w:p>
    <w:p>
      <w:pPr>
        <w:spacing w:line="360" w:lineRule="auto"/>
        <w:ind w:firstLine="495" w:firstLineChars="236"/>
        <w:rPr>
          <w:color w:val="auto"/>
          <w:sz w:val="21"/>
          <w:szCs w:val="21"/>
          <w:highlight w:val="none"/>
        </w:rPr>
      </w:pPr>
      <w:r>
        <w:rPr>
          <w:rFonts w:hint="eastAsia"/>
          <w:color w:val="auto"/>
          <w:sz w:val="21"/>
          <w:szCs w:val="21"/>
          <w:highlight w:val="none"/>
        </w:rPr>
        <w:t>（7）单价措施项目清单与计价表；</w:t>
      </w:r>
    </w:p>
    <w:p>
      <w:pPr>
        <w:spacing w:line="360" w:lineRule="auto"/>
        <w:ind w:firstLine="495" w:firstLineChars="236"/>
        <w:rPr>
          <w:color w:val="auto"/>
          <w:sz w:val="21"/>
          <w:szCs w:val="21"/>
          <w:highlight w:val="none"/>
        </w:rPr>
      </w:pPr>
      <w:r>
        <w:rPr>
          <w:rFonts w:hint="eastAsia"/>
          <w:color w:val="auto"/>
          <w:sz w:val="21"/>
          <w:szCs w:val="21"/>
          <w:highlight w:val="none"/>
        </w:rPr>
        <w:t>（8）总价措施项目清单与计价表；</w:t>
      </w:r>
    </w:p>
    <w:p>
      <w:pPr>
        <w:spacing w:line="360" w:lineRule="auto"/>
        <w:ind w:firstLine="495" w:firstLineChars="236"/>
        <w:rPr>
          <w:color w:val="auto"/>
          <w:sz w:val="21"/>
          <w:szCs w:val="21"/>
          <w:highlight w:val="none"/>
        </w:rPr>
      </w:pPr>
      <w:r>
        <w:rPr>
          <w:rFonts w:hint="eastAsia"/>
          <w:color w:val="auto"/>
          <w:sz w:val="21"/>
          <w:szCs w:val="21"/>
          <w:highlight w:val="none"/>
        </w:rPr>
        <w:t>（9）综合单价分析表；</w:t>
      </w:r>
    </w:p>
    <w:p>
      <w:pPr>
        <w:spacing w:line="360" w:lineRule="auto"/>
        <w:ind w:firstLine="495" w:firstLineChars="236"/>
        <w:rPr>
          <w:color w:val="auto"/>
          <w:sz w:val="21"/>
          <w:szCs w:val="21"/>
          <w:highlight w:val="none"/>
        </w:rPr>
      </w:pPr>
      <w:r>
        <w:rPr>
          <w:rFonts w:hint="eastAsia"/>
          <w:color w:val="auto"/>
          <w:sz w:val="21"/>
          <w:szCs w:val="21"/>
          <w:highlight w:val="none"/>
        </w:rPr>
        <w:t>（10）其他项目清单与计价汇总表；</w:t>
      </w:r>
    </w:p>
    <w:p>
      <w:pPr>
        <w:spacing w:line="360" w:lineRule="auto"/>
        <w:ind w:firstLine="495" w:firstLineChars="236"/>
        <w:rPr>
          <w:color w:val="auto"/>
          <w:sz w:val="21"/>
          <w:szCs w:val="21"/>
          <w:highlight w:val="none"/>
        </w:rPr>
      </w:pPr>
      <w:r>
        <w:rPr>
          <w:rFonts w:hint="eastAsia"/>
          <w:color w:val="auto"/>
          <w:sz w:val="21"/>
          <w:szCs w:val="21"/>
          <w:highlight w:val="none"/>
        </w:rPr>
        <w:t>（11）暂列金额明细表；</w:t>
      </w:r>
    </w:p>
    <w:p>
      <w:pPr>
        <w:spacing w:line="360" w:lineRule="auto"/>
        <w:ind w:firstLine="495" w:firstLineChars="236"/>
        <w:rPr>
          <w:color w:val="auto"/>
          <w:sz w:val="21"/>
          <w:szCs w:val="21"/>
          <w:highlight w:val="none"/>
        </w:rPr>
      </w:pPr>
      <w:r>
        <w:rPr>
          <w:rFonts w:hint="eastAsia"/>
          <w:color w:val="auto"/>
          <w:sz w:val="21"/>
          <w:szCs w:val="21"/>
          <w:highlight w:val="none"/>
        </w:rPr>
        <w:t>（12）材料（工程设备）暂估价明细表；</w:t>
      </w:r>
    </w:p>
    <w:p>
      <w:pPr>
        <w:spacing w:line="360" w:lineRule="auto"/>
        <w:ind w:firstLine="495" w:firstLineChars="236"/>
        <w:rPr>
          <w:color w:val="auto"/>
          <w:sz w:val="21"/>
          <w:szCs w:val="21"/>
          <w:highlight w:val="none"/>
        </w:rPr>
      </w:pPr>
      <w:r>
        <w:rPr>
          <w:rFonts w:hint="eastAsia"/>
          <w:color w:val="auto"/>
          <w:sz w:val="21"/>
          <w:szCs w:val="21"/>
          <w:highlight w:val="none"/>
        </w:rPr>
        <w:t>（13）专业工程暂估价明细表；</w:t>
      </w:r>
    </w:p>
    <w:p>
      <w:pPr>
        <w:spacing w:line="360" w:lineRule="auto"/>
        <w:ind w:firstLine="495" w:firstLineChars="236"/>
        <w:rPr>
          <w:color w:val="auto"/>
          <w:sz w:val="21"/>
          <w:szCs w:val="21"/>
          <w:highlight w:val="none"/>
        </w:rPr>
      </w:pPr>
      <w:r>
        <w:rPr>
          <w:rFonts w:hint="eastAsia"/>
          <w:color w:val="auto"/>
          <w:sz w:val="21"/>
          <w:szCs w:val="21"/>
          <w:highlight w:val="none"/>
        </w:rPr>
        <w:t>（14）计日工表；</w:t>
      </w:r>
    </w:p>
    <w:p>
      <w:pPr>
        <w:spacing w:line="360" w:lineRule="auto"/>
        <w:ind w:firstLine="495" w:firstLineChars="236"/>
        <w:rPr>
          <w:color w:val="auto"/>
          <w:sz w:val="21"/>
          <w:szCs w:val="21"/>
          <w:highlight w:val="none"/>
        </w:rPr>
      </w:pPr>
      <w:r>
        <w:rPr>
          <w:rFonts w:hint="eastAsia"/>
          <w:color w:val="auto"/>
          <w:sz w:val="21"/>
          <w:szCs w:val="21"/>
          <w:highlight w:val="none"/>
        </w:rPr>
        <w:t>（15）总承包服务计价表；</w:t>
      </w:r>
    </w:p>
    <w:p>
      <w:pPr>
        <w:spacing w:line="360" w:lineRule="auto"/>
        <w:ind w:firstLine="495" w:firstLineChars="236"/>
        <w:rPr>
          <w:color w:val="auto"/>
          <w:sz w:val="21"/>
          <w:szCs w:val="21"/>
          <w:highlight w:val="none"/>
        </w:rPr>
      </w:pPr>
      <w:r>
        <w:rPr>
          <w:rFonts w:hint="eastAsia"/>
          <w:color w:val="auto"/>
          <w:sz w:val="21"/>
          <w:szCs w:val="21"/>
          <w:highlight w:val="none"/>
        </w:rPr>
        <w:t>（16）规费和税金项目计价表；</w:t>
      </w:r>
    </w:p>
    <w:p>
      <w:pPr>
        <w:spacing w:line="360" w:lineRule="auto"/>
        <w:ind w:firstLine="420" w:firstLineChars="200"/>
        <w:rPr>
          <w:color w:val="auto"/>
          <w:sz w:val="21"/>
          <w:szCs w:val="21"/>
          <w:highlight w:val="none"/>
        </w:rPr>
      </w:pPr>
      <w:r>
        <w:rPr>
          <w:rFonts w:hint="eastAsia"/>
          <w:color w:val="auto"/>
          <w:sz w:val="21"/>
          <w:szCs w:val="21"/>
          <w:highlight w:val="none"/>
        </w:rPr>
        <w:t xml:space="preserve"> （17）人工、主要材料和设备一览表</w:t>
      </w:r>
    </w:p>
    <w:p>
      <w:pPr>
        <w:tabs>
          <w:tab w:val="left" w:pos="1125"/>
        </w:tabs>
        <w:spacing w:line="360" w:lineRule="auto"/>
        <w:ind w:firstLine="420" w:firstLineChars="200"/>
        <w:rPr>
          <w:color w:val="auto"/>
          <w:sz w:val="21"/>
          <w:szCs w:val="21"/>
          <w:highlight w:val="none"/>
        </w:rPr>
      </w:pPr>
      <w:r>
        <w:rPr>
          <w:color w:val="auto"/>
          <w:sz w:val="21"/>
          <w:szCs w:val="21"/>
          <w:highlight w:val="none"/>
        </w:rPr>
        <w:t>11.3.</w:t>
      </w:r>
      <w:r>
        <w:rPr>
          <w:rFonts w:hint="eastAsia"/>
          <w:color w:val="auto"/>
          <w:sz w:val="21"/>
          <w:szCs w:val="21"/>
          <w:highlight w:val="none"/>
        </w:rPr>
        <w:t>3按照</w:t>
      </w:r>
      <w:r>
        <w:rPr>
          <w:rFonts w:hint="eastAsia"/>
          <w:bCs/>
          <w:color w:val="auto"/>
          <w:sz w:val="21"/>
          <w:szCs w:val="21"/>
          <w:highlight w:val="none"/>
        </w:rPr>
        <w:t>招标文件要求</w:t>
      </w:r>
      <w:r>
        <w:rPr>
          <w:rFonts w:hint="eastAsia"/>
          <w:color w:val="auto"/>
          <w:sz w:val="21"/>
          <w:szCs w:val="21"/>
          <w:highlight w:val="none"/>
        </w:rPr>
        <w:t>填写的《参与编制经济标投标文件人员名单》。</w:t>
      </w:r>
    </w:p>
    <w:p>
      <w:pPr>
        <w:tabs>
          <w:tab w:val="left" w:pos="1125"/>
        </w:tabs>
        <w:spacing w:line="360" w:lineRule="auto"/>
        <w:ind w:firstLine="420" w:firstLineChars="200"/>
        <w:rPr>
          <w:color w:val="auto"/>
          <w:sz w:val="21"/>
          <w:szCs w:val="21"/>
          <w:highlight w:val="none"/>
        </w:rPr>
      </w:pPr>
      <w:r>
        <w:rPr>
          <w:rFonts w:hint="eastAsia"/>
          <w:color w:val="auto"/>
          <w:sz w:val="21"/>
          <w:szCs w:val="21"/>
          <w:highlight w:val="none"/>
        </w:rPr>
        <w:t>11.3.4若投标人的投标报价低于工程成本警戒价的，投标人还须提供详细的施工组织设计、单价、措施性费用、单价分析表、主要材料价格表、投标人成本分析供评标委员会评审。</w:t>
      </w:r>
    </w:p>
    <w:p>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12</w:t>
      </w:r>
      <w:r>
        <w:rPr>
          <w:rFonts w:hint="eastAsia" w:ascii="宋体" w:hAnsi="宋体"/>
          <w:b/>
          <w:bCs/>
          <w:color w:val="auto"/>
          <w:sz w:val="21"/>
          <w:szCs w:val="21"/>
          <w:highlight w:val="none"/>
        </w:rPr>
        <w:t>．投标文件格式</w:t>
      </w:r>
    </w:p>
    <w:p>
      <w:pPr>
        <w:pStyle w:val="25"/>
        <w:spacing w:after="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12.1 </w:t>
      </w:r>
      <w:r>
        <w:rPr>
          <w:rFonts w:hint="eastAsia" w:ascii="宋体" w:hAnsi="宋体"/>
          <w:color w:val="auto"/>
          <w:sz w:val="21"/>
          <w:szCs w:val="21"/>
          <w:highlight w:val="none"/>
        </w:rPr>
        <w:t>投标文件包括本须知第</w:t>
      </w:r>
      <w:r>
        <w:rPr>
          <w:rFonts w:ascii="宋体" w:hAnsi="宋体"/>
          <w:color w:val="auto"/>
          <w:sz w:val="21"/>
          <w:szCs w:val="21"/>
          <w:highlight w:val="none"/>
        </w:rPr>
        <w:t>11</w:t>
      </w:r>
      <w:r>
        <w:rPr>
          <w:rFonts w:hint="eastAsia" w:ascii="宋体" w:hAnsi="宋体"/>
          <w:color w:val="auto"/>
          <w:sz w:val="21"/>
          <w:szCs w:val="21"/>
          <w:highlight w:val="none"/>
        </w:rPr>
        <w:t>条中规定的内容，投标人提交的投标文件应当使用招标文件所提供的投标文件全部格式（表格可以按同样格式扩展）。</w:t>
      </w:r>
    </w:p>
    <w:p>
      <w:pPr>
        <w:pStyle w:val="25"/>
        <w:spacing w:after="0" w:line="360" w:lineRule="auto"/>
        <w:ind w:firstLine="420" w:firstLineChars="200"/>
        <w:rPr>
          <w:rFonts w:hint="eastAsia"/>
          <w:color w:val="auto"/>
          <w:sz w:val="21"/>
          <w:szCs w:val="21"/>
          <w:highlight w:val="none"/>
        </w:rPr>
      </w:pPr>
      <w:r>
        <w:rPr>
          <w:rFonts w:hint="eastAsia" w:ascii="宋体" w:hAnsi="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1"/>
          <w:szCs w:val="21"/>
          <w:highlight w:val="none"/>
        </w:rPr>
        <w:t>全流程电子化项目的相关指南进行操作。详见：</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 xml:space="preserve"> 。</w:t>
      </w:r>
    </w:p>
    <w:p>
      <w:pPr>
        <w:pStyle w:val="25"/>
        <w:spacing w:after="0" w:line="360" w:lineRule="auto"/>
        <w:ind w:firstLine="420" w:firstLineChars="200"/>
        <w:rPr>
          <w:rFonts w:ascii="宋体" w:hAnsi="宋体"/>
          <w:color w:val="auto"/>
          <w:sz w:val="21"/>
          <w:szCs w:val="21"/>
          <w:highlight w:val="none"/>
        </w:rPr>
      </w:pPr>
      <w:r>
        <w:rPr>
          <w:rFonts w:hint="eastAsia"/>
          <w:color w:val="auto"/>
          <w:sz w:val="21"/>
          <w:szCs w:val="21"/>
          <w:highlight w:val="none"/>
        </w:rPr>
        <w:t>注释：投标文件电子文档需要投标人单位盖章的材料，投标人加盖电子印章即可，不得将投标人未对电子文档加盖实物印章作为否决投标的情形。</w:t>
      </w:r>
    </w:p>
    <w:p>
      <w:pPr>
        <w:pStyle w:val="25"/>
        <w:spacing w:after="0"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12.3 </w:t>
      </w:r>
      <w:r>
        <w:rPr>
          <w:rFonts w:hint="eastAsia" w:ascii="宋体" w:hAnsi="宋体"/>
          <w:bCs/>
          <w:color w:val="auto"/>
          <w:sz w:val="21"/>
          <w:szCs w:val="21"/>
          <w:highlight w:val="none"/>
        </w:rPr>
        <w:t>投标文件应按</w:t>
      </w:r>
      <w:r>
        <w:rPr>
          <w:rFonts w:hint="eastAsia" w:ascii="宋体" w:hAnsi="宋体"/>
          <w:color w:val="auto"/>
          <w:sz w:val="21"/>
          <w:szCs w:val="21"/>
          <w:highlight w:val="none"/>
        </w:rPr>
        <w:t>照交易平台关于全流程电子化项目的相关指南进行编制，详见：</w:t>
      </w:r>
      <w:r>
        <w:rPr>
          <w:color w:val="auto"/>
          <w:sz w:val="21"/>
          <w:szCs w:val="21"/>
          <w:highlight w:val="none"/>
          <w:u w:val="single"/>
        </w:rPr>
        <w:t xml:space="preserve">       </w:t>
      </w:r>
      <w:r>
        <w:rPr>
          <w:rFonts w:hint="eastAsia"/>
          <w:color w:val="auto"/>
          <w:sz w:val="21"/>
          <w:szCs w:val="21"/>
          <w:highlight w:val="none"/>
          <w:u w:val="single"/>
        </w:rPr>
        <w:t xml:space="preserve">     </w:t>
      </w:r>
      <w:r>
        <w:rPr>
          <w:rFonts w:hint="eastAsia" w:ascii="宋体" w:hAnsi="宋体"/>
          <w:color w:val="auto"/>
          <w:sz w:val="21"/>
          <w:szCs w:val="21"/>
          <w:highlight w:val="none"/>
        </w:rPr>
        <w:t xml:space="preserve">。               </w:t>
      </w:r>
    </w:p>
    <w:p>
      <w:pPr>
        <w:pStyle w:val="25"/>
        <w:spacing w:after="0" w:line="360" w:lineRule="auto"/>
        <w:ind w:firstLine="0"/>
        <w:rPr>
          <w:rFonts w:ascii="宋体" w:hAnsi="宋体"/>
          <w:color w:val="auto"/>
          <w:sz w:val="21"/>
          <w:szCs w:val="21"/>
          <w:highlight w:val="none"/>
        </w:rPr>
      </w:pPr>
      <w:r>
        <w:rPr>
          <w:rFonts w:hint="eastAsia" w:ascii="宋体" w:hAnsi="宋体"/>
          <w:bCs/>
          <w:color w:val="auto"/>
          <w:sz w:val="21"/>
          <w:szCs w:val="21"/>
          <w:highlight w:val="none"/>
        </w:rPr>
        <w:t>如不按上述要求编制引起系统无法检索、读取相关信息的，其后果由投标人承担。</w:t>
      </w:r>
    </w:p>
    <w:p>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13</w:t>
      </w:r>
      <w:r>
        <w:rPr>
          <w:rFonts w:hint="eastAsia" w:ascii="宋体" w:hAnsi="宋体"/>
          <w:b/>
          <w:bCs/>
          <w:color w:val="auto"/>
          <w:sz w:val="21"/>
          <w:szCs w:val="21"/>
          <w:highlight w:val="none"/>
        </w:rPr>
        <w:t>．投标报价及造价承包和变更结算方式</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13.1 </w:t>
      </w:r>
      <w:r>
        <w:rPr>
          <w:rFonts w:hint="eastAsia" w:ascii="宋体" w:hAnsi="宋体"/>
          <w:color w:val="auto"/>
          <w:sz w:val="21"/>
          <w:szCs w:val="21"/>
          <w:highlight w:val="none"/>
        </w:rPr>
        <w:t>本工程的投标报价采用投标须知前附表第</w:t>
      </w:r>
      <w:r>
        <w:rPr>
          <w:rFonts w:ascii="宋体" w:hAnsi="宋体"/>
          <w:color w:val="auto"/>
          <w:sz w:val="21"/>
          <w:szCs w:val="21"/>
          <w:highlight w:val="none"/>
        </w:rPr>
        <w:t>12</w:t>
      </w:r>
      <w:r>
        <w:rPr>
          <w:rFonts w:hint="eastAsia" w:ascii="宋体" w:hAnsi="宋体"/>
          <w:color w:val="auto"/>
          <w:sz w:val="21"/>
          <w:szCs w:val="21"/>
          <w:highlight w:val="none"/>
        </w:rPr>
        <w:t>项所规定的方式。投标报价（含单价及总价）精确到“分”。</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13.2</w:t>
      </w:r>
      <w:r>
        <w:rPr>
          <w:rFonts w:hint="eastAsia" w:ascii="宋体" w:hAnsi="宋体"/>
          <w:color w:val="auto"/>
          <w:sz w:val="21"/>
          <w:szCs w:val="21"/>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13.3</w:t>
      </w:r>
      <w:r>
        <w:rPr>
          <w:rFonts w:hint="eastAsia" w:ascii="宋体" w:hAnsi="宋体"/>
          <w:color w:val="auto"/>
          <w:sz w:val="21"/>
          <w:szCs w:val="21"/>
          <w:highlight w:val="none"/>
        </w:rPr>
        <w:t>投标人的投标报价，应是按照投标须知前附表第</w:t>
      </w:r>
      <w:r>
        <w:rPr>
          <w:rFonts w:ascii="宋体" w:hAnsi="宋体"/>
          <w:color w:val="auto"/>
          <w:sz w:val="21"/>
          <w:szCs w:val="21"/>
          <w:highlight w:val="none"/>
        </w:rPr>
        <w:t>8</w:t>
      </w:r>
      <w:r>
        <w:rPr>
          <w:rFonts w:hint="eastAsia" w:ascii="宋体" w:hAnsi="宋体"/>
          <w:color w:val="auto"/>
          <w:sz w:val="21"/>
          <w:szCs w:val="21"/>
          <w:highlight w:val="none"/>
        </w:rPr>
        <w:t>项的工期要求，在投标须知前附表第</w:t>
      </w:r>
      <w:r>
        <w:rPr>
          <w:rFonts w:ascii="宋体" w:hAnsi="宋体"/>
          <w:color w:val="auto"/>
          <w:sz w:val="21"/>
          <w:szCs w:val="21"/>
          <w:highlight w:val="none"/>
        </w:rPr>
        <w:t>3</w:t>
      </w:r>
      <w:r>
        <w:rPr>
          <w:rFonts w:hint="eastAsia" w:ascii="宋体" w:hAnsi="宋体"/>
          <w:color w:val="auto"/>
          <w:sz w:val="21"/>
          <w:szCs w:val="21"/>
          <w:highlight w:val="none"/>
        </w:rPr>
        <w:t>项的建设地点，完成投标须知前附表第</w:t>
      </w:r>
      <w:r>
        <w:rPr>
          <w:rFonts w:ascii="宋体" w:hAnsi="宋体"/>
          <w:color w:val="auto"/>
          <w:sz w:val="21"/>
          <w:szCs w:val="21"/>
          <w:highlight w:val="none"/>
        </w:rPr>
        <w:t>7</w:t>
      </w:r>
      <w:r>
        <w:rPr>
          <w:rFonts w:hint="eastAsia" w:ascii="宋体" w:hAnsi="宋体"/>
          <w:color w:val="auto"/>
          <w:sz w:val="21"/>
          <w:szCs w:val="21"/>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13.4</w:t>
      </w:r>
      <w:r>
        <w:rPr>
          <w:rFonts w:hint="eastAsia" w:ascii="宋体" w:hAnsi="宋体"/>
          <w:color w:val="auto"/>
          <w:sz w:val="21"/>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13.5</w:t>
      </w:r>
      <w:r>
        <w:rPr>
          <w:rFonts w:hint="eastAsia" w:ascii="宋体" w:hAnsi="宋体"/>
          <w:color w:val="auto"/>
          <w:sz w:val="21"/>
          <w:szCs w:val="21"/>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13.5.1</w:t>
      </w:r>
      <w:r>
        <w:rPr>
          <w:rFonts w:hint="eastAsia" w:ascii="宋体" w:hAnsi="宋体"/>
          <w:color w:val="auto"/>
          <w:sz w:val="21"/>
          <w:szCs w:val="21"/>
          <w:highlight w:val="none"/>
        </w:rPr>
        <w:t>中标的投标文件工程量清单中已有相同项目的适用综合单价，则沿用；</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13.5.2</w:t>
      </w:r>
      <w:r>
        <w:rPr>
          <w:rFonts w:hint="eastAsia" w:ascii="宋体" w:hAnsi="宋体"/>
          <w:color w:val="auto"/>
          <w:sz w:val="21"/>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13.5.3 </w:t>
      </w:r>
      <w:r>
        <w:rPr>
          <w:rFonts w:hint="eastAsia" w:ascii="宋体" w:hAnsi="宋体"/>
          <w:color w:val="auto"/>
          <w:sz w:val="21"/>
          <w:szCs w:val="21"/>
          <w:highlight w:val="none"/>
        </w:rPr>
        <w:t>中标的投标文件工程量清单中没有相同项目或类似项目的，如可套取相关定额，则以相关定额为基数下浮计算单价</w:t>
      </w:r>
      <w:r>
        <w:rPr>
          <w:rFonts w:ascii="宋体"/>
          <w:color w:val="auto"/>
          <w:sz w:val="21"/>
          <w:szCs w:val="21"/>
          <w:highlight w:val="none"/>
        </w:rPr>
        <w:t>,</w:t>
      </w:r>
      <w:r>
        <w:rPr>
          <w:rFonts w:hint="eastAsia" w:ascii="宋体" w:hAnsi="宋体"/>
          <w:color w:val="auto"/>
          <w:sz w:val="21"/>
          <w:szCs w:val="21"/>
          <w:highlight w:val="none"/>
        </w:rPr>
        <w:t>下浮率为中标价相对于最高投标限价的下浮率（下浮率</w:t>
      </w:r>
      <w:r>
        <w:rPr>
          <w:rFonts w:ascii="宋体" w:hAnsi="宋体"/>
          <w:color w:val="auto"/>
          <w:sz w:val="21"/>
          <w:szCs w:val="21"/>
          <w:highlight w:val="none"/>
        </w:rPr>
        <w:t>=(</w:t>
      </w:r>
      <w:r>
        <w:rPr>
          <w:rFonts w:hint="eastAsia" w:ascii="宋体" w:hAnsi="宋体"/>
          <w:color w:val="auto"/>
          <w:sz w:val="21"/>
          <w:szCs w:val="21"/>
          <w:highlight w:val="none"/>
        </w:rPr>
        <w:t>最高投标限价</w:t>
      </w:r>
      <w:r>
        <w:rPr>
          <w:rFonts w:ascii="宋体"/>
          <w:color w:val="auto"/>
          <w:sz w:val="21"/>
          <w:szCs w:val="21"/>
          <w:highlight w:val="none"/>
        </w:rPr>
        <w:t>-</w:t>
      </w:r>
      <w:r>
        <w:rPr>
          <w:rFonts w:hint="eastAsia" w:ascii="宋体" w:hAnsi="宋体"/>
          <w:color w:val="auto"/>
          <w:sz w:val="21"/>
          <w:szCs w:val="21"/>
          <w:highlight w:val="none"/>
        </w:rPr>
        <w:t>中标价</w:t>
      </w:r>
      <w:r>
        <w:rPr>
          <w:rFonts w:ascii="宋体" w:hAnsi="宋体"/>
          <w:color w:val="auto"/>
          <w:sz w:val="21"/>
          <w:szCs w:val="21"/>
          <w:highlight w:val="none"/>
        </w:rPr>
        <w:t xml:space="preserve">)/ </w:t>
      </w:r>
      <w:r>
        <w:rPr>
          <w:rFonts w:hint="eastAsia" w:ascii="宋体" w:hAnsi="宋体"/>
          <w:color w:val="auto"/>
          <w:sz w:val="21"/>
          <w:szCs w:val="21"/>
          <w:highlight w:val="none"/>
        </w:rPr>
        <w:t>最高投标限价）。</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13.5.4 </w:t>
      </w:r>
      <w:r>
        <w:rPr>
          <w:rFonts w:hint="eastAsia" w:ascii="宋体" w:hAnsi="宋体"/>
          <w:color w:val="auto"/>
          <w:sz w:val="21"/>
          <w:szCs w:val="21"/>
          <w:highlight w:val="none"/>
        </w:rPr>
        <w:t>如相关定额没有相应子目的，其计价方式由招标人在本招标文件第三章中另行规定。未规定的，中标后双方协商约定。</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13.6</w:t>
      </w:r>
      <w:r>
        <w:rPr>
          <w:rFonts w:hint="eastAsia" w:ascii="宋体" w:hAnsi="宋体"/>
          <w:color w:val="auto"/>
          <w:sz w:val="21"/>
          <w:szCs w:val="21"/>
          <w:highlight w:val="none"/>
        </w:rPr>
        <w:t>暂列金额、暂估价</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13.6.1</w:t>
      </w:r>
      <w:r>
        <w:rPr>
          <w:rFonts w:hint="eastAsia" w:ascii="宋体" w:hAnsi="宋体"/>
          <w:color w:val="auto"/>
          <w:sz w:val="21"/>
          <w:szCs w:val="21"/>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25"/>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暂估价是指招标人在工程量清单中提供的用于支付必然发生但暂时不能确定价格的材料的单价以及专业工程的金额。</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13.6.2</w:t>
      </w:r>
      <w:r>
        <w:rPr>
          <w:rFonts w:hint="eastAsia" w:ascii="宋体" w:hAnsi="宋体"/>
          <w:color w:val="auto"/>
          <w:sz w:val="21"/>
          <w:szCs w:val="21"/>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13.6.3</w:t>
      </w:r>
      <w:r>
        <w:rPr>
          <w:rFonts w:hint="eastAsia" w:ascii="宋体" w:hAnsi="宋体"/>
          <w:color w:val="auto"/>
          <w:sz w:val="21"/>
          <w:szCs w:val="21"/>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13.6.4</w:t>
      </w:r>
      <w:r>
        <w:rPr>
          <w:rFonts w:hint="eastAsia" w:ascii="宋体" w:hAnsi="宋体"/>
          <w:color w:val="auto"/>
          <w:sz w:val="21"/>
          <w:szCs w:val="21"/>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1"/>
          <w:szCs w:val="21"/>
          <w:highlight w:val="none"/>
        </w:rPr>
        <w:t>13.5</w:t>
      </w:r>
      <w:r>
        <w:rPr>
          <w:rFonts w:hint="eastAsia" w:ascii="宋体" w:hAnsi="宋体"/>
          <w:color w:val="auto"/>
          <w:sz w:val="21"/>
          <w:szCs w:val="21"/>
          <w:highlight w:val="none"/>
        </w:rPr>
        <w:t>款规定确定。</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13.6.5</w:t>
      </w:r>
      <w:r>
        <w:rPr>
          <w:rFonts w:hint="eastAsia" w:ascii="宋体" w:hAnsi="宋体"/>
          <w:color w:val="auto"/>
          <w:sz w:val="21"/>
          <w:szCs w:val="21"/>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13.6.6 </w:t>
      </w:r>
      <w:r>
        <w:rPr>
          <w:rFonts w:hint="eastAsia" w:ascii="宋体" w:hAnsi="宋体"/>
          <w:color w:val="auto"/>
          <w:sz w:val="21"/>
          <w:szCs w:val="21"/>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13.7</w:t>
      </w:r>
      <w:r>
        <w:rPr>
          <w:rFonts w:hint="eastAsia" w:ascii="宋体" w:hAnsi="宋体"/>
          <w:color w:val="auto"/>
          <w:sz w:val="21"/>
          <w:szCs w:val="21"/>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13.8</w:t>
      </w:r>
      <w:r>
        <w:rPr>
          <w:rFonts w:hint="eastAsia" w:ascii="宋体" w:hAnsi="宋体"/>
          <w:color w:val="auto"/>
          <w:sz w:val="21"/>
          <w:szCs w:val="21"/>
          <w:highlight w:val="none"/>
        </w:rPr>
        <w:t>属于承包人自行采购的主要材料、设备，招标人应当在招标文件中提出材料、设备的技术标准或者质量要求，或者提出不少于</w:t>
      </w:r>
      <w:r>
        <w:rPr>
          <w:rFonts w:ascii="宋体" w:hAnsi="宋体"/>
          <w:color w:val="auto"/>
          <w:sz w:val="21"/>
          <w:szCs w:val="21"/>
          <w:highlight w:val="none"/>
        </w:rPr>
        <w:t>3</w:t>
      </w:r>
      <w:r>
        <w:rPr>
          <w:rFonts w:hint="eastAsia" w:ascii="宋体" w:hAnsi="宋体"/>
          <w:color w:val="auto"/>
          <w:sz w:val="21"/>
          <w:szCs w:val="21"/>
          <w:highlight w:val="none"/>
        </w:rPr>
        <w:t>个同等档次品牌或分包商供投标人报价时选择</w:t>
      </w:r>
      <w:r>
        <w:rPr>
          <w:rFonts w:ascii="宋体"/>
          <w:color w:val="auto"/>
          <w:sz w:val="21"/>
          <w:szCs w:val="21"/>
          <w:highlight w:val="none"/>
        </w:rPr>
        <w:t>,</w:t>
      </w:r>
      <w:r>
        <w:rPr>
          <w:rFonts w:hint="eastAsia" w:ascii="宋体" w:hAnsi="宋体"/>
          <w:color w:val="auto"/>
          <w:sz w:val="21"/>
          <w:szCs w:val="21"/>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13.9</w:t>
      </w:r>
      <w:r>
        <w:rPr>
          <w:rFonts w:hint="eastAsia" w:ascii="宋体"/>
          <w:color w:val="auto"/>
          <w:sz w:val="21"/>
          <w:szCs w:val="21"/>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14</w:t>
      </w:r>
      <w:r>
        <w:rPr>
          <w:rFonts w:hint="eastAsia" w:ascii="宋体" w:hAnsi="宋体"/>
          <w:b/>
          <w:bCs/>
          <w:color w:val="auto"/>
          <w:sz w:val="21"/>
          <w:szCs w:val="21"/>
          <w:highlight w:val="none"/>
        </w:rPr>
        <w:t>．投标货币</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14.1 </w:t>
      </w:r>
      <w:r>
        <w:rPr>
          <w:rFonts w:hint="eastAsia" w:ascii="宋体" w:hAnsi="宋体"/>
          <w:color w:val="auto"/>
          <w:sz w:val="21"/>
          <w:szCs w:val="21"/>
          <w:highlight w:val="none"/>
        </w:rPr>
        <w:t>本工程投标报价采用的币种为人民币。</w:t>
      </w:r>
    </w:p>
    <w:p>
      <w:pPr>
        <w:pStyle w:val="25"/>
        <w:spacing w:after="0" w:line="360" w:lineRule="auto"/>
        <w:ind w:firstLine="422" w:firstLineChars="200"/>
        <w:rPr>
          <w:rFonts w:ascii="宋体"/>
          <w:color w:val="auto"/>
          <w:sz w:val="21"/>
          <w:szCs w:val="21"/>
          <w:highlight w:val="none"/>
        </w:rPr>
      </w:pPr>
      <w:r>
        <w:rPr>
          <w:rFonts w:ascii="宋体" w:hAnsi="宋体"/>
          <w:b/>
          <w:bCs/>
          <w:color w:val="auto"/>
          <w:sz w:val="21"/>
          <w:szCs w:val="21"/>
          <w:highlight w:val="none"/>
        </w:rPr>
        <w:t>15</w:t>
      </w:r>
      <w:r>
        <w:rPr>
          <w:rFonts w:hint="eastAsia" w:ascii="宋体" w:hAnsi="宋体"/>
          <w:b/>
          <w:bCs/>
          <w:color w:val="auto"/>
          <w:sz w:val="21"/>
          <w:szCs w:val="21"/>
          <w:highlight w:val="none"/>
        </w:rPr>
        <w:t>．投标有效期</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15.1 </w:t>
      </w:r>
      <w:r>
        <w:rPr>
          <w:rFonts w:hint="eastAsia" w:ascii="宋体" w:hAnsi="宋体"/>
          <w:color w:val="auto"/>
          <w:sz w:val="21"/>
          <w:szCs w:val="21"/>
          <w:highlight w:val="none"/>
        </w:rPr>
        <w:t>投标有效期见投标须知前附表第</w:t>
      </w:r>
      <w:r>
        <w:rPr>
          <w:rFonts w:ascii="宋体" w:hAnsi="宋体"/>
          <w:color w:val="auto"/>
          <w:sz w:val="21"/>
          <w:szCs w:val="21"/>
          <w:highlight w:val="none"/>
        </w:rPr>
        <w:t>13</w:t>
      </w:r>
      <w:r>
        <w:rPr>
          <w:rFonts w:hint="eastAsia" w:ascii="宋体" w:hAnsi="宋体"/>
          <w:color w:val="auto"/>
          <w:sz w:val="21"/>
          <w:szCs w:val="21"/>
          <w:highlight w:val="none"/>
        </w:rPr>
        <w:t>项所规定的期限，在此期限内，凡符合本招标文件要求的投标文件均保持有效。</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15.2 </w:t>
      </w:r>
      <w:r>
        <w:rPr>
          <w:rFonts w:hint="eastAsia" w:ascii="宋体" w:hAnsi="宋体"/>
          <w:color w:val="auto"/>
          <w:sz w:val="21"/>
          <w:szCs w:val="21"/>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1"/>
          <w:szCs w:val="21"/>
          <w:highlight w:val="none"/>
        </w:rPr>
        <w:t>16</w:t>
      </w:r>
      <w:r>
        <w:rPr>
          <w:rFonts w:hint="eastAsia" w:ascii="宋体" w:hAnsi="宋体"/>
          <w:color w:val="auto"/>
          <w:sz w:val="21"/>
          <w:szCs w:val="21"/>
          <w:highlight w:val="none"/>
        </w:rPr>
        <w:t>条关于投标保证金的退还与不予退还的规定仍然适用。</w:t>
      </w:r>
    </w:p>
    <w:p>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16</w:t>
      </w:r>
      <w:r>
        <w:rPr>
          <w:rFonts w:hint="eastAsia" w:ascii="宋体" w:hAnsi="宋体"/>
          <w:b/>
          <w:bCs/>
          <w:color w:val="auto"/>
          <w:sz w:val="21"/>
          <w:szCs w:val="21"/>
          <w:highlight w:val="none"/>
        </w:rPr>
        <w:t>．投标保证金</w:t>
      </w:r>
    </w:p>
    <w:p>
      <w:pPr>
        <w:spacing w:line="360" w:lineRule="auto"/>
        <w:ind w:firstLine="420" w:firstLineChars="200"/>
        <w:rPr>
          <w:color w:val="auto"/>
          <w:sz w:val="21"/>
          <w:szCs w:val="21"/>
          <w:highlight w:val="none"/>
        </w:rPr>
      </w:pPr>
      <w:r>
        <w:rPr>
          <w:color w:val="auto"/>
          <w:sz w:val="21"/>
          <w:szCs w:val="21"/>
          <w:highlight w:val="none"/>
        </w:rPr>
        <w:t>16.1</w:t>
      </w:r>
      <w:r>
        <w:rPr>
          <w:rFonts w:hint="eastAsia"/>
          <w:color w:val="auto"/>
          <w:sz w:val="21"/>
          <w:szCs w:val="21"/>
          <w:highlight w:val="none"/>
        </w:rPr>
        <w:t>投标人应按投标须知前附表第</w:t>
      </w:r>
      <w:r>
        <w:rPr>
          <w:color w:val="auto"/>
          <w:sz w:val="21"/>
          <w:szCs w:val="21"/>
          <w:highlight w:val="none"/>
        </w:rPr>
        <w:t>14</w:t>
      </w:r>
      <w:r>
        <w:rPr>
          <w:rFonts w:hint="eastAsia"/>
          <w:color w:val="auto"/>
          <w:sz w:val="21"/>
          <w:szCs w:val="21"/>
          <w:highlight w:val="none"/>
        </w:rPr>
        <w:t>项所述金额和时间递交</w:t>
      </w:r>
      <w:r>
        <w:rPr>
          <w:rFonts w:hint="eastAsia"/>
          <w:bCs/>
          <w:color w:val="auto"/>
          <w:sz w:val="21"/>
          <w:szCs w:val="21"/>
          <w:highlight w:val="none"/>
        </w:rPr>
        <w:t>投标保证金</w:t>
      </w:r>
      <w:r>
        <w:rPr>
          <w:rFonts w:hint="eastAsia"/>
          <w:color w:val="auto"/>
          <w:sz w:val="21"/>
          <w:szCs w:val="21"/>
          <w:highlight w:val="none"/>
        </w:rPr>
        <w:t>。招标人应当允许投标人自主选择现金、银行保函、保证保险、专业工程担保公司担保等方式缴纳投标保证金。</w:t>
      </w:r>
    </w:p>
    <w:p>
      <w:pPr>
        <w:spacing w:line="360" w:lineRule="auto"/>
        <w:ind w:firstLine="420" w:firstLineChars="200"/>
        <w:rPr>
          <w:color w:val="auto"/>
          <w:sz w:val="21"/>
          <w:szCs w:val="21"/>
          <w:highlight w:val="none"/>
        </w:rPr>
      </w:pPr>
      <w:r>
        <w:rPr>
          <w:rFonts w:hint="eastAsia"/>
          <w:color w:val="auto"/>
          <w:sz w:val="21"/>
          <w:szCs w:val="21"/>
          <w:highlight w:val="none"/>
        </w:rPr>
        <w:t>16.1.1 采用现金或者支票形式提交的，投标保证金须从投标人的银行基本账户转出。</w:t>
      </w:r>
    </w:p>
    <w:p>
      <w:pPr>
        <w:spacing w:line="360" w:lineRule="auto"/>
        <w:ind w:firstLine="420" w:firstLineChars="200"/>
        <w:rPr>
          <w:color w:val="auto"/>
          <w:sz w:val="21"/>
          <w:szCs w:val="21"/>
          <w:highlight w:val="none"/>
        </w:rPr>
      </w:pPr>
      <w:r>
        <w:rPr>
          <w:rFonts w:hint="eastAsia"/>
          <w:color w:val="auto"/>
          <w:sz w:val="21"/>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color w:val="auto"/>
          <w:sz w:val="21"/>
          <w:szCs w:val="21"/>
          <w:highlight w:val="none"/>
        </w:rPr>
      </w:pPr>
      <w:r>
        <w:rPr>
          <w:rFonts w:hint="eastAsia"/>
          <w:color w:val="auto"/>
          <w:sz w:val="21"/>
          <w:szCs w:val="21"/>
          <w:highlight w:val="none"/>
        </w:rPr>
        <w:t>16.1.3 采用电子形式的保函、担保或保证保险提交投标保证金的，应在招标文件中明确电子递交途径。</w:t>
      </w:r>
    </w:p>
    <w:p>
      <w:pPr>
        <w:spacing w:line="360" w:lineRule="auto"/>
        <w:ind w:firstLine="420" w:firstLineChars="200"/>
        <w:rPr>
          <w:color w:val="auto"/>
          <w:sz w:val="21"/>
          <w:szCs w:val="21"/>
          <w:highlight w:val="none"/>
        </w:rPr>
      </w:pPr>
      <w:r>
        <w:rPr>
          <w:rFonts w:hint="eastAsia"/>
          <w:color w:val="auto"/>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color w:val="auto"/>
          <w:sz w:val="21"/>
          <w:szCs w:val="21"/>
          <w:highlight w:val="none"/>
        </w:rPr>
      </w:pPr>
      <w:r>
        <w:rPr>
          <w:rFonts w:hint="eastAsia"/>
          <w:color w:val="auto"/>
          <w:sz w:val="21"/>
          <w:szCs w:val="21"/>
          <w:highlight w:val="none"/>
        </w:rPr>
        <w:t>16.3投标保证金应依据法律法规的相关规定退还。</w:t>
      </w:r>
    </w:p>
    <w:p>
      <w:pPr>
        <w:spacing w:line="360" w:lineRule="auto"/>
        <w:ind w:firstLine="420" w:firstLineChars="200"/>
        <w:rPr>
          <w:color w:val="auto"/>
          <w:sz w:val="21"/>
          <w:szCs w:val="21"/>
          <w:highlight w:val="none"/>
        </w:rPr>
      </w:pPr>
      <w:r>
        <w:rPr>
          <w:rFonts w:hint="eastAsia"/>
          <w:color w:val="auto"/>
          <w:sz w:val="21"/>
          <w:szCs w:val="21"/>
          <w:highlight w:val="none"/>
        </w:rPr>
        <w:t>16.4如有下列情况之一的，招标人可以不予退还投标保证金（是否退还投标保证金由招标人在招标文件中规定）：</w:t>
      </w:r>
    </w:p>
    <w:p>
      <w:pPr>
        <w:spacing w:line="360" w:lineRule="auto"/>
        <w:ind w:firstLine="420" w:firstLineChars="200"/>
        <w:rPr>
          <w:color w:val="auto"/>
          <w:sz w:val="21"/>
          <w:szCs w:val="21"/>
          <w:highlight w:val="none"/>
        </w:rPr>
      </w:pPr>
      <w:r>
        <w:rPr>
          <w:rFonts w:hint="eastAsia"/>
          <w:color w:val="auto"/>
          <w:sz w:val="21"/>
          <w:szCs w:val="21"/>
          <w:highlight w:val="none"/>
        </w:rPr>
        <w:t>16.4.1因投标人原因造成投标文件未解密的；</w:t>
      </w:r>
    </w:p>
    <w:p>
      <w:pPr>
        <w:spacing w:line="360" w:lineRule="auto"/>
        <w:ind w:firstLine="420" w:firstLineChars="200"/>
        <w:rPr>
          <w:color w:val="auto"/>
          <w:sz w:val="21"/>
          <w:szCs w:val="21"/>
          <w:highlight w:val="none"/>
        </w:rPr>
      </w:pPr>
      <w:r>
        <w:rPr>
          <w:rFonts w:hint="eastAsia"/>
          <w:color w:val="auto"/>
          <w:sz w:val="21"/>
          <w:szCs w:val="21"/>
          <w:highlight w:val="none"/>
        </w:rPr>
        <w:t>16.4.2投标人在投标有效期内撤销投标文件；</w:t>
      </w:r>
    </w:p>
    <w:p>
      <w:pPr>
        <w:spacing w:line="360" w:lineRule="auto"/>
        <w:ind w:firstLine="420" w:firstLineChars="200"/>
        <w:rPr>
          <w:color w:val="auto"/>
          <w:sz w:val="21"/>
          <w:szCs w:val="21"/>
          <w:highlight w:val="none"/>
        </w:rPr>
      </w:pPr>
      <w:r>
        <w:rPr>
          <w:rFonts w:hint="eastAsia"/>
          <w:color w:val="auto"/>
          <w:sz w:val="21"/>
          <w:szCs w:val="21"/>
          <w:highlight w:val="none"/>
        </w:rPr>
        <w:t>16.4.3中标人未能在规定期限内按要求提交履约担保；</w:t>
      </w:r>
    </w:p>
    <w:p>
      <w:pPr>
        <w:spacing w:line="360" w:lineRule="auto"/>
        <w:ind w:firstLine="420" w:firstLineChars="200"/>
        <w:rPr>
          <w:color w:val="auto"/>
          <w:sz w:val="21"/>
          <w:szCs w:val="21"/>
          <w:highlight w:val="none"/>
        </w:rPr>
      </w:pPr>
      <w:r>
        <w:rPr>
          <w:rFonts w:hint="eastAsia"/>
          <w:color w:val="auto"/>
          <w:sz w:val="21"/>
          <w:szCs w:val="21"/>
          <w:highlight w:val="none"/>
        </w:rPr>
        <w:t>16.4.4中标人未能在规定期限内签署合同协议。</w:t>
      </w:r>
    </w:p>
    <w:p>
      <w:pPr>
        <w:spacing w:line="360" w:lineRule="auto"/>
        <w:ind w:firstLine="420" w:firstLineChars="200"/>
        <w:rPr>
          <w:color w:val="auto"/>
          <w:sz w:val="21"/>
          <w:szCs w:val="21"/>
          <w:highlight w:val="none"/>
        </w:rPr>
      </w:pPr>
      <w:r>
        <w:rPr>
          <w:rFonts w:hint="eastAsia"/>
          <w:color w:val="auto"/>
          <w:sz w:val="21"/>
          <w:szCs w:val="21"/>
          <w:highlight w:val="none"/>
        </w:rPr>
        <w:t>16.5投标人如存在下列情况之一的，将被拒绝在一定时期内参与招标人后续工程投标（拒绝时限需在招标文件中明确）：</w:t>
      </w:r>
    </w:p>
    <w:p>
      <w:pPr>
        <w:spacing w:line="360" w:lineRule="auto"/>
        <w:ind w:firstLine="420" w:firstLineChars="200"/>
        <w:rPr>
          <w:color w:val="auto"/>
          <w:sz w:val="21"/>
          <w:szCs w:val="21"/>
          <w:highlight w:val="none"/>
        </w:rPr>
      </w:pPr>
      <w:r>
        <w:rPr>
          <w:rFonts w:hint="eastAsia"/>
          <w:color w:val="auto"/>
          <w:sz w:val="21"/>
          <w:szCs w:val="21"/>
          <w:highlight w:val="none"/>
        </w:rPr>
        <w:t>16.5.1投标人存在16.4条款所列情形且投标人提交的保函、担保或保证保险无法兑付的；</w:t>
      </w:r>
    </w:p>
    <w:p>
      <w:pPr>
        <w:spacing w:line="360" w:lineRule="auto"/>
        <w:ind w:firstLine="420" w:firstLineChars="200"/>
        <w:rPr>
          <w:color w:val="auto"/>
          <w:sz w:val="21"/>
          <w:szCs w:val="21"/>
          <w:highlight w:val="none"/>
        </w:rPr>
      </w:pPr>
      <w:r>
        <w:rPr>
          <w:rFonts w:hint="eastAsia"/>
          <w:color w:val="auto"/>
          <w:sz w:val="21"/>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color w:val="auto"/>
          <w:sz w:val="21"/>
          <w:szCs w:val="21"/>
          <w:highlight w:val="none"/>
        </w:rPr>
      </w:pPr>
      <w:r>
        <w:rPr>
          <w:rFonts w:hint="eastAsia"/>
          <w:color w:val="auto"/>
          <w:sz w:val="21"/>
          <w:szCs w:val="21"/>
          <w:highlight w:val="none"/>
        </w:rPr>
        <w:t>16.5.3按招标文件要求免于提供投标保证金的投标人存在16.4条款所列情形，且未按招标人要求补交投标保证金的；</w:t>
      </w:r>
    </w:p>
    <w:p>
      <w:pPr>
        <w:spacing w:line="360" w:lineRule="auto"/>
        <w:ind w:firstLine="420" w:firstLineChars="200"/>
        <w:rPr>
          <w:color w:val="auto"/>
          <w:sz w:val="21"/>
          <w:szCs w:val="21"/>
          <w:highlight w:val="none"/>
        </w:rPr>
      </w:pPr>
      <w:r>
        <w:rPr>
          <w:rFonts w:hint="eastAsia"/>
          <w:color w:val="auto"/>
          <w:sz w:val="21"/>
          <w:szCs w:val="21"/>
          <w:highlight w:val="none"/>
        </w:rPr>
        <w:t>16.5.3按招标文件要求免于提供投标保证金的投标人存在16.4条款所列情形的。</w:t>
      </w:r>
    </w:p>
    <w:p>
      <w:pPr>
        <w:spacing w:line="360" w:lineRule="auto"/>
        <w:ind w:firstLine="420" w:firstLineChars="200"/>
        <w:rPr>
          <w:color w:val="auto"/>
          <w:sz w:val="21"/>
          <w:szCs w:val="21"/>
          <w:highlight w:val="none"/>
        </w:rPr>
      </w:pPr>
      <w:r>
        <w:rPr>
          <w:rFonts w:hint="eastAsia"/>
          <w:color w:val="auto"/>
          <w:sz w:val="21"/>
          <w:szCs w:val="21"/>
          <w:highlight w:val="none"/>
        </w:rPr>
        <w:t>注：16.5.3款由招标人二选一，需在招标文件中明确。</w:t>
      </w:r>
    </w:p>
    <w:p>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17</w:t>
      </w:r>
      <w:r>
        <w:rPr>
          <w:rFonts w:hint="eastAsia" w:ascii="宋体" w:hAnsi="宋体"/>
          <w:b/>
          <w:bCs/>
          <w:color w:val="auto"/>
          <w:sz w:val="21"/>
          <w:szCs w:val="21"/>
          <w:highlight w:val="none"/>
        </w:rPr>
        <w:t>．投标文件的签署</w:t>
      </w:r>
    </w:p>
    <w:p>
      <w:pPr>
        <w:spacing w:line="360" w:lineRule="auto"/>
        <w:ind w:firstLine="420" w:firstLineChars="200"/>
        <w:rPr>
          <w:color w:val="auto"/>
          <w:sz w:val="21"/>
          <w:szCs w:val="21"/>
          <w:highlight w:val="none"/>
        </w:rPr>
      </w:pPr>
      <w:r>
        <w:rPr>
          <w:color w:val="auto"/>
          <w:sz w:val="21"/>
          <w:szCs w:val="21"/>
          <w:highlight w:val="none"/>
        </w:rPr>
        <w:t>17.1</w:t>
      </w:r>
      <w:r>
        <w:rPr>
          <w:rFonts w:hint="eastAsia"/>
          <w:color w:val="auto"/>
          <w:sz w:val="21"/>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color w:val="auto"/>
          <w:sz w:val="21"/>
          <w:szCs w:val="21"/>
          <w:highlight w:val="none"/>
          <w:u w:val="single"/>
        </w:rPr>
        <w:t xml:space="preserve">            </w:t>
      </w:r>
      <w:r>
        <w:rPr>
          <w:rFonts w:hint="eastAsia"/>
          <w:color w:val="auto"/>
          <w:sz w:val="21"/>
          <w:szCs w:val="21"/>
          <w:highlight w:val="none"/>
        </w:rPr>
        <w:t xml:space="preserve"> 。</w:t>
      </w:r>
    </w:p>
    <w:p>
      <w:pPr>
        <w:pStyle w:val="4"/>
        <w:spacing w:before="156" w:after="156"/>
        <w:rPr>
          <w:color w:val="auto"/>
          <w:sz w:val="21"/>
          <w:szCs w:val="21"/>
          <w:highlight w:val="none"/>
        </w:rPr>
      </w:pPr>
      <w:bookmarkStart w:id="8" w:name="_Toc2638"/>
      <w:r>
        <w:rPr>
          <w:rFonts w:hint="eastAsia"/>
          <w:color w:val="auto"/>
          <w:sz w:val="21"/>
          <w:szCs w:val="21"/>
          <w:highlight w:val="none"/>
        </w:rPr>
        <w:t>（四）投标文件的提交</w:t>
      </w:r>
      <w:bookmarkEnd w:id="8"/>
    </w:p>
    <w:p>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18</w:t>
      </w:r>
      <w:r>
        <w:rPr>
          <w:rFonts w:hint="eastAsia" w:ascii="宋体" w:hAnsi="宋体"/>
          <w:b/>
          <w:bCs/>
          <w:color w:val="auto"/>
          <w:sz w:val="21"/>
          <w:szCs w:val="21"/>
          <w:highlight w:val="none"/>
        </w:rPr>
        <w:t>．</w:t>
      </w:r>
      <w:r>
        <w:rPr>
          <w:rFonts w:hint="eastAsia"/>
          <w:b/>
          <w:color w:val="auto"/>
          <w:sz w:val="21"/>
          <w:szCs w:val="21"/>
          <w:highlight w:val="none"/>
        </w:rPr>
        <w:t>投标文件的密封和标记</w:t>
      </w:r>
    </w:p>
    <w:p>
      <w:pPr>
        <w:spacing w:line="360" w:lineRule="auto"/>
        <w:ind w:firstLine="420" w:firstLineChars="200"/>
        <w:rPr>
          <w:bCs/>
          <w:color w:val="auto"/>
          <w:sz w:val="21"/>
          <w:szCs w:val="21"/>
          <w:highlight w:val="none"/>
        </w:rPr>
      </w:pPr>
      <w:r>
        <w:rPr>
          <w:bCs/>
          <w:color w:val="auto"/>
          <w:sz w:val="21"/>
          <w:szCs w:val="21"/>
          <w:highlight w:val="none"/>
        </w:rPr>
        <w:t>1</w:t>
      </w:r>
      <w:r>
        <w:rPr>
          <w:rFonts w:hint="eastAsia"/>
          <w:bCs/>
          <w:color w:val="auto"/>
          <w:sz w:val="21"/>
          <w:szCs w:val="21"/>
          <w:highlight w:val="none"/>
        </w:rPr>
        <w:t>8</w:t>
      </w:r>
      <w:r>
        <w:rPr>
          <w:bCs/>
          <w:color w:val="auto"/>
          <w:sz w:val="21"/>
          <w:szCs w:val="21"/>
          <w:highlight w:val="none"/>
        </w:rPr>
        <w:t>.1</w:t>
      </w:r>
      <w:r>
        <w:rPr>
          <w:rFonts w:hint="eastAsia"/>
          <w:bCs/>
          <w:color w:val="auto"/>
          <w:sz w:val="21"/>
          <w:szCs w:val="21"/>
          <w:highlight w:val="none"/>
        </w:rPr>
        <w:t>递交的电子投标文件（不含备用光盘）必须进行加密。按照交易平台关于</w:t>
      </w:r>
      <w:r>
        <w:rPr>
          <w:rFonts w:hint="eastAsia"/>
          <w:color w:val="auto"/>
          <w:sz w:val="21"/>
          <w:szCs w:val="21"/>
          <w:highlight w:val="none"/>
        </w:rPr>
        <w:t>全流程电子化项目的相关指南进行操作。详见：</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 xml:space="preserve"> 。</w:t>
      </w:r>
    </w:p>
    <w:p>
      <w:pPr>
        <w:spacing w:line="360" w:lineRule="auto"/>
        <w:ind w:firstLine="420" w:firstLineChars="200"/>
        <w:rPr>
          <w:bCs/>
          <w:color w:val="auto"/>
          <w:sz w:val="21"/>
          <w:szCs w:val="21"/>
          <w:highlight w:val="none"/>
        </w:rPr>
      </w:pPr>
      <w:r>
        <w:rPr>
          <w:bCs/>
          <w:color w:val="auto"/>
          <w:sz w:val="21"/>
          <w:szCs w:val="21"/>
          <w:highlight w:val="none"/>
        </w:rPr>
        <w:t>1</w:t>
      </w:r>
      <w:r>
        <w:rPr>
          <w:rFonts w:hint="eastAsia"/>
          <w:bCs/>
          <w:color w:val="auto"/>
          <w:sz w:val="21"/>
          <w:szCs w:val="21"/>
          <w:highlight w:val="none"/>
        </w:rPr>
        <w:t>8</w:t>
      </w:r>
      <w:r>
        <w:rPr>
          <w:bCs/>
          <w:color w:val="auto"/>
          <w:sz w:val="21"/>
          <w:szCs w:val="21"/>
          <w:highlight w:val="none"/>
        </w:rPr>
        <w:t xml:space="preserve">.2 </w:t>
      </w:r>
      <w:r>
        <w:rPr>
          <w:rFonts w:hint="eastAsia"/>
          <w:bCs/>
          <w:color w:val="auto"/>
          <w:sz w:val="21"/>
          <w:szCs w:val="21"/>
          <w:highlight w:val="none"/>
        </w:rPr>
        <w:t>未按要求加密的投标文件，</w:t>
      </w:r>
      <w:r>
        <w:rPr>
          <w:color w:val="auto"/>
          <w:sz w:val="21"/>
          <w:szCs w:val="21"/>
          <w:highlight w:val="none"/>
          <w:u w:val="single"/>
        </w:rPr>
        <w:t xml:space="preserve">        </w:t>
      </w:r>
      <w:r>
        <w:rPr>
          <w:rFonts w:hint="eastAsia"/>
          <w:color w:val="auto"/>
          <w:sz w:val="21"/>
          <w:szCs w:val="21"/>
          <w:highlight w:val="none"/>
        </w:rPr>
        <w:t>交易平台</w:t>
      </w:r>
      <w:r>
        <w:rPr>
          <w:rFonts w:hint="eastAsia"/>
          <w:bCs/>
          <w:color w:val="auto"/>
          <w:sz w:val="21"/>
          <w:szCs w:val="21"/>
          <w:highlight w:val="none"/>
        </w:rPr>
        <w:t>将予以拒收。</w:t>
      </w:r>
    </w:p>
    <w:p>
      <w:pPr>
        <w:spacing w:line="360" w:lineRule="auto"/>
        <w:ind w:firstLine="422" w:firstLineChars="200"/>
        <w:rPr>
          <w:b/>
          <w:bCs/>
          <w:color w:val="auto"/>
          <w:sz w:val="21"/>
          <w:szCs w:val="21"/>
          <w:highlight w:val="none"/>
        </w:rPr>
      </w:pPr>
      <w:r>
        <w:rPr>
          <w:b/>
          <w:bCs/>
          <w:color w:val="auto"/>
          <w:sz w:val="21"/>
          <w:szCs w:val="21"/>
          <w:highlight w:val="none"/>
        </w:rPr>
        <w:t>19</w:t>
      </w:r>
      <w:r>
        <w:rPr>
          <w:rFonts w:hint="eastAsia"/>
          <w:b/>
          <w:bCs/>
          <w:color w:val="auto"/>
          <w:sz w:val="21"/>
          <w:szCs w:val="21"/>
          <w:highlight w:val="none"/>
        </w:rPr>
        <w:t>．投标文件的递交和接收</w:t>
      </w:r>
    </w:p>
    <w:p>
      <w:pPr>
        <w:spacing w:line="360" w:lineRule="auto"/>
        <w:ind w:firstLine="420" w:firstLineChars="200"/>
        <w:rPr>
          <w:bCs/>
          <w:color w:val="auto"/>
          <w:sz w:val="21"/>
          <w:szCs w:val="21"/>
          <w:highlight w:val="none"/>
        </w:rPr>
      </w:pPr>
      <w:r>
        <w:rPr>
          <w:bCs/>
          <w:color w:val="auto"/>
          <w:sz w:val="21"/>
          <w:szCs w:val="21"/>
          <w:highlight w:val="none"/>
        </w:rPr>
        <w:t>1</w:t>
      </w:r>
      <w:r>
        <w:rPr>
          <w:rFonts w:hint="eastAsia"/>
          <w:bCs/>
          <w:color w:val="auto"/>
          <w:sz w:val="21"/>
          <w:szCs w:val="21"/>
          <w:highlight w:val="none"/>
        </w:rPr>
        <w:t>9</w:t>
      </w:r>
      <w:r>
        <w:rPr>
          <w:bCs/>
          <w:color w:val="auto"/>
          <w:sz w:val="21"/>
          <w:szCs w:val="21"/>
          <w:highlight w:val="none"/>
        </w:rPr>
        <w:t>.</w:t>
      </w:r>
      <w:r>
        <w:rPr>
          <w:rFonts w:hint="eastAsia"/>
          <w:bCs/>
          <w:color w:val="auto"/>
          <w:sz w:val="21"/>
          <w:szCs w:val="21"/>
          <w:highlight w:val="none"/>
        </w:rPr>
        <w:t>1投标人通过</w:t>
      </w:r>
      <w:r>
        <w:rPr>
          <w:color w:val="auto"/>
          <w:sz w:val="21"/>
          <w:szCs w:val="21"/>
          <w:highlight w:val="none"/>
          <w:u w:val="single"/>
        </w:rPr>
        <w:t xml:space="preserve">        </w:t>
      </w:r>
      <w:r>
        <w:rPr>
          <w:rFonts w:hint="eastAsia"/>
          <w:color w:val="auto"/>
          <w:sz w:val="21"/>
          <w:szCs w:val="21"/>
          <w:highlight w:val="none"/>
        </w:rPr>
        <w:t>交易平台递交电子投标文件。</w:t>
      </w:r>
    </w:p>
    <w:p>
      <w:pPr>
        <w:spacing w:line="360" w:lineRule="auto"/>
        <w:ind w:firstLine="420" w:firstLineChars="200"/>
        <w:rPr>
          <w:bCs/>
          <w:color w:val="auto"/>
          <w:sz w:val="21"/>
          <w:szCs w:val="21"/>
          <w:highlight w:val="none"/>
        </w:rPr>
      </w:pPr>
      <w:r>
        <w:rPr>
          <w:bCs/>
          <w:color w:val="auto"/>
          <w:sz w:val="21"/>
          <w:szCs w:val="21"/>
          <w:highlight w:val="none"/>
        </w:rPr>
        <w:t>1</w:t>
      </w:r>
      <w:r>
        <w:rPr>
          <w:rFonts w:hint="eastAsia"/>
          <w:bCs/>
          <w:color w:val="auto"/>
          <w:sz w:val="21"/>
          <w:szCs w:val="21"/>
          <w:highlight w:val="none"/>
        </w:rPr>
        <w:t>9</w:t>
      </w:r>
      <w:r>
        <w:rPr>
          <w:bCs/>
          <w:color w:val="auto"/>
          <w:sz w:val="21"/>
          <w:szCs w:val="21"/>
          <w:highlight w:val="none"/>
        </w:rPr>
        <w:t>.</w:t>
      </w:r>
      <w:r>
        <w:rPr>
          <w:rFonts w:hint="eastAsia"/>
          <w:bCs/>
          <w:color w:val="auto"/>
          <w:sz w:val="21"/>
          <w:szCs w:val="21"/>
          <w:highlight w:val="none"/>
        </w:rPr>
        <w:t>2投标人完成电子</w:t>
      </w:r>
      <w:r>
        <w:rPr>
          <w:rFonts w:hint="eastAsia"/>
          <w:color w:val="auto"/>
          <w:sz w:val="21"/>
          <w:szCs w:val="21"/>
          <w:highlight w:val="none"/>
        </w:rPr>
        <w:t>投标文件</w:t>
      </w:r>
      <w:r>
        <w:rPr>
          <w:rFonts w:hint="eastAsia"/>
          <w:bCs/>
          <w:color w:val="auto"/>
          <w:sz w:val="21"/>
          <w:szCs w:val="21"/>
          <w:highlight w:val="none"/>
        </w:rPr>
        <w:t>上传后，</w:t>
      </w:r>
      <w:r>
        <w:rPr>
          <w:color w:val="auto"/>
          <w:sz w:val="21"/>
          <w:szCs w:val="21"/>
          <w:highlight w:val="none"/>
          <w:u w:val="single"/>
        </w:rPr>
        <w:t xml:space="preserve">        </w:t>
      </w:r>
      <w:r>
        <w:rPr>
          <w:rFonts w:hint="eastAsia"/>
          <w:color w:val="auto"/>
          <w:sz w:val="21"/>
          <w:szCs w:val="21"/>
          <w:highlight w:val="none"/>
        </w:rPr>
        <w:t>交易平台即时向投标人发出递交回执通知。递交时间以递交回执通知载明的传输完成时间为准。</w:t>
      </w:r>
    </w:p>
    <w:p>
      <w:pPr>
        <w:spacing w:line="360" w:lineRule="auto"/>
        <w:ind w:firstLine="420" w:firstLineChars="200"/>
        <w:rPr>
          <w:color w:val="auto"/>
          <w:sz w:val="21"/>
          <w:szCs w:val="21"/>
          <w:highlight w:val="none"/>
        </w:rPr>
      </w:pPr>
      <w:r>
        <w:rPr>
          <w:bCs/>
          <w:color w:val="auto"/>
          <w:sz w:val="21"/>
          <w:szCs w:val="21"/>
          <w:highlight w:val="none"/>
        </w:rPr>
        <w:t>1</w:t>
      </w:r>
      <w:r>
        <w:rPr>
          <w:rFonts w:hint="eastAsia"/>
          <w:bCs/>
          <w:color w:val="auto"/>
          <w:sz w:val="21"/>
          <w:szCs w:val="21"/>
          <w:highlight w:val="none"/>
        </w:rPr>
        <w:t>9</w:t>
      </w:r>
      <w:r>
        <w:rPr>
          <w:bCs/>
          <w:color w:val="auto"/>
          <w:sz w:val="21"/>
          <w:szCs w:val="21"/>
          <w:highlight w:val="none"/>
        </w:rPr>
        <w:t>.</w:t>
      </w:r>
      <w:r>
        <w:rPr>
          <w:rFonts w:hint="eastAsia"/>
          <w:bCs/>
          <w:color w:val="auto"/>
          <w:sz w:val="21"/>
          <w:szCs w:val="21"/>
          <w:highlight w:val="none"/>
        </w:rPr>
        <w:t>3逾期送达的电子投标文件，</w:t>
      </w:r>
      <w:r>
        <w:rPr>
          <w:color w:val="auto"/>
          <w:sz w:val="21"/>
          <w:szCs w:val="21"/>
          <w:highlight w:val="none"/>
          <w:u w:val="single"/>
        </w:rPr>
        <w:t xml:space="preserve">        </w:t>
      </w:r>
      <w:r>
        <w:rPr>
          <w:rFonts w:hint="eastAsia"/>
          <w:color w:val="auto"/>
          <w:sz w:val="21"/>
          <w:szCs w:val="21"/>
          <w:highlight w:val="none"/>
        </w:rPr>
        <w:t>交易平台将予以拒收。</w:t>
      </w:r>
    </w:p>
    <w:p>
      <w:pPr>
        <w:spacing w:line="360" w:lineRule="auto"/>
        <w:ind w:firstLine="420" w:firstLineChars="200"/>
        <w:rPr>
          <w:color w:val="auto"/>
          <w:sz w:val="21"/>
          <w:szCs w:val="21"/>
          <w:highlight w:val="none"/>
        </w:rPr>
      </w:pPr>
      <w:r>
        <w:rPr>
          <w:color w:val="auto"/>
          <w:sz w:val="21"/>
          <w:szCs w:val="21"/>
          <w:highlight w:val="none"/>
        </w:rPr>
        <w:t>19.</w:t>
      </w:r>
      <w:r>
        <w:rPr>
          <w:rFonts w:hint="eastAsia"/>
          <w:color w:val="auto"/>
          <w:sz w:val="21"/>
          <w:szCs w:val="21"/>
          <w:highlight w:val="none"/>
        </w:rPr>
        <w:t>4</w:t>
      </w:r>
      <w:r>
        <w:rPr>
          <w:color w:val="auto"/>
          <w:sz w:val="21"/>
          <w:szCs w:val="21"/>
          <w:highlight w:val="none"/>
        </w:rPr>
        <w:t xml:space="preserve"> </w:t>
      </w:r>
      <w:r>
        <w:rPr>
          <w:rFonts w:hint="eastAsia"/>
          <w:color w:val="auto"/>
          <w:sz w:val="21"/>
          <w:szCs w:val="21"/>
          <w:highlight w:val="none"/>
        </w:rPr>
        <w:t>投标截止前，招标人拒绝接收符合条件的投标文件，投标人可向招标投标监督机构投诉。</w:t>
      </w:r>
    </w:p>
    <w:p>
      <w:pPr>
        <w:spacing w:line="360" w:lineRule="auto"/>
        <w:ind w:firstLine="420" w:firstLineChars="200"/>
        <w:rPr>
          <w:color w:val="auto"/>
          <w:sz w:val="21"/>
          <w:szCs w:val="21"/>
          <w:highlight w:val="none"/>
        </w:rPr>
      </w:pPr>
      <w:r>
        <w:rPr>
          <w:color w:val="auto"/>
          <w:sz w:val="21"/>
          <w:szCs w:val="21"/>
          <w:highlight w:val="none"/>
        </w:rPr>
        <w:t>19.</w:t>
      </w:r>
      <w:r>
        <w:rPr>
          <w:rFonts w:hint="eastAsia"/>
          <w:color w:val="auto"/>
          <w:sz w:val="21"/>
          <w:szCs w:val="21"/>
          <w:highlight w:val="none"/>
        </w:rPr>
        <w:t>5如技术标和经济标先后分别开启，</w:t>
      </w:r>
      <w:r>
        <w:rPr>
          <w:color w:val="auto"/>
          <w:sz w:val="21"/>
          <w:szCs w:val="21"/>
          <w:highlight w:val="none"/>
          <w:u w:val="single"/>
        </w:rPr>
        <w:t xml:space="preserve">        </w:t>
      </w:r>
      <w:r>
        <w:rPr>
          <w:rFonts w:hint="eastAsia"/>
          <w:color w:val="auto"/>
          <w:sz w:val="21"/>
          <w:szCs w:val="21"/>
          <w:highlight w:val="none"/>
        </w:rPr>
        <w:t>交易平台将按招标文件规定的时间分别开启技术标和经济标。</w:t>
      </w:r>
    </w:p>
    <w:p>
      <w:pPr>
        <w:spacing w:line="360" w:lineRule="auto"/>
        <w:ind w:firstLine="420" w:firstLineChars="200"/>
        <w:rPr>
          <w:color w:val="auto"/>
          <w:sz w:val="21"/>
          <w:szCs w:val="21"/>
          <w:highlight w:val="none"/>
        </w:rPr>
      </w:pPr>
      <w:r>
        <w:rPr>
          <w:color w:val="auto"/>
          <w:sz w:val="21"/>
          <w:szCs w:val="21"/>
          <w:highlight w:val="none"/>
        </w:rPr>
        <w:t>19.6</w:t>
      </w:r>
      <w:r>
        <w:rPr>
          <w:rFonts w:hint="eastAsia"/>
          <w:color w:val="auto"/>
          <w:sz w:val="21"/>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b/>
          <w:bCs/>
          <w:color w:val="auto"/>
          <w:sz w:val="21"/>
          <w:szCs w:val="21"/>
          <w:highlight w:val="none"/>
        </w:rPr>
      </w:pPr>
      <w:r>
        <w:rPr>
          <w:b/>
          <w:bCs/>
          <w:color w:val="auto"/>
          <w:sz w:val="21"/>
          <w:szCs w:val="21"/>
          <w:highlight w:val="none"/>
        </w:rPr>
        <w:t>20</w:t>
      </w:r>
      <w:r>
        <w:rPr>
          <w:rFonts w:hint="eastAsia"/>
          <w:b/>
          <w:bCs/>
          <w:color w:val="auto"/>
          <w:sz w:val="21"/>
          <w:szCs w:val="21"/>
          <w:highlight w:val="none"/>
        </w:rPr>
        <w:t>．投标文件提交的截止时间</w:t>
      </w:r>
    </w:p>
    <w:p>
      <w:pPr>
        <w:spacing w:line="360" w:lineRule="auto"/>
        <w:ind w:firstLine="420" w:firstLineChars="200"/>
        <w:rPr>
          <w:b/>
          <w:bCs/>
          <w:color w:val="auto"/>
          <w:sz w:val="21"/>
          <w:szCs w:val="21"/>
          <w:highlight w:val="none"/>
        </w:rPr>
      </w:pPr>
      <w:r>
        <w:rPr>
          <w:color w:val="auto"/>
          <w:sz w:val="21"/>
          <w:szCs w:val="21"/>
          <w:highlight w:val="none"/>
        </w:rPr>
        <w:t>20.1</w:t>
      </w:r>
      <w:r>
        <w:rPr>
          <w:rFonts w:hint="eastAsia"/>
          <w:color w:val="auto"/>
          <w:sz w:val="21"/>
          <w:szCs w:val="21"/>
          <w:highlight w:val="none"/>
        </w:rPr>
        <w:t>投标人应在投标须知前附表第17项所述的时间前提交投标文件。</w:t>
      </w:r>
    </w:p>
    <w:p>
      <w:pPr>
        <w:spacing w:line="360" w:lineRule="auto"/>
        <w:ind w:firstLine="420" w:firstLineChars="200"/>
        <w:rPr>
          <w:color w:val="auto"/>
          <w:sz w:val="21"/>
          <w:szCs w:val="21"/>
          <w:highlight w:val="none"/>
        </w:rPr>
      </w:pPr>
      <w:r>
        <w:rPr>
          <w:color w:val="auto"/>
          <w:sz w:val="21"/>
          <w:szCs w:val="21"/>
          <w:highlight w:val="none"/>
        </w:rPr>
        <w:t>20.2</w:t>
      </w:r>
      <w:r>
        <w:rPr>
          <w:rFonts w:hint="eastAsia"/>
          <w:color w:val="auto"/>
          <w:sz w:val="21"/>
          <w:szCs w:val="21"/>
          <w:highlight w:val="none"/>
        </w:rPr>
        <w:t>招标人可按本须知第</w:t>
      </w:r>
      <w:r>
        <w:rPr>
          <w:color w:val="auto"/>
          <w:sz w:val="21"/>
          <w:szCs w:val="21"/>
          <w:highlight w:val="none"/>
        </w:rPr>
        <w:t>9</w:t>
      </w:r>
      <w:r>
        <w:rPr>
          <w:rFonts w:hint="eastAsia"/>
          <w:color w:val="auto"/>
          <w:sz w:val="21"/>
          <w:szCs w:val="21"/>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20" w:firstLineChars="200"/>
        <w:rPr>
          <w:color w:val="auto"/>
          <w:sz w:val="21"/>
          <w:szCs w:val="21"/>
          <w:highlight w:val="none"/>
        </w:rPr>
      </w:pPr>
      <w:r>
        <w:rPr>
          <w:color w:val="auto"/>
          <w:sz w:val="21"/>
          <w:szCs w:val="21"/>
          <w:highlight w:val="none"/>
        </w:rPr>
        <w:t xml:space="preserve">20.3 </w:t>
      </w:r>
      <w:r>
        <w:rPr>
          <w:rFonts w:hint="eastAsia"/>
          <w:color w:val="auto"/>
          <w:sz w:val="21"/>
          <w:szCs w:val="21"/>
          <w:highlight w:val="none"/>
        </w:rPr>
        <w:t>到投标截止时间止，招标人收到的投标文件少于3家的，招标人将重新组织招标（当</w:t>
      </w:r>
      <w:r>
        <w:rPr>
          <w:color w:val="auto"/>
          <w:sz w:val="21"/>
          <w:szCs w:val="21"/>
          <w:highlight w:val="none"/>
        </w:rPr>
        <w:t>N</w:t>
      </w:r>
      <w:r>
        <w:rPr>
          <w:rFonts w:hint="eastAsia"/>
          <w:color w:val="auto"/>
          <w:sz w:val="21"/>
          <w:szCs w:val="21"/>
          <w:highlight w:val="none"/>
        </w:rPr>
        <w:t>个标段同时招标且不允许兼中时，若有效投标人不足</w:t>
      </w:r>
      <w:r>
        <w:rPr>
          <w:color w:val="auto"/>
          <w:sz w:val="21"/>
          <w:szCs w:val="21"/>
          <w:highlight w:val="none"/>
        </w:rPr>
        <w:t>N+</w:t>
      </w:r>
      <w:r>
        <w:rPr>
          <w:rFonts w:hint="eastAsia"/>
          <w:color w:val="auto"/>
          <w:sz w:val="21"/>
          <w:szCs w:val="21"/>
          <w:highlight w:val="none"/>
        </w:rPr>
        <w:t>2家，则重新组织招标）。</w:t>
      </w:r>
    </w:p>
    <w:p>
      <w:pPr>
        <w:spacing w:line="360" w:lineRule="auto"/>
        <w:ind w:firstLine="422" w:firstLineChars="200"/>
        <w:rPr>
          <w:b/>
          <w:bCs/>
          <w:color w:val="auto"/>
          <w:sz w:val="21"/>
          <w:szCs w:val="21"/>
          <w:highlight w:val="none"/>
        </w:rPr>
      </w:pPr>
      <w:r>
        <w:rPr>
          <w:b/>
          <w:bCs/>
          <w:color w:val="auto"/>
          <w:sz w:val="21"/>
          <w:szCs w:val="21"/>
          <w:highlight w:val="none"/>
        </w:rPr>
        <w:t>21</w:t>
      </w:r>
      <w:r>
        <w:rPr>
          <w:rFonts w:hint="eastAsia"/>
          <w:b/>
          <w:bCs/>
          <w:color w:val="auto"/>
          <w:sz w:val="21"/>
          <w:szCs w:val="21"/>
          <w:highlight w:val="none"/>
        </w:rPr>
        <w:t>．迟交的投标文件</w:t>
      </w:r>
    </w:p>
    <w:p>
      <w:pPr>
        <w:spacing w:line="360" w:lineRule="auto"/>
        <w:ind w:firstLine="420" w:firstLineChars="200"/>
        <w:rPr>
          <w:color w:val="auto"/>
          <w:sz w:val="21"/>
          <w:szCs w:val="21"/>
          <w:highlight w:val="none"/>
        </w:rPr>
      </w:pPr>
      <w:r>
        <w:rPr>
          <w:color w:val="auto"/>
          <w:sz w:val="21"/>
          <w:szCs w:val="21"/>
          <w:highlight w:val="none"/>
        </w:rPr>
        <w:t xml:space="preserve">21.1 </w:t>
      </w:r>
      <w:r>
        <w:rPr>
          <w:rFonts w:hint="eastAsia"/>
          <w:color w:val="auto"/>
          <w:sz w:val="21"/>
          <w:szCs w:val="21"/>
          <w:highlight w:val="none"/>
        </w:rPr>
        <w:t>本须知前附表第</w:t>
      </w:r>
      <w:r>
        <w:rPr>
          <w:color w:val="auto"/>
          <w:sz w:val="21"/>
          <w:szCs w:val="21"/>
          <w:highlight w:val="none"/>
        </w:rPr>
        <w:t>1</w:t>
      </w:r>
      <w:r>
        <w:rPr>
          <w:rFonts w:hint="eastAsia"/>
          <w:color w:val="auto"/>
          <w:sz w:val="21"/>
          <w:szCs w:val="21"/>
          <w:highlight w:val="none"/>
        </w:rPr>
        <w:t>7项规定的投标截止时间</w:t>
      </w:r>
      <w:r>
        <w:rPr>
          <w:rFonts w:hint="eastAsia"/>
          <w:bCs/>
          <w:color w:val="auto"/>
          <w:sz w:val="21"/>
          <w:szCs w:val="21"/>
          <w:highlight w:val="none"/>
        </w:rPr>
        <w:t>后送达的电子投标文件，</w:t>
      </w:r>
      <w:r>
        <w:rPr>
          <w:color w:val="auto"/>
          <w:sz w:val="21"/>
          <w:szCs w:val="21"/>
          <w:highlight w:val="none"/>
          <w:u w:val="single"/>
        </w:rPr>
        <w:t xml:space="preserve">       </w:t>
      </w:r>
      <w:r>
        <w:rPr>
          <w:rFonts w:hint="eastAsia"/>
          <w:color w:val="auto"/>
          <w:sz w:val="21"/>
          <w:szCs w:val="21"/>
          <w:highlight w:val="none"/>
        </w:rPr>
        <w:t>交易平台将予以拒收。</w:t>
      </w:r>
    </w:p>
    <w:p>
      <w:pPr>
        <w:spacing w:line="360" w:lineRule="auto"/>
        <w:ind w:firstLine="422" w:firstLineChars="200"/>
        <w:rPr>
          <w:b/>
          <w:bCs/>
          <w:color w:val="auto"/>
          <w:sz w:val="21"/>
          <w:szCs w:val="21"/>
          <w:highlight w:val="none"/>
        </w:rPr>
      </w:pPr>
      <w:r>
        <w:rPr>
          <w:b/>
          <w:bCs/>
          <w:color w:val="auto"/>
          <w:sz w:val="21"/>
          <w:szCs w:val="21"/>
          <w:highlight w:val="none"/>
        </w:rPr>
        <w:t>22</w:t>
      </w:r>
      <w:r>
        <w:rPr>
          <w:rFonts w:hint="eastAsia"/>
          <w:b/>
          <w:bCs/>
          <w:color w:val="auto"/>
          <w:sz w:val="21"/>
          <w:szCs w:val="21"/>
          <w:highlight w:val="none"/>
        </w:rPr>
        <w:t>．投标文件的修改与撤回</w:t>
      </w:r>
    </w:p>
    <w:p>
      <w:pPr>
        <w:spacing w:line="360" w:lineRule="auto"/>
        <w:ind w:firstLine="420" w:firstLineChars="200"/>
        <w:rPr>
          <w:color w:val="auto"/>
          <w:sz w:val="21"/>
          <w:szCs w:val="21"/>
          <w:highlight w:val="none"/>
        </w:rPr>
      </w:pPr>
      <w:r>
        <w:rPr>
          <w:color w:val="auto"/>
          <w:sz w:val="21"/>
          <w:szCs w:val="21"/>
          <w:highlight w:val="none"/>
        </w:rPr>
        <w:t>22.1</w:t>
      </w:r>
      <w:r>
        <w:rPr>
          <w:rFonts w:hint="eastAsia"/>
          <w:color w:val="auto"/>
          <w:sz w:val="21"/>
          <w:szCs w:val="21"/>
          <w:highlight w:val="none"/>
        </w:rPr>
        <w:t>在规定的投标截止时间前，投标人可以修改或撤回已递交的投标文件，但应以书面形式通知招标人。</w:t>
      </w:r>
    </w:p>
    <w:p>
      <w:pPr>
        <w:spacing w:line="360" w:lineRule="auto"/>
        <w:ind w:firstLine="420" w:firstLineChars="200"/>
        <w:rPr>
          <w:color w:val="auto"/>
          <w:sz w:val="21"/>
          <w:szCs w:val="21"/>
          <w:highlight w:val="none"/>
        </w:rPr>
      </w:pPr>
      <w:r>
        <w:rPr>
          <w:color w:val="auto"/>
          <w:sz w:val="21"/>
          <w:szCs w:val="21"/>
          <w:highlight w:val="none"/>
        </w:rPr>
        <w:t>22.2投标人修改或撤回已递交</w:t>
      </w:r>
      <w:r>
        <w:rPr>
          <w:rFonts w:hint="eastAsia"/>
          <w:color w:val="auto"/>
          <w:sz w:val="21"/>
          <w:szCs w:val="21"/>
          <w:highlight w:val="none"/>
        </w:rPr>
        <w:t>的</w:t>
      </w:r>
      <w:r>
        <w:rPr>
          <w:color w:val="auto"/>
          <w:sz w:val="21"/>
          <w:szCs w:val="21"/>
          <w:highlight w:val="none"/>
        </w:rPr>
        <w:t>投标文件</w:t>
      </w:r>
      <w:r>
        <w:rPr>
          <w:rFonts w:hint="eastAsia"/>
          <w:color w:val="auto"/>
          <w:sz w:val="21"/>
          <w:szCs w:val="21"/>
          <w:highlight w:val="none"/>
        </w:rPr>
        <w:t>，需在交易平台发出修改或撤回</w:t>
      </w:r>
      <w:r>
        <w:rPr>
          <w:color w:val="auto"/>
          <w:sz w:val="21"/>
          <w:szCs w:val="21"/>
          <w:highlight w:val="none"/>
        </w:rPr>
        <w:t>通知，</w:t>
      </w:r>
      <w:r>
        <w:rPr>
          <w:rFonts w:hint="eastAsia"/>
          <w:color w:val="auto"/>
          <w:sz w:val="21"/>
          <w:szCs w:val="21"/>
          <w:highlight w:val="none"/>
        </w:rPr>
        <w:t>并按</w:t>
      </w:r>
      <w:r>
        <w:rPr>
          <w:color w:val="auto"/>
          <w:sz w:val="21"/>
          <w:szCs w:val="21"/>
          <w:highlight w:val="none"/>
        </w:rPr>
        <w:t>要求加盖电子印章。</w:t>
      </w:r>
      <w:r>
        <w:rPr>
          <w:bCs/>
          <w:iCs/>
          <w:color w:val="auto"/>
          <w:sz w:val="21"/>
          <w:szCs w:val="21"/>
          <w:highlight w:val="none"/>
        </w:rPr>
        <w:t>电子招标投标交易平台收到通知后，</w:t>
      </w:r>
      <w:r>
        <w:rPr>
          <w:color w:val="auto"/>
          <w:sz w:val="21"/>
          <w:szCs w:val="21"/>
          <w:highlight w:val="none"/>
        </w:rPr>
        <w:t>即时向投标人发出确认回执通知。</w:t>
      </w:r>
    </w:p>
    <w:p>
      <w:pPr>
        <w:spacing w:line="360" w:lineRule="auto"/>
        <w:ind w:firstLine="420" w:firstLineChars="200"/>
        <w:rPr>
          <w:color w:val="auto"/>
          <w:sz w:val="21"/>
          <w:szCs w:val="21"/>
          <w:highlight w:val="none"/>
        </w:rPr>
      </w:pPr>
      <w:r>
        <w:rPr>
          <w:rFonts w:hint="eastAsia"/>
          <w:color w:val="auto"/>
          <w:sz w:val="21"/>
          <w:szCs w:val="21"/>
          <w:highlight w:val="none"/>
        </w:rPr>
        <w:t>22.3修改后再次递交的，按19点的规定执行。</w:t>
      </w:r>
    </w:p>
    <w:p>
      <w:pPr>
        <w:spacing w:line="360" w:lineRule="auto"/>
        <w:ind w:firstLine="420" w:firstLineChars="200"/>
        <w:rPr>
          <w:color w:val="auto"/>
          <w:sz w:val="21"/>
          <w:szCs w:val="21"/>
          <w:highlight w:val="none"/>
        </w:rPr>
      </w:pPr>
      <w:r>
        <w:rPr>
          <w:color w:val="auto"/>
          <w:sz w:val="21"/>
          <w:szCs w:val="21"/>
          <w:highlight w:val="none"/>
        </w:rPr>
        <w:t>22.</w:t>
      </w:r>
      <w:r>
        <w:rPr>
          <w:rFonts w:hint="eastAsia"/>
          <w:color w:val="auto"/>
          <w:sz w:val="21"/>
          <w:szCs w:val="21"/>
          <w:highlight w:val="none"/>
        </w:rPr>
        <w:t>4</w:t>
      </w:r>
      <w:r>
        <w:rPr>
          <w:color w:val="auto"/>
          <w:sz w:val="21"/>
          <w:szCs w:val="21"/>
          <w:highlight w:val="none"/>
        </w:rPr>
        <w:t xml:space="preserve"> </w:t>
      </w:r>
      <w:r>
        <w:rPr>
          <w:rFonts w:hint="eastAsia"/>
          <w:color w:val="auto"/>
          <w:sz w:val="21"/>
          <w:szCs w:val="21"/>
          <w:highlight w:val="none"/>
        </w:rPr>
        <w:t>在投标截止时间之后，投标人不得补充、修改和更换投标文件。</w:t>
      </w:r>
    </w:p>
    <w:p>
      <w:pPr>
        <w:pStyle w:val="4"/>
        <w:spacing w:before="156" w:after="156"/>
        <w:rPr>
          <w:color w:val="auto"/>
          <w:sz w:val="21"/>
          <w:szCs w:val="21"/>
          <w:highlight w:val="none"/>
        </w:rPr>
      </w:pPr>
      <w:bookmarkStart w:id="9" w:name="_Toc29693"/>
      <w:r>
        <w:rPr>
          <w:rFonts w:hint="eastAsia"/>
          <w:color w:val="auto"/>
          <w:sz w:val="21"/>
          <w:szCs w:val="21"/>
          <w:highlight w:val="none"/>
        </w:rPr>
        <w:t>（五）开标、评标、定标及合同签定</w:t>
      </w:r>
      <w:bookmarkEnd w:id="9"/>
    </w:p>
    <w:p>
      <w:pPr>
        <w:spacing w:line="360" w:lineRule="auto"/>
        <w:ind w:firstLine="422" w:firstLineChars="200"/>
        <w:rPr>
          <w:b/>
          <w:bCs/>
          <w:color w:val="auto"/>
          <w:sz w:val="21"/>
          <w:szCs w:val="21"/>
          <w:highlight w:val="none"/>
        </w:rPr>
      </w:pPr>
      <w:r>
        <w:rPr>
          <w:b/>
          <w:bCs/>
          <w:color w:val="auto"/>
          <w:sz w:val="21"/>
          <w:szCs w:val="21"/>
          <w:highlight w:val="none"/>
        </w:rPr>
        <w:t>23</w:t>
      </w:r>
      <w:r>
        <w:rPr>
          <w:rFonts w:hint="eastAsia"/>
          <w:b/>
          <w:bCs/>
          <w:color w:val="auto"/>
          <w:sz w:val="21"/>
          <w:szCs w:val="21"/>
          <w:highlight w:val="none"/>
        </w:rPr>
        <w:t>、开标。</w:t>
      </w:r>
    </w:p>
    <w:p>
      <w:pPr>
        <w:spacing w:line="360" w:lineRule="auto"/>
        <w:ind w:firstLine="420" w:firstLineChars="200"/>
        <w:rPr>
          <w:color w:val="auto"/>
          <w:sz w:val="21"/>
          <w:szCs w:val="21"/>
          <w:highlight w:val="none"/>
        </w:rPr>
      </w:pPr>
      <w:r>
        <w:rPr>
          <w:rFonts w:hint="eastAsia"/>
          <w:color w:val="auto"/>
          <w:sz w:val="21"/>
          <w:szCs w:val="21"/>
          <w:highlight w:val="none"/>
        </w:rPr>
        <w:t>详见第二章开标、评标及定标办法</w:t>
      </w:r>
    </w:p>
    <w:p>
      <w:pPr>
        <w:spacing w:line="360" w:lineRule="auto"/>
        <w:ind w:firstLine="422" w:firstLineChars="200"/>
        <w:rPr>
          <w:b/>
          <w:bCs/>
          <w:color w:val="auto"/>
          <w:sz w:val="21"/>
          <w:szCs w:val="21"/>
          <w:highlight w:val="none"/>
        </w:rPr>
      </w:pPr>
      <w:r>
        <w:rPr>
          <w:b/>
          <w:bCs/>
          <w:color w:val="auto"/>
          <w:sz w:val="21"/>
          <w:szCs w:val="21"/>
          <w:highlight w:val="none"/>
        </w:rPr>
        <w:t>24</w:t>
      </w:r>
      <w:r>
        <w:rPr>
          <w:rFonts w:hint="eastAsia"/>
          <w:b/>
          <w:bCs/>
          <w:color w:val="auto"/>
          <w:sz w:val="21"/>
          <w:szCs w:val="21"/>
          <w:highlight w:val="none"/>
        </w:rPr>
        <w:t>．评标过程的保密</w:t>
      </w:r>
    </w:p>
    <w:p>
      <w:pPr>
        <w:spacing w:line="360" w:lineRule="auto"/>
        <w:ind w:firstLine="420" w:firstLineChars="200"/>
        <w:rPr>
          <w:color w:val="auto"/>
          <w:sz w:val="21"/>
          <w:szCs w:val="21"/>
          <w:highlight w:val="none"/>
        </w:rPr>
      </w:pPr>
      <w:r>
        <w:rPr>
          <w:color w:val="auto"/>
          <w:sz w:val="21"/>
          <w:szCs w:val="21"/>
          <w:highlight w:val="none"/>
        </w:rPr>
        <w:t xml:space="preserve">24.1 </w:t>
      </w:r>
      <w:r>
        <w:rPr>
          <w:rFonts w:hint="eastAsia"/>
          <w:color w:val="auto"/>
          <w:sz w:val="21"/>
          <w:szCs w:val="21"/>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20" w:firstLineChars="200"/>
        <w:rPr>
          <w:color w:val="auto"/>
          <w:sz w:val="21"/>
          <w:szCs w:val="21"/>
          <w:highlight w:val="none"/>
        </w:rPr>
      </w:pPr>
      <w:r>
        <w:rPr>
          <w:color w:val="auto"/>
          <w:sz w:val="21"/>
          <w:szCs w:val="21"/>
          <w:highlight w:val="none"/>
        </w:rPr>
        <w:t xml:space="preserve">24.2 </w:t>
      </w:r>
      <w:r>
        <w:rPr>
          <w:rFonts w:hint="eastAsia"/>
          <w:color w:val="auto"/>
          <w:sz w:val="21"/>
          <w:szCs w:val="21"/>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22" w:firstLineChars="200"/>
        <w:rPr>
          <w:b/>
          <w:bCs/>
          <w:color w:val="auto"/>
          <w:sz w:val="21"/>
          <w:szCs w:val="21"/>
          <w:highlight w:val="none"/>
        </w:rPr>
      </w:pPr>
      <w:r>
        <w:rPr>
          <w:b/>
          <w:bCs/>
          <w:color w:val="auto"/>
          <w:sz w:val="21"/>
          <w:szCs w:val="21"/>
          <w:highlight w:val="none"/>
        </w:rPr>
        <w:t>25</w:t>
      </w:r>
      <w:r>
        <w:rPr>
          <w:rFonts w:hint="eastAsia"/>
          <w:b/>
          <w:bCs/>
          <w:color w:val="auto"/>
          <w:sz w:val="21"/>
          <w:szCs w:val="21"/>
          <w:highlight w:val="none"/>
        </w:rPr>
        <w:t>．投标文件的澄清，计算错误的修正</w:t>
      </w:r>
    </w:p>
    <w:p>
      <w:pPr>
        <w:spacing w:line="360" w:lineRule="auto"/>
        <w:ind w:firstLine="420" w:firstLineChars="200"/>
        <w:rPr>
          <w:color w:val="auto"/>
          <w:sz w:val="21"/>
          <w:szCs w:val="21"/>
          <w:highlight w:val="none"/>
        </w:rPr>
      </w:pPr>
      <w:r>
        <w:rPr>
          <w:rFonts w:hint="eastAsia"/>
          <w:color w:val="auto"/>
          <w:sz w:val="21"/>
          <w:szCs w:val="21"/>
          <w:highlight w:val="none"/>
        </w:rPr>
        <w:t>详见招标文件第二章开标、评标及定标办法</w:t>
      </w:r>
    </w:p>
    <w:p>
      <w:pPr>
        <w:spacing w:line="360" w:lineRule="auto"/>
        <w:ind w:firstLine="422" w:firstLineChars="200"/>
        <w:rPr>
          <w:b/>
          <w:bCs/>
          <w:color w:val="auto"/>
          <w:sz w:val="21"/>
          <w:szCs w:val="21"/>
          <w:highlight w:val="none"/>
        </w:rPr>
      </w:pPr>
      <w:r>
        <w:rPr>
          <w:b/>
          <w:bCs/>
          <w:color w:val="auto"/>
          <w:sz w:val="21"/>
          <w:szCs w:val="21"/>
          <w:highlight w:val="none"/>
        </w:rPr>
        <w:t>26</w:t>
      </w:r>
      <w:r>
        <w:rPr>
          <w:rFonts w:hint="eastAsia"/>
          <w:b/>
          <w:bCs/>
          <w:color w:val="auto"/>
          <w:sz w:val="21"/>
          <w:szCs w:val="21"/>
          <w:highlight w:val="none"/>
        </w:rPr>
        <w:t>．投标文件的评审、比较和否决</w:t>
      </w:r>
    </w:p>
    <w:p>
      <w:pPr>
        <w:spacing w:line="360" w:lineRule="auto"/>
        <w:ind w:firstLine="420" w:firstLineChars="200"/>
        <w:rPr>
          <w:bCs/>
          <w:color w:val="auto"/>
          <w:sz w:val="21"/>
          <w:szCs w:val="21"/>
          <w:highlight w:val="none"/>
        </w:rPr>
      </w:pPr>
      <w:r>
        <w:rPr>
          <w:rFonts w:hint="eastAsia"/>
          <w:color w:val="auto"/>
          <w:sz w:val="21"/>
          <w:szCs w:val="21"/>
          <w:highlight w:val="none"/>
        </w:rPr>
        <w:t>详见招标文件第二章开标、评标及定标办法。</w:t>
      </w:r>
    </w:p>
    <w:p>
      <w:pPr>
        <w:spacing w:line="360" w:lineRule="auto"/>
        <w:ind w:firstLine="422" w:firstLineChars="200"/>
        <w:rPr>
          <w:b/>
          <w:bCs/>
          <w:color w:val="auto"/>
          <w:sz w:val="21"/>
          <w:szCs w:val="21"/>
          <w:highlight w:val="none"/>
        </w:rPr>
      </w:pPr>
      <w:r>
        <w:rPr>
          <w:b/>
          <w:bCs/>
          <w:color w:val="auto"/>
          <w:sz w:val="21"/>
          <w:szCs w:val="21"/>
          <w:highlight w:val="none"/>
        </w:rPr>
        <w:t>27</w:t>
      </w:r>
      <w:r>
        <w:rPr>
          <w:rFonts w:hint="eastAsia"/>
          <w:b/>
          <w:bCs/>
          <w:color w:val="auto"/>
          <w:sz w:val="21"/>
          <w:szCs w:val="21"/>
          <w:highlight w:val="none"/>
        </w:rPr>
        <w:t>．中标通知书</w:t>
      </w:r>
    </w:p>
    <w:p>
      <w:pPr>
        <w:spacing w:line="360" w:lineRule="auto"/>
        <w:ind w:firstLine="420" w:firstLineChars="200"/>
        <w:rPr>
          <w:color w:val="auto"/>
          <w:sz w:val="21"/>
          <w:szCs w:val="21"/>
          <w:highlight w:val="none"/>
        </w:rPr>
      </w:pPr>
      <w:r>
        <w:rPr>
          <w:color w:val="auto"/>
          <w:sz w:val="21"/>
          <w:szCs w:val="21"/>
          <w:highlight w:val="none"/>
        </w:rPr>
        <w:t>27.1</w:t>
      </w:r>
      <w:r>
        <w:rPr>
          <w:rFonts w:hint="eastAsia"/>
          <w:color w:val="auto"/>
          <w:sz w:val="21"/>
          <w:szCs w:val="21"/>
          <w:highlight w:val="none"/>
        </w:rPr>
        <w:t>招标人将在</w:t>
      </w:r>
      <w:r>
        <w:rPr>
          <w:color w:val="auto"/>
          <w:sz w:val="21"/>
          <w:szCs w:val="21"/>
          <w:highlight w:val="none"/>
          <w:u w:val="single"/>
        </w:rPr>
        <w:t xml:space="preserve">        </w:t>
      </w:r>
      <w:r>
        <w:rPr>
          <w:rFonts w:hint="eastAsia"/>
          <w:color w:val="auto"/>
          <w:sz w:val="21"/>
          <w:szCs w:val="21"/>
          <w:highlight w:val="none"/>
        </w:rPr>
        <w:t>交易平台、广东省招标投标监管网和中国招标投标公共服务平台公示中标候选人，公示期为三天。</w:t>
      </w:r>
    </w:p>
    <w:p>
      <w:pPr>
        <w:spacing w:line="360" w:lineRule="auto"/>
        <w:ind w:firstLine="420" w:firstLineChars="200"/>
        <w:rPr>
          <w:rFonts w:ascii="仿宋_GB2312" w:eastAsia="仿宋_GB2312"/>
          <w:color w:val="auto"/>
          <w:sz w:val="21"/>
          <w:szCs w:val="21"/>
          <w:highlight w:val="none"/>
        </w:rPr>
      </w:pPr>
      <w:r>
        <w:rPr>
          <w:color w:val="auto"/>
          <w:sz w:val="21"/>
          <w:szCs w:val="21"/>
          <w:highlight w:val="none"/>
        </w:rPr>
        <w:t>27.2</w:t>
      </w:r>
      <w:r>
        <w:rPr>
          <w:rFonts w:hint="eastAsia"/>
          <w:color w:val="auto"/>
          <w:sz w:val="21"/>
          <w:szCs w:val="21"/>
          <w:highlight w:val="none"/>
        </w:rPr>
        <w:t>招标人应当自确定中标人后，向招标投标监管机构提交招标投标情况的书面报告；经招投标监管机构备案后，方可发出中标通知书。</w:t>
      </w:r>
    </w:p>
    <w:p>
      <w:pPr>
        <w:spacing w:line="360" w:lineRule="auto"/>
        <w:ind w:firstLine="420" w:firstLineChars="200"/>
        <w:rPr>
          <w:color w:val="auto"/>
          <w:sz w:val="21"/>
          <w:szCs w:val="21"/>
          <w:highlight w:val="none"/>
        </w:rPr>
      </w:pPr>
      <w:r>
        <w:rPr>
          <w:color w:val="auto"/>
          <w:sz w:val="21"/>
          <w:szCs w:val="21"/>
          <w:highlight w:val="none"/>
        </w:rPr>
        <w:t>27.3</w:t>
      </w:r>
      <w:r>
        <w:rPr>
          <w:rFonts w:hint="eastAsia"/>
          <w:color w:val="auto"/>
          <w:sz w:val="21"/>
          <w:szCs w:val="21"/>
          <w:highlight w:val="none"/>
        </w:rPr>
        <w:t>中标人必须在收到中标通知书后</w:t>
      </w:r>
      <w:r>
        <w:rPr>
          <w:color w:val="auto"/>
          <w:sz w:val="21"/>
          <w:szCs w:val="21"/>
          <w:highlight w:val="none"/>
        </w:rPr>
        <w:t>24</w:t>
      </w:r>
      <w:r>
        <w:rPr>
          <w:rFonts w:hint="eastAsia"/>
          <w:color w:val="auto"/>
          <w:sz w:val="21"/>
          <w:szCs w:val="21"/>
          <w:highlight w:val="none"/>
        </w:rPr>
        <w:t>小时之内以书面形式回复招标人，确认收到。</w:t>
      </w:r>
    </w:p>
    <w:p>
      <w:pPr>
        <w:spacing w:line="360" w:lineRule="auto"/>
        <w:ind w:firstLine="420" w:firstLineChars="200"/>
        <w:rPr>
          <w:color w:val="auto"/>
          <w:sz w:val="21"/>
          <w:szCs w:val="21"/>
          <w:highlight w:val="none"/>
        </w:rPr>
      </w:pPr>
      <w:r>
        <w:rPr>
          <w:rFonts w:hint="eastAsia"/>
          <w:color w:val="auto"/>
          <w:sz w:val="21"/>
          <w:szCs w:val="21"/>
          <w:highlight w:val="none"/>
        </w:rPr>
        <w:t>27.4在产生中标候选人后，招标人将中标候选人的投标文件商务部分文件的所有内容（包括人员、业绩、奖项等资料）在</w:t>
      </w:r>
      <w:r>
        <w:rPr>
          <w:color w:val="auto"/>
          <w:sz w:val="21"/>
          <w:szCs w:val="21"/>
          <w:highlight w:val="none"/>
          <w:u w:val="single"/>
        </w:rPr>
        <w:t xml:space="preserve">        </w:t>
      </w:r>
      <w:r>
        <w:rPr>
          <w:rFonts w:hint="eastAsia"/>
          <w:color w:val="auto"/>
          <w:sz w:val="21"/>
          <w:szCs w:val="21"/>
          <w:highlight w:val="none"/>
        </w:rPr>
        <w:t>交易平台和广东省招标投标监管网公开。</w:t>
      </w:r>
    </w:p>
    <w:p>
      <w:pPr>
        <w:spacing w:line="360" w:lineRule="auto"/>
        <w:ind w:firstLine="422" w:firstLineChars="200"/>
        <w:rPr>
          <w:b/>
          <w:bCs/>
          <w:color w:val="auto"/>
          <w:sz w:val="21"/>
          <w:szCs w:val="21"/>
          <w:highlight w:val="none"/>
        </w:rPr>
      </w:pPr>
      <w:r>
        <w:rPr>
          <w:b/>
          <w:bCs/>
          <w:color w:val="auto"/>
          <w:sz w:val="21"/>
          <w:szCs w:val="21"/>
          <w:highlight w:val="none"/>
        </w:rPr>
        <w:t>28</w:t>
      </w:r>
      <w:r>
        <w:rPr>
          <w:rFonts w:hint="eastAsia"/>
          <w:b/>
          <w:bCs/>
          <w:color w:val="auto"/>
          <w:sz w:val="21"/>
          <w:szCs w:val="21"/>
          <w:highlight w:val="none"/>
        </w:rPr>
        <w:t>．合同协议书的签订</w:t>
      </w:r>
    </w:p>
    <w:p>
      <w:pPr>
        <w:spacing w:line="360" w:lineRule="auto"/>
        <w:ind w:firstLine="420" w:firstLineChars="200"/>
        <w:rPr>
          <w:color w:val="auto"/>
          <w:sz w:val="21"/>
          <w:szCs w:val="21"/>
          <w:highlight w:val="none"/>
        </w:rPr>
      </w:pPr>
      <w:r>
        <w:rPr>
          <w:color w:val="auto"/>
          <w:sz w:val="21"/>
          <w:szCs w:val="21"/>
          <w:highlight w:val="none"/>
        </w:rPr>
        <w:t xml:space="preserve">28.1 </w:t>
      </w:r>
      <w:r>
        <w:rPr>
          <w:rFonts w:hint="eastAsia"/>
          <w:color w:val="auto"/>
          <w:sz w:val="21"/>
          <w:szCs w:val="21"/>
          <w:highlight w:val="none"/>
        </w:rPr>
        <w:t>招标人与中标人将于中标通知书发出之日起</w:t>
      </w:r>
      <w:r>
        <w:rPr>
          <w:color w:val="auto"/>
          <w:sz w:val="21"/>
          <w:szCs w:val="21"/>
          <w:highlight w:val="none"/>
        </w:rPr>
        <w:t>30</w:t>
      </w:r>
      <w:r>
        <w:rPr>
          <w:rFonts w:hint="eastAsia"/>
          <w:color w:val="auto"/>
          <w:sz w:val="21"/>
          <w:szCs w:val="21"/>
          <w:highlight w:val="none"/>
        </w:rPr>
        <w:t>日内，按照招标文件和中标人的投标文件商定和签订合同，招标人和中标人不得再行订立背离合同实质性内容的其他协议。</w:t>
      </w:r>
    </w:p>
    <w:p>
      <w:pPr>
        <w:spacing w:line="360" w:lineRule="auto"/>
        <w:ind w:firstLine="420" w:firstLineChars="200"/>
        <w:rPr>
          <w:color w:val="auto"/>
          <w:sz w:val="21"/>
          <w:szCs w:val="21"/>
          <w:highlight w:val="none"/>
        </w:rPr>
      </w:pPr>
      <w:r>
        <w:rPr>
          <w:color w:val="auto"/>
          <w:sz w:val="21"/>
          <w:szCs w:val="21"/>
          <w:highlight w:val="none"/>
        </w:rPr>
        <w:t>28.2</w:t>
      </w:r>
      <w:r>
        <w:rPr>
          <w:rFonts w:hint="eastAsia"/>
          <w:color w:val="auto"/>
          <w:sz w:val="21"/>
          <w:szCs w:val="21"/>
          <w:highlight w:val="none"/>
        </w:rPr>
        <w:t>中标通知书发出之日起</w:t>
      </w:r>
      <w:r>
        <w:rPr>
          <w:color w:val="auto"/>
          <w:sz w:val="21"/>
          <w:szCs w:val="21"/>
          <w:highlight w:val="none"/>
        </w:rPr>
        <w:t>30</w:t>
      </w:r>
      <w:r>
        <w:rPr>
          <w:rFonts w:hint="eastAsia"/>
          <w:color w:val="auto"/>
          <w:sz w:val="21"/>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0" w:firstLineChars="200"/>
        <w:rPr>
          <w:color w:val="auto"/>
          <w:sz w:val="21"/>
          <w:szCs w:val="21"/>
          <w:highlight w:val="none"/>
        </w:rPr>
      </w:pPr>
      <w:r>
        <w:rPr>
          <w:color w:val="auto"/>
          <w:sz w:val="21"/>
          <w:szCs w:val="21"/>
          <w:highlight w:val="none"/>
        </w:rPr>
        <w:t>28.3</w:t>
      </w:r>
      <w:r>
        <w:rPr>
          <w:rFonts w:hint="eastAsia"/>
          <w:color w:val="auto"/>
          <w:sz w:val="21"/>
          <w:szCs w:val="21"/>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20" w:firstLineChars="200"/>
        <w:rPr>
          <w:rFonts w:hint="eastAsia"/>
          <w:color w:val="auto"/>
          <w:sz w:val="21"/>
          <w:szCs w:val="21"/>
          <w:highlight w:val="none"/>
        </w:rPr>
      </w:pPr>
      <w:r>
        <w:rPr>
          <w:color w:val="auto"/>
          <w:sz w:val="21"/>
          <w:szCs w:val="21"/>
          <w:highlight w:val="none"/>
        </w:rPr>
        <w:t>28.4</w:t>
      </w:r>
      <w:r>
        <w:rPr>
          <w:rFonts w:hint="eastAsia"/>
          <w:color w:val="auto"/>
          <w:sz w:val="21"/>
          <w:szCs w:val="21"/>
          <w:highlight w:val="none"/>
        </w:rPr>
        <w:t>招标人支付工程款时，中标人应按规定开具发票。</w:t>
      </w:r>
    </w:p>
    <w:p>
      <w:pPr>
        <w:spacing w:line="360" w:lineRule="auto"/>
        <w:ind w:firstLine="422" w:firstLineChars="200"/>
        <w:rPr>
          <w:rFonts w:hint="eastAsia"/>
          <w:b/>
          <w:bCs/>
          <w:color w:val="auto"/>
          <w:sz w:val="21"/>
          <w:szCs w:val="21"/>
          <w:highlight w:val="none"/>
        </w:rPr>
      </w:pPr>
      <w:r>
        <w:rPr>
          <w:rFonts w:hint="eastAsia"/>
          <w:b/>
          <w:bCs/>
          <w:color w:val="auto"/>
          <w:sz w:val="21"/>
          <w:szCs w:val="21"/>
          <w:highlight w:val="none"/>
        </w:rPr>
        <w:t>29．履约担保</w:t>
      </w:r>
    </w:p>
    <w:p>
      <w:pPr>
        <w:spacing w:line="360" w:lineRule="auto"/>
        <w:ind w:firstLine="420" w:firstLineChars="200"/>
        <w:rPr>
          <w:rFonts w:hint="eastAsia"/>
          <w:color w:val="auto"/>
          <w:sz w:val="21"/>
          <w:szCs w:val="21"/>
          <w:highlight w:val="none"/>
        </w:rPr>
      </w:pPr>
      <w:r>
        <w:rPr>
          <w:rFonts w:hint="eastAsia"/>
          <w:color w:val="auto"/>
          <w:sz w:val="21"/>
          <w:szCs w:val="21"/>
          <w:highlight w:val="none"/>
        </w:rPr>
        <w:t>29.1 在收到中标通知书后的15日内，中标人应按本须知前附表第20项的规定向招标人提交履约担保。</w:t>
      </w:r>
    </w:p>
    <w:p>
      <w:pPr>
        <w:spacing w:line="360" w:lineRule="auto"/>
        <w:ind w:firstLine="420" w:firstLineChars="200"/>
        <w:rPr>
          <w:rFonts w:hint="eastAsia"/>
          <w:color w:val="auto"/>
          <w:sz w:val="21"/>
          <w:szCs w:val="21"/>
          <w:highlight w:val="none"/>
        </w:rPr>
      </w:pPr>
      <w:r>
        <w:rPr>
          <w:rFonts w:hint="eastAsia"/>
          <w:color w:val="auto"/>
          <w:sz w:val="21"/>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b/>
          <w:bCs/>
          <w:color w:val="auto"/>
          <w:sz w:val="21"/>
          <w:szCs w:val="21"/>
          <w:highlight w:val="none"/>
        </w:rPr>
      </w:pPr>
      <w:r>
        <w:rPr>
          <w:rFonts w:hint="eastAsia"/>
          <w:b/>
          <w:bCs/>
          <w:color w:val="auto"/>
          <w:sz w:val="21"/>
          <w:szCs w:val="21"/>
          <w:highlight w:val="none"/>
          <w:lang w:val="en-US" w:eastAsia="zh-CN"/>
        </w:rPr>
        <w:t>30</w:t>
      </w:r>
      <w:r>
        <w:rPr>
          <w:rFonts w:hint="eastAsia"/>
          <w:b/>
          <w:bCs/>
          <w:color w:val="auto"/>
          <w:sz w:val="21"/>
          <w:szCs w:val="21"/>
          <w:highlight w:val="none"/>
        </w:rPr>
        <w:t>．合同生效</w:t>
      </w:r>
    </w:p>
    <w:p>
      <w:pPr>
        <w:spacing w:line="360" w:lineRule="auto"/>
        <w:ind w:firstLine="420" w:firstLineChars="200"/>
        <w:rPr>
          <w:color w:val="auto"/>
          <w:sz w:val="21"/>
          <w:szCs w:val="21"/>
          <w:highlight w:val="none"/>
        </w:rPr>
      </w:pPr>
      <w:r>
        <w:rPr>
          <w:rFonts w:hint="eastAsia"/>
          <w:color w:val="auto"/>
          <w:sz w:val="21"/>
          <w:szCs w:val="21"/>
          <w:highlight w:val="none"/>
          <w:lang w:val="en-US" w:eastAsia="zh-CN"/>
        </w:rPr>
        <w:t>30</w:t>
      </w:r>
      <w:r>
        <w:rPr>
          <w:color w:val="auto"/>
          <w:sz w:val="21"/>
          <w:szCs w:val="21"/>
          <w:highlight w:val="none"/>
        </w:rPr>
        <w:t>.1</w:t>
      </w:r>
      <w:r>
        <w:rPr>
          <w:rFonts w:hint="eastAsia"/>
          <w:color w:val="auto"/>
          <w:sz w:val="21"/>
          <w:szCs w:val="21"/>
          <w:highlight w:val="none"/>
        </w:rPr>
        <w:t>在合同双方全权代表在合同协议书上签字，并分别加盖双方单位的公章后，合同正式生效。</w:t>
      </w:r>
    </w:p>
    <w:p>
      <w:pPr>
        <w:spacing w:line="360" w:lineRule="auto"/>
        <w:ind w:firstLine="422" w:firstLineChars="200"/>
        <w:rPr>
          <w:b/>
          <w:bCs/>
          <w:color w:val="auto"/>
          <w:sz w:val="21"/>
          <w:szCs w:val="21"/>
          <w:highlight w:val="none"/>
        </w:rPr>
      </w:pPr>
      <w:r>
        <w:rPr>
          <w:rFonts w:hint="eastAsia"/>
          <w:b/>
          <w:bCs/>
          <w:color w:val="auto"/>
          <w:sz w:val="21"/>
          <w:szCs w:val="21"/>
          <w:highlight w:val="none"/>
          <w:lang w:val="en-US" w:eastAsia="zh-CN"/>
        </w:rPr>
        <w:t>31</w:t>
      </w:r>
      <w:r>
        <w:rPr>
          <w:rFonts w:hint="eastAsia"/>
          <w:b/>
          <w:bCs/>
          <w:color w:val="auto"/>
          <w:sz w:val="21"/>
          <w:szCs w:val="21"/>
          <w:highlight w:val="none"/>
        </w:rPr>
        <w:t>．其它费用</w:t>
      </w:r>
    </w:p>
    <w:p>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3</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．腐败与欺诈行为</w:t>
      </w:r>
    </w:p>
    <w:p>
      <w:pPr>
        <w:pStyle w:val="25"/>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在招标和合同实施期间，招标人要求投标人和承包人遵守最高的道德标准。</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对本条款的规定，特定义如下词汇：</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）、“腐败行为”是指在招标或合同执行期间，通过提供、给予、接受或索要任何有价值的东西，从而影响招标人有关人员工作的行为；</w:t>
      </w:r>
    </w:p>
    <w:p>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25"/>
        <w:spacing w:after="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如果投标人被认定在本招标的竞争中有腐败或欺诈行为，则会被取消投标资格。</w:t>
      </w:r>
    </w:p>
    <w:p>
      <w:pPr>
        <w:pStyle w:val="25"/>
        <w:spacing w:after="0" w:line="360" w:lineRule="auto"/>
        <w:ind w:firstLine="420" w:firstLineChars="200"/>
        <w:rPr>
          <w:rFonts w:ascii="宋体"/>
          <w:color w:val="auto"/>
          <w:sz w:val="21"/>
          <w:szCs w:val="21"/>
          <w:highlight w:val="none"/>
        </w:rPr>
      </w:pPr>
      <w:r>
        <w:rPr>
          <w:rFonts w:hint="eastAsia" w:ascii="宋体"/>
          <w:color w:val="auto"/>
          <w:sz w:val="21"/>
          <w:szCs w:val="21"/>
          <w:highlight w:val="none"/>
        </w:rPr>
        <w:t>3</w:t>
      </w:r>
      <w:r>
        <w:rPr>
          <w:rFonts w:hint="eastAsia" w:ascii="宋体"/>
          <w:color w:val="auto"/>
          <w:sz w:val="21"/>
          <w:szCs w:val="21"/>
          <w:highlight w:val="none"/>
          <w:lang w:val="en-US" w:eastAsia="zh-CN"/>
        </w:rPr>
        <w:t>2</w:t>
      </w:r>
      <w:r>
        <w:rPr>
          <w:rFonts w:hint="eastAsia" w:ascii="宋体"/>
          <w:color w:val="auto"/>
          <w:sz w:val="21"/>
          <w:szCs w:val="21"/>
          <w:highlight w:val="none"/>
        </w:rPr>
        <w:t>.3投标人如在本项目中存在串通投标、弄虚作假、行贿情形的，中标无效，行政监督部门将对其违法行为进行政处罚并通报。该投标人将被招标人列入黑名单并限制其参与招标人后续项目的投标。</w:t>
      </w:r>
    </w:p>
    <w:bookmarkEnd w:id="5"/>
    <w:p>
      <w:pPr>
        <w:pStyle w:val="2"/>
        <w:spacing w:before="0" w:beforeAutospacing="0" w:after="0" w:afterAutospacing="0"/>
        <w:jc w:val="center"/>
        <w:rPr>
          <w:rFonts w:hint="default"/>
          <w:color w:val="auto"/>
          <w:highlight w:val="none"/>
        </w:rPr>
      </w:pPr>
      <w:r>
        <w:rPr>
          <w:color w:val="auto"/>
          <w:sz w:val="24"/>
          <w:highlight w:val="none"/>
        </w:rPr>
        <w:br w:type="page"/>
      </w:r>
      <w:bookmarkStart w:id="10" w:name="_Toc18664066"/>
      <w:r>
        <w:rPr>
          <w:color w:val="auto"/>
          <w:highlight w:val="none"/>
        </w:rPr>
        <w:t>第二章  开标、评标及定标办法</w:t>
      </w:r>
      <w:bookmarkEnd w:id="10"/>
    </w:p>
    <w:p>
      <w:pPr>
        <w:pStyle w:val="3"/>
        <w:rPr>
          <w:color w:val="auto"/>
          <w:highlight w:val="none"/>
        </w:rPr>
      </w:pPr>
      <w:bookmarkStart w:id="11" w:name="_Toc18664067"/>
      <w:r>
        <w:rPr>
          <w:rFonts w:hint="eastAsia"/>
          <w:color w:val="auto"/>
          <w:sz w:val="28"/>
          <w:szCs w:val="28"/>
          <w:highlight w:val="none"/>
        </w:rPr>
        <w:t>一、</w:t>
      </w:r>
      <w:r>
        <w:rPr>
          <w:rFonts w:hint="eastAsia"/>
          <w:color w:val="auto"/>
          <w:highlight w:val="none"/>
        </w:rPr>
        <w:t>开标、评标及定标办法修改表</w:t>
      </w:r>
      <w:bookmarkEnd w:id="11"/>
    </w:p>
    <w:p>
      <w:pPr>
        <w:pStyle w:val="25"/>
        <w:spacing w:after="0" w:line="360" w:lineRule="auto"/>
        <w:rPr>
          <w:rFonts w:ascii="宋体" w:hAnsi="宋体" w:cs="宋体"/>
          <w:b/>
          <w:color w:val="auto"/>
          <w:szCs w:val="21"/>
          <w:highlight w:val="none"/>
        </w:rPr>
      </w:pPr>
      <w:r>
        <w:rPr>
          <w:rFonts w:hint="eastAsia" w:ascii="宋体" w:hAnsi="宋体"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条款号：（二）开标评标办法程序和细则       修改类型：删除</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可选办法一（适合综合评分法一，技术标与经济标先后分别开启）</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可选办法二（适合综合评分法一，技术标与经济标同时开启）</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可选办法三（适合综合评分法二，技术标与经济标先后分别开启）</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可选办法四（适合综合评分法二，技术标与经济标同时开启）</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可选办法五（适合综合评分法三，技术标与经济标先后分别开启）</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可选办法六（适合综合评分法三，技术标与经济标同时开启）</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可选办法八（适合经评审的最低投标价法，技术标与经济标同时开启）</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条款号：36.1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0"/>
        </w:pBdr>
        <w:spacing w:line="360" w:lineRule="auto"/>
        <w:ind w:firstLine="422" w:firstLineChars="200"/>
        <w:rPr>
          <w:rFonts w:hint="eastAsia" w:ascii="宋体" w:hAnsi="宋体" w:cs="宋体"/>
          <w:b/>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条款号：36.3             修改类型：删除</w:t>
      </w:r>
    </w:p>
    <w:p>
      <w:pPr>
        <w:pBdr>
          <w:bottom w:val="single" w:color="auto" w:sz="6" w:space="0"/>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条款号：36.4</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36.4若递交投标文件的投标人不足3家，则重新组织招标。（当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w:t>
      </w:r>
      <w:r>
        <w:rPr>
          <w:rFonts w:hint="eastAsia" w:ascii="宋体" w:hAnsi="宋体"/>
          <w:color w:val="auto"/>
          <w:szCs w:val="21"/>
          <w:highlight w:val="none"/>
        </w:rPr>
        <w:t>2家，则重新组织招标）</w:t>
      </w:r>
    </w:p>
    <w:p>
      <w:pPr>
        <w:pBdr>
          <w:bottom w:val="single" w:color="auto" w:sz="6" w:space="0"/>
        </w:pBdr>
        <w:spacing w:line="360" w:lineRule="auto"/>
        <w:ind w:firstLine="422" w:firstLineChars="200"/>
        <w:rPr>
          <w:rFonts w:hint="eastAsia" w:ascii="宋体" w:hAnsi="宋体" w:cs="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36.4若递交投标文件的投标人不足3家，则重新组织招标</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条款号：36.5.1            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36.5.1在投标截止时间后一小时内，投标人通过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36.5.1在投标截止时间后一小时内，投标人通过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进行解密。解密完成后，公布招标项目名称、投标人名称、投标保证金的递交情况、投标报价、工期及其他内容；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  36.5.3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原文： </w:t>
      </w:r>
      <w:r>
        <w:rPr>
          <w:rFonts w:hint="eastAsia" w:ascii="宋体" w:hAnsi="宋体" w:cs="宋体"/>
          <w:color w:val="auto"/>
          <w:szCs w:val="21"/>
          <w:highlight w:val="none"/>
        </w:rPr>
        <w:t>36.5.3</w:t>
      </w:r>
      <w:r>
        <w:rPr>
          <w:rFonts w:hint="eastAsia" w:ascii="宋体" w:hAnsi="宋体" w:cs="宋体"/>
          <w:b/>
          <w:color w:val="auto"/>
          <w:szCs w:val="21"/>
          <w:highlight w:val="none"/>
        </w:rPr>
        <w:t xml:space="preserve"> </w:t>
      </w:r>
      <w:r>
        <w:rPr>
          <w:rFonts w:hint="eastAsia" w:ascii="宋体" w:hAnsi="宋体" w:cs="宋体"/>
          <w:color w:val="auto"/>
          <w:szCs w:val="21"/>
          <w:highlight w:val="none"/>
        </w:rPr>
        <w:t>投标人代表、招标人代表、监标人、记录人等有关人员在开标记录上签字确认；若有关人员不签字的，不影响开标程序；</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 36.5.3</w:t>
      </w:r>
      <w:r>
        <w:rPr>
          <w:rFonts w:hint="eastAsia" w:ascii="宋体" w:hAnsi="宋体" w:cs="宋体"/>
          <w:b/>
          <w:color w:val="auto"/>
          <w:szCs w:val="21"/>
          <w:highlight w:val="none"/>
        </w:rPr>
        <w:t xml:space="preserve"> </w:t>
      </w:r>
      <w:r>
        <w:rPr>
          <w:rFonts w:hint="eastAsia" w:ascii="宋体" w:hAnsi="宋体" w:cs="宋体"/>
          <w:color w:val="auto"/>
          <w:szCs w:val="21"/>
          <w:highlight w:val="none"/>
        </w:rPr>
        <w:t>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条款号：38.1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lang w:bidi="ar"/>
        </w:rPr>
        <w:t>原文：</w:t>
      </w:r>
      <w:r>
        <w:rPr>
          <w:rFonts w:hint="eastAsia" w:ascii="宋体" w:hAnsi="宋体" w:cs="宋体"/>
          <w:color w:val="auto"/>
          <w:szCs w:val="21"/>
          <w:highlight w:val="none"/>
          <w:lang w:bidi="ar"/>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4"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现文：</w:t>
      </w:r>
      <w:r>
        <w:rPr>
          <w:rFonts w:hint="eastAsia" w:ascii="宋体" w:hAnsi="宋体" w:cs="宋体"/>
          <w:color w:val="auto"/>
          <w:szCs w:val="21"/>
          <w:highlight w:val="none"/>
          <w:lang w:bidi="ar"/>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cs="宋体"/>
          <w:color w:val="auto"/>
          <w:szCs w:val="21"/>
          <w:highlight w:val="none"/>
          <w:u w:val="single"/>
          <w:lang w:bidi="ar"/>
        </w:rPr>
        <w:t>对投标文件含义不明确、对同类问题表述不一致、有明显文字和计算错误的内容以及细微偏差的</w:t>
      </w:r>
      <w:r>
        <w:rPr>
          <w:rFonts w:hint="eastAsia" w:ascii="宋体" w:hAnsi="宋体" w:cs="宋体"/>
          <w:color w:val="auto"/>
          <w:szCs w:val="21"/>
          <w:highlight w:val="none"/>
          <w:lang w:bidi="ar"/>
        </w:rPr>
        <w:t>内容作出澄清。</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w:t>
      </w:r>
      <w:r>
        <w:rPr>
          <w:rFonts w:hint="eastAsia" w:ascii="宋体" w:hAnsi="宋体" w:cs="宋体"/>
          <w:b/>
          <w:color w:val="auto"/>
          <w:szCs w:val="21"/>
          <w:highlight w:val="none"/>
        </w:rPr>
        <w:t xml:space="preserve">39.3 </w:t>
      </w:r>
      <w:r>
        <w:rPr>
          <w:rFonts w:hint="eastAsia" w:ascii="宋体" w:hAnsi="宋体" w:cs="宋体"/>
          <w:b/>
          <w:bCs/>
          <w:color w:val="auto"/>
          <w:szCs w:val="21"/>
          <w:highlight w:val="none"/>
        </w:rPr>
        <w:t xml:space="preserve">         </w:t>
      </w:r>
      <w:r>
        <w:rPr>
          <w:rFonts w:ascii="宋体" w:hAnsi="宋体" w:cs="宋体"/>
          <w:b/>
          <w:bCs/>
          <w:color w:val="auto"/>
          <w:szCs w:val="21"/>
          <w:highlight w:val="none"/>
        </w:rPr>
        <w:t xml:space="preserve">  </w:t>
      </w:r>
      <w:r>
        <w:rPr>
          <w:rFonts w:hint="eastAsia" w:ascii="宋体" w:hAnsi="宋体" w:cs="宋体"/>
          <w:b/>
          <w:bCs/>
          <w:color w:val="auto"/>
          <w:szCs w:val="21"/>
          <w:highlight w:val="none"/>
        </w:rPr>
        <w:t>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bCs/>
          <w:color w:val="auto"/>
          <w:szCs w:val="21"/>
          <w:highlight w:val="none"/>
        </w:rPr>
        <w:t>现文：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w:t>
      </w:r>
      <w:r>
        <w:rPr>
          <w:rFonts w:hint="eastAsia" w:ascii="宋体" w:hAnsi="宋体" w:cs="宋体"/>
          <w:color w:val="auto"/>
          <w:szCs w:val="21"/>
          <w:highlight w:val="none"/>
          <w:u w:val="single"/>
        </w:rPr>
        <w:t>或经核查发现委派的项目负责人已在其他在建项目中任职、不符合任职数量规定时，</w:t>
      </w:r>
      <w:r>
        <w:rPr>
          <w:rFonts w:hint="eastAsia" w:ascii="宋体" w:hAnsi="宋体" w:cs="宋体"/>
          <w:color w:val="auto"/>
          <w:szCs w:val="21"/>
          <w:highlight w:val="none"/>
        </w:rPr>
        <w:t>招标人可以确定排名第二的中标候选人为中标人。</w:t>
      </w:r>
    </w:p>
    <w:p>
      <w:pPr>
        <w:pBdr>
          <w:bottom w:val="single" w:color="auto" w:sz="6" w:space="1"/>
        </w:pBdr>
        <w:spacing w:line="360" w:lineRule="auto"/>
        <w:ind w:firstLine="420" w:firstLineChars="200"/>
        <w:rPr>
          <w:rFonts w:hint="eastAsia" w:ascii="宋体" w:hAnsi="宋体" w:cs="宋体"/>
          <w:color w:val="auto"/>
          <w:szCs w:val="21"/>
          <w:highlight w:val="none"/>
          <w:u w:val="single"/>
        </w:rPr>
      </w:pP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条款号：41.1             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条款号：41.2.1           修改类型：修改</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条款号：41.2.3           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lang w:bidi="ar"/>
        </w:rPr>
        <w:t>原文：</w:t>
      </w:r>
      <w:r>
        <w:rPr>
          <w:rFonts w:hint="eastAsia" w:ascii="宋体" w:hAnsi="宋体" w:cs="宋体"/>
          <w:bCs/>
          <w:color w:val="auto"/>
          <w:szCs w:val="21"/>
          <w:highlight w:val="none"/>
          <w:lang w:bidi="ar"/>
        </w:rPr>
        <w:t>41.2.3</w:t>
      </w:r>
      <w:r>
        <w:rPr>
          <w:rFonts w:hint="eastAsia" w:ascii="宋体" w:hAnsi="宋体" w:cs="宋体"/>
          <w:color w:val="auto"/>
          <w:szCs w:val="21"/>
          <w:highlight w:val="none"/>
          <w:lang w:bidi="ar"/>
        </w:rPr>
        <w:t>开标时，投标人代表有权出席开标会，也可以自主决定不参加开标会，若投标人代表对开标过程提出异议，该投标人代表须同时出示本人身份证原件。</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lang w:bidi="ar"/>
        </w:rPr>
        <w:t>现文：</w:t>
      </w:r>
      <w:r>
        <w:rPr>
          <w:rFonts w:hint="eastAsia" w:ascii="宋体" w:hAnsi="宋体" w:cs="宋体"/>
          <w:bCs/>
          <w:color w:val="auto"/>
          <w:szCs w:val="21"/>
          <w:highlight w:val="none"/>
          <w:lang w:bidi="ar"/>
        </w:rPr>
        <w:t>41.2.3开标时，投标人代表有权参加现场开标或</w:t>
      </w:r>
      <w:r>
        <w:rPr>
          <w:rFonts w:hint="eastAsia" w:ascii="宋体" w:hAnsi="宋体" w:cs="宋体"/>
          <w:b/>
          <w:color w:val="auto"/>
          <w:szCs w:val="21"/>
          <w:highlight w:val="none"/>
          <w:lang w:bidi="ar"/>
        </w:rPr>
        <w:t>在线开标</w:t>
      </w:r>
      <w:r>
        <w:rPr>
          <w:rFonts w:hint="eastAsia" w:ascii="宋体" w:hAnsi="宋体" w:cs="宋体"/>
          <w:bCs/>
          <w:color w:val="auto"/>
          <w:szCs w:val="21"/>
          <w:highlight w:val="none"/>
          <w:lang w:bidi="ar"/>
        </w:rPr>
        <w:t>，也可以自主决定不参加开标，若投标人代表对开标过程有异议的，</w:t>
      </w:r>
      <w:r>
        <w:rPr>
          <w:rFonts w:hint="eastAsia" w:ascii="宋体" w:hAnsi="宋体" w:cs="宋体"/>
          <w:b/>
          <w:color w:val="auto"/>
          <w:szCs w:val="21"/>
          <w:highlight w:val="none"/>
          <w:u w:val="single"/>
          <w:lang w:bidi="ar"/>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cs="宋体"/>
          <w:color w:val="auto"/>
          <w:szCs w:val="21"/>
          <w:highlight w:val="none"/>
          <w:lang w:bidi="ar"/>
        </w:rPr>
        <w:t>。</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 42.2            修改类型：修改</w:t>
      </w:r>
    </w:p>
    <w:p>
      <w:pPr>
        <w:tabs>
          <w:tab w:val="left" w:pos="7380"/>
        </w:tabs>
        <w:spacing w:line="360" w:lineRule="auto"/>
        <w:ind w:firstLine="422" w:firstLineChars="200"/>
        <w:rPr>
          <w:rFonts w:hint="eastAsia" w:ascii="宋体" w:hAnsi="宋体" w:cs="宋体"/>
          <w:color w:val="auto"/>
          <w:kern w:val="0"/>
          <w:szCs w:val="21"/>
          <w:highlight w:val="none"/>
        </w:rPr>
      </w:pPr>
      <w:r>
        <w:rPr>
          <w:rFonts w:hint="eastAsia" w:ascii="宋体" w:hAnsi="宋体" w:cs="宋体"/>
          <w:b/>
          <w:color w:val="auto"/>
          <w:kern w:val="0"/>
          <w:szCs w:val="21"/>
          <w:highlight w:val="none"/>
        </w:rPr>
        <w:t>原文：</w:t>
      </w:r>
      <w:r>
        <w:rPr>
          <w:rFonts w:hint="eastAsia" w:ascii="宋体" w:hAnsi="宋体" w:cs="宋体"/>
          <w:color w:val="auto"/>
          <w:kern w:val="0"/>
          <w:szCs w:val="21"/>
          <w:highlight w:val="none"/>
        </w:rPr>
        <w:t>42.2评标委员会的组成：方式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tabs>
          <w:tab w:val="left" w:pos="7380"/>
        </w:tabs>
        <w:spacing w:line="360" w:lineRule="auto"/>
        <w:ind w:firstLine="422" w:firstLineChars="200"/>
        <w:rPr>
          <w:rFonts w:hint="eastAsia" w:ascii="宋体" w:hAnsi="宋体" w:cs="宋体"/>
          <w:color w:val="auto"/>
          <w:kern w:val="0"/>
          <w:szCs w:val="21"/>
          <w:highlight w:val="none"/>
        </w:rPr>
      </w:pPr>
      <w:r>
        <w:rPr>
          <w:rFonts w:hint="eastAsia" w:ascii="宋体" w:hAnsi="宋体" w:cs="宋体"/>
          <w:b/>
          <w:color w:val="auto"/>
          <w:kern w:val="0"/>
          <w:szCs w:val="21"/>
          <w:highlight w:val="none"/>
        </w:rPr>
        <w:t>现文：</w:t>
      </w:r>
      <w:r>
        <w:rPr>
          <w:rFonts w:hint="eastAsia" w:ascii="宋体" w:hAnsi="宋体" w:cs="宋体"/>
          <w:color w:val="auto"/>
          <w:kern w:val="0"/>
          <w:szCs w:val="21"/>
          <w:highlight w:val="none"/>
        </w:rPr>
        <w:t>42.2评标委员会的组成：方式</w:t>
      </w:r>
      <w:r>
        <w:rPr>
          <w:rFonts w:hint="eastAsia" w:ascii="宋体" w:hAnsi="宋体" w:cs="宋体"/>
          <w:color w:val="auto"/>
          <w:kern w:val="0"/>
          <w:szCs w:val="21"/>
          <w:highlight w:val="none"/>
          <w:u w:val="single"/>
        </w:rPr>
        <w:t xml:space="preserve">  一  </w:t>
      </w:r>
      <w:r>
        <w:rPr>
          <w:rFonts w:hint="eastAsia" w:ascii="宋体" w:hAnsi="宋体" w:cs="宋体"/>
          <w:color w:val="auto"/>
          <w:kern w:val="0"/>
          <w:szCs w:val="21"/>
          <w:highlight w:val="none"/>
        </w:rPr>
        <w:t>。</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条款号：43.1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lang w:bidi="ar"/>
        </w:rPr>
        <w:t>原文：</w:t>
      </w:r>
      <w:r>
        <w:rPr>
          <w:rFonts w:hint="eastAsia" w:ascii="宋体" w:hAnsi="宋体" w:cs="宋体"/>
          <w:color w:val="auto"/>
          <w:szCs w:val="21"/>
          <w:highlight w:val="none"/>
          <w:lang w:bidi="ar"/>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360" w:lineRule="auto"/>
        <w:ind w:firstLine="422" w:firstLineChars="200"/>
        <w:rPr>
          <w:rFonts w:ascii="宋体" w:hAnsi="宋体" w:cs="宋体"/>
          <w:color w:val="auto"/>
          <w:szCs w:val="21"/>
          <w:highlight w:val="none"/>
          <w:lang w:bidi="ar"/>
        </w:rPr>
      </w:pPr>
      <w:r>
        <w:rPr>
          <w:rFonts w:hint="eastAsia" w:ascii="宋体" w:hAnsi="宋体" w:cs="宋体"/>
          <w:b/>
          <w:color w:val="auto"/>
          <w:szCs w:val="21"/>
          <w:highlight w:val="none"/>
          <w:lang w:bidi="ar"/>
        </w:rPr>
        <w:t>现文：</w:t>
      </w:r>
      <w:r>
        <w:rPr>
          <w:rFonts w:hint="eastAsia" w:ascii="宋体" w:hAnsi="宋体" w:cs="宋体"/>
          <w:color w:val="auto"/>
          <w:szCs w:val="21"/>
          <w:highlight w:val="none"/>
          <w:lang w:bidi="ar"/>
        </w:rPr>
        <w:t>43.1</w:t>
      </w:r>
      <w:r>
        <w:rPr>
          <w:rFonts w:hint="eastAsia" w:ascii="宋体" w:hAnsi="宋体" w:cs="宋体"/>
          <w:bCs/>
          <w:color w:val="auto"/>
          <w:szCs w:val="21"/>
          <w:highlight w:val="none"/>
          <w:u w:val="single"/>
          <w:lang w:bidi="ar"/>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
          <w:color w:val="auto"/>
          <w:szCs w:val="21"/>
          <w:highlight w:val="none"/>
          <w:u w:val="single"/>
          <w:lang w:bidi="ar"/>
        </w:rPr>
        <w:t>评委发现资格审查文件中含义不明确、对同类问题表述不一致、有明显文字和计算错误的，应当要求投标人作必要的澄清、说明后再判定投标人是否通过资格审查，不得直接认定其不通过资格审查</w:t>
      </w:r>
      <w:r>
        <w:rPr>
          <w:rFonts w:hint="eastAsia" w:ascii="宋体" w:hAnsi="宋体" w:cs="宋体"/>
          <w:color w:val="auto"/>
          <w:szCs w:val="21"/>
          <w:highlight w:val="none"/>
          <w:lang w:bidi="ar"/>
        </w:rPr>
        <w:t>。</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条款号：43.6</w:t>
      </w:r>
      <w:r>
        <w:rPr>
          <w:rFonts w:ascii="宋体" w:hAnsi="宋体"/>
          <w:b/>
          <w:color w:val="auto"/>
          <w:szCs w:val="21"/>
          <w:highlight w:val="none"/>
        </w:rPr>
        <w:t xml:space="preserve">             </w:t>
      </w:r>
      <w:r>
        <w:rPr>
          <w:rFonts w:hint="eastAsia" w:ascii="宋体" w:hAnsi="宋体"/>
          <w:b/>
          <w:color w:val="auto"/>
          <w:szCs w:val="21"/>
          <w:highlight w:val="none"/>
        </w:rPr>
        <w:t xml:space="preserve">  修改类型：修改</w:t>
      </w:r>
    </w:p>
    <w:p>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原文：43.6</w:t>
      </w:r>
      <w:r>
        <w:rPr>
          <w:rFonts w:hint="eastAsia" w:ascii="宋体" w:hAnsi="宋体"/>
          <w:color w:val="auto"/>
          <w:szCs w:val="21"/>
          <w:highlight w:val="none"/>
        </w:rPr>
        <w:t>资格审查合格的投标人少于3名的（当N个标段同时招标且不允许兼中时，资格审查合格的投标人少于N+2名），则本项目招标失败。</w:t>
      </w:r>
    </w:p>
    <w:p>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现文：43.6</w:t>
      </w:r>
      <w:r>
        <w:rPr>
          <w:rFonts w:hint="eastAsia" w:ascii="宋体" w:hAnsi="宋体"/>
          <w:color w:val="auto"/>
          <w:szCs w:val="21"/>
          <w:highlight w:val="none"/>
        </w:rPr>
        <w:t>资格审查合格的投标人少于3名的，则本项目招标失败。</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条款号：44.1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lang w:bidi="ar"/>
        </w:rPr>
        <w:t>原文：</w:t>
      </w:r>
      <w:r>
        <w:rPr>
          <w:rFonts w:hint="eastAsia" w:ascii="宋体" w:hAnsi="宋体" w:cs="宋体"/>
          <w:color w:val="auto"/>
          <w:szCs w:val="21"/>
          <w:highlight w:val="none"/>
          <w:lang w:bidi="ar"/>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lang w:bidi="ar"/>
        </w:rPr>
        <w:t>现文：</w:t>
      </w:r>
      <w:r>
        <w:rPr>
          <w:rFonts w:hint="eastAsia" w:ascii="宋体" w:hAnsi="宋体" w:cs="宋体"/>
          <w:color w:val="auto"/>
          <w:szCs w:val="21"/>
          <w:highlight w:val="none"/>
          <w:lang w:bidi="ar"/>
        </w:rPr>
        <w:t>44.1</w:t>
      </w:r>
      <w:r>
        <w:rPr>
          <w:rFonts w:hint="eastAsia" w:ascii="宋体" w:hAnsi="宋体" w:cs="宋体"/>
          <w:bCs/>
          <w:color w:val="auto"/>
          <w:szCs w:val="21"/>
          <w:highlight w:val="none"/>
          <w:u w:val="single"/>
          <w:lang w:bidi="ar"/>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cs="宋体"/>
          <w:b/>
          <w:color w:val="auto"/>
          <w:szCs w:val="21"/>
          <w:highlight w:val="none"/>
          <w:u w:val="single"/>
          <w:lang w:bidi="ar"/>
        </w:rPr>
        <w:t>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cs="宋体"/>
          <w:color w:val="auto"/>
          <w:szCs w:val="21"/>
          <w:highlight w:val="none"/>
          <w:lang w:bidi="ar"/>
        </w:rPr>
        <w:t>。</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条款号：45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45．经济标评审和得分汇总</w:t>
      </w:r>
    </w:p>
    <w:p>
      <w:pPr>
        <w:tabs>
          <w:tab w:val="left" w:pos="73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45.1若通过技术标有效性审查的投标人中所有投标报价均大于等于最高投标限价，则本项目招标失败，由招标人依法重新招标。</w:t>
      </w:r>
    </w:p>
    <w:p>
      <w:pPr>
        <w:tabs>
          <w:tab w:val="left" w:pos="73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45.2计算评标参考价：</w:t>
      </w:r>
    </w:p>
    <w:p>
      <w:pPr>
        <w:widowControl/>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区间抽取法</w:t>
      </w:r>
    </w:p>
    <w:p>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设立入围合格分数线（</w:t>
      </w:r>
      <w:r>
        <w:rPr>
          <w:rFonts w:hint="eastAsia" w:ascii="宋体" w:hAnsi="宋体" w:cs="宋体"/>
          <w:color w:val="auto"/>
          <w:kern w:val="0"/>
          <w:szCs w:val="21"/>
          <w:highlight w:val="none"/>
        </w:rPr>
        <w:t>技术标或技术标加诚信得分，具体数值由招标人在招标文件中确定</w:t>
      </w:r>
      <w:r>
        <w:rPr>
          <w:rFonts w:hint="eastAsia" w:ascii="宋体" w:hAnsi="宋体" w:cs="宋体"/>
          <w:color w:val="auto"/>
          <w:szCs w:val="21"/>
          <w:highlight w:val="none"/>
        </w:rPr>
        <w:t>），达到或超过及格线的投标人的报价方能参与评标参考价的计算。将达到或超过技术标及格分数线的投标报价由低至高进行排列，按以下公式计算评标参考价，计算公式如下：</w:t>
      </w:r>
    </w:p>
    <w:p>
      <w:pPr>
        <w:widowControl/>
        <w:spacing w:line="360" w:lineRule="auto"/>
        <w:ind w:firstLine="420" w:firstLineChars="200"/>
        <w:rPr>
          <w:rFonts w:hint="eastAsia"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widowControl/>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现文：45．经济标评审和得分汇总</w:t>
      </w:r>
    </w:p>
    <w:p>
      <w:pPr>
        <w:pStyle w:val="25"/>
        <w:tabs>
          <w:tab w:val="left" w:pos="7380"/>
        </w:tabs>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45.1</w:t>
      </w:r>
      <w:r>
        <w:rPr>
          <w:rFonts w:hint="eastAsia" w:ascii="宋体" w:hAnsi="宋体" w:cs="宋体"/>
          <w:bCs/>
          <w:color w:val="auto"/>
          <w:sz w:val="21"/>
          <w:szCs w:val="21"/>
          <w:highlight w:val="none"/>
        </w:rPr>
        <w:t>若通过技术标有效性审查的投标人</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若</w:t>
      </w:r>
      <w:r>
        <w:rPr>
          <w:rFonts w:hint="eastAsia" w:ascii="宋体" w:hAnsi="宋体" w:cs="宋体"/>
          <w:bCs/>
          <w:color w:val="auto"/>
          <w:sz w:val="21"/>
          <w:szCs w:val="21"/>
          <w:highlight w:val="none"/>
        </w:rPr>
        <w:t>投标报价</w:t>
      </w:r>
      <w:r>
        <w:rPr>
          <w:rFonts w:hint="eastAsia" w:ascii="宋体" w:hAnsi="宋体" w:cs="宋体"/>
          <w:bCs/>
          <w:color w:val="auto"/>
          <w:sz w:val="21"/>
          <w:szCs w:val="21"/>
          <w:highlight w:val="none"/>
          <w:lang w:val="en-US" w:eastAsia="zh-CN"/>
        </w:rPr>
        <w:t>小于等于</w:t>
      </w:r>
      <w:r>
        <w:rPr>
          <w:rFonts w:hint="eastAsia" w:ascii="宋体" w:hAnsi="宋体" w:cs="宋体"/>
          <w:bCs/>
          <w:color w:val="auto"/>
          <w:sz w:val="21"/>
          <w:szCs w:val="21"/>
          <w:highlight w:val="none"/>
        </w:rPr>
        <w:t>最高投标限价</w:t>
      </w:r>
      <w:r>
        <w:rPr>
          <w:rFonts w:hint="eastAsia" w:ascii="宋体" w:hAnsi="宋体" w:cs="宋体"/>
          <w:bCs/>
          <w:color w:val="auto"/>
          <w:sz w:val="21"/>
          <w:szCs w:val="21"/>
          <w:highlight w:val="none"/>
          <w:lang w:val="en-US" w:eastAsia="zh-CN"/>
        </w:rPr>
        <w:t>的投标人少于3家</w:t>
      </w:r>
      <w:r>
        <w:rPr>
          <w:rFonts w:hint="eastAsia" w:ascii="宋体" w:hAnsi="宋体" w:cs="宋体"/>
          <w:bCs/>
          <w:color w:val="auto"/>
          <w:sz w:val="21"/>
          <w:szCs w:val="21"/>
          <w:highlight w:val="none"/>
        </w:rPr>
        <w:t>，则本项目招标失败，由招标人依法重新招标</w:t>
      </w:r>
      <w:r>
        <w:rPr>
          <w:rFonts w:hint="eastAsia" w:ascii="宋体" w:hAnsi="宋体" w:cs="宋体"/>
          <w:color w:val="auto"/>
          <w:sz w:val="21"/>
          <w:szCs w:val="21"/>
          <w:highlight w:val="none"/>
        </w:rPr>
        <w:t>。</w:t>
      </w:r>
    </w:p>
    <w:p>
      <w:pPr>
        <w:pStyle w:val="25"/>
        <w:tabs>
          <w:tab w:val="left" w:pos="7380"/>
        </w:tabs>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45.2计算评标参考价：</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区间抽取法</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设立入围合格分数线</w:t>
      </w:r>
      <w:r>
        <w:rPr>
          <w:rFonts w:hint="eastAsia" w:ascii="宋体" w:hAnsi="宋体" w:cs="宋体"/>
          <w:color w:val="auto"/>
          <w:kern w:val="0"/>
          <w:szCs w:val="21"/>
          <w:highlight w:val="none"/>
          <w:u w:val="single"/>
        </w:rPr>
        <w:t>（技术得分为</w:t>
      </w:r>
      <w:r>
        <w:rPr>
          <w:rFonts w:hint="eastAsia" w:cs="宋体"/>
          <w:color w:val="auto"/>
          <w:kern w:val="0"/>
          <w:szCs w:val="21"/>
          <w:highlight w:val="none"/>
          <w:u w:val="single"/>
          <w:lang w:val="en-US" w:eastAsia="zh-CN"/>
        </w:rPr>
        <w:t>80</w:t>
      </w:r>
      <w:r>
        <w:rPr>
          <w:rFonts w:hint="eastAsia" w:ascii="宋体" w:hAnsi="宋体" w:cs="宋体"/>
          <w:color w:val="auto"/>
          <w:kern w:val="0"/>
          <w:szCs w:val="21"/>
          <w:highlight w:val="none"/>
          <w:u w:val="single"/>
        </w:rPr>
        <w:t>分）</w:t>
      </w:r>
      <w:r>
        <w:rPr>
          <w:rFonts w:hint="eastAsia" w:ascii="宋体" w:hAnsi="宋体" w:cs="宋体"/>
          <w:color w:val="auto"/>
          <w:kern w:val="0"/>
          <w:szCs w:val="21"/>
          <w:highlight w:val="none"/>
        </w:rPr>
        <w:t>，达到或超过及格线的投标人的报价方能参与评标参考价的计算。将达到或超过技术标及格分数线的投标报价由低至高进行排列，按以下公式计算评标参考价，计算公式如下：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评标参考价＝（Q高-Q低）/100*Ｘ+Q低</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Q低：为达到或超过入围合格分数线的投标人最低报价；</w:t>
      </w:r>
      <w:r>
        <w:rPr>
          <w:rFonts w:hint="eastAsia" w:ascii="宋体" w:hAnsi="宋体" w:cs="宋体"/>
          <w:color w:val="auto"/>
          <w:kern w:val="0"/>
          <w:szCs w:val="21"/>
          <w:highlight w:val="none"/>
          <w:u w:val="single"/>
        </w:rPr>
        <w:t>如投标人均没有达到入围合格分数线的，则Q低为所有有效投标人</w:t>
      </w:r>
      <w:r>
        <w:rPr>
          <w:rFonts w:hint="eastAsia" w:cs="宋体"/>
          <w:color w:val="auto"/>
          <w:kern w:val="0"/>
          <w:szCs w:val="21"/>
          <w:highlight w:val="none"/>
          <w:u w:val="single"/>
          <w:lang w:val="en-US" w:eastAsia="zh-CN"/>
        </w:rPr>
        <w:t>算数平均值</w:t>
      </w:r>
      <w:r>
        <w:rPr>
          <w:rFonts w:hint="eastAsia" w:ascii="宋体" w:hAnsi="宋体" w:cs="宋体"/>
          <w:color w:val="auto"/>
          <w:kern w:val="0"/>
          <w:szCs w:val="21"/>
          <w:highlight w:val="none"/>
          <w:u w:val="single"/>
        </w:rPr>
        <w:t>。</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Q高：为最高投标限价</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X：为等分值点，由招标人或招标代理机构在开标前从[0,100] 的整数中随机抽取确定。</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当标价等于评标参考价时得100分，标价每高于评标参考价1%，扣1分，每低于评标参考价1%，扣</w:t>
      </w:r>
      <w:r>
        <w:rPr>
          <w:rFonts w:hint="eastAsia" w:cs="宋体"/>
          <w:color w:val="auto"/>
          <w:szCs w:val="21"/>
          <w:highlight w:val="none"/>
          <w:lang w:val="en-US" w:eastAsia="zh-CN"/>
        </w:rPr>
        <w:t>0.5</w:t>
      </w:r>
      <w:r>
        <w:rPr>
          <w:rFonts w:hint="eastAsia" w:ascii="宋体" w:hAnsi="宋体" w:cs="宋体"/>
          <w:color w:val="auto"/>
          <w:szCs w:val="21"/>
          <w:highlight w:val="none"/>
        </w:rPr>
        <w:t>分，扣至0分为止，得出经济分，精确到小数点后两位。</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45.4</w:t>
      </w:r>
      <w:r>
        <w:rPr>
          <w:rFonts w:hint="eastAsia" w:ascii="宋体" w:hAnsi="宋体" w:cs="宋体"/>
          <w:color w:val="auto"/>
          <w:szCs w:val="21"/>
          <w:highlight w:val="none"/>
          <w:u w:val="single"/>
        </w:rPr>
        <w:t>计算通过技术标有效性审查的投标人总得分。投标人总得分（100分）=技术得分（100分）×技术得分权重（</w:t>
      </w:r>
      <w:r>
        <w:rPr>
          <w:rFonts w:hint="eastAsia" w:cs="宋体"/>
          <w:color w:val="auto"/>
          <w:szCs w:val="21"/>
          <w:highlight w:val="none"/>
          <w:u w:val="single"/>
          <w:lang w:val="en-US" w:eastAsia="zh-CN"/>
        </w:rPr>
        <w:t>80</w:t>
      </w:r>
      <w:r>
        <w:rPr>
          <w:rFonts w:hint="eastAsia" w:ascii="宋体" w:hAnsi="宋体" w:cs="宋体"/>
          <w:color w:val="auto"/>
          <w:szCs w:val="21"/>
          <w:highlight w:val="none"/>
          <w:u w:val="single"/>
        </w:rPr>
        <w:t>%）＋经济得分（100分）×经济得分权重（</w:t>
      </w:r>
      <w:r>
        <w:rPr>
          <w:rFonts w:hint="eastAsia" w:cs="宋体"/>
          <w:color w:val="auto"/>
          <w:szCs w:val="21"/>
          <w:highlight w:val="none"/>
          <w:u w:val="single"/>
          <w:lang w:val="en-US" w:eastAsia="zh-CN"/>
        </w:rPr>
        <w:t>20</w:t>
      </w:r>
      <w:r>
        <w:rPr>
          <w:rFonts w:hint="eastAsia" w:ascii="宋体" w:hAnsi="宋体" w:cs="宋体"/>
          <w:color w:val="auto"/>
          <w:szCs w:val="21"/>
          <w:highlight w:val="none"/>
          <w:u w:val="single"/>
        </w:rPr>
        <w:t>%）。总得分四舍五入保留两位小数，并按照总得分从高到低排序。总得分相同的投标文件，以报价较低的排前；总得分与报价均相同的投标文件，以技术得分较高的排前；如仍存在相同情况，则对具有相同情况的投标人，由评标委员会采用记名投票方式，确定投标人的排序。</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 46.1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46.1经济标的有效性审查：</w:t>
      </w:r>
      <w:r>
        <w:rPr>
          <w:rFonts w:hint="eastAsia" w:ascii="宋体" w:hAnsi="宋体" w:cs="宋体"/>
          <w:color w:val="auto"/>
          <w:szCs w:val="21"/>
          <w:highlight w:val="none"/>
          <w:u w:val="single"/>
        </w:rPr>
        <w:t>对投标文件进行经济标有效性审查，</w:t>
      </w:r>
      <w:r>
        <w:rPr>
          <w:rFonts w:hint="eastAsia" w:ascii="宋体" w:hAnsi="宋体" w:cs="宋体"/>
          <w:color w:val="auto"/>
          <w:szCs w:val="21"/>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条款号：49</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49若通过经济标有效性审查的投标人不足三家，应当依法重新招标。（当N个标段同时招标且不允许兼中时，若有效投标人不足N+2家，应当依法重新招标）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49 若通过经济标有效性审查的投标人不足三家，应当依法重新招标。</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条款号：附表一 《资格审查表》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见后附（现文：附表一《资格审查表》）</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条款号：附表二 《技术标有效性审查表》     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见后附（现文：附表二《技术标有效性审查表》）</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条款号：附表三 《经济标有效性审查表》     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见后附（现文：附表三《经济标有效性审查表》）</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条款号：附表四《技术标详细审查评分表》    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见后附（现文：附表四《技术标详细审查评分表》）</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（以下无正文）</w:t>
      </w:r>
    </w:p>
    <w:p>
      <w:pPr>
        <w:spacing w:line="360" w:lineRule="auto"/>
        <w:rPr>
          <w:color w:val="auto"/>
          <w:highlight w:val="none"/>
        </w:rPr>
      </w:pPr>
    </w:p>
    <w:p>
      <w:pPr>
        <w:pStyle w:val="7"/>
        <w:spacing w:line="360" w:lineRule="auto"/>
        <w:rPr>
          <w:color w:val="auto"/>
          <w:highlight w:val="none"/>
        </w:rPr>
      </w:pPr>
      <w:r>
        <w:rPr>
          <w:color w:val="auto"/>
          <w:highlight w:val="none"/>
        </w:rPr>
        <w:br w:type="page"/>
      </w:r>
    </w:p>
    <w:p>
      <w:pPr>
        <w:pStyle w:val="3"/>
        <w:ind w:firstLine="525"/>
        <w:rPr>
          <w:color w:val="auto"/>
          <w:sz w:val="21"/>
          <w:szCs w:val="21"/>
          <w:highlight w:val="none"/>
        </w:rPr>
      </w:pPr>
      <w:bookmarkStart w:id="12" w:name="_Toc18664068"/>
      <w:r>
        <w:rPr>
          <w:rFonts w:hint="eastAsia"/>
          <w:color w:val="auto"/>
          <w:sz w:val="21"/>
          <w:szCs w:val="21"/>
          <w:highlight w:val="none"/>
        </w:rPr>
        <w:t>二、开标、评标及定标办法通用条款</w:t>
      </w:r>
      <w:bookmarkEnd w:id="12"/>
    </w:p>
    <w:p>
      <w:pPr>
        <w:pStyle w:val="4"/>
        <w:spacing w:before="156" w:after="156"/>
        <w:ind w:firstLine="420" w:firstLineChars="200"/>
        <w:rPr>
          <w:color w:val="auto"/>
          <w:sz w:val="21"/>
          <w:szCs w:val="21"/>
          <w:highlight w:val="none"/>
        </w:rPr>
      </w:pPr>
      <w:bookmarkStart w:id="13" w:name="_Toc18664069"/>
      <w:r>
        <w:rPr>
          <w:rFonts w:hint="eastAsia"/>
          <w:color w:val="auto"/>
          <w:sz w:val="21"/>
          <w:szCs w:val="21"/>
          <w:highlight w:val="none"/>
        </w:rPr>
        <w:t>（一）总则</w:t>
      </w:r>
      <w:bookmarkEnd w:id="13"/>
    </w:p>
    <w:p>
      <w:pPr>
        <w:spacing w:line="360" w:lineRule="auto"/>
        <w:ind w:firstLine="420" w:firstLineChars="200"/>
        <w:rPr>
          <w:rFonts w:hint="eastAsia"/>
          <w:color w:val="auto"/>
          <w:sz w:val="21"/>
          <w:szCs w:val="21"/>
          <w:highlight w:val="none"/>
        </w:rPr>
      </w:pPr>
      <w:r>
        <w:rPr>
          <w:rFonts w:hint="eastAsia"/>
          <w:color w:val="auto"/>
          <w:sz w:val="21"/>
          <w:szCs w:val="21"/>
          <w:highlight w:val="none"/>
        </w:rPr>
        <w:t>35.1《中华人民共和国招标投标法》；</w:t>
      </w:r>
    </w:p>
    <w:p>
      <w:pPr>
        <w:spacing w:line="360" w:lineRule="auto"/>
        <w:ind w:firstLine="420" w:firstLineChars="200"/>
        <w:rPr>
          <w:rFonts w:hint="eastAsia"/>
          <w:color w:val="auto"/>
          <w:sz w:val="21"/>
          <w:szCs w:val="21"/>
          <w:highlight w:val="none"/>
        </w:rPr>
      </w:pPr>
      <w:r>
        <w:rPr>
          <w:rFonts w:hint="eastAsia"/>
          <w:color w:val="auto"/>
          <w:sz w:val="21"/>
          <w:szCs w:val="21"/>
          <w:highlight w:val="none"/>
        </w:rPr>
        <w:t>35.2《中华人民共和国招标投标法实施条例》；</w:t>
      </w:r>
    </w:p>
    <w:p>
      <w:pPr>
        <w:spacing w:line="360" w:lineRule="auto"/>
        <w:ind w:firstLine="420" w:firstLineChars="200"/>
        <w:rPr>
          <w:rFonts w:hint="eastAsia"/>
          <w:color w:val="auto"/>
          <w:sz w:val="21"/>
          <w:szCs w:val="21"/>
          <w:highlight w:val="none"/>
        </w:rPr>
      </w:pPr>
      <w:r>
        <w:rPr>
          <w:rFonts w:hint="eastAsia"/>
          <w:color w:val="auto"/>
          <w:sz w:val="21"/>
          <w:szCs w:val="21"/>
          <w:highlight w:val="none"/>
        </w:rPr>
        <w:t>35.3《评标委员会和评标方法暂行规定》（七部委第12号令）</w:t>
      </w:r>
    </w:p>
    <w:p>
      <w:pPr>
        <w:spacing w:line="360" w:lineRule="auto"/>
        <w:ind w:firstLine="420" w:firstLineChars="200"/>
        <w:rPr>
          <w:rFonts w:hint="eastAsia"/>
          <w:color w:val="auto"/>
          <w:sz w:val="21"/>
          <w:szCs w:val="21"/>
          <w:highlight w:val="none"/>
        </w:rPr>
      </w:pPr>
      <w:r>
        <w:rPr>
          <w:rFonts w:hint="eastAsia"/>
          <w:color w:val="auto"/>
          <w:sz w:val="21"/>
          <w:szCs w:val="21"/>
          <w:highlight w:val="none"/>
        </w:rPr>
        <w:t>35.4《工程建设项目施工招标投标办法》（七部委2003年第30号令）</w:t>
      </w:r>
    </w:p>
    <w:p>
      <w:pPr>
        <w:spacing w:line="360" w:lineRule="auto"/>
        <w:ind w:firstLine="420" w:firstLineChars="200"/>
        <w:rPr>
          <w:rFonts w:hint="eastAsia"/>
          <w:color w:val="auto"/>
          <w:sz w:val="21"/>
          <w:szCs w:val="21"/>
          <w:highlight w:val="none"/>
        </w:rPr>
      </w:pPr>
      <w:r>
        <w:rPr>
          <w:rFonts w:hint="eastAsia"/>
          <w:color w:val="auto"/>
          <w:sz w:val="21"/>
          <w:szCs w:val="21"/>
          <w:highlight w:val="none"/>
        </w:rPr>
        <w:t>35.5《广东省实施〈中华人民共和国招标投标法〉办法》；</w:t>
      </w:r>
    </w:p>
    <w:p>
      <w:pPr>
        <w:spacing w:line="360" w:lineRule="auto"/>
        <w:ind w:firstLine="420" w:firstLineChars="200"/>
        <w:rPr>
          <w:rFonts w:hint="eastAsia"/>
          <w:color w:val="auto"/>
          <w:sz w:val="21"/>
          <w:szCs w:val="21"/>
          <w:highlight w:val="none"/>
        </w:rPr>
      </w:pPr>
      <w:r>
        <w:rPr>
          <w:rFonts w:hint="eastAsia"/>
          <w:color w:val="auto"/>
          <w:sz w:val="21"/>
          <w:szCs w:val="21"/>
          <w:highlight w:val="none"/>
        </w:rPr>
        <w:t>35.6《房屋建筑和市政基础设施工程施工招标投标管理办法》（建设部令第89号）</w:t>
      </w:r>
    </w:p>
    <w:p>
      <w:pPr>
        <w:spacing w:line="360" w:lineRule="auto"/>
        <w:ind w:firstLine="420" w:firstLineChars="200"/>
        <w:rPr>
          <w:rFonts w:hint="eastAsia"/>
          <w:color w:val="auto"/>
          <w:sz w:val="21"/>
          <w:szCs w:val="21"/>
          <w:highlight w:val="none"/>
        </w:rPr>
      </w:pPr>
      <w:r>
        <w:rPr>
          <w:rFonts w:hint="eastAsia"/>
          <w:color w:val="auto"/>
          <w:sz w:val="21"/>
          <w:szCs w:val="21"/>
          <w:highlight w:val="none"/>
        </w:rPr>
        <w:t>35.7《财政部工业和信息化部关于印发〈政府采购促进中小企业发展管理办法〉的通知》（财库〔2020〕46号）</w:t>
      </w:r>
    </w:p>
    <w:p>
      <w:pPr>
        <w:spacing w:line="360" w:lineRule="auto"/>
        <w:ind w:firstLine="420" w:firstLineChars="200"/>
        <w:rPr>
          <w:rFonts w:hint="eastAsia"/>
          <w:color w:val="auto"/>
          <w:sz w:val="21"/>
          <w:szCs w:val="21"/>
          <w:highlight w:val="none"/>
        </w:rPr>
      </w:pPr>
      <w:r>
        <w:rPr>
          <w:rFonts w:hint="eastAsia"/>
          <w:color w:val="auto"/>
          <w:sz w:val="21"/>
          <w:szCs w:val="21"/>
          <w:highlight w:val="none"/>
        </w:rPr>
        <w:t>35.8《广东省加强建设工程招标投标监督管理的若干规定》（粤发[2004]4号）；</w:t>
      </w:r>
    </w:p>
    <w:p>
      <w:pPr>
        <w:spacing w:line="360" w:lineRule="auto"/>
        <w:ind w:firstLine="420" w:firstLineChars="200"/>
        <w:rPr>
          <w:rFonts w:hint="eastAsia"/>
          <w:color w:val="auto"/>
          <w:sz w:val="21"/>
          <w:szCs w:val="21"/>
          <w:highlight w:val="none"/>
        </w:rPr>
      </w:pPr>
      <w:r>
        <w:rPr>
          <w:rFonts w:hint="eastAsia"/>
          <w:color w:val="auto"/>
          <w:sz w:val="21"/>
          <w:szCs w:val="21"/>
          <w:highlight w:val="none"/>
        </w:rPr>
        <w:t>35.9《广东省政府采购促进中小企业发展实施细则（试行）》</w:t>
      </w:r>
    </w:p>
    <w:p>
      <w:pPr>
        <w:spacing w:line="360" w:lineRule="auto"/>
        <w:ind w:firstLine="420" w:firstLineChars="200"/>
        <w:rPr>
          <w:rFonts w:hint="eastAsia"/>
          <w:color w:val="auto"/>
          <w:sz w:val="21"/>
          <w:szCs w:val="21"/>
          <w:highlight w:val="none"/>
        </w:rPr>
      </w:pPr>
      <w:r>
        <w:rPr>
          <w:rFonts w:hint="eastAsia"/>
          <w:color w:val="auto"/>
          <w:sz w:val="21"/>
          <w:szCs w:val="21"/>
          <w:highlight w:val="none"/>
        </w:rPr>
        <w:t>35.10《广州市工程建设项目招标投标管理办法》（穗建规字〔2023〕12号）；</w:t>
      </w:r>
    </w:p>
    <w:p>
      <w:pPr>
        <w:spacing w:line="360" w:lineRule="auto"/>
        <w:ind w:firstLine="420" w:firstLineChars="200"/>
        <w:rPr>
          <w:rFonts w:hint="eastAsia"/>
          <w:color w:val="auto"/>
          <w:sz w:val="21"/>
          <w:szCs w:val="21"/>
          <w:highlight w:val="none"/>
        </w:rPr>
      </w:pPr>
      <w:r>
        <w:rPr>
          <w:rFonts w:hint="eastAsia"/>
          <w:color w:val="auto"/>
          <w:sz w:val="21"/>
          <w:szCs w:val="21"/>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spacing w:line="360" w:lineRule="auto"/>
        <w:ind w:firstLine="420" w:firstLineChars="200"/>
        <w:rPr>
          <w:color w:val="auto"/>
          <w:sz w:val="21"/>
          <w:szCs w:val="21"/>
          <w:highlight w:val="none"/>
        </w:rPr>
      </w:pPr>
      <w:r>
        <w:rPr>
          <w:rFonts w:hint="eastAsia"/>
          <w:color w:val="auto"/>
          <w:sz w:val="21"/>
          <w:szCs w:val="21"/>
          <w:highlight w:val="none"/>
        </w:rPr>
        <w:t>35.12本项目招标文件。</w:t>
      </w:r>
    </w:p>
    <w:p>
      <w:pPr>
        <w:spacing w:line="360" w:lineRule="auto"/>
        <w:ind w:firstLine="420" w:firstLineChars="200"/>
        <w:rPr>
          <w:color w:val="auto"/>
          <w:sz w:val="21"/>
          <w:szCs w:val="21"/>
          <w:highlight w:val="none"/>
        </w:rPr>
      </w:pPr>
      <w:r>
        <w:rPr>
          <w:color w:val="auto"/>
          <w:sz w:val="21"/>
          <w:szCs w:val="21"/>
          <w:highlight w:val="none"/>
        </w:rPr>
        <w:t>36</w:t>
      </w:r>
      <w:r>
        <w:rPr>
          <w:rFonts w:hint="eastAsia"/>
          <w:color w:val="auto"/>
          <w:sz w:val="21"/>
          <w:szCs w:val="21"/>
          <w:highlight w:val="none"/>
        </w:rPr>
        <w:t>．开标</w:t>
      </w:r>
    </w:p>
    <w:p>
      <w:pPr>
        <w:spacing w:line="360" w:lineRule="auto"/>
        <w:ind w:firstLine="420" w:firstLineChars="200"/>
        <w:rPr>
          <w:color w:val="auto"/>
          <w:sz w:val="21"/>
          <w:szCs w:val="21"/>
          <w:highlight w:val="none"/>
        </w:rPr>
      </w:pPr>
      <w:r>
        <w:rPr>
          <w:color w:val="auto"/>
          <w:sz w:val="21"/>
          <w:szCs w:val="21"/>
          <w:highlight w:val="none"/>
        </w:rPr>
        <w:t xml:space="preserve">36.1 </w:t>
      </w:r>
      <w:r>
        <w:rPr>
          <w:rFonts w:hint="eastAsia"/>
          <w:color w:val="auto"/>
          <w:sz w:val="21"/>
          <w:szCs w:val="21"/>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20" w:firstLineChars="200"/>
        <w:rPr>
          <w:color w:val="auto"/>
          <w:sz w:val="21"/>
          <w:szCs w:val="21"/>
          <w:highlight w:val="none"/>
        </w:rPr>
      </w:pPr>
      <w:r>
        <w:rPr>
          <w:color w:val="auto"/>
          <w:sz w:val="21"/>
          <w:szCs w:val="21"/>
          <w:highlight w:val="none"/>
        </w:rPr>
        <w:t>36.2</w:t>
      </w:r>
      <w:r>
        <w:rPr>
          <w:rFonts w:hint="eastAsia"/>
          <w:color w:val="auto"/>
          <w:sz w:val="21"/>
          <w:szCs w:val="21"/>
          <w:highlight w:val="none"/>
        </w:rPr>
        <w:t xml:space="preserve"> 招标人在招标文件要求提交投标文件的截止时间前收到的投标文件，开标时都当众予以解密、公布。</w:t>
      </w:r>
    </w:p>
    <w:p>
      <w:pPr>
        <w:spacing w:line="360" w:lineRule="auto"/>
        <w:ind w:firstLine="420" w:firstLineChars="200"/>
        <w:rPr>
          <w:color w:val="auto"/>
          <w:sz w:val="21"/>
          <w:szCs w:val="21"/>
          <w:highlight w:val="none"/>
        </w:rPr>
      </w:pPr>
      <w:r>
        <w:rPr>
          <w:rFonts w:hint="eastAsia"/>
          <w:color w:val="auto"/>
          <w:sz w:val="21"/>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color w:val="auto"/>
          <w:sz w:val="21"/>
          <w:szCs w:val="21"/>
          <w:highlight w:val="none"/>
        </w:rPr>
      </w:pPr>
      <w:r>
        <w:rPr>
          <w:rFonts w:hint="eastAsia"/>
          <w:color w:val="auto"/>
          <w:sz w:val="21"/>
          <w:szCs w:val="21"/>
          <w:highlight w:val="none"/>
        </w:rPr>
        <w:t>36.4若递交投标文件的投标人不足3家，则重新组织招标。（当</w:t>
      </w:r>
      <w:r>
        <w:rPr>
          <w:color w:val="auto"/>
          <w:sz w:val="21"/>
          <w:szCs w:val="21"/>
          <w:highlight w:val="none"/>
        </w:rPr>
        <w:t>N</w:t>
      </w:r>
      <w:r>
        <w:rPr>
          <w:rFonts w:hint="eastAsia"/>
          <w:color w:val="auto"/>
          <w:sz w:val="21"/>
          <w:szCs w:val="21"/>
          <w:highlight w:val="none"/>
        </w:rPr>
        <w:t>个标段同时招标且不允许兼中时，若有效投标人不足</w:t>
      </w:r>
      <w:r>
        <w:rPr>
          <w:color w:val="auto"/>
          <w:sz w:val="21"/>
          <w:szCs w:val="21"/>
          <w:highlight w:val="none"/>
        </w:rPr>
        <w:t>N+</w:t>
      </w:r>
      <w:r>
        <w:rPr>
          <w:rFonts w:hint="eastAsia"/>
          <w:color w:val="auto"/>
          <w:sz w:val="21"/>
          <w:szCs w:val="21"/>
          <w:highlight w:val="none"/>
        </w:rPr>
        <w:t>2家，则重新组织招标）</w:t>
      </w:r>
    </w:p>
    <w:p>
      <w:pPr>
        <w:spacing w:line="360" w:lineRule="auto"/>
        <w:ind w:firstLine="420" w:firstLineChars="200"/>
        <w:rPr>
          <w:color w:val="auto"/>
          <w:sz w:val="21"/>
          <w:szCs w:val="21"/>
          <w:highlight w:val="none"/>
        </w:rPr>
      </w:pPr>
      <w:r>
        <w:rPr>
          <w:rFonts w:hint="eastAsia"/>
          <w:color w:val="auto"/>
          <w:sz w:val="21"/>
          <w:szCs w:val="21"/>
          <w:highlight w:val="none"/>
        </w:rPr>
        <w:t>36.5按下列程序进行开标：</w:t>
      </w:r>
    </w:p>
    <w:p>
      <w:pPr>
        <w:spacing w:line="360" w:lineRule="auto"/>
        <w:ind w:firstLine="420" w:firstLineChars="200"/>
        <w:rPr>
          <w:color w:val="auto"/>
          <w:sz w:val="21"/>
          <w:szCs w:val="21"/>
          <w:highlight w:val="none"/>
        </w:rPr>
      </w:pPr>
      <w:r>
        <w:rPr>
          <w:rFonts w:hint="eastAsia"/>
          <w:color w:val="auto"/>
          <w:sz w:val="21"/>
          <w:szCs w:val="21"/>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20" w:firstLineChars="200"/>
        <w:rPr>
          <w:color w:val="auto"/>
          <w:sz w:val="21"/>
          <w:szCs w:val="21"/>
          <w:highlight w:val="none"/>
        </w:rPr>
      </w:pPr>
      <w:r>
        <w:rPr>
          <w:rFonts w:hint="eastAsia"/>
          <w:color w:val="auto"/>
          <w:sz w:val="21"/>
          <w:szCs w:val="21"/>
          <w:highlight w:val="none"/>
        </w:rPr>
        <w:t>36.5.2备用光盘的读取按投标须知前附表第36项的规定执行；</w:t>
      </w:r>
    </w:p>
    <w:p>
      <w:pPr>
        <w:spacing w:line="360" w:lineRule="auto"/>
        <w:ind w:firstLine="420" w:firstLineChars="200"/>
        <w:rPr>
          <w:color w:val="auto"/>
          <w:sz w:val="21"/>
          <w:szCs w:val="21"/>
          <w:highlight w:val="none"/>
        </w:rPr>
      </w:pPr>
      <w:r>
        <w:rPr>
          <w:rFonts w:hint="eastAsia"/>
          <w:color w:val="auto"/>
          <w:sz w:val="21"/>
          <w:szCs w:val="21"/>
          <w:highlight w:val="none"/>
        </w:rPr>
        <w:t>36.5.3投标人代表、招标人代表、监标人、记录人等有关人员在开标记录上签字确认；若有关人员不签字的，不影响开标程序；</w:t>
      </w:r>
    </w:p>
    <w:p>
      <w:pPr>
        <w:spacing w:line="360" w:lineRule="auto"/>
        <w:ind w:firstLine="420" w:firstLineChars="200"/>
        <w:rPr>
          <w:color w:val="auto"/>
          <w:sz w:val="21"/>
          <w:szCs w:val="21"/>
          <w:highlight w:val="none"/>
        </w:rPr>
      </w:pPr>
      <w:r>
        <w:rPr>
          <w:rFonts w:hint="eastAsia"/>
          <w:color w:val="auto"/>
          <w:sz w:val="21"/>
          <w:szCs w:val="21"/>
          <w:highlight w:val="none"/>
        </w:rPr>
        <w:t>36.5.4开标结束。</w:t>
      </w:r>
    </w:p>
    <w:p>
      <w:pPr>
        <w:spacing w:line="360" w:lineRule="auto"/>
        <w:ind w:firstLine="420" w:firstLineChars="200"/>
        <w:rPr>
          <w:color w:val="auto"/>
          <w:sz w:val="21"/>
          <w:szCs w:val="21"/>
          <w:highlight w:val="none"/>
        </w:rPr>
      </w:pPr>
      <w:r>
        <w:rPr>
          <w:rFonts w:hint="eastAsia"/>
          <w:color w:val="auto"/>
          <w:sz w:val="21"/>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20" w:firstLineChars="200"/>
        <w:rPr>
          <w:color w:val="auto"/>
          <w:sz w:val="21"/>
          <w:szCs w:val="21"/>
          <w:highlight w:val="none"/>
        </w:rPr>
      </w:pPr>
      <w:r>
        <w:rPr>
          <w:rFonts w:hint="eastAsia"/>
          <w:color w:val="auto"/>
          <w:sz w:val="21"/>
          <w:szCs w:val="21"/>
          <w:highlight w:val="none"/>
        </w:rPr>
        <w:t>36.7开标时，两个（含两个）以上的投标人加密打包投标文件电脑机器特征码一致的，不参与下一程序，并由评标委员会否决其投标。</w:t>
      </w:r>
    </w:p>
    <w:p>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rPr>
        <w:t>．评标</w:t>
      </w:r>
    </w:p>
    <w:p>
      <w:pPr>
        <w:spacing w:line="360" w:lineRule="auto"/>
        <w:ind w:firstLine="420" w:firstLineChars="200"/>
        <w:rPr>
          <w:rFonts w:hint="eastAsia"/>
          <w:color w:val="auto"/>
          <w:sz w:val="21"/>
          <w:szCs w:val="21"/>
          <w:highlight w:val="none"/>
        </w:rPr>
      </w:pPr>
      <w:r>
        <w:rPr>
          <w:color w:val="auto"/>
          <w:sz w:val="21"/>
          <w:szCs w:val="21"/>
          <w:highlight w:val="none"/>
        </w:rPr>
        <w:t>37.1</w:t>
      </w:r>
      <w:r>
        <w:rPr>
          <w:rFonts w:hint="eastAsia"/>
          <w:color w:val="auto"/>
          <w:sz w:val="21"/>
          <w:szCs w:val="21"/>
          <w:highlight w:val="none"/>
        </w:rPr>
        <w:t>评标委员会由招标人依法组建。</w:t>
      </w:r>
    </w:p>
    <w:p>
      <w:pPr>
        <w:spacing w:line="360" w:lineRule="auto"/>
        <w:ind w:firstLine="420" w:firstLineChars="200"/>
        <w:rPr>
          <w:color w:val="auto"/>
          <w:sz w:val="21"/>
          <w:szCs w:val="21"/>
          <w:highlight w:val="none"/>
        </w:rPr>
      </w:pPr>
      <w:r>
        <w:rPr>
          <w:color w:val="auto"/>
          <w:sz w:val="21"/>
          <w:szCs w:val="21"/>
          <w:highlight w:val="none"/>
        </w:rPr>
        <w:t>37.2</w:t>
      </w:r>
      <w:r>
        <w:rPr>
          <w:rFonts w:hint="eastAsia"/>
          <w:color w:val="auto"/>
          <w:sz w:val="21"/>
          <w:szCs w:val="21"/>
          <w:highlight w:val="none"/>
        </w:rPr>
        <w:t>评标委员会在开始评标前，应了解评标专家的职责及守则，认真阅读《评标委员会成员声明》的内容并签名，签字后方可进行评标；</w:t>
      </w:r>
    </w:p>
    <w:p>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rFonts w:hint="eastAsia"/>
          <w:color w:val="auto"/>
          <w:sz w:val="21"/>
          <w:szCs w:val="21"/>
          <w:highlight w:val="none"/>
        </w:rPr>
        <w:t>评标委员会的职责及守则：</w:t>
      </w:r>
    </w:p>
    <w:p>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.1</w:t>
      </w:r>
      <w:r>
        <w:rPr>
          <w:rFonts w:hint="eastAsia"/>
          <w:color w:val="auto"/>
          <w:sz w:val="21"/>
          <w:szCs w:val="21"/>
          <w:highlight w:val="none"/>
        </w:rPr>
        <w:t>根据评标细则，对投标文件进行认真评审，完成评审报告；</w:t>
      </w:r>
    </w:p>
    <w:p>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.2</w:t>
      </w:r>
      <w:r>
        <w:rPr>
          <w:rFonts w:hint="eastAsia"/>
          <w:color w:val="auto"/>
          <w:sz w:val="21"/>
          <w:szCs w:val="21"/>
          <w:highlight w:val="none"/>
        </w:rPr>
        <w:t>向招标人报告评审意见，推荐合格的中标候选人。</w:t>
      </w:r>
    </w:p>
    <w:p>
      <w:pPr>
        <w:spacing w:line="360" w:lineRule="auto"/>
        <w:ind w:firstLine="420" w:firstLineChars="200"/>
        <w:rPr>
          <w:color w:val="auto"/>
          <w:sz w:val="21"/>
          <w:szCs w:val="21"/>
          <w:highlight w:val="none"/>
        </w:rPr>
      </w:pPr>
      <w:r>
        <w:rPr>
          <w:bCs/>
          <w:color w:val="auto"/>
          <w:sz w:val="21"/>
          <w:szCs w:val="21"/>
          <w:highlight w:val="none"/>
        </w:rPr>
        <w:t>37.</w:t>
      </w:r>
      <w:r>
        <w:rPr>
          <w:rFonts w:hint="eastAsia"/>
          <w:bCs/>
          <w:color w:val="auto"/>
          <w:sz w:val="21"/>
          <w:szCs w:val="21"/>
          <w:highlight w:val="none"/>
          <w:lang w:val="en-US" w:eastAsia="zh-CN"/>
        </w:rPr>
        <w:t>3</w:t>
      </w:r>
      <w:r>
        <w:rPr>
          <w:bCs/>
          <w:color w:val="auto"/>
          <w:sz w:val="21"/>
          <w:szCs w:val="21"/>
          <w:highlight w:val="none"/>
        </w:rPr>
        <w:t>.3</w:t>
      </w:r>
      <w:r>
        <w:rPr>
          <w:b/>
          <w:bCs/>
          <w:color w:val="auto"/>
          <w:sz w:val="21"/>
          <w:szCs w:val="21"/>
          <w:highlight w:val="none"/>
        </w:rPr>
        <w:t xml:space="preserve"> </w:t>
      </w:r>
      <w:r>
        <w:rPr>
          <w:rFonts w:hint="eastAsia"/>
          <w:color w:val="auto"/>
          <w:sz w:val="21"/>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.4</w:t>
      </w:r>
      <w:r>
        <w:rPr>
          <w:rFonts w:hint="eastAsia"/>
          <w:color w:val="auto"/>
          <w:sz w:val="21"/>
          <w:szCs w:val="21"/>
          <w:highlight w:val="none"/>
        </w:rPr>
        <w:t>全体参与评标人员：</w:t>
      </w:r>
    </w:p>
    <w:p>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 xml:space="preserve">.4.1 </w:t>
      </w:r>
      <w:r>
        <w:rPr>
          <w:rFonts w:hint="eastAsia"/>
          <w:color w:val="auto"/>
          <w:sz w:val="21"/>
          <w:szCs w:val="21"/>
          <w:highlight w:val="none"/>
        </w:rPr>
        <w:t>必须遵守评标纪律、不得泄密；</w:t>
      </w:r>
    </w:p>
    <w:p>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 xml:space="preserve">.4.2 </w:t>
      </w:r>
      <w:r>
        <w:rPr>
          <w:rFonts w:hint="eastAsia"/>
          <w:color w:val="auto"/>
          <w:sz w:val="21"/>
          <w:szCs w:val="21"/>
          <w:highlight w:val="none"/>
        </w:rPr>
        <w:t>必须公正、不得循私；</w:t>
      </w:r>
    </w:p>
    <w:p>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 xml:space="preserve">.4.3 </w:t>
      </w:r>
      <w:r>
        <w:rPr>
          <w:rFonts w:hint="eastAsia"/>
          <w:color w:val="auto"/>
          <w:sz w:val="21"/>
          <w:szCs w:val="21"/>
          <w:highlight w:val="none"/>
        </w:rPr>
        <w:t>必须科学、不得草率；</w:t>
      </w:r>
    </w:p>
    <w:p>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 xml:space="preserve">.4.4 </w:t>
      </w:r>
      <w:r>
        <w:rPr>
          <w:rFonts w:hint="eastAsia"/>
          <w:color w:val="auto"/>
          <w:sz w:val="21"/>
          <w:szCs w:val="21"/>
          <w:highlight w:val="none"/>
        </w:rPr>
        <w:t>必须客观、不得带有成见；</w:t>
      </w:r>
    </w:p>
    <w:p>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 xml:space="preserve">.4.5 </w:t>
      </w:r>
      <w:r>
        <w:rPr>
          <w:rFonts w:hint="eastAsia"/>
          <w:color w:val="auto"/>
          <w:sz w:val="21"/>
          <w:szCs w:val="21"/>
          <w:highlight w:val="none"/>
        </w:rPr>
        <w:t>必须平等、不得强加于人；</w:t>
      </w:r>
    </w:p>
    <w:p>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 xml:space="preserve">.4.6 </w:t>
      </w:r>
      <w:r>
        <w:rPr>
          <w:rFonts w:hint="eastAsia"/>
          <w:color w:val="auto"/>
          <w:sz w:val="21"/>
          <w:szCs w:val="21"/>
          <w:highlight w:val="none"/>
        </w:rPr>
        <w:t>必须严谨、不得随意马虎。</w:t>
      </w:r>
    </w:p>
    <w:p>
      <w:pPr>
        <w:spacing w:line="360" w:lineRule="auto"/>
        <w:ind w:firstLine="420" w:firstLineChars="200"/>
        <w:rPr>
          <w:rFonts w:hint="eastAsia"/>
          <w:color w:val="auto"/>
          <w:sz w:val="21"/>
          <w:szCs w:val="21"/>
          <w:highlight w:val="none"/>
        </w:rPr>
      </w:pPr>
      <w:r>
        <w:rPr>
          <w:rFonts w:hint="eastAsia"/>
          <w:color w:val="auto"/>
          <w:sz w:val="21"/>
          <w:szCs w:val="21"/>
          <w:highlight w:val="none"/>
        </w:rPr>
        <w:t>37.</w:t>
      </w:r>
      <w:r>
        <w:rPr>
          <w:rFonts w:hint="eastAsia"/>
          <w:color w:val="auto"/>
          <w:sz w:val="21"/>
          <w:szCs w:val="21"/>
          <w:highlight w:val="none"/>
          <w:lang w:val="en-US" w:eastAsia="zh-CN"/>
        </w:rPr>
        <w:t>4</w:t>
      </w:r>
      <w:r>
        <w:rPr>
          <w:rFonts w:hint="eastAsia"/>
          <w:color w:val="auto"/>
          <w:sz w:val="21"/>
          <w:szCs w:val="21"/>
          <w:highlight w:val="none"/>
        </w:rPr>
        <w:t xml:space="preserve">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pacing w:line="360" w:lineRule="auto"/>
        <w:ind w:firstLine="420" w:firstLineChars="200"/>
        <w:rPr>
          <w:color w:val="auto"/>
          <w:sz w:val="21"/>
          <w:szCs w:val="21"/>
          <w:highlight w:val="none"/>
        </w:rPr>
      </w:pPr>
      <w:r>
        <w:rPr>
          <w:rFonts w:hint="eastAsia"/>
          <w:color w:val="auto"/>
          <w:sz w:val="21"/>
          <w:szCs w:val="21"/>
          <w:highlight w:val="none"/>
        </w:rPr>
        <w:t>37.</w:t>
      </w:r>
      <w:r>
        <w:rPr>
          <w:rFonts w:hint="eastAsia"/>
          <w:color w:val="auto"/>
          <w:sz w:val="21"/>
          <w:szCs w:val="21"/>
          <w:highlight w:val="none"/>
          <w:lang w:val="en-US" w:eastAsia="zh-CN"/>
        </w:rPr>
        <w:t>5</w:t>
      </w:r>
      <w:r>
        <w:rPr>
          <w:rFonts w:hint="eastAsia"/>
          <w:color w:val="auto"/>
          <w:sz w:val="21"/>
          <w:szCs w:val="21"/>
          <w:highlight w:val="none"/>
        </w:rPr>
        <w:t>评标结束后，评标委员会递交评标报告并依法推荐中标候选人。</w:t>
      </w:r>
      <w:r>
        <w:rPr>
          <w:color w:val="auto"/>
          <w:sz w:val="21"/>
          <w:szCs w:val="21"/>
          <w:highlight w:val="none"/>
        </w:rPr>
        <w:t xml:space="preserve"> </w:t>
      </w:r>
    </w:p>
    <w:p>
      <w:pPr>
        <w:spacing w:line="360" w:lineRule="auto"/>
        <w:ind w:firstLine="420" w:firstLineChars="200"/>
        <w:rPr>
          <w:color w:val="auto"/>
          <w:sz w:val="21"/>
          <w:szCs w:val="21"/>
          <w:highlight w:val="none"/>
        </w:rPr>
      </w:pPr>
      <w:r>
        <w:rPr>
          <w:color w:val="auto"/>
          <w:sz w:val="21"/>
          <w:szCs w:val="21"/>
          <w:highlight w:val="none"/>
        </w:rPr>
        <w:t>38</w:t>
      </w:r>
      <w:r>
        <w:rPr>
          <w:rFonts w:hint="eastAsia"/>
          <w:color w:val="auto"/>
          <w:sz w:val="21"/>
          <w:szCs w:val="21"/>
          <w:highlight w:val="none"/>
        </w:rPr>
        <w:t>．投标文件的澄清</w:t>
      </w:r>
    </w:p>
    <w:p>
      <w:pPr>
        <w:spacing w:line="360" w:lineRule="auto"/>
        <w:ind w:firstLine="420" w:firstLineChars="200"/>
        <w:rPr>
          <w:color w:val="auto"/>
          <w:sz w:val="21"/>
          <w:szCs w:val="21"/>
          <w:highlight w:val="none"/>
        </w:rPr>
      </w:pPr>
      <w:r>
        <w:rPr>
          <w:color w:val="auto"/>
          <w:sz w:val="21"/>
          <w:szCs w:val="21"/>
          <w:highlight w:val="none"/>
        </w:rPr>
        <w:t>38.1</w:t>
      </w:r>
      <w:r>
        <w:rPr>
          <w:rFonts w:hint="eastAsia"/>
          <w:color w:val="auto"/>
          <w:sz w:val="21"/>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20" w:firstLineChars="200"/>
        <w:rPr>
          <w:color w:val="auto"/>
          <w:sz w:val="21"/>
          <w:szCs w:val="21"/>
          <w:highlight w:val="none"/>
        </w:rPr>
      </w:pPr>
      <w:r>
        <w:rPr>
          <w:color w:val="auto"/>
          <w:sz w:val="21"/>
          <w:szCs w:val="21"/>
          <w:highlight w:val="none"/>
        </w:rPr>
        <w:t xml:space="preserve">38.2 </w:t>
      </w:r>
      <w:r>
        <w:rPr>
          <w:rFonts w:hint="eastAsia"/>
          <w:color w:val="auto"/>
          <w:sz w:val="21"/>
          <w:szCs w:val="21"/>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20" w:firstLineChars="200"/>
        <w:rPr>
          <w:color w:val="auto"/>
          <w:sz w:val="21"/>
          <w:szCs w:val="21"/>
          <w:highlight w:val="none"/>
        </w:rPr>
      </w:pPr>
      <w:r>
        <w:rPr>
          <w:color w:val="auto"/>
          <w:sz w:val="21"/>
          <w:szCs w:val="21"/>
          <w:highlight w:val="none"/>
        </w:rPr>
        <w:t xml:space="preserve">38.3 </w:t>
      </w:r>
      <w:r>
        <w:rPr>
          <w:rFonts w:hint="eastAsia"/>
          <w:color w:val="auto"/>
          <w:sz w:val="21"/>
          <w:szCs w:val="21"/>
          <w:highlight w:val="none"/>
        </w:rPr>
        <w:t>评标委员会或评标委员会专业评审组成员均应当阅读投标人的澄清，但应独立参考澄清对投标文件进行评审。</w:t>
      </w:r>
    </w:p>
    <w:p>
      <w:pPr>
        <w:spacing w:line="360" w:lineRule="auto"/>
        <w:ind w:firstLine="420" w:firstLineChars="200"/>
        <w:rPr>
          <w:color w:val="auto"/>
          <w:sz w:val="21"/>
          <w:szCs w:val="21"/>
          <w:highlight w:val="none"/>
        </w:rPr>
      </w:pPr>
      <w:r>
        <w:rPr>
          <w:color w:val="auto"/>
          <w:sz w:val="21"/>
          <w:szCs w:val="21"/>
          <w:highlight w:val="none"/>
        </w:rPr>
        <w:t>38.4</w:t>
      </w:r>
      <w:r>
        <w:rPr>
          <w:rFonts w:hint="eastAsia"/>
          <w:color w:val="auto"/>
          <w:sz w:val="21"/>
          <w:szCs w:val="21"/>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20" w:firstLineChars="200"/>
        <w:rPr>
          <w:color w:val="auto"/>
          <w:sz w:val="21"/>
          <w:szCs w:val="21"/>
          <w:highlight w:val="none"/>
        </w:rPr>
      </w:pPr>
      <w:r>
        <w:rPr>
          <w:rFonts w:hint="eastAsia"/>
          <w:color w:val="auto"/>
          <w:sz w:val="21"/>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20" w:firstLineChars="200"/>
        <w:rPr>
          <w:color w:val="auto"/>
          <w:sz w:val="21"/>
          <w:szCs w:val="21"/>
          <w:highlight w:val="none"/>
        </w:rPr>
      </w:pPr>
      <w:r>
        <w:rPr>
          <w:color w:val="auto"/>
          <w:sz w:val="21"/>
          <w:szCs w:val="21"/>
          <w:highlight w:val="none"/>
        </w:rPr>
        <w:t>39</w:t>
      </w:r>
      <w:r>
        <w:rPr>
          <w:rFonts w:hint="eastAsia"/>
          <w:color w:val="auto"/>
          <w:sz w:val="21"/>
          <w:szCs w:val="21"/>
          <w:highlight w:val="none"/>
        </w:rPr>
        <w:t>．定标</w:t>
      </w:r>
    </w:p>
    <w:p>
      <w:pPr>
        <w:spacing w:line="360" w:lineRule="auto"/>
        <w:ind w:firstLine="420" w:firstLineChars="200"/>
        <w:rPr>
          <w:color w:val="auto"/>
          <w:sz w:val="21"/>
          <w:szCs w:val="21"/>
          <w:highlight w:val="none"/>
        </w:rPr>
      </w:pPr>
      <w:r>
        <w:rPr>
          <w:color w:val="auto"/>
          <w:sz w:val="21"/>
          <w:szCs w:val="21"/>
          <w:highlight w:val="none"/>
        </w:rPr>
        <w:t xml:space="preserve">39.1 </w:t>
      </w:r>
      <w:r>
        <w:rPr>
          <w:rFonts w:hint="eastAsia"/>
          <w:color w:val="auto"/>
          <w:sz w:val="21"/>
          <w:szCs w:val="21"/>
          <w:highlight w:val="none"/>
        </w:rPr>
        <w:t>招标人根据评标委员会递交的评标报告，最终审定中标人。</w:t>
      </w:r>
    </w:p>
    <w:p>
      <w:pPr>
        <w:spacing w:line="360" w:lineRule="auto"/>
        <w:ind w:firstLine="420" w:firstLineChars="200"/>
        <w:rPr>
          <w:color w:val="auto"/>
          <w:sz w:val="21"/>
          <w:szCs w:val="21"/>
          <w:highlight w:val="none"/>
        </w:rPr>
      </w:pPr>
      <w:r>
        <w:rPr>
          <w:color w:val="auto"/>
          <w:sz w:val="21"/>
          <w:szCs w:val="21"/>
          <w:highlight w:val="none"/>
        </w:rPr>
        <w:t xml:space="preserve">39.2 </w:t>
      </w:r>
      <w:r>
        <w:rPr>
          <w:rFonts w:hint="eastAsia"/>
          <w:color w:val="auto"/>
          <w:sz w:val="21"/>
          <w:szCs w:val="21"/>
          <w:highlight w:val="none"/>
        </w:rPr>
        <w:t>依法必须进行公开招标的项目，招标人应当确定排名第一的中标候选人为中标人。</w:t>
      </w:r>
    </w:p>
    <w:p>
      <w:pPr>
        <w:spacing w:line="360" w:lineRule="auto"/>
        <w:ind w:firstLine="420" w:firstLineChars="200"/>
        <w:rPr>
          <w:color w:val="auto"/>
          <w:sz w:val="21"/>
          <w:szCs w:val="21"/>
          <w:highlight w:val="none"/>
        </w:rPr>
      </w:pPr>
      <w:r>
        <w:rPr>
          <w:color w:val="auto"/>
          <w:sz w:val="21"/>
          <w:szCs w:val="21"/>
          <w:highlight w:val="none"/>
        </w:rPr>
        <w:t>39.3</w:t>
      </w:r>
      <w:r>
        <w:rPr>
          <w:rFonts w:hint="eastAsia"/>
          <w:color w:val="auto"/>
          <w:sz w:val="21"/>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20" w:firstLineChars="200"/>
        <w:rPr>
          <w:color w:val="auto"/>
          <w:sz w:val="21"/>
          <w:szCs w:val="21"/>
          <w:highlight w:val="none"/>
        </w:rPr>
      </w:pPr>
      <w:r>
        <w:rPr>
          <w:color w:val="auto"/>
          <w:sz w:val="21"/>
          <w:szCs w:val="21"/>
          <w:highlight w:val="none"/>
        </w:rPr>
        <w:t>39.4</w:t>
      </w:r>
      <w:r>
        <w:rPr>
          <w:rFonts w:hint="eastAsia"/>
          <w:color w:val="auto"/>
          <w:sz w:val="21"/>
          <w:szCs w:val="21"/>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20" w:firstLineChars="200"/>
        <w:rPr>
          <w:color w:val="auto"/>
          <w:sz w:val="21"/>
          <w:szCs w:val="21"/>
          <w:highlight w:val="none"/>
        </w:rPr>
      </w:pPr>
      <w:r>
        <w:rPr>
          <w:rFonts w:hint="eastAsia"/>
          <w:color w:val="auto"/>
          <w:sz w:val="21"/>
          <w:szCs w:val="21"/>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4"/>
        <w:spacing w:before="156" w:after="156"/>
        <w:ind w:firstLine="420" w:firstLineChars="200"/>
        <w:rPr>
          <w:color w:val="auto"/>
          <w:sz w:val="21"/>
          <w:szCs w:val="21"/>
          <w:highlight w:val="none"/>
        </w:rPr>
      </w:pPr>
      <w:bookmarkStart w:id="14" w:name="_Toc18664070"/>
      <w:r>
        <w:rPr>
          <w:rFonts w:hint="eastAsia"/>
          <w:color w:val="auto"/>
          <w:sz w:val="21"/>
          <w:szCs w:val="21"/>
          <w:highlight w:val="none"/>
        </w:rPr>
        <w:t>（二）开标评标办法程序和细则</w:t>
      </w:r>
      <w:bookmarkEnd w:id="14"/>
    </w:p>
    <w:p>
      <w:pPr>
        <w:spacing w:line="360" w:lineRule="auto"/>
        <w:ind w:firstLine="420" w:firstLineChars="200"/>
        <w:rPr>
          <w:color w:val="auto"/>
          <w:sz w:val="21"/>
          <w:szCs w:val="21"/>
          <w:highlight w:val="none"/>
        </w:rPr>
      </w:pPr>
      <w:r>
        <w:rPr>
          <w:rFonts w:hint="eastAsia"/>
          <w:color w:val="auto"/>
          <w:sz w:val="21"/>
          <w:szCs w:val="21"/>
          <w:highlight w:val="none"/>
        </w:rPr>
        <w:t>注：以下八种评标办法所述企业综合诚信评价分数即投标截止当日广州市工程招标代理行业协会网站上公布的企业综合诚信评价</w:t>
      </w:r>
      <w:r>
        <w:rPr>
          <w:color w:val="auto"/>
          <w:sz w:val="21"/>
          <w:szCs w:val="21"/>
          <w:highlight w:val="none"/>
        </w:rPr>
        <w:t>60</w:t>
      </w:r>
      <w:r>
        <w:rPr>
          <w:rFonts w:hint="eastAsia"/>
          <w:color w:val="auto"/>
          <w:sz w:val="21"/>
          <w:szCs w:val="21"/>
          <w:highlight w:val="none"/>
        </w:rPr>
        <w:t>日诚信分。</w:t>
      </w:r>
    </w:p>
    <w:p>
      <w:pPr>
        <w:pStyle w:val="4"/>
        <w:spacing w:before="156" w:after="156"/>
        <w:ind w:firstLine="540" w:firstLineChars="200"/>
        <w:rPr>
          <w:color w:val="auto"/>
          <w:highlight w:val="none"/>
        </w:rPr>
      </w:pPr>
      <w:bookmarkStart w:id="15" w:name="_Toc2272564"/>
      <w:bookmarkStart w:id="16" w:name="_Toc21525509"/>
      <w:r>
        <w:rPr>
          <w:rFonts w:hint="eastAsia"/>
          <w:color w:val="auto"/>
          <w:highlight w:val="none"/>
        </w:rPr>
        <w:t>可选办法七（适合综合评分法四，技术标与经济标同时开启）</w:t>
      </w:r>
      <w:bookmarkEnd w:id="15"/>
      <w:bookmarkEnd w:id="16"/>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pPr>
        <w:spacing w:line="360" w:lineRule="auto"/>
        <w:ind w:firstLine="480" w:firstLineChars="200"/>
        <w:rPr>
          <w:rFonts w:ascii="宋体" w:hAnsi="宋体"/>
          <w:color w:val="auto"/>
          <w:sz w:val="24"/>
          <w:szCs w:val="24"/>
          <w:highlight w:val="none"/>
        </w:rPr>
      </w:pPr>
      <w:r>
        <w:rPr>
          <w:rFonts w:hint="eastAsia" w:ascii="宋体"/>
          <w:color w:val="auto"/>
          <w:sz w:val="24"/>
          <w:szCs w:val="24"/>
          <w:highlight w:val="none"/>
        </w:rPr>
        <w:t>41.2.3</w:t>
      </w:r>
      <w:r>
        <w:rPr>
          <w:rFonts w:hint="eastAsia" w:ascii="宋体" w:hAnsi="宋体"/>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2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2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2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pPr>
        <w:pStyle w:val="25"/>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pPr>
        <w:pStyle w:val="2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2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2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2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2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pStyle w:val="2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2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2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2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2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w:t>
      </w:r>
      <w:r>
        <w:rPr>
          <w:rFonts w:hint="eastAsia" w:ascii="宋体" w:hAnsi="宋体"/>
          <w:color w:val="auto"/>
          <w:sz w:val="24"/>
          <w:szCs w:val="24"/>
          <w:highlight w:val="none"/>
          <w:lang w:val="en-US" w:eastAsia="zh-CN"/>
        </w:rPr>
        <w:t>100</w:t>
      </w:r>
      <w:r>
        <w:rPr>
          <w:rFonts w:hint="eastAsia" w:ascii="宋体" w:hAnsi="宋体"/>
          <w:color w:val="auto"/>
          <w:sz w:val="24"/>
          <w:szCs w:val="24"/>
          <w:highlight w:val="none"/>
        </w:rPr>
        <w:t>%（D的取值范围为[94,100],由招标人自主确定）的（具体金额为：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pStyle w:val="2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45.2按方法</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952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9525"/>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6350" b="571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6350" b="571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6350" b="5715"/>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6350" b="5715"/>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2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pPr>
        <w:pStyle w:val="2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widowControl/>
        <w:snapToGrid w:val="0"/>
        <w:spacing w:line="360" w:lineRule="auto"/>
        <w:ind w:right="102"/>
        <w:jc w:val="left"/>
        <w:rPr>
          <w:color w:val="auto"/>
          <w:sz w:val="24"/>
          <w:szCs w:val="24"/>
          <w:highlight w:val="none"/>
        </w:rPr>
        <w:sectPr>
          <w:footerReference r:id="rId10" w:type="first"/>
          <w:footerReference r:id="rId9" w:type="default"/>
          <w:endnotePr>
            <w:numFmt w:val="decimal"/>
          </w:endnotePr>
          <w:pgSz w:w="11906" w:h="16838"/>
          <w:pgMar w:top="1304" w:right="1361" w:bottom="1304" w:left="1361" w:header="851" w:footer="907" w:gutter="0"/>
          <w:pgNumType w:start="1"/>
          <w:cols w:space="720" w:num="1"/>
          <w:docGrid w:type="lines" w:linePitch="312" w:charSpace="0"/>
        </w:sectPr>
      </w:pPr>
      <w:r>
        <w:rPr>
          <w:color w:val="auto"/>
          <w:sz w:val="24"/>
          <w:szCs w:val="24"/>
          <w:highlight w:val="none"/>
        </w:rPr>
        <w:br w:type="page"/>
      </w:r>
    </w:p>
    <w:p>
      <w:pPr>
        <w:widowControl/>
        <w:snapToGrid w:val="0"/>
        <w:spacing w:line="360" w:lineRule="auto"/>
        <w:ind w:right="102"/>
        <w:jc w:val="left"/>
        <w:rPr>
          <w:color w:val="auto"/>
          <w:szCs w:val="21"/>
          <w:highlight w:val="none"/>
        </w:rPr>
      </w:pPr>
      <w:r>
        <w:rPr>
          <w:rFonts w:hint="eastAsia"/>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rPr>
          <w:color w:val="auto"/>
          <w:sz w:val="24"/>
          <w:szCs w:val="24"/>
          <w:highlight w:val="none"/>
        </w:rPr>
      </w:pPr>
      <w:r>
        <w:rPr>
          <w:rFonts w:hint="eastAsia"/>
          <w:color w:val="auto"/>
          <w:sz w:val="24"/>
          <w:szCs w:val="24"/>
          <w:highlight w:val="none"/>
        </w:rPr>
        <w:t>工程名称：</w:t>
      </w:r>
    </w:p>
    <w:tbl>
      <w:tblPr>
        <w:tblStyle w:val="27"/>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615"/>
        <w:gridCol w:w="635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661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审查项目</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须审查的资料</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61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投标人声明、法定代表人证明书；委托投标的还应提供法人授权委托证明书</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61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营业执照扫描件或电子证照</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661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拟委托</w:t>
            </w:r>
            <w:r>
              <w:rPr>
                <w:rFonts w:hint="eastAsia" w:ascii="宋体" w:hAnsi="宋体" w:cs="宋体"/>
                <w:b w:val="0"/>
                <w:bCs w:val="0"/>
                <w:color w:val="auto"/>
                <w:szCs w:val="21"/>
                <w:highlight w:val="none"/>
                <w:lang w:val="en-US" w:eastAsia="zh-CN"/>
              </w:rPr>
              <w:t>项目</w:t>
            </w:r>
            <w:r>
              <w:rPr>
                <w:rFonts w:hint="eastAsia" w:ascii="宋体" w:hAnsi="宋体" w:cs="宋体"/>
                <w:b w:val="0"/>
                <w:bCs w:val="0"/>
                <w:color w:val="auto"/>
                <w:szCs w:val="21"/>
                <w:highlight w:val="none"/>
              </w:rPr>
              <w:t>负责人的职称证书扫描件</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lang w:eastAsia="zh-CN"/>
              </w:rPr>
            </w:pPr>
            <w:r>
              <w:rPr>
                <w:rFonts w:hint="eastAsia" w:cs="宋体"/>
                <w:color w:val="auto"/>
                <w:szCs w:val="21"/>
                <w:highlight w:val="none"/>
                <w:lang w:val="en-US" w:eastAsia="zh-CN"/>
              </w:rPr>
              <w:t>4</w:t>
            </w:r>
          </w:p>
        </w:tc>
        <w:tc>
          <w:tcPr>
            <w:tcW w:w="661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投标人提供的投标人声明符合公告要求</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投标人声明</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lang w:eastAsia="zh-CN"/>
              </w:rPr>
            </w:pPr>
            <w:r>
              <w:rPr>
                <w:rFonts w:hint="eastAsia" w:cs="宋体"/>
                <w:color w:val="auto"/>
                <w:szCs w:val="21"/>
                <w:highlight w:val="none"/>
                <w:lang w:val="en-US" w:eastAsia="zh-CN"/>
              </w:rPr>
              <w:t>5</w:t>
            </w:r>
          </w:p>
        </w:tc>
        <w:tc>
          <w:tcPr>
            <w:tcW w:w="661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网上投标时选择拟投标的项目负责人、</w:t>
            </w:r>
            <w:r>
              <w:rPr>
                <w:rFonts w:hint="eastAsia" w:cs="宋体"/>
                <w:b w:val="0"/>
                <w:bCs w:val="0"/>
                <w:color w:val="auto"/>
                <w:szCs w:val="21"/>
                <w:highlight w:val="none"/>
                <w:lang w:val="en-US" w:eastAsia="zh-CN"/>
              </w:rPr>
              <w:t>投标</w:t>
            </w:r>
            <w:r>
              <w:rPr>
                <w:rFonts w:hint="eastAsia" w:ascii="宋体" w:hAnsi="宋体" w:cs="宋体"/>
                <w:b w:val="0"/>
                <w:bCs w:val="0"/>
                <w:color w:val="auto"/>
                <w:szCs w:val="21"/>
                <w:highlight w:val="none"/>
              </w:rPr>
              <w:t>文件中拟委派的技术负责人及投标人声明</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lang w:eastAsia="zh-CN"/>
              </w:rPr>
            </w:pPr>
            <w:r>
              <w:rPr>
                <w:rFonts w:hint="eastAsia" w:cs="宋体"/>
                <w:color w:val="auto"/>
                <w:szCs w:val="21"/>
                <w:highlight w:val="none"/>
                <w:lang w:val="en-US" w:eastAsia="zh-CN"/>
              </w:rPr>
              <w:t>6</w:t>
            </w:r>
          </w:p>
        </w:tc>
        <w:tc>
          <w:tcPr>
            <w:tcW w:w="661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u w:val="single"/>
              </w:rPr>
            </w:pPr>
            <w:r>
              <w:rPr>
                <w:rFonts w:hint="eastAsia" w:ascii="宋体" w:hAnsi="宋体" w:cs="宋体"/>
                <w:color w:val="auto"/>
                <w:szCs w:val="21"/>
                <w:highlight w:val="none"/>
              </w:rPr>
              <w:t>关于联合体投标：本项目不接受联合体投标。</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u w:val="single"/>
              </w:rPr>
            </w:pPr>
            <w:r>
              <w:rPr>
                <w:rFonts w:hint="eastAsia" w:ascii="宋体" w:hAnsi="宋体" w:cs="宋体"/>
                <w:color w:val="auto"/>
                <w:szCs w:val="21"/>
                <w:highlight w:val="none"/>
              </w:rPr>
              <w:t>未以联合体进行投标。</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7</w:t>
            </w:r>
          </w:p>
        </w:tc>
        <w:tc>
          <w:tcPr>
            <w:tcW w:w="661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资格审查前，投标人须</w:t>
            </w:r>
            <w:r>
              <w:rPr>
                <w:rFonts w:hint="eastAsia" w:ascii="宋体" w:hAnsi="宋体" w:cs="宋体"/>
                <w:color w:val="auto"/>
                <w:szCs w:val="21"/>
                <w:highlight w:val="none"/>
                <w:lang w:val="en-US" w:eastAsia="zh-CN"/>
              </w:rPr>
              <w:t>在广州公共资源交易平台企业库</w:t>
            </w:r>
            <w:r>
              <w:rPr>
                <w:rFonts w:hint="eastAsia" w:cs="宋体"/>
                <w:bCs/>
                <w:color w:val="auto"/>
                <w:szCs w:val="21"/>
                <w:highlight w:val="none"/>
                <w:u w:val="single"/>
              </w:rPr>
              <w:t>或广州市住建行业信用平台</w:t>
            </w:r>
            <w:r>
              <w:rPr>
                <w:rFonts w:hint="eastAsia" w:ascii="宋体" w:hAnsi="宋体" w:cs="宋体"/>
                <w:color w:val="auto"/>
                <w:szCs w:val="21"/>
                <w:highlight w:val="none"/>
                <w:lang w:val="en-US" w:eastAsia="zh-CN"/>
              </w:rPr>
              <w:t>办理企业信息登记，</w:t>
            </w:r>
            <w:r>
              <w:rPr>
                <w:rFonts w:hint="eastAsia" w:ascii="宋体" w:hAnsi="宋体" w:cs="宋体"/>
                <w:color w:val="auto"/>
                <w:szCs w:val="21"/>
                <w:highlight w:val="none"/>
              </w:rPr>
              <w:t>拟担任本工程项目负责人、专职安全员须是本企业中的在册人员</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投标人在投标登记时选择了拟投入本项目的项目负责人，即已满足“资格审查前，投标人须在广州公共资源交易平台企业库或广州市住建行业信用平台办理企业信息登记，拟担任本工程项目负责人须是本企业中的在册人员”的要求，投标人无需提供证明材料</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lang w:eastAsia="zh-CN"/>
              </w:rPr>
            </w:pPr>
            <w:r>
              <w:rPr>
                <w:rFonts w:hint="eastAsia" w:cs="宋体"/>
                <w:color w:val="auto"/>
                <w:szCs w:val="21"/>
                <w:highlight w:val="none"/>
                <w:lang w:val="en-US" w:eastAsia="zh-CN"/>
              </w:rPr>
              <w:t>8</w:t>
            </w:r>
          </w:p>
        </w:tc>
        <w:tc>
          <w:tcPr>
            <w:tcW w:w="661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w:t>
            </w:r>
            <w:r>
              <w:rPr>
                <w:rFonts w:hint="eastAsia" w:cs="宋体"/>
                <w:color w:val="auto"/>
                <w:szCs w:val="21"/>
                <w:highlight w:val="none"/>
                <w:lang w:val="en-US" w:eastAsia="zh-CN"/>
              </w:rPr>
              <w:t>九</w:t>
            </w:r>
            <w:r>
              <w:rPr>
                <w:rFonts w:hint="eastAsia" w:ascii="宋体" w:hAnsi="宋体" w:cs="宋体"/>
                <w:color w:val="auto"/>
                <w:szCs w:val="21"/>
                <w:highlight w:val="none"/>
              </w:rPr>
              <w:t>条内容进行评审）。</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w:t>
            </w:r>
            <w:r>
              <w:rPr>
                <w:rFonts w:hint="eastAsia" w:cs="宋体"/>
                <w:color w:val="auto"/>
                <w:szCs w:val="21"/>
                <w:highlight w:val="none"/>
                <w:lang w:val="en-US" w:eastAsia="zh-CN"/>
              </w:rPr>
              <w:t>九</w:t>
            </w:r>
            <w:r>
              <w:rPr>
                <w:rFonts w:hint="eastAsia" w:ascii="宋体" w:hAnsi="宋体" w:cs="宋体"/>
                <w:color w:val="auto"/>
                <w:szCs w:val="21"/>
                <w:highlight w:val="none"/>
              </w:rPr>
              <w:t>条内容进行评审）。</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color w:val="auto"/>
                <w:szCs w:val="21"/>
                <w:highlight w:val="none"/>
                <w:lang w:eastAsia="zh-CN"/>
              </w:rPr>
            </w:pPr>
            <w:r>
              <w:rPr>
                <w:rFonts w:hint="eastAsia" w:cs="宋体"/>
                <w:color w:val="auto"/>
                <w:szCs w:val="21"/>
                <w:highlight w:val="none"/>
                <w:lang w:val="en-US" w:eastAsia="zh-CN"/>
              </w:rPr>
              <w:t>9</w:t>
            </w:r>
          </w:p>
        </w:tc>
        <w:tc>
          <w:tcPr>
            <w:tcW w:w="661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未被列入拖欠农民工工资失信联合惩戒对象名单</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r>
              <w:rPr>
                <w:rFonts w:hint="eastAsia" w:ascii="宋体" w:hAnsi="宋体"/>
                <w:color w:val="auto"/>
                <w:szCs w:val="21"/>
                <w:highlight w:val="none"/>
              </w:rPr>
              <w:t>投标人无需提供资料，按投标截止时间交易系统比对的结果进行评审</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color w:val="auto"/>
                <w:szCs w:val="21"/>
                <w:highlight w:val="none"/>
              </w:rPr>
            </w:pPr>
          </w:p>
        </w:tc>
      </w:tr>
    </w:tbl>
    <w:p>
      <w:pPr>
        <w:spacing w:line="240" w:lineRule="auto"/>
        <w:ind w:firstLine="470" w:firstLineChars="224"/>
        <w:rPr>
          <w:color w:val="auto"/>
          <w:szCs w:val="21"/>
          <w:highlight w:val="none"/>
        </w:rPr>
      </w:pPr>
      <w:r>
        <w:rPr>
          <w:rFonts w:hint="eastAsia"/>
          <w:color w:val="auto"/>
          <w:szCs w:val="21"/>
          <w:highlight w:val="none"/>
        </w:rPr>
        <w:t>备注：</w:t>
      </w:r>
      <w:r>
        <w:rPr>
          <w:color w:val="auto"/>
          <w:szCs w:val="21"/>
          <w:highlight w:val="none"/>
        </w:rPr>
        <w:t>1</w:t>
      </w:r>
      <w:r>
        <w:rPr>
          <w:rFonts w:hint="eastAsia"/>
          <w:color w:val="auto"/>
          <w:szCs w:val="21"/>
          <w:highlight w:val="none"/>
        </w:rPr>
        <w:t>、每一项目符合的打“○”，不符合的打“×”；</w:t>
      </w:r>
      <w:r>
        <w:rPr>
          <w:color w:val="auto"/>
          <w:szCs w:val="21"/>
          <w:highlight w:val="none"/>
        </w:rPr>
        <w:t xml:space="preserve"> </w:t>
      </w:r>
    </w:p>
    <w:p>
      <w:pPr>
        <w:spacing w:line="240" w:lineRule="auto"/>
        <w:ind w:firstLine="470" w:firstLineChars="224"/>
        <w:rPr>
          <w:rFonts w:hint="eastAsia"/>
          <w:color w:val="auto"/>
          <w:szCs w:val="21"/>
          <w:highlight w:val="none"/>
        </w:rPr>
      </w:pPr>
      <w:r>
        <w:rPr>
          <w:color w:val="auto"/>
          <w:szCs w:val="21"/>
          <w:highlight w:val="none"/>
        </w:rPr>
        <w:t>2</w:t>
      </w:r>
      <w:r>
        <w:rPr>
          <w:rFonts w:hint="eastAsia"/>
          <w:color w:val="auto"/>
          <w:szCs w:val="21"/>
          <w:highlight w:val="none"/>
        </w:rPr>
        <w:t>、若评委意见不一致时，则按少数服从多数的原则，作出评审结论。汇总后，出现一个“×”的结论为“不通过”。</w:t>
      </w:r>
    </w:p>
    <w:p>
      <w:pPr>
        <w:spacing w:line="240" w:lineRule="auto"/>
        <w:ind w:firstLine="470" w:firstLineChars="224"/>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ind w:firstLine="420" w:firstLineChars="200"/>
        <w:rPr>
          <w:color w:val="auto"/>
          <w:szCs w:val="21"/>
          <w:highlight w:val="none"/>
        </w:rPr>
      </w:pPr>
      <w:r>
        <w:rPr>
          <w:rFonts w:hint="eastAsia"/>
          <w:color w:val="auto"/>
          <w:szCs w:val="21"/>
          <w:highlight w:val="none"/>
        </w:rPr>
        <w:t>评委签名：</w:t>
      </w:r>
    </w:p>
    <w:p>
      <w:pPr>
        <w:pStyle w:val="3"/>
        <w:rPr>
          <w:rFonts w:hint="eastAsia"/>
          <w:color w:val="auto"/>
          <w:highlight w:val="none"/>
        </w:rPr>
        <w:sectPr>
          <w:endnotePr>
            <w:numFmt w:val="decimal"/>
          </w:endnotePr>
          <w:pgSz w:w="16838" w:h="11905" w:orient="landscape"/>
          <w:pgMar w:top="1247" w:right="1440" w:bottom="1247" w:left="1440" w:header="850" w:footer="907" w:gutter="0"/>
          <w:cols w:space="0" w:num="1"/>
          <w:titlePg/>
          <w:docGrid w:type="lines" w:linePitch="319" w:charSpace="0"/>
        </w:sectPr>
      </w:pPr>
    </w:p>
    <w:p>
      <w:pPr>
        <w:rPr>
          <w:b/>
          <w:color w:val="auto"/>
          <w:sz w:val="36"/>
          <w:szCs w:val="36"/>
          <w:highlight w:val="none"/>
        </w:rPr>
      </w:pPr>
      <w:r>
        <w:rPr>
          <w:rFonts w:hint="eastAsia"/>
          <w:color w:val="auto"/>
          <w:szCs w:val="21"/>
          <w:highlight w:val="none"/>
        </w:rPr>
        <w:t>附表二</w:t>
      </w:r>
      <w:r>
        <w:rPr>
          <w:rFonts w:hint="eastAsia"/>
          <w:color w:val="auto"/>
          <w:szCs w:val="21"/>
          <w:highlight w:val="none"/>
          <w:lang w:val="en-US" w:eastAsia="zh-CN"/>
        </w:rPr>
        <w:t xml:space="preserve">                                                  </w:t>
      </w: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27"/>
        <w:tblW w:w="142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8957"/>
        <w:gridCol w:w="1604"/>
        <w:gridCol w:w="160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序号</w:t>
            </w:r>
          </w:p>
        </w:tc>
        <w:tc>
          <w:tcPr>
            <w:tcW w:w="8957"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lang w:val="en-US" w:eastAsia="zh-CN"/>
              </w:rPr>
              <w:t xml:space="preserve">         </w:t>
            </w:r>
            <w:r>
              <w:rPr>
                <w:color w:val="auto"/>
                <w:szCs w:val="21"/>
                <w:highlight w:val="none"/>
              </w:rPr>
              <w:t xml:space="preserve"> </w:t>
            </w:r>
            <w:r>
              <w:rPr>
                <w:rFonts w:hint="eastAsia"/>
                <w:color w:val="auto"/>
                <w:szCs w:val="21"/>
                <w:highlight w:val="none"/>
              </w:rPr>
              <w:t>投标人</w:t>
            </w:r>
          </w:p>
          <w:p>
            <w:pPr>
              <w:adjustRightInd w:val="0"/>
              <w:rPr>
                <w:color w:val="auto"/>
                <w:szCs w:val="21"/>
                <w:highlight w:val="none"/>
              </w:rPr>
            </w:pPr>
            <w:r>
              <w:rPr>
                <w:rFonts w:hint="eastAsia"/>
                <w:color w:val="auto"/>
                <w:szCs w:val="21"/>
                <w:highlight w:val="none"/>
              </w:rPr>
              <w:t>评审内容</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1</w:t>
            </w:r>
          </w:p>
        </w:tc>
        <w:tc>
          <w:tcPr>
            <w:tcW w:w="8957"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s="宋体"/>
                <w:color w:val="auto"/>
                <w:szCs w:val="21"/>
                <w:highlight w:val="none"/>
                <w:u w:val="single"/>
              </w:rPr>
              <w:t>《广州建设工程施工招标投标书》中的投标总工期</w:t>
            </w:r>
            <w:r>
              <w:rPr>
                <w:rFonts w:hint="eastAsia"/>
                <w:color w:val="auto"/>
                <w:szCs w:val="21"/>
                <w:highlight w:val="none"/>
              </w:rPr>
              <w:t>不能满足完成投标项目工期的；</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2</w:t>
            </w:r>
          </w:p>
        </w:tc>
        <w:tc>
          <w:tcPr>
            <w:tcW w:w="8957" w:type="dxa"/>
            <w:tcBorders>
              <w:top w:val="single" w:color="auto" w:sz="4" w:space="0"/>
              <w:left w:val="single" w:color="auto" w:sz="4" w:space="0"/>
              <w:bottom w:val="single" w:color="auto" w:sz="4" w:space="0"/>
              <w:right w:val="single" w:color="auto" w:sz="4" w:space="0"/>
            </w:tcBorders>
            <w:vAlign w:val="center"/>
          </w:tcPr>
          <w:p>
            <w:pPr>
              <w:adjustRightInd w:val="0"/>
              <w:rPr>
                <w:rFonts w:cs="宋体"/>
                <w:color w:val="auto"/>
                <w:szCs w:val="21"/>
                <w:highlight w:val="none"/>
                <w:u w:val="single"/>
              </w:rPr>
            </w:pPr>
            <w:r>
              <w:rPr>
                <w:rFonts w:hint="eastAsia" w:cs="宋体"/>
                <w:color w:val="auto"/>
                <w:szCs w:val="21"/>
                <w:highlight w:val="none"/>
                <w:u w:val="single"/>
              </w:rPr>
              <w:t>《广州建设工程施工招标投标书》中的工程质量标准不符合招标文件要求的；</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3</w:t>
            </w:r>
          </w:p>
        </w:tc>
        <w:tc>
          <w:tcPr>
            <w:tcW w:w="8957"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投标文件中没有有效的法定代表人证明书，或由委托代理人</w:t>
            </w:r>
            <w:r>
              <w:rPr>
                <w:rFonts w:hint="eastAsia"/>
                <w:color w:val="auto"/>
                <w:szCs w:val="21"/>
                <w:highlight w:val="none"/>
                <w:u w:val="single"/>
              </w:rPr>
              <w:t>签署或盖章</w:t>
            </w:r>
            <w:r>
              <w:rPr>
                <w:rFonts w:hint="eastAsia"/>
                <w:color w:val="auto"/>
                <w:szCs w:val="21"/>
                <w:highlight w:val="none"/>
              </w:rPr>
              <w:t>的投标文件中没有法定代表人授权书；</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4</w:t>
            </w:r>
          </w:p>
        </w:tc>
        <w:tc>
          <w:tcPr>
            <w:tcW w:w="895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rPr>
                <w:color w:val="auto"/>
                <w:szCs w:val="21"/>
                <w:highlight w:val="none"/>
              </w:rPr>
            </w:pPr>
            <w:r>
              <w:rPr>
                <w:rFonts w:hint="eastAsia" w:cs="宋体"/>
                <w:color w:val="auto"/>
                <w:szCs w:val="21"/>
                <w:highlight w:val="none"/>
              </w:rPr>
              <w:t>投标文件未按规定的格式填写</w:t>
            </w:r>
            <w:r>
              <w:rPr>
                <w:rFonts w:hint="eastAsia" w:cs="宋体"/>
                <w:color w:val="auto"/>
                <w:szCs w:val="21"/>
                <w:highlight w:val="none"/>
                <w:u w:val="single"/>
              </w:rPr>
              <w:t>（指招标文件第四章提供格式的《广州建设工程施工招标投标书（技术标）》、《投标函》</w:t>
            </w:r>
            <w:r>
              <w:rPr>
                <w:rFonts w:hint="eastAsia" w:cs="宋体"/>
                <w:color w:val="auto"/>
                <w:szCs w:val="21"/>
                <w:highlight w:val="none"/>
              </w:rPr>
              <w:t>，或主要内容（指投标文件组成内容）不全，或关键字迹模糊、无法辨认的；</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5</w:t>
            </w:r>
          </w:p>
        </w:tc>
        <w:tc>
          <w:tcPr>
            <w:tcW w:w="8957"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投标人之间存在《广东省实施&lt;中华人民共和国招标投标法&gt;》第十六条所禁止的情形的；</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6</w:t>
            </w:r>
          </w:p>
        </w:tc>
        <w:tc>
          <w:tcPr>
            <w:tcW w:w="8957"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无《参与编制技术标投标文件人员名单》的</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7</w:t>
            </w:r>
          </w:p>
        </w:tc>
        <w:tc>
          <w:tcPr>
            <w:tcW w:w="8957"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投标人未按要求提交投标保证金的</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8</w:t>
            </w:r>
          </w:p>
        </w:tc>
        <w:tc>
          <w:tcPr>
            <w:tcW w:w="8957" w:type="dxa"/>
            <w:tcBorders>
              <w:top w:val="single" w:color="auto" w:sz="4" w:space="0"/>
              <w:left w:val="single" w:color="auto" w:sz="4" w:space="0"/>
              <w:bottom w:val="single" w:color="auto" w:sz="4" w:space="0"/>
              <w:right w:val="single" w:color="auto" w:sz="4" w:space="0"/>
            </w:tcBorders>
            <w:vAlign w:val="center"/>
          </w:tcPr>
          <w:p>
            <w:pPr>
              <w:adjustRightInd w:val="0"/>
              <w:rPr>
                <w:color w:val="auto"/>
                <w:szCs w:val="21"/>
                <w:highlight w:val="none"/>
              </w:rPr>
            </w:pPr>
            <w:r>
              <w:rPr>
                <w:rFonts w:hint="eastAsia"/>
                <w:color w:val="auto"/>
                <w:szCs w:val="21"/>
                <w:highlight w:val="none"/>
              </w:rPr>
              <w:t>投标人与本项目其他投标人加密打包投标文件电脑机器特征码一致的(以交易平台评标系统的检索信息为准)</w:t>
            </w: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color w:val="auto"/>
                <w:szCs w:val="21"/>
                <w:highlight w:val="none"/>
              </w:rPr>
            </w:pPr>
          </w:p>
        </w:tc>
      </w:tr>
    </w:tbl>
    <w:p>
      <w:pPr>
        <w:rPr>
          <w:color w:val="auto"/>
          <w:szCs w:val="21"/>
          <w:highlight w:val="none"/>
        </w:rPr>
      </w:pPr>
      <w:r>
        <w:rPr>
          <w:rFonts w:hint="eastAsia"/>
          <w:color w:val="auto"/>
          <w:szCs w:val="21"/>
          <w:highlight w:val="none"/>
        </w:rPr>
        <w:t>注：</w:t>
      </w:r>
      <w:r>
        <w:rPr>
          <w:color w:val="auto"/>
          <w:szCs w:val="21"/>
          <w:highlight w:val="none"/>
        </w:rPr>
        <w:t>1.</w:t>
      </w:r>
      <w:r>
        <w:rPr>
          <w:rFonts w:hint="eastAsia"/>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color w:val="auto"/>
          <w:szCs w:val="21"/>
          <w:highlight w:val="none"/>
        </w:rPr>
      </w:pPr>
      <w:r>
        <w:rPr>
          <w:rFonts w:hint="eastAsia"/>
          <w:color w:val="auto"/>
          <w:szCs w:val="21"/>
          <w:highlight w:val="none"/>
        </w:rPr>
        <w:t xml:space="preserve">    2</w:t>
      </w:r>
      <w:r>
        <w:rPr>
          <w:color w:val="auto"/>
          <w:szCs w:val="21"/>
          <w:highlight w:val="none"/>
        </w:rPr>
        <w:t>.不得将</w:t>
      </w:r>
      <w:r>
        <w:rPr>
          <w:rFonts w:hint="eastAsia"/>
          <w:color w:val="auto"/>
          <w:szCs w:val="21"/>
          <w:highlight w:val="none"/>
        </w:rPr>
        <w:t>文件顺序、</w:t>
      </w:r>
      <w:r>
        <w:rPr>
          <w:color w:val="auto"/>
          <w:szCs w:val="21"/>
          <w:highlight w:val="none"/>
        </w:rPr>
        <w:t>明显的文字错误等列为否</w:t>
      </w:r>
      <w:r>
        <w:rPr>
          <w:rFonts w:hint="eastAsia"/>
          <w:color w:val="auto"/>
          <w:szCs w:val="21"/>
          <w:highlight w:val="none"/>
        </w:rPr>
        <w:t>决</w:t>
      </w:r>
      <w:r>
        <w:rPr>
          <w:color w:val="auto"/>
          <w:szCs w:val="21"/>
          <w:highlight w:val="none"/>
        </w:rPr>
        <w:t>投标的</w:t>
      </w:r>
      <w:r>
        <w:rPr>
          <w:rFonts w:hint="eastAsia"/>
          <w:color w:val="auto"/>
          <w:szCs w:val="21"/>
          <w:highlight w:val="none"/>
        </w:rPr>
        <w:t>情形。评委</w:t>
      </w:r>
      <w:r>
        <w:rPr>
          <w:color w:val="auto"/>
          <w:szCs w:val="21"/>
          <w:highlight w:val="none"/>
        </w:rPr>
        <w:t>发现投标</w:t>
      </w:r>
      <w:r>
        <w:rPr>
          <w:rFonts w:hint="eastAsia"/>
          <w:color w:val="auto"/>
          <w:szCs w:val="21"/>
          <w:highlight w:val="none"/>
        </w:rPr>
        <w:t>文件</w:t>
      </w:r>
      <w:r>
        <w:rPr>
          <w:color w:val="auto"/>
          <w:szCs w:val="21"/>
          <w:highlight w:val="none"/>
        </w:rPr>
        <w:t>中</w:t>
      </w:r>
      <w:r>
        <w:rPr>
          <w:rFonts w:hint="eastAsia"/>
          <w:color w:val="auto"/>
          <w:szCs w:val="21"/>
          <w:highlight w:val="none"/>
        </w:rPr>
        <w:t>含义不明确</w:t>
      </w:r>
      <w:r>
        <w:rPr>
          <w:color w:val="auto"/>
          <w:szCs w:val="21"/>
          <w:highlight w:val="none"/>
        </w:rPr>
        <w:t>、对同类问题表述不一致、有明显</w:t>
      </w:r>
      <w:r>
        <w:rPr>
          <w:rFonts w:hint="eastAsia"/>
          <w:color w:val="auto"/>
          <w:szCs w:val="21"/>
          <w:highlight w:val="none"/>
        </w:rPr>
        <w:t>文字</w:t>
      </w:r>
      <w:r>
        <w:rPr>
          <w:color w:val="auto"/>
          <w:szCs w:val="21"/>
          <w:highlight w:val="none"/>
        </w:rPr>
        <w:t>和计算错误</w:t>
      </w:r>
      <w:r>
        <w:rPr>
          <w:rFonts w:hint="eastAsia"/>
          <w:color w:val="auto"/>
          <w:szCs w:val="21"/>
          <w:highlight w:val="none"/>
        </w:rPr>
        <w:t>的，</w:t>
      </w:r>
      <w:r>
        <w:rPr>
          <w:color w:val="auto"/>
          <w:szCs w:val="21"/>
          <w:highlight w:val="none"/>
        </w:rPr>
        <w:t>应当</w:t>
      </w:r>
      <w:r>
        <w:rPr>
          <w:rFonts w:hint="eastAsia"/>
          <w:color w:val="auto"/>
          <w:szCs w:val="21"/>
          <w:highlight w:val="none"/>
        </w:rPr>
        <w:t>要求</w:t>
      </w:r>
      <w:r>
        <w:rPr>
          <w:color w:val="auto"/>
          <w:szCs w:val="21"/>
          <w:highlight w:val="none"/>
        </w:rPr>
        <w:t>投标人作必要的澄清、说明</w:t>
      </w:r>
      <w:r>
        <w:rPr>
          <w:rFonts w:hint="eastAsia"/>
          <w:color w:val="auto"/>
          <w:szCs w:val="21"/>
          <w:highlight w:val="none"/>
        </w:rPr>
        <w:t>后再判定投标人是否通过有效性审查</w:t>
      </w:r>
      <w:r>
        <w:rPr>
          <w:color w:val="auto"/>
          <w:szCs w:val="21"/>
          <w:highlight w:val="none"/>
        </w:rPr>
        <w:t>，不得直接否决投标</w:t>
      </w:r>
      <w:r>
        <w:rPr>
          <w:rFonts w:hint="eastAsia"/>
          <w:color w:val="auto"/>
          <w:szCs w:val="21"/>
          <w:highlight w:val="none"/>
        </w:rPr>
        <w:t>，若出现评标委员会否决投标的，应在评标报告中载明否决投标的具体情形、原因。</w:t>
      </w:r>
    </w:p>
    <w:p>
      <w:pPr>
        <w:rPr>
          <w:color w:val="auto"/>
          <w:szCs w:val="21"/>
          <w:highlight w:val="none"/>
        </w:rPr>
      </w:pPr>
      <w:r>
        <w:rPr>
          <w:rFonts w:hint="eastAsia"/>
          <w:color w:val="auto"/>
          <w:szCs w:val="21"/>
          <w:highlight w:val="none"/>
        </w:rPr>
        <w:t xml:space="preserve">    3</w:t>
      </w:r>
      <w:r>
        <w:rPr>
          <w:color w:val="auto"/>
          <w:szCs w:val="21"/>
          <w:highlight w:val="none"/>
        </w:rPr>
        <w:t>.</w:t>
      </w:r>
      <w:r>
        <w:rPr>
          <w:rFonts w:hint="eastAsia"/>
          <w:color w:val="auto"/>
          <w:szCs w:val="21"/>
          <w:highlight w:val="none"/>
        </w:rPr>
        <w:t>凡出现以上任何一项情形，结论均为无效，否则就为有效。</w:t>
      </w:r>
    </w:p>
    <w:p>
      <w:pPr>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如对本表中某种情形的评审意见不一致时，以评标委员会过半数成员的意见作为评标委员会对该情形的认定结论。</w:t>
      </w:r>
    </w:p>
    <w:p>
      <w:pPr>
        <w:ind w:firstLine="420" w:firstLineChars="200"/>
        <w:rPr>
          <w:color w:val="auto"/>
          <w:szCs w:val="21"/>
          <w:highlight w:val="none"/>
        </w:rPr>
      </w:pPr>
      <w:r>
        <w:rPr>
          <w:rFonts w:hint="eastAsia"/>
          <w:color w:val="auto"/>
          <w:szCs w:val="21"/>
          <w:highlight w:val="none"/>
        </w:rPr>
        <w:t>评委签名：</w:t>
      </w:r>
    </w:p>
    <w:p>
      <w:pPr>
        <w:rPr>
          <w:b/>
          <w:color w:val="auto"/>
          <w:sz w:val="36"/>
          <w:szCs w:val="36"/>
          <w:highlight w:val="none"/>
        </w:rPr>
      </w:pPr>
      <w:r>
        <w:rPr>
          <w:color w:val="auto"/>
          <w:highlight w:val="none"/>
        </w:rPr>
        <w:br w:type="page"/>
      </w:r>
      <w:r>
        <w:rPr>
          <w:rFonts w:hint="eastAsia"/>
          <w:color w:val="auto"/>
          <w:szCs w:val="21"/>
          <w:highlight w:val="none"/>
        </w:rPr>
        <w:t xml:space="preserve">附表三                                                     </w:t>
      </w: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27"/>
        <w:tblW w:w="143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9539"/>
        <w:gridCol w:w="1397"/>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6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序号</w:t>
            </w:r>
          </w:p>
        </w:tc>
        <w:tc>
          <w:tcPr>
            <w:tcW w:w="9539" w:type="dxa"/>
            <w:tcBorders>
              <w:top w:val="single" w:color="auto" w:sz="4" w:space="0"/>
              <w:left w:val="single" w:color="auto" w:sz="4" w:space="0"/>
              <w:bottom w:val="single" w:color="auto" w:sz="4" w:space="0"/>
              <w:right w:val="single" w:color="auto" w:sz="4" w:space="0"/>
              <w:tl2br w:val="single" w:color="auto" w:sz="4" w:space="0"/>
            </w:tcBorders>
          </w:tcPr>
          <w:p>
            <w:pPr>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rPr>
              <w:t xml:space="preserve">                                                      投标人</w:t>
            </w:r>
          </w:p>
          <w:p>
            <w:pPr>
              <w:rPr>
                <w:color w:val="auto"/>
                <w:szCs w:val="21"/>
                <w:highlight w:val="none"/>
              </w:rPr>
            </w:pPr>
            <w:r>
              <w:rPr>
                <w:rFonts w:hint="eastAsia"/>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1</w:t>
            </w:r>
          </w:p>
        </w:tc>
        <w:tc>
          <w:tcPr>
            <w:tcW w:w="9539"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highlight w:val="none"/>
                <w:lang w:eastAsia="zh-CN"/>
              </w:rPr>
            </w:pPr>
            <w:r>
              <w:rPr>
                <w:rFonts w:hint="eastAsia"/>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2</w:t>
            </w:r>
          </w:p>
        </w:tc>
        <w:tc>
          <w:tcPr>
            <w:tcW w:w="9539"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highlight w:val="none"/>
                <w:lang w:eastAsia="zh-CN"/>
              </w:rPr>
            </w:pPr>
            <w:r>
              <w:rPr>
                <w:rFonts w:hint="eastAsia"/>
                <w:color w:val="auto"/>
                <w:szCs w:val="21"/>
                <w:highlight w:val="none"/>
              </w:rPr>
              <w:t>投标报价高于最高投标限价的</w:t>
            </w:r>
            <w:r>
              <w:rPr>
                <w:rFonts w:hint="eastAsia" w:cs="宋体"/>
                <w:color w:val="auto"/>
                <w:szCs w:val="21"/>
                <w:highlight w:val="none"/>
                <w:u w:val="single"/>
              </w:rPr>
              <w:t>（以最高投标限价公布函公布的限价为准）</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r>
              <w:rPr>
                <w:rFonts w:hint="eastAsia"/>
                <w:color w:val="auto"/>
                <w:szCs w:val="21"/>
                <w:highlight w:val="none"/>
              </w:rPr>
              <w:t>3</w:t>
            </w:r>
          </w:p>
        </w:tc>
        <w:tc>
          <w:tcPr>
            <w:tcW w:w="9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hint="eastAsia" w:eastAsia="宋体"/>
                <w:color w:val="auto"/>
                <w:szCs w:val="21"/>
                <w:highlight w:val="none"/>
                <w:lang w:eastAsia="zh-CN"/>
              </w:rPr>
            </w:pPr>
            <w:r>
              <w:rPr>
                <w:rFonts w:hint="eastAsia" w:cs="宋体"/>
                <w:color w:val="auto"/>
                <w:highlight w:val="none"/>
                <w:u w:val="single"/>
              </w:rPr>
              <w:t>投标报价低于成本警戒价的（投标人的报价明显低于其他投标报价或者在设有标底时明显低于标底，使得其投标报价可能低于其个别成本，又不能合理说明或者不能提供相关证明材料的，由评标委员会认定该投标人以低于成本报价竞标的）</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4</w:t>
            </w:r>
          </w:p>
        </w:tc>
        <w:tc>
          <w:tcPr>
            <w:tcW w:w="9539"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highlight w:val="none"/>
                <w:lang w:eastAsia="zh-CN"/>
              </w:rPr>
            </w:pPr>
            <w:r>
              <w:rPr>
                <w:rFonts w:hint="eastAsia" w:cs="宋体"/>
                <w:color w:val="auto"/>
                <w:szCs w:val="21"/>
                <w:highlight w:val="none"/>
              </w:rPr>
              <w:t>投标文件未按规定的格式填写</w:t>
            </w:r>
            <w:r>
              <w:rPr>
                <w:rFonts w:hint="eastAsia" w:cs="宋体"/>
                <w:color w:val="auto"/>
                <w:szCs w:val="21"/>
                <w:highlight w:val="none"/>
                <w:u w:val="single"/>
              </w:rPr>
              <w:t>（指招标文件第四章提供格式的《广州建设工程施工招标投标书（经济标）》《对投标文件编制的承诺》等）</w:t>
            </w:r>
            <w:r>
              <w:rPr>
                <w:rFonts w:hint="eastAsia" w:cs="宋体"/>
                <w:color w:val="auto"/>
                <w:szCs w:val="21"/>
                <w:highlight w:val="none"/>
              </w:rPr>
              <w:t>，或主要内容不全，或关键字迹模糊、无法辨认的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5</w:t>
            </w:r>
          </w:p>
        </w:tc>
        <w:tc>
          <w:tcPr>
            <w:tcW w:w="9539"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highlight w:val="none"/>
                <w:lang w:eastAsia="zh-CN"/>
              </w:rPr>
            </w:pPr>
            <w:r>
              <w:rPr>
                <w:rFonts w:hint="eastAsia"/>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6</w:t>
            </w:r>
          </w:p>
        </w:tc>
        <w:tc>
          <w:tcPr>
            <w:tcW w:w="9539"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highlight w:val="none"/>
                <w:lang w:eastAsia="zh-CN"/>
              </w:rPr>
            </w:pPr>
            <w:r>
              <w:rPr>
                <w:rFonts w:hint="eastAsia"/>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7</w:t>
            </w:r>
          </w:p>
        </w:tc>
        <w:tc>
          <w:tcPr>
            <w:tcW w:w="9539"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Cs w:val="21"/>
                <w:highlight w:val="none"/>
                <w:lang w:eastAsia="zh-CN"/>
              </w:rPr>
            </w:pPr>
            <w:r>
              <w:rPr>
                <w:rFonts w:hint="eastAsia"/>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6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8</w:t>
            </w:r>
          </w:p>
        </w:tc>
        <w:tc>
          <w:tcPr>
            <w:tcW w:w="9539" w:type="dxa"/>
            <w:tcBorders>
              <w:top w:val="single" w:color="auto" w:sz="4" w:space="0"/>
              <w:left w:val="single" w:color="auto" w:sz="4" w:space="0"/>
              <w:bottom w:val="single" w:color="auto" w:sz="4" w:space="0"/>
              <w:right w:val="single" w:color="auto" w:sz="4" w:space="0"/>
            </w:tcBorders>
            <w:vAlign w:val="center"/>
          </w:tcPr>
          <w:p>
            <w:pPr>
              <w:snapToGrid w:val="0"/>
              <w:rPr>
                <w:rFonts w:hint="eastAsia" w:eastAsia="宋体"/>
                <w:color w:val="auto"/>
                <w:szCs w:val="21"/>
                <w:highlight w:val="none"/>
                <w:lang w:eastAsia="zh-CN"/>
              </w:rPr>
            </w:pPr>
            <w:r>
              <w:rPr>
                <w:rFonts w:hint="eastAsia"/>
                <w:color w:val="auto"/>
                <w:szCs w:val="21"/>
                <w:highlight w:val="none"/>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color w:val="auto"/>
                <w:szCs w:val="21"/>
                <w:highlight w:val="none"/>
              </w:rPr>
            </w:pPr>
          </w:p>
        </w:tc>
      </w:tr>
    </w:tbl>
    <w:p>
      <w:pPr>
        <w:ind w:firstLine="458"/>
        <w:rPr>
          <w:color w:val="auto"/>
          <w:szCs w:val="21"/>
          <w:highlight w:val="none"/>
        </w:rPr>
      </w:pPr>
      <w:r>
        <w:rPr>
          <w:rFonts w:hint="eastAsia"/>
          <w:color w:val="auto"/>
          <w:szCs w:val="21"/>
          <w:highlight w:val="none"/>
        </w:rPr>
        <w:t>注：</w:t>
      </w:r>
      <w:r>
        <w:rPr>
          <w:color w:val="auto"/>
          <w:szCs w:val="21"/>
          <w:highlight w:val="none"/>
        </w:rPr>
        <w:t>1.</w:t>
      </w:r>
      <w:r>
        <w:rPr>
          <w:rFonts w:hint="eastAsia"/>
          <w:color w:val="auto"/>
          <w:szCs w:val="21"/>
          <w:highlight w:val="none"/>
        </w:rPr>
        <w:t>本表使用GZZB2018-3招标文件范本，与范本内容不同之处均以下划线标明。</w:t>
      </w:r>
    </w:p>
    <w:p>
      <w:pPr>
        <w:ind w:firstLine="458"/>
        <w:rPr>
          <w:color w:val="auto"/>
          <w:szCs w:val="21"/>
          <w:highlight w:val="none"/>
        </w:rPr>
      </w:pPr>
      <w:r>
        <w:rPr>
          <w:color w:val="auto"/>
          <w:szCs w:val="21"/>
          <w:highlight w:val="none"/>
        </w:rPr>
        <w:t>2.</w:t>
      </w:r>
      <w:r>
        <w:rPr>
          <w:rFonts w:hint="eastAsia"/>
          <w:color w:val="auto"/>
          <w:szCs w:val="21"/>
          <w:highlight w:val="none"/>
        </w:rPr>
        <w:t>凡出现以上任何一项情形，结论均为无效，否则就为有效。</w:t>
      </w:r>
    </w:p>
    <w:p>
      <w:pPr>
        <w:ind w:firstLine="458"/>
        <w:rPr>
          <w:rFonts w:hint="eastAsia"/>
          <w:color w:val="auto"/>
          <w:szCs w:val="21"/>
          <w:highlight w:val="none"/>
        </w:rPr>
      </w:pPr>
      <w:r>
        <w:rPr>
          <w:rFonts w:hint="eastAsia"/>
          <w:color w:val="auto"/>
          <w:szCs w:val="21"/>
          <w:highlight w:val="none"/>
        </w:rPr>
        <w:t>3</w:t>
      </w:r>
      <w:r>
        <w:rPr>
          <w:color w:val="auto"/>
          <w:szCs w:val="21"/>
          <w:highlight w:val="none"/>
        </w:rPr>
        <w:t>.</w:t>
      </w:r>
      <w:r>
        <w:rPr>
          <w:rFonts w:hint="eastAsia"/>
          <w:color w:val="auto"/>
          <w:szCs w:val="21"/>
          <w:highlight w:val="none"/>
        </w:rPr>
        <w:t>如对本表中某种情形的评审意见不一致时，以评标委员会过半数成员的意见作为评标委员会对该情形的认定结论。</w:t>
      </w:r>
    </w:p>
    <w:p>
      <w:pPr>
        <w:pStyle w:val="13"/>
        <w:ind w:firstLine="420" w:firstLineChars="20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25"/>
        <w:ind w:firstLine="458"/>
        <w:rPr>
          <w:rFonts w:ascii="宋体" w:hAnsi="宋体"/>
          <w:color w:val="auto"/>
          <w:szCs w:val="21"/>
          <w:highlight w:val="none"/>
        </w:rPr>
        <w:sectPr>
          <w:endnotePr>
            <w:numFmt w:val="decimal"/>
          </w:endnotePr>
          <w:pgSz w:w="16838" w:h="11905" w:orient="landscape"/>
          <w:pgMar w:top="1474" w:right="1440" w:bottom="1474" w:left="1440" w:header="850" w:footer="907" w:gutter="0"/>
          <w:cols w:space="0" w:num="1"/>
          <w:titlePg/>
          <w:docGrid w:type="lines" w:linePitch="319" w:charSpace="0"/>
        </w:sectPr>
      </w:pPr>
      <w:r>
        <w:rPr>
          <w:rFonts w:hint="eastAsia" w:ascii="宋体" w:hAnsi="宋体"/>
          <w:color w:val="auto"/>
          <w:szCs w:val="21"/>
          <w:highlight w:val="none"/>
        </w:rPr>
        <w:t>评委签名：</w:t>
      </w:r>
    </w:p>
    <w:p>
      <w:pPr>
        <w:tabs>
          <w:tab w:val="left" w:pos="3570"/>
        </w:tabs>
        <w:spacing w:line="276" w:lineRule="auto"/>
        <w:jc w:val="left"/>
        <w:rPr>
          <w:color w:val="auto"/>
          <w:szCs w:val="21"/>
          <w:highlight w:val="none"/>
        </w:rPr>
      </w:pPr>
      <w:r>
        <w:rPr>
          <w:rFonts w:hint="eastAsia"/>
          <w:color w:val="auto"/>
          <w:szCs w:val="21"/>
          <w:highlight w:val="none"/>
        </w:rPr>
        <w:t>附表四</w:t>
      </w:r>
      <w:r>
        <w:rPr>
          <w:rFonts w:hint="eastAsia"/>
          <w:color w:val="auto"/>
          <w:szCs w:val="21"/>
          <w:highlight w:val="none"/>
          <w:lang w:val="en-US" w:eastAsia="zh-CN"/>
        </w:rPr>
        <w:t xml:space="preserve">                                                 </w:t>
      </w:r>
      <w:r>
        <w:rPr>
          <w:rFonts w:hint="eastAsia"/>
          <w:b/>
          <w:color w:val="auto"/>
          <w:sz w:val="36"/>
          <w:szCs w:val="36"/>
          <w:highlight w:val="none"/>
        </w:rPr>
        <w:t>技术标详细审查评分表</w:t>
      </w:r>
    </w:p>
    <w:tbl>
      <w:tblPr>
        <w:tblStyle w:val="27"/>
        <w:tblW w:w="14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147"/>
        <w:gridCol w:w="765"/>
        <w:gridCol w:w="1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1017" w:type="dxa"/>
            <w:noWrap w:val="0"/>
            <w:vAlign w:val="center"/>
          </w:tcPr>
          <w:p>
            <w:pPr>
              <w:spacing w:line="400" w:lineRule="exact"/>
              <w:jc w:val="center"/>
              <w:rPr>
                <w:rFonts w:cs="宋体"/>
                <w:color w:val="auto"/>
                <w:sz w:val="22"/>
                <w:highlight w:val="none"/>
              </w:rPr>
            </w:pPr>
            <w:r>
              <w:rPr>
                <w:rFonts w:hint="eastAsia" w:cs="宋体"/>
                <w:color w:val="auto"/>
                <w:sz w:val="22"/>
                <w:highlight w:val="none"/>
                <w:lang w:bidi="ar"/>
              </w:rPr>
              <w:t>评分项目</w:t>
            </w:r>
          </w:p>
        </w:tc>
        <w:tc>
          <w:tcPr>
            <w:tcW w:w="1147" w:type="dxa"/>
            <w:noWrap w:val="0"/>
            <w:vAlign w:val="center"/>
          </w:tcPr>
          <w:p>
            <w:pPr>
              <w:spacing w:line="400" w:lineRule="exact"/>
              <w:jc w:val="center"/>
              <w:rPr>
                <w:rFonts w:cs="宋体"/>
                <w:color w:val="auto"/>
                <w:sz w:val="22"/>
                <w:highlight w:val="none"/>
              </w:rPr>
            </w:pPr>
            <w:r>
              <w:rPr>
                <w:rFonts w:hint="eastAsia" w:cs="宋体"/>
                <w:color w:val="auto"/>
                <w:sz w:val="22"/>
                <w:highlight w:val="none"/>
                <w:lang w:bidi="ar"/>
              </w:rPr>
              <w:t>评分内容</w:t>
            </w:r>
          </w:p>
        </w:tc>
        <w:tc>
          <w:tcPr>
            <w:tcW w:w="765" w:type="dxa"/>
            <w:noWrap w:val="0"/>
            <w:vAlign w:val="center"/>
          </w:tcPr>
          <w:p>
            <w:pPr>
              <w:spacing w:line="400" w:lineRule="exact"/>
              <w:jc w:val="center"/>
              <w:rPr>
                <w:rFonts w:cs="宋体"/>
                <w:color w:val="auto"/>
                <w:sz w:val="22"/>
                <w:highlight w:val="none"/>
              </w:rPr>
            </w:pPr>
            <w:r>
              <w:rPr>
                <w:rFonts w:hint="eastAsia" w:cs="宋体"/>
                <w:color w:val="auto"/>
                <w:sz w:val="22"/>
                <w:highlight w:val="none"/>
                <w:lang w:bidi="ar"/>
              </w:rPr>
              <w:t>分值</w:t>
            </w:r>
          </w:p>
        </w:tc>
        <w:tc>
          <w:tcPr>
            <w:tcW w:w="11558" w:type="dxa"/>
            <w:noWrap w:val="0"/>
            <w:vAlign w:val="center"/>
          </w:tcPr>
          <w:p>
            <w:pPr>
              <w:spacing w:line="400" w:lineRule="exact"/>
              <w:jc w:val="center"/>
              <w:rPr>
                <w:rFonts w:cs="宋体"/>
                <w:color w:val="auto"/>
                <w:sz w:val="22"/>
                <w:highlight w:val="none"/>
              </w:rPr>
            </w:pPr>
            <w:r>
              <w:rPr>
                <w:rFonts w:hint="eastAsia" w:cs="宋体"/>
                <w:color w:val="auto"/>
                <w:sz w:val="22"/>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17" w:type="dxa"/>
            <w:vMerge w:val="restart"/>
            <w:noWrap w:val="0"/>
            <w:vAlign w:val="center"/>
          </w:tcPr>
          <w:p>
            <w:pPr>
              <w:spacing w:line="400" w:lineRule="exact"/>
              <w:jc w:val="center"/>
              <w:rPr>
                <w:rFonts w:cs="宋体"/>
                <w:color w:val="auto"/>
                <w:sz w:val="22"/>
                <w:highlight w:val="none"/>
              </w:rPr>
            </w:pPr>
            <w:r>
              <w:rPr>
                <w:rFonts w:hint="eastAsia" w:cs="宋体"/>
                <w:color w:val="auto"/>
                <w:sz w:val="22"/>
                <w:highlight w:val="none"/>
                <w:lang w:bidi="ar"/>
              </w:rPr>
              <w:t>一、企业</w:t>
            </w:r>
            <w:r>
              <w:rPr>
                <w:rFonts w:hint="eastAsia" w:cs="宋体"/>
                <w:color w:val="auto"/>
                <w:kern w:val="0"/>
                <w:sz w:val="22"/>
                <w:highlight w:val="none"/>
              </w:rPr>
              <w:t>资信</w:t>
            </w:r>
            <w:r>
              <w:rPr>
                <w:rFonts w:hint="eastAsia" w:cs="宋体"/>
                <w:color w:val="auto"/>
                <w:sz w:val="22"/>
                <w:highlight w:val="none"/>
                <w:lang w:bidi="ar"/>
              </w:rPr>
              <w:t>（</w:t>
            </w:r>
            <w:r>
              <w:rPr>
                <w:rFonts w:hint="eastAsia" w:cs="宋体"/>
                <w:color w:val="auto"/>
                <w:sz w:val="22"/>
                <w:highlight w:val="none"/>
                <w:lang w:val="en-US" w:eastAsia="zh-CN" w:bidi="ar"/>
              </w:rPr>
              <w:t>30</w:t>
            </w:r>
            <w:r>
              <w:rPr>
                <w:rFonts w:hint="eastAsia" w:cs="宋体"/>
                <w:color w:val="auto"/>
                <w:sz w:val="22"/>
                <w:highlight w:val="none"/>
                <w:lang w:bidi="ar"/>
              </w:rPr>
              <w:t>分）</w:t>
            </w:r>
          </w:p>
        </w:tc>
        <w:tc>
          <w:tcPr>
            <w:tcW w:w="1147" w:type="dxa"/>
            <w:noWrap w:val="0"/>
            <w:vAlign w:val="center"/>
          </w:tcPr>
          <w:p>
            <w:pPr>
              <w:spacing w:line="400" w:lineRule="exact"/>
              <w:jc w:val="center"/>
              <w:rPr>
                <w:rFonts w:cs="宋体"/>
                <w:color w:val="auto"/>
                <w:sz w:val="22"/>
                <w:highlight w:val="none"/>
              </w:rPr>
            </w:pPr>
            <w:r>
              <w:rPr>
                <w:rFonts w:hint="eastAsia" w:cs="宋体"/>
                <w:color w:val="auto"/>
                <w:sz w:val="22"/>
                <w:highlight w:val="none"/>
                <w:lang w:bidi="ar"/>
              </w:rPr>
              <w:t>企业业绩</w:t>
            </w:r>
          </w:p>
        </w:tc>
        <w:tc>
          <w:tcPr>
            <w:tcW w:w="765" w:type="dxa"/>
            <w:noWrap w:val="0"/>
            <w:vAlign w:val="center"/>
          </w:tcPr>
          <w:p>
            <w:pPr>
              <w:spacing w:line="400" w:lineRule="exact"/>
              <w:jc w:val="center"/>
              <w:rPr>
                <w:rFonts w:hint="default" w:eastAsia="宋体" w:cs="宋体"/>
                <w:color w:val="auto"/>
                <w:sz w:val="22"/>
                <w:highlight w:val="none"/>
                <w:lang w:val="en-US" w:eastAsia="zh-CN"/>
              </w:rPr>
            </w:pPr>
            <w:r>
              <w:rPr>
                <w:rFonts w:hint="eastAsia" w:cs="宋体"/>
                <w:color w:val="auto"/>
                <w:sz w:val="22"/>
                <w:highlight w:val="none"/>
                <w:lang w:val="en-US" w:eastAsia="zh-CN" w:bidi="ar"/>
              </w:rPr>
              <w:t>15</w:t>
            </w:r>
          </w:p>
        </w:tc>
        <w:tc>
          <w:tcPr>
            <w:tcW w:w="11558" w:type="dxa"/>
            <w:noWrap w:val="0"/>
            <w:vAlign w:val="center"/>
          </w:tcPr>
          <w:p>
            <w:pPr>
              <w:widowControl/>
              <w:snapToGrid w:val="0"/>
              <w:spacing w:line="400" w:lineRule="exact"/>
              <w:jc w:val="left"/>
              <w:rPr>
                <w:rFonts w:cs="宋体"/>
                <w:color w:val="auto"/>
                <w:sz w:val="22"/>
                <w:highlight w:val="none"/>
              </w:rPr>
            </w:pPr>
            <w:r>
              <w:rPr>
                <w:rFonts w:hint="eastAsia" w:cs="宋体"/>
                <w:color w:val="auto"/>
                <w:sz w:val="22"/>
                <w:highlight w:val="none"/>
              </w:rPr>
              <w:t>投标人</w:t>
            </w:r>
            <w:r>
              <w:rPr>
                <w:rFonts w:hint="eastAsia" w:cs="宋体"/>
                <w:color w:val="auto"/>
                <w:sz w:val="22"/>
                <w:highlight w:val="none"/>
                <w:lang w:val="en-US" w:eastAsia="zh-CN"/>
              </w:rPr>
              <w:t>提供近五年以来</w:t>
            </w:r>
            <w:r>
              <w:rPr>
                <w:rFonts w:hint="eastAsia" w:cs="宋体"/>
                <w:color w:val="auto"/>
                <w:sz w:val="22"/>
                <w:highlight w:val="none"/>
              </w:rPr>
              <w:t>已完成过</w:t>
            </w:r>
            <w:r>
              <w:rPr>
                <w:rFonts w:hint="eastAsia" w:cs="宋体"/>
                <w:color w:val="auto"/>
                <w:sz w:val="22"/>
                <w:highlight w:val="none"/>
                <w:lang w:val="en-US" w:eastAsia="zh-CN"/>
              </w:rPr>
              <w:t>单项合同金额在2500万元或以上</w:t>
            </w:r>
            <w:r>
              <w:rPr>
                <w:rFonts w:hint="eastAsia" w:cs="宋体"/>
                <w:color w:val="auto"/>
                <w:sz w:val="22"/>
                <w:highlight w:val="none"/>
              </w:rPr>
              <w:t>的</w:t>
            </w:r>
            <w:r>
              <w:rPr>
                <w:rFonts w:hint="eastAsia" w:cs="宋体"/>
                <w:color w:val="auto"/>
                <w:sz w:val="22"/>
                <w:szCs w:val="22"/>
                <w:highlight w:val="none"/>
                <w:lang w:val="en-US" w:eastAsia="zh-CN"/>
              </w:rPr>
              <w:t>园林景观或园林绿化</w:t>
            </w:r>
            <w:r>
              <w:rPr>
                <w:rFonts w:hint="eastAsia" w:cs="宋体"/>
                <w:color w:val="auto"/>
                <w:sz w:val="22"/>
                <w:highlight w:val="none"/>
                <w:lang w:val="en-US" w:eastAsia="zh-CN"/>
              </w:rPr>
              <w:t>工程</w:t>
            </w:r>
            <w:r>
              <w:rPr>
                <w:rFonts w:hint="eastAsia" w:cs="宋体"/>
                <w:color w:val="auto"/>
                <w:sz w:val="22"/>
                <w:highlight w:val="none"/>
              </w:rPr>
              <w:t>业绩，每项得</w:t>
            </w:r>
            <w:r>
              <w:rPr>
                <w:rFonts w:hint="eastAsia" w:cs="宋体"/>
                <w:color w:val="auto"/>
                <w:sz w:val="22"/>
                <w:highlight w:val="none"/>
                <w:lang w:val="en-US" w:eastAsia="zh-CN"/>
              </w:rPr>
              <w:t>5</w:t>
            </w:r>
            <w:r>
              <w:rPr>
                <w:rFonts w:hint="eastAsia" w:cs="宋体"/>
                <w:color w:val="auto"/>
                <w:sz w:val="22"/>
                <w:highlight w:val="none"/>
              </w:rPr>
              <w:t>分，</w:t>
            </w:r>
            <w:r>
              <w:rPr>
                <w:rFonts w:hint="eastAsia" w:cs="宋体"/>
                <w:color w:val="auto"/>
                <w:sz w:val="22"/>
                <w:highlight w:val="none"/>
                <w:lang w:val="en-US" w:eastAsia="zh-CN"/>
              </w:rPr>
              <w:t>满分15</w:t>
            </w:r>
            <w:r>
              <w:rPr>
                <w:rFonts w:hint="eastAsia"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17" w:type="dxa"/>
            <w:vMerge w:val="continue"/>
            <w:noWrap w:val="0"/>
            <w:vAlign w:val="center"/>
          </w:tcPr>
          <w:p>
            <w:pPr>
              <w:spacing w:line="400" w:lineRule="exact"/>
              <w:jc w:val="center"/>
              <w:rPr>
                <w:rFonts w:cs="宋体"/>
                <w:color w:val="auto"/>
                <w:sz w:val="22"/>
                <w:highlight w:val="none"/>
                <w:lang w:bidi="ar"/>
              </w:rPr>
            </w:pPr>
          </w:p>
        </w:tc>
        <w:tc>
          <w:tcPr>
            <w:tcW w:w="1147" w:type="dxa"/>
            <w:noWrap w:val="0"/>
            <w:vAlign w:val="center"/>
          </w:tcPr>
          <w:p>
            <w:pPr>
              <w:spacing w:line="400" w:lineRule="exact"/>
              <w:jc w:val="center"/>
              <w:rPr>
                <w:rFonts w:cs="宋体"/>
                <w:color w:val="auto"/>
                <w:sz w:val="22"/>
                <w:highlight w:val="none"/>
                <w:lang w:bidi="ar"/>
              </w:rPr>
            </w:pPr>
            <w:r>
              <w:rPr>
                <w:rFonts w:hint="eastAsia" w:cs="宋体"/>
                <w:color w:val="auto"/>
                <w:sz w:val="22"/>
                <w:highlight w:val="none"/>
                <w:lang w:bidi="ar"/>
              </w:rPr>
              <w:t>工程奖项</w:t>
            </w:r>
          </w:p>
        </w:tc>
        <w:tc>
          <w:tcPr>
            <w:tcW w:w="765" w:type="dxa"/>
            <w:noWrap w:val="0"/>
            <w:vAlign w:val="center"/>
          </w:tcPr>
          <w:p>
            <w:pPr>
              <w:spacing w:line="400" w:lineRule="exact"/>
              <w:jc w:val="center"/>
              <w:rPr>
                <w:rFonts w:hint="default" w:eastAsia="宋体" w:cs="宋体"/>
                <w:color w:val="auto"/>
                <w:sz w:val="22"/>
                <w:highlight w:val="none"/>
                <w:lang w:val="en-US" w:eastAsia="zh-CN" w:bidi="ar"/>
              </w:rPr>
            </w:pPr>
            <w:r>
              <w:rPr>
                <w:rFonts w:hint="eastAsia" w:cs="宋体"/>
                <w:color w:val="auto"/>
                <w:sz w:val="22"/>
                <w:highlight w:val="none"/>
                <w:lang w:val="en-US" w:eastAsia="zh-CN" w:bidi="ar"/>
              </w:rPr>
              <w:t>15</w:t>
            </w:r>
          </w:p>
        </w:tc>
        <w:tc>
          <w:tcPr>
            <w:tcW w:w="11558" w:type="dxa"/>
            <w:noWrap w:val="0"/>
            <w:vAlign w:val="center"/>
          </w:tcPr>
          <w:p>
            <w:pPr>
              <w:widowControl/>
              <w:snapToGrid w:val="0"/>
              <w:spacing w:line="400" w:lineRule="exact"/>
              <w:jc w:val="left"/>
              <w:rPr>
                <w:rFonts w:hint="eastAsia" w:cs="宋体"/>
                <w:color w:val="auto"/>
                <w:sz w:val="22"/>
                <w:highlight w:val="none"/>
              </w:rPr>
            </w:pPr>
            <w:r>
              <w:rPr>
                <w:rFonts w:hint="eastAsia" w:cs="宋体"/>
                <w:color w:val="auto"/>
                <w:sz w:val="22"/>
                <w:highlight w:val="none"/>
              </w:rPr>
              <w:t>投标人提供近五年以来承建的园林绿化类工程施工项目获得过行政主管部门或行业协会颁发的工程类奖项的：</w:t>
            </w:r>
          </w:p>
          <w:p>
            <w:pPr>
              <w:widowControl/>
              <w:numPr>
                <w:ilvl w:val="0"/>
                <w:numId w:val="3"/>
              </w:numPr>
              <w:snapToGrid w:val="0"/>
              <w:spacing w:line="400" w:lineRule="exact"/>
              <w:jc w:val="left"/>
              <w:rPr>
                <w:rFonts w:hint="eastAsia" w:cs="宋体"/>
                <w:color w:val="auto"/>
                <w:sz w:val="22"/>
                <w:highlight w:val="none"/>
              </w:rPr>
            </w:pPr>
            <w:r>
              <w:rPr>
                <w:rFonts w:hint="eastAsia" w:cs="宋体"/>
                <w:color w:val="auto"/>
                <w:sz w:val="22"/>
                <w:highlight w:val="none"/>
                <w:lang w:val="en-US" w:eastAsia="zh-CN"/>
              </w:rPr>
              <w:t>每获得1个</w:t>
            </w:r>
            <w:r>
              <w:rPr>
                <w:rFonts w:hint="eastAsia" w:cs="宋体"/>
                <w:color w:val="auto"/>
                <w:sz w:val="22"/>
                <w:highlight w:val="none"/>
              </w:rPr>
              <w:t>国家级（部级）</w:t>
            </w:r>
            <w:r>
              <w:rPr>
                <w:rFonts w:hint="eastAsia" w:cs="宋体"/>
                <w:color w:val="auto"/>
                <w:sz w:val="22"/>
                <w:highlight w:val="none"/>
                <w:lang w:val="en-US" w:eastAsia="zh-CN"/>
              </w:rPr>
              <w:t>奖项</w:t>
            </w:r>
            <w:r>
              <w:rPr>
                <w:rFonts w:hint="eastAsia" w:cs="宋体"/>
                <w:color w:val="auto"/>
                <w:sz w:val="22"/>
                <w:highlight w:val="none"/>
              </w:rPr>
              <w:t>的</w:t>
            </w:r>
            <w:r>
              <w:rPr>
                <w:rFonts w:hint="eastAsia" w:cs="宋体"/>
                <w:color w:val="auto"/>
                <w:sz w:val="22"/>
                <w:highlight w:val="none"/>
                <w:lang w:val="en-US" w:eastAsia="zh-CN"/>
              </w:rPr>
              <w:t>,</w:t>
            </w:r>
            <w:r>
              <w:rPr>
                <w:rFonts w:hint="eastAsia" w:cs="宋体"/>
                <w:color w:val="auto"/>
                <w:sz w:val="22"/>
                <w:highlight w:val="none"/>
              </w:rPr>
              <w:t>得</w:t>
            </w:r>
            <w:r>
              <w:rPr>
                <w:rFonts w:hint="eastAsia" w:cs="宋体"/>
                <w:color w:val="auto"/>
                <w:sz w:val="22"/>
                <w:highlight w:val="none"/>
                <w:lang w:val="en-US" w:eastAsia="zh-CN"/>
              </w:rPr>
              <w:t>7.5</w:t>
            </w:r>
            <w:r>
              <w:rPr>
                <w:rFonts w:hint="eastAsia" w:cs="宋体"/>
                <w:color w:val="auto"/>
                <w:sz w:val="22"/>
                <w:highlight w:val="none"/>
              </w:rPr>
              <w:t>分</w:t>
            </w:r>
            <w:r>
              <w:rPr>
                <w:rFonts w:hint="eastAsia" w:cs="宋体"/>
                <w:color w:val="auto"/>
                <w:sz w:val="22"/>
                <w:highlight w:val="none"/>
                <w:lang w:eastAsia="zh-CN"/>
              </w:rPr>
              <w:t>，</w:t>
            </w:r>
            <w:r>
              <w:rPr>
                <w:rFonts w:hint="eastAsia" w:cs="宋体"/>
                <w:color w:val="auto"/>
                <w:sz w:val="22"/>
                <w:highlight w:val="none"/>
                <w:lang w:val="en-US" w:eastAsia="zh-CN"/>
              </w:rPr>
              <w:t>满分15分</w:t>
            </w:r>
            <w:r>
              <w:rPr>
                <w:rFonts w:hint="eastAsia" w:cs="宋体"/>
                <w:color w:val="auto"/>
                <w:sz w:val="22"/>
                <w:highlight w:val="none"/>
              </w:rPr>
              <w:t>；</w:t>
            </w:r>
          </w:p>
          <w:p>
            <w:pPr>
              <w:widowControl/>
              <w:numPr>
                <w:ilvl w:val="0"/>
                <w:numId w:val="3"/>
              </w:numPr>
              <w:snapToGrid w:val="0"/>
              <w:spacing w:line="400" w:lineRule="exact"/>
              <w:jc w:val="left"/>
              <w:rPr>
                <w:rFonts w:cs="宋体"/>
                <w:color w:val="auto"/>
                <w:sz w:val="22"/>
                <w:highlight w:val="none"/>
              </w:rPr>
            </w:pPr>
            <w:r>
              <w:rPr>
                <w:rFonts w:hint="eastAsia" w:cs="宋体"/>
                <w:color w:val="auto"/>
                <w:sz w:val="22"/>
                <w:highlight w:val="none"/>
                <w:lang w:val="en-US" w:eastAsia="zh-CN"/>
              </w:rPr>
              <w:t>每获得1个</w:t>
            </w:r>
            <w:r>
              <w:rPr>
                <w:rFonts w:hint="eastAsia" w:cs="宋体"/>
                <w:color w:val="auto"/>
                <w:sz w:val="22"/>
                <w:highlight w:val="none"/>
              </w:rPr>
              <w:t>省级</w:t>
            </w:r>
            <w:r>
              <w:rPr>
                <w:rFonts w:hint="eastAsia" w:cs="宋体"/>
                <w:color w:val="auto"/>
                <w:sz w:val="22"/>
                <w:highlight w:val="none"/>
                <w:lang w:val="en-US" w:eastAsia="zh-CN"/>
              </w:rPr>
              <w:t>奖项</w:t>
            </w:r>
            <w:r>
              <w:rPr>
                <w:rFonts w:hint="eastAsia" w:cs="宋体"/>
                <w:color w:val="auto"/>
                <w:sz w:val="22"/>
                <w:highlight w:val="none"/>
              </w:rPr>
              <w:t>的，得</w:t>
            </w:r>
            <w:r>
              <w:rPr>
                <w:rFonts w:hint="eastAsia" w:cs="宋体"/>
                <w:color w:val="auto"/>
                <w:sz w:val="22"/>
                <w:highlight w:val="none"/>
                <w:lang w:val="en-US" w:eastAsia="zh-CN"/>
              </w:rPr>
              <w:t>4</w:t>
            </w:r>
            <w:r>
              <w:rPr>
                <w:rFonts w:hint="eastAsia" w:cs="宋体"/>
                <w:color w:val="auto"/>
                <w:sz w:val="22"/>
                <w:highlight w:val="none"/>
              </w:rPr>
              <w:t>分</w:t>
            </w:r>
            <w:r>
              <w:rPr>
                <w:rFonts w:hint="eastAsia" w:cs="宋体"/>
                <w:color w:val="auto"/>
                <w:sz w:val="22"/>
                <w:highlight w:val="none"/>
                <w:lang w:eastAsia="zh-CN"/>
              </w:rPr>
              <w:t>，</w:t>
            </w:r>
            <w:r>
              <w:rPr>
                <w:rFonts w:hint="eastAsia" w:cs="宋体"/>
                <w:color w:val="auto"/>
                <w:sz w:val="22"/>
                <w:highlight w:val="none"/>
                <w:lang w:val="en-US" w:eastAsia="zh-CN"/>
              </w:rPr>
              <w:t>满分8分</w:t>
            </w:r>
            <w:r>
              <w:rPr>
                <w:rFonts w:hint="eastAsia" w:cs="宋体"/>
                <w:color w:val="auto"/>
                <w:sz w:val="22"/>
                <w:highlight w:val="none"/>
              </w:rPr>
              <w:t>；</w:t>
            </w:r>
          </w:p>
          <w:p>
            <w:pPr>
              <w:widowControl/>
              <w:numPr>
                <w:ilvl w:val="0"/>
                <w:numId w:val="3"/>
              </w:numPr>
              <w:snapToGrid w:val="0"/>
              <w:spacing w:line="400" w:lineRule="exact"/>
              <w:jc w:val="left"/>
              <w:rPr>
                <w:rFonts w:cs="宋体"/>
                <w:color w:val="auto"/>
                <w:sz w:val="22"/>
                <w:highlight w:val="none"/>
              </w:rPr>
            </w:pPr>
            <w:r>
              <w:rPr>
                <w:rFonts w:hint="eastAsia" w:cs="宋体"/>
                <w:color w:val="auto"/>
                <w:sz w:val="22"/>
                <w:highlight w:val="none"/>
                <w:lang w:val="en-US" w:eastAsia="zh-CN"/>
              </w:rPr>
              <w:t>每获得1个</w:t>
            </w:r>
            <w:r>
              <w:rPr>
                <w:rFonts w:hint="eastAsia" w:cs="宋体"/>
                <w:color w:val="auto"/>
                <w:sz w:val="22"/>
                <w:highlight w:val="none"/>
              </w:rPr>
              <w:t>市级的</w:t>
            </w:r>
            <w:r>
              <w:rPr>
                <w:rFonts w:hint="eastAsia" w:cs="宋体"/>
                <w:color w:val="auto"/>
                <w:sz w:val="22"/>
                <w:highlight w:val="none"/>
                <w:lang w:val="en-US" w:eastAsia="zh-CN"/>
              </w:rPr>
              <w:t>,</w:t>
            </w:r>
            <w:r>
              <w:rPr>
                <w:rFonts w:hint="eastAsia" w:cs="宋体"/>
                <w:color w:val="auto"/>
                <w:sz w:val="22"/>
                <w:highlight w:val="none"/>
              </w:rPr>
              <w:t>得</w:t>
            </w:r>
            <w:r>
              <w:rPr>
                <w:rFonts w:hint="eastAsia" w:cs="宋体"/>
                <w:color w:val="auto"/>
                <w:sz w:val="22"/>
                <w:highlight w:val="none"/>
                <w:lang w:val="en-US" w:eastAsia="zh-CN"/>
              </w:rPr>
              <w:t>2</w:t>
            </w:r>
            <w:r>
              <w:rPr>
                <w:rFonts w:hint="eastAsia" w:cs="宋体"/>
                <w:color w:val="auto"/>
                <w:sz w:val="22"/>
                <w:highlight w:val="none"/>
              </w:rPr>
              <w:t>分</w:t>
            </w:r>
            <w:r>
              <w:rPr>
                <w:rFonts w:hint="eastAsia" w:cs="宋体"/>
                <w:color w:val="auto"/>
                <w:sz w:val="22"/>
                <w:highlight w:val="none"/>
                <w:lang w:eastAsia="zh-CN"/>
              </w:rPr>
              <w:t>，</w:t>
            </w:r>
            <w:r>
              <w:rPr>
                <w:rFonts w:hint="eastAsia" w:cs="宋体"/>
                <w:color w:val="auto"/>
                <w:sz w:val="22"/>
                <w:highlight w:val="none"/>
                <w:lang w:val="en-US" w:eastAsia="zh-CN"/>
              </w:rPr>
              <w:t>满分4分；</w:t>
            </w:r>
          </w:p>
          <w:p>
            <w:pPr>
              <w:widowControl/>
              <w:numPr>
                <w:ilvl w:val="0"/>
                <w:numId w:val="3"/>
              </w:numPr>
              <w:snapToGrid w:val="0"/>
              <w:spacing w:line="400" w:lineRule="exact"/>
              <w:jc w:val="left"/>
              <w:rPr>
                <w:rFonts w:cs="宋体"/>
                <w:color w:val="auto"/>
                <w:sz w:val="22"/>
                <w:highlight w:val="none"/>
              </w:rPr>
            </w:pPr>
            <w:r>
              <w:rPr>
                <w:rFonts w:hint="eastAsia" w:cs="宋体"/>
                <w:color w:val="auto"/>
                <w:sz w:val="22"/>
                <w:highlight w:val="none"/>
              </w:rPr>
              <w:t>无或其它不得分。</w:t>
            </w:r>
          </w:p>
          <w:p>
            <w:pPr>
              <w:widowControl/>
              <w:numPr>
                <w:ilvl w:val="-1"/>
                <w:numId w:val="0"/>
              </w:numPr>
              <w:snapToGrid w:val="0"/>
              <w:spacing w:line="400" w:lineRule="exact"/>
              <w:ind w:firstLine="220" w:firstLineChars="100"/>
              <w:jc w:val="left"/>
              <w:rPr>
                <w:rFonts w:cs="宋体"/>
                <w:color w:val="auto"/>
                <w:sz w:val="22"/>
                <w:highlight w:val="none"/>
              </w:rPr>
            </w:pPr>
            <w:r>
              <w:rPr>
                <w:rFonts w:hint="eastAsia" w:cs="宋体"/>
                <w:color w:val="auto"/>
                <w:sz w:val="22"/>
                <w:highlight w:val="none"/>
              </w:rPr>
              <w:t>本项</w:t>
            </w:r>
            <w:r>
              <w:rPr>
                <w:rFonts w:hint="eastAsia" w:cs="宋体"/>
                <w:color w:val="auto"/>
                <w:sz w:val="22"/>
                <w:highlight w:val="none"/>
                <w:lang w:val="en-US" w:eastAsia="zh-CN"/>
              </w:rPr>
              <w:t>最多计2个奖项，</w:t>
            </w:r>
            <w:r>
              <w:rPr>
                <w:rFonts w:hint="eastAsia" w:cs="宋体"/>
                <w:color w:val="auto"/>
                <w:sz w:val="22"/>
                <w:highlight w:val="none"/>
              </w:rPr>
              <w:t>最高得</w:t>
            </w:r>
            <w:r>
              <w:rPr>
                <w:rFonts w:hint="eastAsia" w:cs="宋体"/>
                <w:color w:val="auto"/>
                <w:sz w:val="22"/>
                <w:highlight w:val="none"/>
                <w:lang w:val="en-US" w:eastAsia="zh-CN"/>
              </w:rPr>
              <w:t>15</w:t>
            </w:r>
            <w:r>
              <w:rPr>
                <w:rFonts w:hint="eastAsia"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0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cs="宋体"/>
                <w:color w:val="auto"/>
                <w:sz w:val="22"/>
                <w:highlight w:val="none"/>
              </w:rPr>
            </w:pPr>
            <w:r>
              <w:rPr>
                <w:rFonts w:hint="eastAsia" w:cs="宋体"/>
                <w:color w:val="auto"/>
                <w:sz w:val="22"/>
                <w:highlight w:val="none"/>
                <w:lang w:bidi="ar"/>
              </w:rPr>
              <w:t>二、项目管理机构能力（</w:t>
            </w:r>
            <w:r>
              <w:rPr>
                <w:rFonts w:hint="eastAsia" w:cs="宋体"/>
                <w:color w:val="auto"/>
                <w:sz w:val="22"/>
                <w:highlight w:val="none"/>
                <w:lang w:val="en-US" w:eastAsia="zh-CN" w:bidi="ar"/>
              </w:rPr>
              <w:t>14</w:t>
            </w:r>
            <w:r>
              <w:rPr>
                <w:rFonts w:hint="eastAsia" w:cs="宋体"/>
                <w:color w:val="auto"/>
                <w:sz w:val="22"/>
                <w:highlight w:val="none"/>
                <w:lang w:bidi="ar"/>
              </w:rPr>
              <w:t>分）</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cs="宋体"/>
                <w:color w:val="auto"/>
                <w:sz w:val="22"/>
                <w:highlight w:val="none"/>
              </w:rPr>
            </w:pPr>
            <w:r>
              <w:rPr>
                <w:rFonts w:hint="eastAsia" w:cs="宋体"/>
                <w:color w:val="auto"/>
                <w:sz w:val="22"/>
                <w:highlight w:val="none"/>
                <w:lang w:bidi="ar"/>
              </w:rPr>
              <w:t>项目负责人</w:t>
            </w:r>
          </w:p>
        </w:tc>
        <w:tc>
          <w:tcPr>
            <w:tcW w:w="765" w:type="dxa"/>
            <w:tcBorders>
              <w:left w:val="single" w:color="auto" w:sz="4" w:space="0"/>
            </w:tcBorders>
            <w:noWrap w:val="0"/>
            <w:vAlign w:val="center"/>
          </w:tcPr>
          <w:p>
            <w:pPr>
              <w:spacing w:line="400" w:lineRule="exact"/>
              <w:jc w:val="center"/>
              <w:rPr>
                <w:rFonts w:cs="宋体"/>
                <w:color w:val="auto"/>
                <w:sz w:val="22"/>
                <w:highlight w:val="none"/>
                <w:lang w:bidi="ar"/>
              </w:rPr>
            </w:pPr>
            <w:r>
              <w:rPr>
                <w:rFonts w:cs="宋体"/>
                <w:color w:val="auto"/>
                <w:sz w:val="22"/>
                <w:highlight w:val="none"/>
                <w:lang w:bidi="ar"/>
              </w:rPr>
              <w:t>10</w:t>
            </w:r>
          </w:p>
        </w:tc>
        <w:tc>
          <w:tcPr>
            <w:tcW w:w="11558" w:type="dxa"/>
            <w:noWrap w:val="0"/>
            <w:vAlign w:val="center"/>
          </w:tcPr>
          <w:p>
            <w:pPr>
              <w:widowControl/>
              <w:numPr>
                <w:ilvl w:val="0"/>
                <w:numId w:val="0"/>
              </w:numPr>
              <w:spacing w:line="400" w:lineRule="exact"/>
              <w:jc w:val="left"/>
              <w:rPr>
                <w:rFonts w:cs="宋体"/>
                <w:color w:val="auto"/>
                <w:sz w:val="22"/>
                <w:highlight w:val="none"/>
              </w:rPr>
            </w:pPr>
            <w:r>
              <w:rPr>
                <w:rFonts w:hint="eastAsia" w:cs="宋体"/>
                <w:color w:val="auto"/>
                <w:sz w:val="22"/>
                <w:highlight w:val="none"/>
                <w:lang w:val="en-US" w:eastAsia="zh-CN"/>
              </w:rPr>
              <w:t>投标人提供</w:t>
            </w:r>
            <w:r>
              <w:rPr>
                <w:rFonts w:hint="eastAsia" w:cs="宋体"/>
                <w:color w:val="auto"/>
                <w:sz w:val="22"/>
                <w:highlight w:val="none"/>
              </w:rPr>
              <w:t>拟委派项目负责人近五年以来完成过</w:t>
            </w:r>
            <w:r>
              <w:rPr>
                <w:rFonts w:hint="eastAsia" w:cs="宋体"/>
                <w:color w:val="auto"/>
                <w:sz w:val="22"/>
                <w:highlight w:val="none"/>
                <w:lang w:val="en-US" w:eastAsia="zh-CN"/>
              </w:rPr>
              <w:t>单项合同金额在2500万元或以上</w:t>
            </w:r>
            <w:r>
              <w:rPr>
                <w:rFonts w:hint="eastAsia" w:cs="宋体"/>
                <w:color w:val="auto"/>
                <w:sz w:val="22"/>
                <w:highlight w:val="none"/>
              </w:rPr>
              <w:t>的</w:t>
            </w:r>
            <w:r>
              <w:rPr>
                <w:rFonts w:hint="eastAsia" w:cs="宋体"/>
                <w:color w:val="auto"/>
                <w:sz w:val="22"/>
                <w:szCs w:val="22"/>
                <w:highlight w:val="none"/>
                <w:lang w:val="en-US" w:eastAsia="zh-CN"/>
              </w:rPr>
              <w:t>园林景观或园林绿化</w:t>
            </w:r>
            <w:r>
              <w:rPr>
                <w:rFonts w:hint="eastAsia" w:cs="宋体"/>
                <w:color w:val="auto"/>
                <w:sz w:val="22"/>
                <w:highlight w:val="none"/>
                <w:lang w:val="en-US" w:eastAsia="zh-CN"/>
              </w:rPr>
              <w:t>工程</w:t>
            </w:r>
            <w:r>
              <w:rPr>
                <w:rFonts w:hint="eastAsia" w:cs="宋体"/>
                <w:color w:val="auto"/>
                <w:sz w:val="22"/>
                <w:highlight w:val="none"/>
              </w:rPr>
              <w:t>业绩</w:t>
            </w:r>
            <w:r>
              <w:rPr>
                <w:rFonts w:hint="eastAsia" w:cs="宋体"/>
                <w:color w:val="auto"/>
                <w:sz w:val="22"/>
                <w:highlight w:val="none"/>
                <w:lang w:eastAsia="zh-CN"/>
              </w:rPr>
              <w:t>，</w:t>
            </w:r>
            <w:r>
              <w:rPr>
                <w:rFonts w:hint="eastAsia" w:cs="宋体"/>
                <w:color w:val="auto"/>
                <w:sz w:val="22"/>
                <w:highlight w:val="none"/>
                <w:lang w:val="en-US" w:eastAsia="zh-CN"/>
              </w:rPr>
              <w:t>每提供一个同类工程有效业绩得5分，满分10分</w:t>
            </w:r>
            <w:r>
              <w:rPr>
                <w:rFonts w:hint="eastAsia" w:cs="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cs="宋体"/>
                <w:color w:val="auto"/>
                <w:sz w:val="22"/>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cs="宋体"/>
                <w:color w:val="auto"/>
                <w:sz w:val="22"/>
                <w:highlight w:val="none"/>
              </w:rPr>
            </w:pPr>
            <w:r>
              <w:rPr>
                <w:rFonts w:hint="eastAsia" w:cs="宋体"/>
                <w:color w:val="auto"/>
                <w:sz w:val="22"/>
                <w:highlight w:val="none"/>
                <w:lang w:bidi="ar"/>
              </w:rPr>
              <w:t>技术负责人</w:t>
            </w:r>
          </w:p>
        </w:tc>
        <w:tc>
          <w:tcPr>
            <w:tcW w:w="765" w:type="dxa"/>
            <w:tcBorders>
              <w:left w:val="single" w:color="auto" w:sz="4" w:space="0"/>
            </w:tcBorders>
            <w:noWrap w:val="0"/>
            <w:vAlign w:val="center"/>
          </w:tcPr>
          <w:p>
            <w:pPr>
              <w:spacing w:line="400" w:lineRule="exact"/>
              <w:jc w:val="center"/>
              <w:rPr>
                <w:rFonts w:hint="default" w:eastAsia="宋体" w:cs="宋体"/>
                <w:color w:val="auto"/>
                <w:sz w:val="22"/>
                <w:highlight w:val="none"/>
                <w:lang w:val="en-US" w:eastAsia="zh-CN" w:bidi="ar"/>
              </w:rPr>
            </w:pPr>
            <w:r>
              <w:rPr>
                <w:rFonts w:hint="eastAsia" w:cs="宋体"/>
                <w:color w:val="auto"/>
                <w:sz w:val="22"/>
                <w:highlight w:val="none"/>
                <w:lang w:val="en-US" w:eastAsia="zh-CN" w:bidi="ar"/>
              </w:rPr>
              <w:t>4</w:t>
            </w:r>
          </w:p>
        </w:tc>
        <w:tc>
          <w:tcPr>
            <w:tcW w:w="11558" w:type="dxa"/>
            <w:noWrap w:val="0"/>
            <w:vAlign w:val="center"/>
          </w:tcPr>
          <w:p>
            <w:pPr>
              <w:pStyle w:val="13"/>
              <w:numPr>
                <w:ilvl w:val="-1"/>
                <w:numId w:val="0"/>
              </w:numPr>
              <w:rPr>
                <w:b/>
                <w:bCs/>
                <w:color w:val="auto"/>
                <w:sz w:val="22"/>
                <w:highlight w:val="none"/>
              </w:rPr>
            </w:pPr>
            <w:r>
              <w:rPr>
                <w:rFonts w:hint="eastAsia" w:cs="等线"/>
                <w:b/>
                <w:bCs/>
                <w:color w:val="auto"/>
                <w:sz w:val="22"/>
                <w:highlight w:val="none"/>
              </w:rPr>
              <w:t>拟派</w:t>
            </w:r>
            <w:r>
              <w:rPr>
                <w:rFonts w:hint="eastAsia"/>
                <w:b/>
                <w:bCs/>
                <w:color w:val="auto"/>
                <w:sz w:val="22"/>
                <w:highlight w:val="none"/>
              </w:rPr>
              <w:t>技术负责人（1人）：</w:t>
            </w:r>
          </w:p>
          <w:p>
            <w:pPr>
              <w:pStyle w:val="13"/>
              <w:numPr>
                <w:ilvl w:val="0"/>
                <w:numId w:val="4"/>
              </w:numPr>
              <w:rPr>
                <w:rFonts w:hint="default"/>
                <w:color w:val="auto"/>
                <w:highlight w:val="none"/>
                <w:lang w:val="en-US" w:eastAsia="zh-CN"/>
              </w:rPr>
            </w:pPr>
            <w:r>
              <w:rPr>
                <w:rFonts w:hint="eastAsia" w:cs="宋体"/>
                <w:color w:val="auto"/>
                <w:sz w:val="22"/>
                <w:highlight w:val="none"/>
              </w:rPr>
              <w:t>拟委派技术负责人</w:t>
            </w:r>
            <w:r>
              <w:rPr>
                <w:rFonts w:hint="eastAsia" w:cs="宋体"/>
                <w:color w:val="auto"/>
                <w:sz w:val="22"/>
                <w:highlight w:val="none"/>
                <w:lang w:val="en-US" w:eastAsia="zh-CN"/>
              </w:rPr>
              <w:t>具有园林绿化类高级职称，得4分；</w:t>
            </w:r>
          </w:p>
          <w:p>
            <w:pPr>
              <w:pStyle w:val="13"/>
              <w:numPr>
                <w:ilvl w:val="0"/>
                <w:numId w:val="4"/>
              </w:numPr>
              <w:rPr>
                <w:rFonts w:hint="eastAsia" w:cs="宋体"/>
                <w:color w:val="auto"/>
                <w:sz w:val="22"/>
                <w:highlight w:val="none"/>
                <w:lang w:val="en-US" w:eastAsia="zh-CN"/>
              </w:rPr>
            </w:pPr>
            <w:r>
              <w:rPr>
                <w:rFonts w:hint="eastAsia" w:cs="宋体"/>
                <w:color w:val="auto"/>
                <w:sz w:val="22"/>
                <w:highlight w:val="none"/>
              </w:rPr>
              <w:t>拟委派技术负责人</w:t>
            </w:r>
            <w:r>
              <w:rPr>
                <w:rFonts w:hint="eastAsia" w:cs="宋体"/>
                <w:color w:val="auto"/>
                <w:sz w:val="22"/>
                <w:highlight w:val="none"/>
                <w:lang w:val="en-US" w:eastAsia="zh-CN"/>
              </w:rPr>
              <w:t>具有园林绿化类中级职称，得2分；</w:t>
            </w:r>
          </w:p>
          <w:p>
            <w:pPr>
              <w:pStyle w:val="13"/>
              <w:numPr>
                <w:ilvl w:val="0"/>
                <w:numId w:val="4"/>
              </w:numPr>
              <w:rPr>
                <w:rFonts w:hint="eastAsia" w:cs="宋体"/>
                <w:color w:val="auto"/>
                <w:sz w:val="22"/>
                <w:highlight w:val="none"/>
                <w:lang w:val="en-US" w:eastAsia="zh-CN"/>
              </w:rPr>
            </w:pPr>
            <w:r>
              <w:rPr>
                <w:rFonts w:hint="eastAsia" w:cs="宋体"/>
                <w:color w:val="auto"/>
                <w:sz w:val="22"/>
                <w:highlight w:val="none"/>
              </w:rPr>
              <w:t>拟委派技术负责人</w:t>
            </w:r>
            <w:r>
              <w:rPr>
                <w:rFonts w:hint="eastAsia" w:cs="宋体"/>
                <w:color w:val="auto"/>
                <w:sz w:val="22"/>
                <w:highlight w:val="none"/>
                <w:lang w:val="en-US" w:eastAsia="zh-CN"/>
              </w:rPr>
              <w:t>具有园林绿化类初级职称，得1分。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7" w:type="dxa"/>
            <w:vMerge w:val="restart"/>
            <w:tcBorders>
              <w:left w:val="single" w:color="auto" w:sz="4" w:space="0"/>
            </w:tcBorders>
            <w:noWrap w:val="0"/>
            <w:vAlign w:val="center"/>
          </w:tcPr>
          <w:p>
            <w:pPr>
              <w:spacing w:line="400" w:lineRule="exact"/>
              <w:rPr>
                <w:rFonts w:hint="eastAsia" w:eastAsia="宋体" w:cs="宋体"/>
                <w:color w:val="auto"/>
                <w:sz w:val="22"/>
                <w:highlight w:val="none"/>
                <w:lang w:eastAsia="zh-CN"/>
              </w:rPr>
            </w:pPr>
            <w:r>
              <w:rPr>
                <w:rFonts w:hint="eastAsia" w:cs="宋体"/>
                <w:color w:val="auto"/>
                <w:sz w:val="22"/>
                <w:highlight w:val="none"/>
                <w:lang w:val="en-US" w:eastAsia="zh-CN"/>
              </w:rPr>
              <w:t>三、</w:t>
            </w:r>
            <w:r>
              <w:rPr>
                <w:rFonts w:hint="eastAsia" w:cs="宋体"/>
                <w:color w:val="auto"/>
                <w:sz w:val="22"/>
                <w:highlight w:val="none"/>
              </w:rPr>
              <w:t>施工组织设计</w:t>
            </w:r>
            <w:r>
              <w:rPr>
                <w:rFonts w:hint="eastAsia" w:cs="宋体"/>
                <w:color w:val="auto"/>
                <w:sz w:val="22"/>
                <w:highlight w:val="none"/>
                <w:lang w:eastAsia="zh-CN"/>
              </w:rPr>
              <w:t>（</w:t>
            </w:r>
            <w:r>
              <w:rPr>
                <w:rFonts w:hint="eastAsia" w:cs="宋体"/>
                <w:color w:val="auto"/>
                <w:sz w:val="22"/>
                <w:highlight w:val="none"/>
                <w:lang w:val="en-US" w:eastAsia="zh-CN"/>
              </w:rPr>
              <w:t>56分</w:t>
            </w:r>
            <w:r>
              <w:rPr>
                <w:rFonts w:hint="eastAsia" w:cs="宋体"/>
                <w:color w:val="auto"/>
                <w:sz w:val="22"/>
                <w:highlight w:val="none"/>
                <w:lang w:eastAsia="zh-CN"/>
              </w:rPr>
              <w:t>）</w:t>
            </w:r>
          </w:p>
        </w:tc>
        <w:tc>
          <w:tcPr>
            <w:tcW w:w="1147" w:type="dxa"/>
            <w:noWrap w:val="0"/>
            <w:vAlign w:val="center"/>
          </w:tcPr>
          <w:p>
            <w:pPr>
              <w:spacing w:line="400" w:lineRule="exact"/>
              <w:jc w:val="center"/>
              <w:rPr>
                <w:rFonts w:hint="eastAsia" w:cs="宋体"/>
                <w:color w:val="auto"/>
                <w:sz w:val="22"/>
                <w:highlight w:val="none"/>
              </w:rPr>
            </w:pPr>
            <w:r>
              <w:rPr>
                <w:rFonts w:hint="eastAsia" w:cs="宋体"/>
                <w:color w:val="auto"/>
                <w:sz w:val="22"/>
                <w:highlight w:val="none"/>
              </w:rPr>
              <w:t>施工组织方案</w:t>
            </w:r>
          </w:p>
        </w:tc>
        <w:tc>
          <w:tcPr>
            <w:tcW w:w="765" w:type="dxa"/>
            <w:noWrap w:val="0"/>
            <w:vAlign w:val="center"/>
          </w:tcPr>
          <w:p>
            <w:pPr>
              <w:spacing w:line="400" w:lineRule="exact"/>
              <w:jc w:val="center"/>
              <w:rPr>
                <w:rFonts w:hint="default" w:eastAsia="宋体" w:cs="宋体"/>
                <w:color w:val="auto"/>
                <w:sz w:val="22"/>
                <w:highlight w:val="none"/>
                <w:lang w:val="en-US" w:eastAsia="zh-CN"/>
              </w:rPr>
            </w:pPr>
            <w:r>
              <w:rPr>
                <w:rFonts w:hint="eastAsia" w:cs="宋体"/>
                <w:color w:val="auto"/>
                <w:sz w:val="22"/>
                <w:highlight w:val="none"/>
                <w:lang w:val="en-US" w:eastAsia="zh-CN" w:bidi="ar"/>
              </w:rPr>
              <w:t>12</w:t>
            </w:r>
          </w:p>
        </w:tc>
        <w:tc>
          <w:tcPr>
            <w:tcW w:w="11558" w:type="dxa"/>
            <w:noWrap w:val="0"/>
            <w:vAlign w:val="center"/>
          </w:tcPr>
          <w:p>
            <w:pPr>
              <w:widowControl/>
              <w:snapToGrid w:val="0"/>
              <w:spacing w:line="400" w:lineRule="exact"/>
              <w:jc w:val="left"/>
              <w:rPr>
                <w:rFonts w:cs="宋体"/>
                <w:color w:val="auto"/>
                <w:sz w:val="22"/>
                <w:highlight w:val="none"/>
              </w:rPr>
            </w:pPr>
            <w:r>
              <w:rPr>
                <w:rFonts w:hint="eastAsia" w:cs="宋体"/>
                <w:color w:val="auto"/>
                <w:sz w:val="22"/>
                <w:highlight w:val="none"/>
              </w:rPr>
              <w:t>优：</w:t>
            </w:r>
            <w:r>
              <w:rPr>
                <w:rFonts w:hint="eastAsia" w:hAnsi="Calibri" w:cs="宋体"/>
                <w:color w:val="auto"/>
                <w:kern w:val="0"/>
                <w:sz w:val="22"/>
                <w:highlight w:val="none"/>
              </w:rPr>
              <w:t>【</w:t>
            </w:r>
            <w:r>
              <w:rPr>
                <w:rFonts w:hint="eastAsia" w:hAnsi="Calibri" w:cs="宋体"/>
                <w:color w:val="auto"/>
                <w:kern w:val="0"/>
                <w:sz w:val="22"/>
                <w:highlight w:val="none"/>
                <w:lang w:val="en-US" w:eastAsia="zh-CN"/>
              </w:rPr>
              <w:t>12</w:t>
            </w:r>
            <w:r>
              <w:rPr>
                <w:rFonts w:hint="eastAsia" w:hAnsi="Calibri" w:cs="宋体"/>
                <w:color w:val="auto"/>
                <w:kern w:val="0"/>
                <w:sz w:val="22"/>
                <w:highlight w:val="none"/>
              </w:rPr>
              <w:t>，</w:t>
            </w:r>
            <w:r>
              <w:rPr>
                <w:rFonts w:hint="eastAsia" w:hAnsi="Calibri" w:cs="宋体"/>
                <w:color w:val="auto"/>
                <w:kern w:val="0"/>
                <w:sz w:val="22"/>
                <w:highlight w:val="none"/>
                <w:lang w:val="en-US" w:eastAsia="zh-CN"/>
              </w:rPr>
              <w:t>8</w:t>
            </w:r>
            <w:r>
              <w:rPr>
                <w:rFonts w:hint="eastAsia" w:hAnsi="Calibri" w:cs="宋体"/>
                <w:color w:val="auto"/>
                <w:kern w:val="0"/>
                <w:sz w:val="22"/>
                <w:highlight w:val="none"/>
              </w:rPr>
              <w:t>）分</w:t>
            </w:r>
            <w:r>
              <w:rPr>
                <w:rFonts w:cs="宋体"/>
                <w:color w:val="auto"/>
                <w:sz w:val="22"/>
                <w:highlight w:val="none"/>
              </w:rPr>
              <w:t>：施工方案可行、可靠、先进，针对性强，技术保证措施具体、成熟；施工平面布置科学合理。</w:t>
            </w:r>
          </w:p>
          <w:p>
            <w:pPr>
              <w:widowControl/>
              <w:snapToGrid w:val="0"/>
              <w:spacing w:line="400" w:lineRule="exact"/>
              <w:jc w:val="left"/>
              <w:rPr>
                <w:rFonts w:cs="宋体"/>
                <w:color w:val="auto"/>
                <w:sz w:val="22"/>
                <w:highlight w:val="none"/>
              </w:rPr>
            </w:pPr>
            <w:r>
              <w:rPr>
                <w:rFonts w:hint="eastAsia" w:cs="宋体"/>
                <w:color w:val="auto"/>
                <w:sz w:val="22"/>
                <w:highlight w:val="none"/>
              </w:rPr>
              <w:t>中：</w:t>
            </w:r>
            <w:r>
              <w:rPr>
                <w:rFonts w:hint="eastAsia" w:hAnsi="Calibri" w:cs="宋体"/>
                <w:color w:val="auto"/>
                <w:kern w:val="0"/>
                <w:sz w:val="22"/>
                <w:highlight w:val="none"/>
              </w:rPr>
              <w:t>【</w:t>
            </w:r>
            <w:r>
              <w:rPr>
                <w:rFonts w:hint="eastAsia" w:hAnsi="Calibri" w:cs="宋体"/>
                <w:color w:val="auto"/>
                <w:kern w:val="0"/>
                <w:sz w:val="22"/>
                <w:highlight w:val="none"/>
                <w:lang w:val="en-US" w:eastAsia="zh-CN"/>
              </w:rPr>
              <w:t>8</w:t>
            </w:r>
            <w:r>
              <w:rPr>
                <w:rFonts w:hint="eastAsia" w:hAnsi="Calibri" w:cs="宋体"/>
                <w:color w:val="auto"/>
                <w:kern w:val="0"/>
                <w:sz w:val="22"/>
                <w:highlight w:val="none"/>
              </w:rPr>
              <w:t>，</w:t>
            </w:r>
            <w:r>
              <w:rPr>
                <w:rFonts w:hint="eastAsia" w:hAnsi="Calibri" w:cs="宋体"/>
                <w:color w:val="auto"/>
                <w:kern w:val="0"/>
                <w:sz w:val="22"/>
                <w:highlight w:val="none"/>
                <w:lang w:val="en-US" w:eastAsia="zh-CN"/>
              </w:rPr>
              <w:t>4</w:t>
            </w:r>
            <w:r>
              <w:rPr>
                <w:rFonts w:hint="eastAsia" w:hAnsi="Calibri" w:cs="宋体"/>
                <w:color w:val="auto"/>
                <w:kern w:val="0"/>
                <w:sz w:val="22"/>
                <w:highlight w:val="none"/>
              </w:rPr>
              <w:t>）分</w:t>
            </w:r>
            <w:r>
              <w:rPr>
                <w:rFonts w:cs="宋体"/>
                <w:color w:val="auto"/>
                <w:sz w:val="22"/>
                <w:highlight w:val="none"/>
              </w:rPr>
              <w:t xml:space="preserve">：施工方案基本可行、基本可靠，针对性一般，技术保证措施基本具体；施工平面布置基本可行。 </w:t>
            </w:r>
          </w:p>
          <w:p>
            <w:pPr>
              <w:widowControl/>
              <w:snapToGrid w:val="0"/>
              <w:spacing w:line="400" w:lineRule="exact"/>
              <w:jc w:val="left"/>
              <w:rPr>
                <w:rFonts w:cs="宋体"/>
                <w:color w:val="auto"/>
                <w:sz w:val="22"/>
                <w:highlight w:val="none"/>
              </w:rPr>
            </w:pPr>
            <w:r>
              <w:rPr>
                <w:rFonts w:hint="eastAsia" w:cs="宋体"/>
                <w:color w:val="auto"/>
                <w:sz w:val="22"/>
                <w:highlight w:val="none"/>
              </w:rPr>
              <w:t>差：</w:t>
            </w:r>
            <w:r>
              <w:rPr>
                <w:rFonts w:hint="eastAsia" w:hAnsi="Calibri" w:cs="宋体"/>
                <w:color w:val="auto"/>
                <w:kern w:val="0"/>
                <w:sz w:val="22"/>
                <w:highlight w:val="none"/>
              </w:rPr>
              <w:t>【</w:t>
            </w:r>
            <w:r>
              <w:rPr>
                <w:rFonts w:hint="eastAsia" w:hAnsi="Calibri" w:cs="宋体"/>
                <w:color w:val="auto"/>
                <w:kern w:val="0"/>
                <w:sz w:val="22"/>
                <w:highlight w:val="none"/>
                <w:lang w:val="en-US" w:eastAsia="zh-CN"/>
              </w:rPr>
              <w:t>4</w:t>
            </w:r>
            <w:r>
              <w:rPr>
                <w:rFonts w:hint="eastAsia" w:hAnsi="Calibri" w:cs="宋体"/>
                <w:color w:val="auto"/>
                <w:kern w:val="0"/>
                <w:sz w:val="22"/>
                <w:highlight w:val="none"/>
              </w:rPr>
              <w:t>，</w:t>
            </w:r>
            <w:r>
              <w:rPr>
                <w:rFonts w:hint="eastAsia" w:hAnsi="Calibri" w:cs="宋体"/>
                <w:color w:val="auto"/>
                <w:kern w:val="0"/>
                <w:sz w:val="22"/>
                <w:highlight w:val="none"/>
                <w:lang w:val="en-US" w:eastAsia="zh-CN"/>
              </w:rPr>
              <w:t>0</w:t>
            </w:r>
            <w:r>
              <w:rPr>
                <w:rFonts w:hint="eastAsia" w:cs="宋体"/>
                <w:color w:val="auto"/>
                <w:sz w:val="22"/>
                <w:highlight w:val="none"/>
              </w:rPr>
              <w:t>】</w:t>
            </w:r>
            <w:r>
              <w:rPr>
                <w:rFonts w:hint="eastAsia" w:hAnsi="Calibri" w:cs="宋体"/>
                <w:color w:val="auto"/>
                <w:kern w:val="0"/>
                <w:sz w:val="22"/>
                <w:highlight w:val="none"/>
              </w:rPr>
              <w:t>分</w:t>
            </w:r>
            <w:r>
              <w:rPr>
                <w:rFonts w:cs="宋体"/>
                <w:color w:val="auto"/>
                <w:sz w:val="22"/>
                <w:highlight w:val="none"/>
              </w:rPr>
              <w:t>：</w:t>
            </w:r>
            <w:r>
              <w:rPr>
                <w:rFonts w:hint="eastAsia" w:cs="宋体"/>
                <w:color w:val="auto"/>
                <w:sz w:val="22"/>
                <w:highlight w:val="none"/>
              </w:rPr>
              <w:t>方案可行性、</w:t>
            </w:r>
            <w:r>
              <w:rPr>
                <w:rFonts w:cs="宋体"/>
                <w:color w:val="auto"/>
                <w:sz w:val="22"/>
                <w:highlight w:val="none"/>
              </w:rPr>
              <w:t>针对性</w:t>
            </w:r>
            <w:r>
              <w:rPr>
                <w:rFonts w:hint="eastAsia" w:cs="宋体"/>
                <w:color w:val="auto"/>
                <w:sz w:val="22"/>
                <w:highlight w:val="none"/>
              </w:rPr>
              <w:t>较差</w:t>
            </w:r>
            <w:r>
              <w:rPr>
                <w:rFonts w:cs="宋体"/>
                <w:color w:val="auto"/>
                <w:sz w:val="22"/>
                <w:highlight w:val="none"/>
              </w:rPr>
              <w:t>。</w:t>
            </w:r>
          </w:p>
          <w:p>
            <w:pPr>
              <w:widowControl/>
              <w:snapToGrid w:val="0"/>
              <w:spacing w:line="400" w:lineRule="exact"/>
              <w:jc w:val="left"/>
              <w:rPr>
                <w:rFonts w:hint="eastAsia" w:cs="宋体"/>
                <w:color w:val="auto"/>
                <w:sz w:val="22"/>
                <w:highlight w:val="none"/>
                <w:lang w:bidi="ar"/>
              </w:rPr>
            </w:pPr>
            <w:r>
              <w:rPr>
                <w:rFonts w:hint="eastAsia"/>
                <w:color w:val="auto"/>
                <w:sz w:val="22"/>
                <w:highlight w:val="none"/>
              </w:rPr>
              <w:t>无提供相应评审内容不得分。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7" w:type="dxa"/>
            <w:vMerge w:val="continue"/>
            <w:tcBorders>
              <w:left w:val="single" w:color="auto" w:sz="4" w:space="0"/>
            </w:tcBorders>
            <w:noWrap w:val="0"/>
            <w:vAlign w:val="center"/>
          </w:tcPr>
          <w:p>
            <w:pPr>
              <w:spacing w:line="400" w:lineRule="exact"/>
              <w:rPr>
                <w:rFonts w:cs="宋体"/>
                <w:color w:val="auto"/>
                <w:sz w:val="22"/>
                <w:highlight w:val="none"/>
              </w:rPr>
            </w:pPr>
          </w:p>
        </w:tc>
        <w:tc>
          <w:tcPr>
            <w:tcW w:w="1147" w:type="dxa"/>
            <w:noWrap w:val="0"/>
            <w:vAlign w:val="center"/>
          </w:tcPr>
          <w:p>
            <w:pPr>
              <w:spacing w:line="400" w:lineRule="exact"/>
              <w:jc w:val="center"/>
              <w:rPr>
                <w:rFonts w:hint="eastAsia" w:cs="宋体"/>
                <w:color w:val="auto"/>
                <w:sz w:val="22"/>
                <w:highlight w:val="none"/>
              </w:rPr>
            </w:pPr>
            <w:r>
              <w:rPr>
                <w:rFonts w:hint="eastAsia" w:cs="宋体"/>
                <w:color w:val="auto"/>
                <w:sz w:val="22"/>
                <w:highlight w:val="none"/>
              </w:rPr>
              <w:t>进度、质量管理保证措施</w:t>
            </w:r>
          </w:p>
        </w:tc>
        <w:tc>
          <w:tcPr>
            <w:tcW w:w="765" w:type="dxa"/>
            <w:noWrap w:val="0"/>
            <w:vAlign w:val="center"/>
          </w:tcPr>
          <w:p>
            <w:pPr>
              <w:spacing w:line="400" w:lineRule="exact"/>
              <w:jc w:val="center"/>
              <w:rPr>
                <w:rFonts w:hint="default" w:eastAsia="宋体" w:cs="宋体"/>
                <w:color w:val="auto"/>
                <w:sz w:val="22"/>
                <w:highlight w:val="none"/>
                <w:lang w:val="en-US" w:eastAsia="zh-CN"/>
              </w:rPr>
            </w:pPr>
            <w:r>
              <w:rPr>
                <w:rFonts w:hint="eastAsia" w:cs="宋体"/>
                <w:color w:val="auto"/>
                <w:sz w:val="22"/>
                <w:highlight w:val="none"/>
                <w:lang w:val="en-US" w:eastAsia="zh-CN" w:bidi="ar"/>
              </w:rPr>
              <w:t>12</w:t>
            </w:r>
          </w:p>
        </w:tc>
        <w:tc>
          <w:tcPr>
            <w:tcW w:w="11558" w:type="dxa"/>
            <w:noWrap w:val="0"/>
            <w:vAlign w:val="center"/>
          </w:tcPr>
          <w:p>
            <w:pPr>
              <w:widowControl/>
              <w:snapToGrid w:val="0"/>
              <w:spacing w:line="400" w:lineRule="exact"/>
              <w:jc w:val="left"/>
              <w:rPr>
                <w:rFonts w:cs="宋体"/>
                <w:color w:val="auto"/>
                <w:sz w:val="22"/>
                <w:highlight w:val="none"/>
              </w:rPr>
            </w:pPr>
            <w:r>
              <w:rPr>
                <w:rFonts w:hint="eastAsia" w:cs="宋体"/>
                <w:color w:val="auto"/>
                <w:sz w:val="22"/>
                <w:highlight w:val="none"/>
              </w:rPr>
              <w:t>优：【</w:t>
            </w:r>
            <w:r>
              <w:rPr>
                <w:rFonts w:hint="eastAsia" w:cs="宋体"/>
                <w:color w:val="auto"/>
                <w:sz w:val="22"/>
                <w:highlight w:val="none"/>
                <w:lang w:val="en-US" w:eastAsia="zh-CN"/>
              </w:rPr>
              <w:t>12</w:t>
            </w:r>
            <w:r>
              <w:rPr>
                <w:rFonts w:hint="eastAsia" w:cs="宋体"/>
                <w:color w:val="auto"/>
                <w:sz w:val="22"/>
                <w:highlight w:val="none"/>
              </w:rPr>
              <w:t>，</w:t>
            </w:r>
            <w:r>
              <w:rPr>
                <w:rFonts w:hint="eastAsia" w:cs="宋体"/>
                <w:color w:val="auto"/>
                <w:sz w:val="22"/>
                <w:highlight w:val="none"/>
                <w:lang w:val="en-US" w:eastAsia="zh-CN"/>
              </w:rPr>
              <w:t>8</w:t>
            </w:r>
            <w:r>
              <w:rPr>
                <w:rFonts w:hint="eastAsia" w:hAnsi="Calibri" w:cs="宋体"/>
                <w:color w:val="auto"/>
                <w:kern w:val="0"/>
                <w:sz w:val="22"/>
                <w:highlight w:val="none"/>
              </w:rPr>
              <w:t>）</w:t>
            </w:r>
            <w:r>
              <w:rPr>
                <w:rFonts w:cs="宋体"/>
                <w:color w:val="auto"/>
                <w:sz w:val="22"/>
                <w:highlight w:val="none"/>
              </w:rPr>
              <w:t>分：</w:t>
            </w:r>
            <w:r>
              <w:rPr>
                <w:rFonts w:hint="eastAsia" w:cs="宋体"/>
                <w:color w:val="auto"/>
                <w:sz w:val="22"/>
                <w:highlight w:val="none"/>
              </w:rPr>
              <w:t>根据项目实际情况，所制定的施工质量目标，材料选用及质量验收措施完善、可行、合理，各施工工艺质量保证措施及施工组织管理质量保证措施完善、可行、合理、施工进度计划、施工进度保证措施完善、可行、合理</w:t>
            </w:r>
            <w:r>
              <w:rPr>
                <w:rFonts w:cs="宋体"/>
                <w:color w:val="auto"/>
                <w:sz w:val="22"/>
                <w:highlight w:val="none"/>
              </w:rPr>
              <w:t>。</w:t>
            </w:r>
          </w:p>
          <w:p>
            <w:pPr>
              <w:widowControl/>
              <w:snapToGrid w:val="0"/>
              <w:spacing w:line="400" w:lineRule="exact"/>
              <w:jc w:val="left"/>
              <w:rPr>
                <w:rFonts w:cs="宋体"/>
                <w:color w:val="auto"/>
                <w:sz w:val="22"/>
                <w:highlight w:val="none"/>
              </w:rPr>
            </w:pPr>
            <w:r>
              <w:rPr>
                <w:rFonts w:hint="eastAsia" w:cs="宋体"/>
                <w:color w:val="auto"/>
                <w:sz w:val="22"/>
                <w:highlight w:val="none"/>
              </w:rPr>
              <w:t>中：【</w:t>
            </w:r>
            <w:r>
              <w:rPr>
                <w:rFonts w:hint="eastAsia" w:cs="宋体"/>
                <w:color w:val="auto"/>
                <w:sz w:val="22"/>
                <w:highlight w:val="none"/>
                <w:lang w:val="en-US" w:eastAsia="zh-CN"/>
              </w:rPr>
              <w:t>8</w:t>
            </w:r>
            <w:r>
              <w:rPr>
                <w:rFonts w:hint="eastAsia" w:cs="宋体"/>
                <w:color w:val="auto"/>
                <w:sz w:val="22"/>
                <w:highlight w:val="none"/>
              </w:rPr>
              <w:t>，</w:t>
            </w:r>
            <w:r>
              <w:rPr>
                <w:rFonts w:hint="eastAsia" w:cs="宋体"/>
                <w:color w:val="auto"/>
                <w:sz w:val="22"/>
                <w:highlight w:val="none"/>
                <w:lang w:val="en-US" w:eastAsia="zh-CN"/>
              </w:rPr>
              <w:t>4</w:t>
            </w:r>
            <w:r>
              <w:rPr>
                <w:rFonts w:hint="eastAsia" w:hAnsi="Calibri" w:cs="宋体"/>
                <w:color w:val="auto"/>
                <w:kern w:val="0"/>
                <w:sz w:val="22"/>
                <w:highlight w:val="none"/>
              </w:rPr>
              <w:t>）</w:t>
            </w:r>
            <w:r>
              <w:rPr>
                <w:rFonts w:cs="宋体"/>
                <w:color w:val="auto"/>
                <w:sz w:val="22"/>
                <w:highlight w:val="none"/>
              </w:rPr>
              <w:t>分：</w:t>
            </w:r>
            <w:r>
              <w:rPr>
                <w:rFonts w:hint="eastAsia" w:cs="宋体"/>
                <w:color w:val="auto"/>
                <w:sz w:val="22"/>
                <w:highlight w:val="none"/>
              </w:rPr>
              <w:t>根据项目实际情况，所制定的施工质量目标，材料选用及质量验收措施一般，基本可行；各施工工艺质量保证措施及施工组织管理质量保证措施一般，基本可行；施工进度计划、施工进度保证措施一般，基本可行</w:t>
            </w:r>
            <w:r>
              <w:rPr>
                <w:rFonts w:cs="宋体"/>
                <w:color w:val="auto"/>
                <w:sz w:val="22"/>
                <w:highlight w:val="none"/>
              </w:rPr>
              <w:t>。</w:t>
            </w:r>
          </w:p>
          <w:p>
            <w:pPr>
              <w:widowControl/>
              <w:snapToGrid w:val="0"/>
              <w:spacing w:line="400" w:lineRule="exact"/>
              <w:jc w:val="left"/>
              <w:rPr>
                <w:rFonts w:cs="宋体"/>
                <w:color w:val="auto"/>
                <w:sz w:val="22"/>
                <w:highlight w:val="none"/>
              </w:rPr>
            </w:pPr>
            <w:r>
              <w:rPr>
                <w:rFonts w:hint="eastAsia" w:cs="宋体"/>
                <w:color w:val="auto"/>
                <w:sz w:val="22"/>
                <w:highlight w:val="none"/>
              </w:rPr>
              <w:t>差：【</w:t>
            </w:r>
            <w:r>
              <w:rPr>
                <w:rFonts w:hint="eastAsia" w:hAnsi="Calibri" w:cs="宋体"/>
                <w:color w:val="auto"/>
                <w:kern w:val="0"/>
                <w:sz w:val="22"/>
                <w:highlight w:val="none"/>
                <w:lang w:val="en-US" w:eastAsia="zh-CN"/>
              </w:rPr>
              <w:t>4</w:t>
            </w:r>
            <w:r>
              <w:rPr>
                <w:rFonts w:hint="eastAsia" w:hAnsi="Calibri" w:cs="宋体"/>
                <w:color w:val="auto"/>
                <w:kern w:val="0"/>
                <w:sz w:val="22"/>
                <w:highlight w:val="none"/>
              </w:rPr>
              <w:t>，</w:t>
            </w:r>
            <w:r>
              <w:rPr>
                <w:rFonts w:hint="eastAsia" w:hAnsi="Calibri" w:cs="宋体"/>
                <w:color w:val="auto"/>
                <w:kern w:val="0"/>
                <w:sz w:val="22"/>
                <w:highlight w:val="none"/>
                <w:lang w:val="en-US" w:eastAsia="zh-CN"/>
              </w:rPr>
              <w:t>0</w:t>
            </w:r>
            <w:r>
              <w:rPr>
                <w:rFonts w:hint="eastAsia" w:cs="宋体"/>
                <w:color w:val="auto"/>
                <w:sz w:val="22"/>
                <w:highlight w:val="none"/>
              </w:rPr>
              <w:t>】</w:t>
            </w:r>
            <w:r>
              <w:rPr>
                <w:rFonts w:cs="宋体"/>
                <w:color w:val="auto"/>
                <w:sz w:val="22"/>
                <w:highlight w:val="none"/>
              </w:rPr>
              <w:t>分：</w:t>
            </w:r>
            <w:r>
              <w:rPr>
                <w:rFonts w:hint="eastAsia" w:cs="宋体"/>
                <w:color w:val="auto"/>
                <w:sz w:val="22"/>
                <w:highlight w:val="none"/>
              </w:rPr>
              <w:t>进度、质量管理保证措施的合理性、可行性较差</w:t>
            </w:r>
            <w:r>
              <w:rPr>
                <w:rFonts w:cs="宋体"/>
                <w:color w:val="auto"/>
                <w:sz w:val="22"/>
                <w:highlight w:val="none"/>
              </w:rPr>
              <w:t>。</w:t>
            </w:r>
          </w:p>
          <w:p>
            <w:pPr>
              <w:widowControl/>
              <w:snapToGrid w:val="0"/>
              <w:spacing w:line="400" w:lineRule="exact"/>
              <w:jc w:val="left"/>
              <w:rPr>
                <w:rFonts w:hint="eastAsia" w:cs="宋体"/>
                <w:color w:val="auto"/>
                <w:sz w:val="22"/>
                <w:highlight w:val="none"/>
                <w:lang w:bidi="ar"/>
              </w:rPr>
            </w:pPr>
            <w:r>
              <w:rPr>
                <w:rFonts w:hint="eastAsia" w:cs="宋体"/>
                <w:color w:val="auto"/>
                <w:sz w:val="22"/>
                <w:highlight w:val="none"/>
              </w:rPr>
              <w:t>无提供相应评审内容不得分。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7" w:type="dxa"/>
            <w:vMerge w:val="continue"/>
            <w:tcBorders>
              <w:left w:val="single" w:color="auto" w:sz="4" w:space="0"/>
            </w:tcBorders>
            <w:noWrap w:val="0"/>
            <w:vAlign w:val="center"/>
          </w:tcPr>
          <w:p>
            <w:pPr>
              <w:spacing w:line="400" w:lineRule="exact"/>
              <w:rPr>
                <w:rFonts w:cs="宋体"/>
                <w:color w:val="auto"/>
                <w:sz w:val="22"/>
                <w:highlight w:val="none"/>
              </w:rPr>
            </w:pPr>
          </w:p>
        </w:tc>
        <w:tc>
          <w:tcPr>
            <w:tcW w:w="1147" w:type="dxa"/>
            <w:noWrap w:val="0"/>
            <w:vAlign w:val="center"/>
          </w:tcPr>
          <w:p>
            <w:pPr>
              <w:spacing w:line="400" w:lineRule="exact"/>
              <w:jc w:val="center"/>
              <w:rPr>
                <w:rFonts w:hint="eastAsia" w:cs="宋体"/>
                <w:color w:val="auto"/>
                <w:sz w:val="22"/>
                <w:highlight w:val="none"/>
              </w:rPr>
            </w:pPr>
            <w:r>
              <w:rPr>
                <w:rFonts w:hint="eastAsia" w:cs="宋体"/>
                <w:color w:val="auto"/>
                <w:sz w:val="22"/>
                <w:highlight w:val="none"/>
              </w:rPr>
              <w:t>安全文明施工、绿色施工措施</w:t>
            </w:r>
          </w:p>
        </w:tc>
        <w:tc>
          <w:tcPr>
            <w:tcW w:w="765" w:type="dxa"/>
            <w:noWrap w:val="0"/>
            <w:vAlign w:val="center"/>
          </w:tcPr>
          <w:p>
            <w:pPr>
              <w:spacing w:line="400" w:lineRule="exact"/>
              <w:jc w:val="center"/>
              <w:rPr>
                <w:rFonts w:hint="default" w:eastAsia="宋体" w:cs="宋体"/>
                <w:color w:val="auto"/>
                <w:sz w:val="22"/>
                <w:highlight w:val="none"/>
                <w:lang w:val="en-US" w:eastAsia="zh-CN"/>
              </w:rPr>
            </w:pPr>
            <w:r>
              <w:rPr>
                <w:rFonts w:hint="eastAsia" w:cs="宋体"/>
                <w:color w:val="auto"/>
                <w:sz w:val="22"/>
                <w:highlight w:val="none"/>
                <w:lang w:val="en-US" w:eastAsia="zh-CN" w:bidi="ar"/>
              </w:rPr>
              <w:t>12</w:t>
            </w:r>
          </w:p>
        </w:tc>
        <w:tc>
          <w:tcPr>
            <w:tcW w:w="11558" w:type="dxa"/>
            <w:noWrap w:val="0"/>
            <w:vAlign w:val="center"/>
          </w:tcPr>
          <w:p>
            <w:pPr>
              <w:widowControl/>
              <w:snapToGrid w:val="0"/>
              <w:spacing w:line="400" w:lineRule="exact"/>
              <w:jc w:val="left"/>
              <w:rPr>
                <w:rFonts w:cs="宋体"/>
                <w:color w:val="auto"/>
                <w:sz w:val="22"/>
                <w:highlight w:val="none"/>
              </w:rPr>
            </w:pPr>
            <w:r>
              <w:rPr>
                <w:rFonts w:hint="eastAsia" w:cs="宋体"/>
                <w:color w:val="auto"/>
                <w:sz w:val="22"/>
                <w:highlight w:val="none"/>
              </w:rPr>
              <w:t>优：【</w:t>
            </w:r>
            <w:r>
              <w:rPr>
                <w:rFonts w:hint="eastAsia" w:cs="宋体"/>
                <w:color w:val="auto"/>
                <w:sz w:val="22"/>
                <w:highlight w:val="none"/>
                <w:lang w:val="en-US" w:eastAsia="zh-CN"/>
              </w:rPr>
              <w:t>12</w:t>
            </w:r>
            <w:r>
              <w:rPr>
                <w:rFonts w:hint="eastAsia" w:cs="宋体"/>
                <w:color w:val="auto"/>
                <w:sz w:val="22"/>
                <w:highlight w:val="none"/>
              </w:rPr>
              <w:t>，</w:t>
            </w:r>
            <w:r>
              <w:rPr>
                <w:rFonts w:hint="eastAsia" w:cs="宋体"/>
                <w:color w:val="auto"/>
                <w:sz w:val="22"/>
                <w:highlight w:val="none"/>
                <w:lang w:val="en-US" w:eastAsia="zh-CN"/>
              </w:rPr>
              <w:t>8</w:t>
            </w:r>
            <w:r>
              <w:rPr>
                <w:rFonts w:hint="eastAsia" w:hAnsi="Calibri" w:cs="宋体"/>
                <w:color w:val="auto"/>
                <w:kern w:val="0"/>
                <w:sz w:val="22"/>
                <w:highlight w:val="none"/>
              </w:rPr>
              <w:t>）</w:t>
            </w:r>
            <w:r>
              <w:rPr>
                <w:rFonts w:cs="宋体"/>
                <w:color w:val="auto"/>
                <w:sz w:val="22"/>
                <w:highlight w:val="none"/>
              </w:rPr>
              <w:t>分：安全、文明及环保管理机构、程序、制度、措施、设施合理，齐全，安全文明施工、绿色施工措施明确、具体、可行并能够得到落实。</w:t>
            </w:r>
          </w:p>
          <w:p>
            <w:pPr>
              <w:widowControl/>
              <w:snapToGrid w:val="0"/>
              <w:spacing w:line="400" w:lineRule="exact"/>
              <w:jc w:val="left"/>
              <w:rPr>
                <w:rFonts w:cs="宋体"/>
                <w:color w:val="auto"/>
                <w:sz w:val="22"/>
                <w:highlight w:val="none"/>
              </w:rPr>
            </w:pPr>
            <w:r>
              <w:rPr>
                <w:rFonts w:hint="eastAsia" w:cs="宋体"/>
                <w:color w:val="auto"/>
                <w:sz w:val="22"/>
                <w:highlight w:val="none"/>
              </w:rPr>
              <w:t>中：【</w:t>
            </w:r>
            <w:r>
              <w:rPr>
                <w:rFonts w:hint="eastAsia" w:cs="宋体"/>
                <w:color w:val="auto"/>
                <w:sz w:val="22"/>
                <w:highlight w:val="none"/>
                <w:lang w:val="en-US" w:eastAsia="zh-CN"/>
              </w:rPr>
              <w:t>8</w:t>
            </w:r>
            <w:r>
              <w:rPr>
                <w:rFonts w:hint="eastAsia" w:cs="宋体"/>
                <w:color w:val="auto"/>
                <w:sz w:val="22"/>
                <w:highlight w:val="none"/>
              </w:rPr>
              <w:t>，</w:t>
            </w:r>
            <w:r>
              <w:rPr>
                <w:rFonts w:hint="eastAsia" w:cs="宋体"/>
                <w:color w:val="auto"/>
                <w:sz w:val="22"/>
                <w:highlight w:val="none"/>
                <w:lang w:val="en-US" w:eastAsia="zh-CN"/>
              </w:rPr>
              <w:t>4</w:t>
            </w:r>
            <w:r>
              <w:rPr>
                <w:rFonts w:hint="eastAsia" w:hAnsi="Calibri" w:cs="宋体"/>
                <w:color w:val="auto"/>
                <w:kern w:val="0"/>
                <w:sz w:val="22"/>
                <w:highlight w:val="none"/>
              </w:rPr>
              <w:t>）</w:t>
            </w:r>
            <w:r>
              <w:rPr>
                <w:rFonts w:cs="宋体"/>
                <w:color w:val="auto"/>
                <w:sz w:val="22"/>
                <w:highlight w:val="none"/>
              </w:rPr>
              <w:t>分：安全、文明及环保管理机构、程序、制度、措施、设施基本合理，齐全，安全文明施工、绿色施工措施基本明确、具体、可行并基本能够得到落实。</w:t>
            </w:r>
          </w:p>
          <w:p>
            <w:pPr>
              <w:widowControl/>
              <w:snapToGrid w:val="0"/>
              <w:spacing w:line="400" w:lineRule="exact"/>
              <w:jc w:val="left"/>
              <w:rPr>
                <w:rFonts w:cs="宋体"/>
                <w:color w:val="auto"/>
                <w:sz w:val="22"/>
                <w:highlight w:val="none"/>
              </w:rPr>
            </w:pPr>
            <w:r>
              <w:rPr>
                <w:rFonts w:hint="eastAsia" w:cs="宋体"/>
                <w:color w:val="auto"/>
                <w:sz w:val="22"/>
                <w:highlight w:val="none"/>
              </w:rPr>
              <w:t>差：【</w:t>
            </w:r>
            <w:r>
              <w:rPr>
                <w:rFonts w:hint="eastAsia" w:hAnsi="Calibri" w:cs="宋体"/>
                <w:color w:val="auto"/>
                <w:kern w:val="0"/>
                <w:sz w:val="22"/>
                <w:highlight w:val="none"/>
                <w:lang w:val="en-US" w:eastAsia="zh-CN"/>
              </w:rPr>
              <w:t>4</w:t>
            </w:r>
            <w:r>
              <w:rPr>
                <w:rFonts w:hint="eastAsia" w:hAnsi="Calibri" w:cs="宋体"/>
                <w:color w:val="auto"/>
                <w:kern w:val="0"/>
                <w:sz w:val="22"/>
                <w:highlight w:val="none"/>
              </w:rPr>
              <w:t>，</w:t>
            </w:r>
            <w:r>
              <w:rPr>
                <w:rFonts w:hint="eastAsia" w:hAnsi="Calibri" w:cs="宋体"/>
                <w:color w:val="auto"/>
                <w:kern w:val="0"/>
                <w:sz w:val="22"/>
                <w:highlight w:val="none"/>
                <w:lang w:val="en-US" w:eastAsia="zh-CN"/>
              </w:rPr>
              <w:t>0</w:t>
            </w:r>
            <w:r>
              <w:rPr>
                <w:rFonts w:hint="eastAsia" w:cs="宋体"/>
                <w:color w:val="auto"/>
                <w:sz w:val="22"/>
                <w:highlight w:val="none"/>
              </w:rPr>
              <w:t>】</w:t>
            </w:r>
            <w:r>
              <w:rPr>
                <w:rFonts w:cs="宋体"/>
                <w:color w:val="auto"/>
                <w:sz w:val="22"/>
                <w:highlight w:val="none"/>
              </w:rPr>
              <w:t>分：</w:t>
            </w:r>
            <w:r>
              <w:rPr>
                <w:rFonts w:hint="eastAsia" w:cs="宋体"/>
                <w:color w:val="auto"/>
                <w:sz w:val="22"/>
                <w:highlight w:val="none"/>
              </w:rPr>
              <w:t>安全文明施工、绿色施工措施的合理性、可行性较差</w:t>
            </w:r>
            <w:r>
              <w:rPr>
                <w:rFonts w:cs="宋体"/>
                <w:color w:val="auto"/>
                <w:sz w:val="22"/>
                <w:highlight w:val="none"/>
              </w:rPr>
              <w:t>。</w:t>
            </w:r>
          </w:p>
          <w:p>
            <w:pPr>
              <w:widowControl/>
              <w:snapToGrid w:val="0"/>
              <w:spacing w:line="400" w:lineRule="exact"/>
              <w:jc w:val="left"/>
              <w:rPr>
                <w:rFonts w:hint="eastAsia" w:cs="宋体"/>
                <w:color w:val="auto"/>
                <w:sz w:val="22"/>
                <w:highlight w:val="none"/>
                <w:lang w:bidi="ar"/>
              </w:rPr>
            </w:pPr>
            <w:r>
              <w:rPr>
                <w:rFonts w:hint="eastAsia" w:cs="宋体"/>
                <w:color w:val="auto"/>
                <w:sz w:val="22"/>
                <w:highlight w:val="none"/>
              </w:rPr>
              <w:t>无提供相应评审内容不得分。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7" w:type="dxa"/>
            <w:vMerge w:val="continue"/>
            <w:tcBorders>
              <w:left w:val="single" w:color="auto" w:sz="4" w:space="0"/>
            </w:tcBorders>
            <w:noWrap w:val="0"/>
            <w:vAlign w:val="center"/>
          </w:tcPr>
          <w:p>
            <w:pPr>
              <w:spacing w:line="400" w:lineRule="exact"/>
              <w:rPr>
                <w:rFonts w:cs="宋体"/>
                <w:color w:val="auto"/>
                <w:sz w:val="22"/>
                <w:highlight w:val="none"/>
              </w:rPr>
            </w:pPr>
          </w:p>
        </w:tc>
        <w:tc>
          <w:tcPr>
            <w:tcW w:w="1147" w:type="dxa"/>
            <w:noWrap w:val="0"/>
            <w:vAlign w:val="center"/>
          </w:tcPr>
          <w:p>
            <w:pPr>
              <w:spacing w:line="400" w:lineRule="exact"/>
              <w:jc w:val="center"/>
              <w:rPr>
                <w:rFonts w:hint="eastAsia" w:cs="宋体"/>
                <w:color w:val="auto"/>
                <w:sz w:val="22"/>
                <w:highlight w:val="none"/>
              </w:rPr>
            </w:pPr>
            <w:r>
              <w:rPr>
                <w:rFonts w:hint="eastAsia" w:cs="宋体"/>
                <w:color w:val="auto"/>
                <w:sz w:val="22"/>
                <w:highlight w:val="none"/>
              </w:rPr>
              <w:t>拟派项目负责人</w:t>
            </w:r>
          </w:p>
        </w:tc>
        <w:tc>
          <w:tcPr>
            <w:tcW w:w="765" w:type="dxa"/>
            <w:noWrap w:val="0"/>
            <w:vAlign w:val="center"/>
          </w:tcPr>
          <w:p>
            <w:pPr>
              <w:spacing w:line="400" w:lineRule="exact"/>
              <w:jc w:val="center"/>
              <w:rPr>
                <w:rFonts w:cs="宋体"/>
                <w:color w:val="auto"/>
                <w:sz w:val="22"/>
                <w:highlight w:val="none"/>
              </w:rPr>
            </w:pPr>
            <w:r>
              <w:rPr>
                <w:rFonts w:cs="宋体"/>
                <w:color w:val="auto"/>
                <w:sz w:val="22"/>
                <w:highlight w:val="none"/>
              </w:rPr>
              <w:t>20</w:t>
            </w:r>
          </w:p>
        </w:tc>
        <w:tc>
          <w:tcPr>
            <w:tcW w:w="11558" w:type="dxa"/>
            <w:noWrap w:val="0"/>
            <w:vAlign w:val="center"/>
          </w:tcPr>
          <w:p>
            <w:pPr>
              <w:widowControl/>
              <w:jc w:val="left"/>
              <w:rPr>
                <w:rFonts w:hAnsi="Calibri" w:cs="宋体"/>
                <w:color w:val="auto"/>
                <w:kern w:val="0"/>
                <w:sz w:val="22"/>
                <w:highlight w:val="none"/>
              </w:rPr>
            </w:pPr>
            <w:r>
              <w:rPr>
                <w:rFonts w:hint="eastAsia" w:hAnsi="Calibri" w:cs="宋体"/>
                <w:color w:val="auto"/>
                <w:kern w:val="0"/>
                <w:sz w:val="22"/>
                <w:highlight w:val="none"/>
              </w:rPr>
              <w:t>1、管理团队陈述（包括但不限于以下）：</w:t>
            </w:r>
          </w:p>
          <w:p>
            <w:pPr>
              <w:widowControl/>
              <w:jc w:val="left"/>
              <w:rPr>
                <w:rFonts w:hint="eastAsia" w:hAnsi="Calibri" w:cs="宋体"/>
                <w:color w:val="auto"/>
                <w:kern w:val="0"/>
                <w:sz w:val="22"/>
                <w:highlight w:val="none"/>
              </w:rPr>
            </w:pPr>
            <w:r>
              <w:rPr>
                <w:rFonts w:hint="eastAsia" w:hAnsi="Calibri" w:cs="宋体"/>
                <w:color w:val="auto"/>
                <w:kern w:val="0"/>
                <w:sz w:val="22"/>
                <w:highlight w:val="none"/>
              </w:rPr>
              <w:t>（1）介绍参加答辩的</w:t>
            </w:r>
            <w:r>
              <w:rPr>
                <w:rFonts w:hint="eastAsia" w:hAnsi="Calibri" w:cs="宋体"/>
                <w:color w:val="auto"/>
                <w:kern w:val="0"/>
                <w:sz w:val="22"/>
                <w:highlight w:val="none"/>
                <w:lang w:eastAsia="zh-CN"/>
              </w:rPr>
              <w:t>项目管理机构</w:t>
            </w:r>
            <w:r>
              <w:rPr>
                <w:rFonts w:hint="eastAsia" w:hAnsi="Calibri" w:cs="宋体"/>
                <w:color w:val="auto"/>
                <w:kern w:val="0"/>
                <w:sz w:val="22"/>
                <w:highlight w:val="none"/>
              </w:rPr>
              <w:t>情况；</w:t>
            </w:r>
          </w:p>
          <w:p>
            <w:pPr>
              <w:widowControl/>
              <w:jc w:val="left"/>
              <w:rPr>
                <w:rFonts w:hint="eastAsia" w:hAnsi="Calibri" w:cs="宋体"/>
                <w:color w:val="auto"/>
                <w:kern w:val="0"/>
                <w:sz w:val="22"/>
                <w:highlight w:val="none"/>
              </w:rPr>
            </w:pPr>
            <w:r>
              <w:rPr>
                <w:rFonts w:hint="eastAsia" w:hAnsi="Calibri" w:cs="宋体"/>
                <w:color w:val="auto"/>
                <w:kern w:val="0"/>
                <w:sz w:val="22"/>
                <w:highlight w:val="none"/>
              </w:rPr>
              <w:t>（2）对参与投标项目的了解情况；</w:t>
            </w:r>
          </w:p>
          <w:p>
            <w:pPr>
              <w:widowControl/>
              <w:jc w:val="left"/>
              <w:rPr>
                <w:rFonts w:hAnsi="Calibri" w:cs="宋体"/>
                <w:color w:val="auto"/>
                <w:kern w:val="0"/>
                <w:sz w:val="22"/>
                <w:highlight w:val="none"/>
              </w:rPr>
            </w:pPr>
            <w:r>
              <w:rPr>
                <w:rFonts w:hint="eastAsia" w:hAnsi="Calibri" w:cs="宋体"/>
                <w:color w:val="auto"/>
                <w:kern w:val="0"/>
                <w:sz w:val="22"/>
                <w:highlight w:val="none"/>
              </w:rPr>
              <w:t>（3）施工组织方案要点、危大工程安全防范措施；</w:t>
            </w:r>
          </w:p>
          <w:p>
            <w:pPr>
              <w:widowControl/>
              <w:jc w:val="left"/>
              <w:rPr>
                <w:rFonts w:hint="eastAsia" w:hAnsi="Calibri" w:cs="宋体"/>
                <w:color w:val="auto"/>
                <w:kern w:val="0"/>
                <w:sz w:val="22"/>
                <w:highlight w:val="none"/>
              </w:rPr>
            </w:pPr>
            <w:r>
              <w:rPr>
                <w:rFonts w:hint="eastAsia" w:hAnsi="Calibri" w:cs="宋体"/>
                <w:color w:val="auto"/>
                <w:kern w:val="0"/>
                <w:sz w:val="22"/>
                <w:highlight w:val="none"/>
              </w:rPr>
              <w:t>（4）项目施工组织的重点、难点分析及应对措施；</w:t>
            </w:r>
          </w:p>
          <w:p>
            <w:pPr>
              <w:widowControl/>
              <w:jc w:val="left"/>
              <w:rPr>
                <w:rFonts w:hint="eastAsia" w:hAnsi="Calibri" w:cs="宋体"/>
                <w:color w:val="auto"/>
                <w:kern w:val="0"/>
                <w:sz w:val="22"/>
                <w:highlight w:val="none"/>
              </w:rPr>
            </w:pPr>
            <w:r>
              <w:rPr>
                <w:rFonts w:hint="eastAsia" w:hAnsi="Calibri" w:cs="宋体"/>
                <w:color w:val="auto"/>
                <w:kern w:val="0"/>
                <w:sz w:val="22"/>
                <w:highlight w:val="none"/>
              </w:rPr>
              <w:t>（5）人员、设备投入计划。</w:t>
            </w:r>
          </w:p>
          <w:p>
            <w:pPr>
              <w:widowControl/>
              <w:jc w:val="left"/>
              <w:rPr>
                <w:rFonts w:hAnsi="Calibri" w:cs="宋体"/>
                <w:color w:val="auto"/>
                <w:kern w:val="0"/>
                <w:sz w:val="22"/>
                <w:highlight w:val="none"/>
              </w:rPr>
            </w:pPr>
            <w:r>
              <w:rPr>
                <w:rFonts w:hint="eastAsia" w:hAnsi="Calibri" w:cs="宋体"/>
                <w:color w:val="auto"/>
                <w:kern w:val="0"/>
                <w:sz w:val="22"/>
                <w:highlight w:val="none"/>
              </w:rPr>
              <w:t>2、评委针对其陈述内容及方案所提的相关问题</w:t>
            </w:r>
          </w:p>
          <w:p>
            <w:pPr>
              <w:widowControl/>
              <w:jc w:val="left"/>
              <w:rPr>
                <w:rFonts w:hAnsi="Calibri" w:cs="宋体"/>
                <w:color w:val="auto"/>
                <w:kern w:val="0"/>
                <w:sz w:val="22"/>
                <w:highlight w:val="none"/>
                <w:u w:val="none"/>
              </w:rPr>
            </w:pPr>
            <w:r>
              <w:rPr>
                <w:rFonts w:hint="eastAsia" w:hAnsi="Calibri" w:cs="宋体"/>
                <w:color w:val="auto"/>
                <w:kern w:val="0"/>
                <w:sz w:val="22"/>
                <w:highlight w:val="none"/>
              </w:rPr>
              <w:t>优：【</w:t>
            </w:r>
            <w:r>
              <w:rPr>
                <w:rFonts w:hAnsi="Calibri" w:cs="宋体"/>
                <w:color w:val="auto"/>
                <w:kern w:val="0"/>
                <w:sz w:val="22"/>
                <w:highlight w:val="none"/>
              </w:rPr>
              <w:t>20</w:t>
            </w:r>
            <w:r>
              <w:rPr>
                <w:rFonts w:hint="eastAsia" w:hAnsi="Calibri" w:cs="宋体"/>
                <w:color w:val="auto"/>
                <w:kern w:val="0"/>
                <w:sz w:val="22"/>
                <w:highlight w:val="none"/>
              </w:rPr>
              <w:t>，</w:t>
            </w:r>
            <w:r>
              <w:rPr>
                <w:rFonts w:hAnsi="Calibri" w:cs="宋体"/>
                <w:color w:val="auto"/>
                <w:kern w:val="0"/>
                <w:sz w:val="22"/>
                <w:highlight w:val="none"/>
              </w:rPr>
              <w:t>15</w:t>
            </w:r>
            <w:r>
              <w:rPr>
                <w:rFonts w:hint="eastAsia" w:hAnsi="Calibri" w:cs="宋体"/>
                <w:color w:val="auto"/>
                <w:kern w:val="0"/>
                <w:sz w:val="22"/>
                <w:highlight w:val="none"/>
              </w:rPr>
              <w:t>）</w:t>
            </w:r>
            <w:r>
              <w:rPr>
                <w:rFonts w:hAnsi="Calibri" w:cs="宋体"/>
                <w:color w:val="auto"/>
                <w:kern w:val="0"/>
                <w:sz w:val="22"/>
                <w:highlight w:val="none"/>
                <w:u w:val="none"/>
              </w:rPr>
              <w:t>分，</w:t>
            </w:r>
            <w:r>
              <w:rPr>
                <w:rFonts w:hint="eastAsia" w:hAnsi="Calibri" w:cs="宋体"/>
                <w:color w:val="auto"/>
                <w:kern w:val="0"/>
                <w:sz w:val="22"/>
                <w:highlight w:val="none"/>
                <w:u w:val="none"/>
                <w:lang w:eastAsia="zh-CN"/>
              </w:rPr>
              <w:t>项目管理机构</w:t>
            </w:r>
            <w:r>
              <w:rPr>
                <w:rFonts w:hint="eastAsia" w:hAnsi="Calibri" w:cs="宋体"/>
                <w:color w:val="auto"/>
                <w:kern w:val="0"/>
                <w:sz w:val="22"/>
                <w:highlight w:val="none"/>
                <w:u w:val="none"/>
              </w:rPr>
              <w:t>掌握项目情况，对施工组织方案认识清晰，对施工的重点、难点认识深刻，危大工程安全防范措施、</w:t>
            </w:r>
            <w:r>
              <w:rPr>
                <w:rFonts w:hint="eastAsia" w:cs="宋体"/>
                <w:color w:val="auto"/>
                <w:sz w:val="22"/>
                <w:highlight w:val="none"/>
                <w:u w:val="none"/>
              </w:rPr>
              <w:t>关键节点工期</w:t>
            </w:r>
            <w:r>
              <w:rPr>
                <w:rFonts w:hint="eastAsia" w:hAnsi="Calibri" w:cs="宋体"/>
                <w:color w:val="auto"/>
                <w:kern w:val="0"/>
                <w:sz w:val="22"/>
                <w:highlight w:val="none"/>
                <w:u w:val="none"/>
              </w:rPr>
              <w:t>及其他应对措施合理可行，人员、设备投入计划对工程进度有保障，对设计工作的配合方案合理可行，施工组织方案对工程质量、工期的保证合理可行；回答评委提问思路清晰、内容准确。</w:t>
            </w:r>
          </w:p>
          <w:p>
            <w:pPr>
              <w:widowControl/>
              <w:jc w:val="left"/>
              <w:rPr>
                <w:rFonts w:hAnsi="Calibri" w:cs="宋体"/>
                <w:color w:val="auto"/>
                <w:kern w:val="0"/>
                <w:sz w:val="22"/>
                <w:highlight w:val="none"/>
                <w:u w:val="none"/>
              </w:rPr>
            </w:pPr>
            <w:r>
              <w:rPr>
                <w:rFonts w:hint="eastAsia" w:hAnsi="Calibri" w:cs="宋体"/>
                <w:color w:val="auto"/>
                <w:kern w:val="0"/>
                <w:sz w:val="22"/>
                <w:highlight w:val="none"/>
                <w:u w:val="none"/>
              </w:rPr>
              <w:t>良：【</w:t>
            </w:r>
            <w:r>
              <w:rPr>
                <w:rFonts w:hAnsi="Calibri" w:cs="宋体"/>
                <w:color w:val="auto"/>
                <w:kern w:val="0"/>
                <w:sz w:val="22"/>
                <w:highlight w:val="none"/>
                <w:u w:val="none"/>
              </w:rPr>
              <w:t>15</w:t>
            </w:r>
            <w:r>
              <w:rPr>
                <w:rFonts w:hint="eastAsia" w:hAnsi="Calibri" w:cs="宋体"/>
                <w:color w:val="auto"/>
                <w:kern w:val="0"/>
                <w:sz w:val="22"/>
                <w:highlight w:val="none"/>
                <w:u w:val="none"/>
              </w:rPr>
              <w:t>,</w:t>
            </w:r>
            <w:r>
              <w:rPr>
                <w:rFonts w:hAnsi="Calibri" w:cs="宋体"/>
                <w:color w:val="auto"/>
                <w:kern w:val="0"/>
                <w:sz w:val="22"/>
                <w:highlight w:val="none"/>
                <w:u w:val="none"/>
              </w:rPr>
              <w:t>10</w:t>
            </w:r>
            <w:r>
              <w:rPr>
                <w:rFonts w:hint="eastAsia" w:hAnsi="Calibri" w:cs="宋体"/>
                <w:color w:val="auto"/>
                <w:kern w:val="0"/>
                <w:sz w:val="22"/>
                <w:highlight w:val="none"/>
                <w:u w:val="none"/>
              </w:rPr>
              <w:t>）</w:t>
            </w:r>
            <w:r>
              <w:rPr>
                <w:rFonts w:hAnsi="Calibri" w:cs="宋体"/>
                <w:color w:val="auto"/>
                <w:kern w:val="0"/>
                <w:sz w:val="22"/>
                <w:highlight w:val="none"/>
                <w:u w:val="none"/>
              </w:rPr>
              <w:t>分，</w:t>
            </w:r>
            <w:r>
              <w:rPr>
                <w:rFonts w:hint="eastAsia" w:hAnsi="Calibri" w:cs="宋体"/>
                <w:color w:val="auto"/>
                <w:kern w:val="0"/>
                <w:sz w:val="22"/>
                <w:highlight w:val="none"/>
                <w:u w:val="none"/>
                <w:lang w:eastAsia="zh-CN"/>
              </w:rPr>
              <w:t>项目管理机构</w:t>
            </w:r>
            <w:r>
              <w:rPr>
                <w:rFonts w:hint="eastAsia" w:hAnsi="Calibri" w:cs="宋体"/>
                <w:color w:val="auto"/>
                <w:kern w:val="0"/>
                <w:sz w:val="22"/>
                <w:highlight w:val="none"/>
                <w:u w:val="none"/>
              </w:rPr>
              <w:t>了解项目情况，对施工组织方案认识较清晰，对施工的重点、难点认识到位，危大工程安全防范措施、</w:t>
            </w:r>
            <w:r>
              <w:rPr>
                <w:rFonts w:hint="eastAsia" w:cs="宋体"/>
                <w:color w:val="auto"/>
                <w:sz w:val="22"/>
                <w:highlight w:val="none"/>
                <w:u w:val="none"/>
              </w:rPr>
              <w:t>关键节点工期</w:t>
            </w:r>
            <w:r>
              <w:rPr>
                <w:rFonts w:hint="eastAsia" w:hAnsi="Calibri" w:cs="宋体"/>
                <w:color w:val="auto"/>
                <w:kern w:val="0"/>
                <w:sz w:val="22"/>
                <w:highlight w:val="none"/>
                <w:u w:val="none"/>
              </w:rPr>
              <w:t>及其他应对措施较合理，人员、设备投入计划对工程进度保障程度较好，对设计工作的配合方案较为可行，施工组织方案对工程质量、工期的保证较为合理可行；回答评委提问思路比较清晰、内容基本准确。</w:t>
            </w:r>
          </w:p>
          <w:p>
            <w:pPr>
              <w:widowControl/>
              <w:jc w:val="left"/>
              <w:rPr>
                <w:rFonts w:hAnsi="Calibri" w:cs="宋体"/>
                <w:color w:val="auto"/>
                <w:kern w:val="0"/>
                <w:sz w:val="22"/>
                <w:highlight w:val="none"/>
                <w:u w:val="none"/>
              </w:rPr>
            </w:pPr>
            <w:r>
              <w:rPr>
                <w:rFonts w:hint="eastAsia" w:hAnsi="Calibri" w:cs="宋体"/>
                <w:color w:val="auto"/>
                <w:kern w:val="0"/>
                <w:sz w:val="22"/>
                <w:highlight w:val="none"/>
                <w:u w:val="none"/>
              </w:rPr>
              <w:t>中：【</w:t>
            </w:r>
            <w:r>
              <w:rPr>
                <w:rFonts w:hAnsi="Calibri" w:cs="宋体"/>
                <w:color w:val="auto"/>
                <w:kern w:val="0"/>
                <w:sz w:val="22"/>
                <w:highlight w:val="none"/>
                <w:u w:val="none"/>
              </w:rPr>
              <w:t>10</w:t>
            </w:r>
            <w:r>
              <w:rPr>
                <w:rFonts w:hint="eastAsia" w:hAnsi="Calibri" w:cs="宋体"/>
                <w:color w:val="auto"/>
                <w:kern w:val="0"/>
                <w:sz w:val="22"/>
                <w:highlight w:val="none"/>
                <w:u w:val="none"/>
              </w:rPr>
              <w:t>,5）</w:t>
            </w:r>
            <w:r>
              <w:rPr>
                <w:rFonts w:hAnsi="Calibri" w:cs="宋体"/>
                <w:color w:val="auto"/>
                <w:kern w:val="0"/>
                <w:sz w:val="22"/>
                <w:highlight w:val="none"/>
                <w:u w:val="none"/>
              </w:rPr>
              <w:t>分，</w:t>
            </w:r>
            <w:r>
              <w:rPr>
                <w:rFonts w:hint="eastAsia" w:hAnsi="Calibri" w:cs="宋体"/>
                <w:color w:val="auto"/>
                <w:kern w:val="0"/>
                <w:sz w:val="22"/>
                <w:highlight w:val="none"/>
                <w:u w:val="none"/>
                <w:lang w:eastAsia="zh-CN"/>
              </w:rPr>
              <w:t>项目管理机构</w:t>
            </w:r>
            <w:r>
              <w:rPr>
                <w:rFonts w:hint="eastAsia" w:hAnsi="Calibri" w:cs="宋体"/>
                <w:color w:val="auto"/>
                <w:kern w:val="0"/>
                <w:sz w:val="22"/>
                <w:highlight w:val="none"/>
                <w:u w:val="none"/>
              </w:rPr>
              <w:t>了解项目基本情况，对施工组织方案、施工的重难点认识有基本认知，危大工程安全防范措施、</w:t>
            </w:r>
            <w:r>
              <w:rPr>
                <w:rFonts w:hint="eastAsia" w:cs="宋体"/>
                <w:color w:val="auto"/>
                <w:sz w:val="22"/>
                <w:highlight w:val="none"/>
                <w:u w:val="none"/>
              </w:rPr>
              <w:t>关键节点工期</w:t>
            </w:r>
            <w:r>
              <w:rPr>
                <w:rFonts w:hint="eastAsia" w:hAnsi="Calibri" w:cs="宋体"/>
                <w:color w:val="auto"/>
                <w:kern w:val="0"/>
                <w:sz w:val="22"/>
                <w:highlight w:val="none"/>
                <w:u w:val="none"/>
              </w:rPr>
              <w:t>及其他应对措施基本合理，人员、设备投入计划对工程进度基本有保障，对设计工作的配合方案基本可行，施工组织方案对工程质量、工期的保证基本合理可行；回答评委提问有基本清晰的思路、内容相关。</w:t>
            </w:r>
          </w:p>
          <w:p>
            <w:pPr>
              <w:rPr>
                <w:rFonts w:cs="宋体"/>
                <w:color w:val="auto"/>
                <w:kern w:val="0"/>
                <w:sz w:val="22"/>
                <w:highlight w:val="none"/>
                <w:lang w:bidi="ar"/>
              </w:rPr>
            </w:pPr>
            <w:r>
              <w:rPr>
                <w:rFonts w:hint="eastAsia" w:hAnsi="Calibri" w:cs="宋体"/>
                <w:color w:val="auto"/>
                <w:kern w:val="0"/>
                <w:sz w:val="22"/>
                <w:highlight w:val="none"/>
                <w:u w:val="none"/>
              </w:rPr>
              <w:t>差：【5,</w:t>
            </w:r>
            <w:r>
              <w:rPr>
                <w:rFonts w:hint="eastAsia" w:hAnsi="Calibri" w:cs="宋体"/>
                <w:color w:val="auto"/>
                <w:kern w:val="0"/>
                <w:sz w:val="22"/>
                <w:highlight w:val="none"/>
                <w:lang w:val="en-US" w:eastAsia="zh-CN"/>
              </w:rPr>
              <w:t>0</w:t>
            </w:r>
            <w:r>
              <w:rPr>
                <w:rFonts w:hint="eastAsia" w:cs="宋体"/>
                <w:color w:val="auto"/>
                <w:sz w:val="22"/>
                <w:highlight w:val="none"/>
              </w:rPr>
              <w:t>】</w:t>
            </w:r>
            <w:r>
              <w:rPr>
                <w:rFonts w:hAnsi="Calibri" w:cs="宋体"/>
                <w:color w:val="auto"/>
                <w:kern w:val="0"/>
                <w:sz w:val="22"/>
                <w:highlight w:val="none"/>
                <w:u w:val="none"/>
              </w:rPr>
              <w:t>分，</w:t>
            </w:r>
            <w:r>
              <w:rPr>
                <w:rFonts w:hint="eastAsia" w:hAnsi="Calibri" w:cs="宋体"/>
                <w:color w:val="auto"/>
                <w:kern w:val="0"/>
                <w:sz w:val="22"/>
                <w:highlight w:val="none"/>
                <w:u w:val="none"/>
                <w:lang w:eastAsia="zh-CN"/>
              </w:rPr>
              <w:t>项目管理机构</w:t>
            </w:r>
            <w:r>
              <w:rPr>
                <w:rFonts w:hint="eastAsia" w:hAnsi="Calibri" w:cs="宋体"/>
                <w:color w:val="auto"/>
                <w:kern w:val="0"/>
                <w:sz w:val="22"/>
                <w:highlight w:val="none"/>
                <w:u w:val="none"/>
              </w:rPr>
              <w:t>不了解项目情况；或对施工组织方案认识一般；或未能把握施工的重点、难点；</w:t>
            </w:r>
            <w:r>
              <w:rPr>
                <w:rFonts w:hint="eastAsia" w:cs="宋体"/>
                <w:color w:val="auto"/>
                <w:kern w:val="0"/>
                <w:sz w:val="22"/>
                <w:highlight w:val="none"/>
                <w:u w:val="none"/>
                <w:lang w:bidi="ar"/>
              </w:rPr>
              <w:t>或危大工程安全防范措施、</w:t>
            </w:r>
            <w:r>
              <w:rPr>
                <w:rFonts w:hint="eastAsia" w:cs="宋体"/>
                <w:color w:val="auto"/>
                <w:sz w:val="22"/>
                <w:highlight w:val="none"/>
                <w:u w:val="none"/>
              </w:rPr>
              <w:t>关键节点工期</w:t>
            </w:r>
            <w:r>
              <w:rPr>
                <w:rFonts w:hint="eastAsia" w:cs="宋体"/>
                <w:color w:val="auto"/>
                <w:kern w:val="0"/>
                <w:sz w:val="22"/>
                <w:highlight w:val="none"/>
                <w:u w:val="none"/>
                <w:lang w:bidi="ar"/>
              </w:rPr>
              <w:t>及其</w:t>
            </w:r>
            <w:r>
              <w:rPr>
                <w:rFonts w:hint="eastAsia" w:cs="宋体"/>
                <w:color w:val="auto"/>
                <w:kern w:val="0"/>
                <w:sz w:val="22"/>
                <w:highlight w:val="none"/>
                <w:lang w:bidi="ar"/>
              </w:rPr>
              <w:t>他应对措施欠合理；或人员、设备投入计划对工程进度保障差；或对设计工作的配合方案可行性较差，施工组织方案对工程质量、工期的保证可行性较差；或回答评委提问思路不清晰、答非所问。</w:t>
            </w:r>
          </w:p>
          <w:p>
            <w:pPr>
              <w:widowControl/>
              <w:snapToGrid w:val="0"/>
              <w:spacing w:line="400" w:lineRule="exact"/>
              <w:jc w:val="left"/>
              <w:rPr>
                <w:rFonts w:hint="eastAsia"/>
                <w:color w:val="auto"/>
                <w:highlight w:val="none"/>
                <w:lang w:bidi="ar"/>
              </w:rPr>
            </w:pPr>
            <w:r>
              <w:rPr>
                <w:rFonts w:hint="eastAsia" w:cs="宋体"/>
                <w:color w:val="auto"/>
                <w:sz w:val="22"/>
                <w:highlight w:val="none"/>
              </w:rPr>
              <w:t>未参与答辩不得分。</w:t>
            </w:r>
          </w:p>
          <w:p>
            <w:pPr>
              <w:widowControl/>
              <w:snapToGrid w:val="0"/>
              <w:spacing w:line="400" w:lineRule="exact"/>
              <w:jc w:val="left"/>
              <w:rPr>
                <w:rFonts w:hint="eastAsia" w:cs="宋体"/>
                <w:color w:val="auto"/>
                <w:sz w:val="22"/>
                <w:highlight w:val="none"/>
                <w:lang w:bidi="ar"/>
              </w:rPr>
            </w:pPr>
            <w:r>
              <w:rPr>
                <w:rFonts w:hint="eastAsia" w:cs="宋体"/>
                <w:color w:val="auto"/>
                <w:sz w:val="22"/>
                <w:highlight w:val="none"/>
                <w:lang w:bidi="ar"/>
              </w:rPr>
              <w:t>3.答辩人员可结合辅助材料（PPT演示文稿形式、word文件形式、excel文件形式、pdf文件形式）进行答辩（仅可选取其中一种形式）。辅助材料请使用U盘存储，答辩时由答辩人员自行携带进行答辩，答辩结束时现场交招标代理进行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64" w:type="dxa"/>
            <w:gridSpan w:val="2"/>
            <w:noWrap w:val="0"/>
            <w:vAlign w:val="center"/>
          </w:tcPr>
          <w:p>
            <w:pPr>
              <w:spacing w:line="400" w:lineRule="exact"/>
              <w:jc w:val="center"/>
              <w:rPr>
                <w:rFonts w:cs="宋体"/>
                <w:color w:val="auto"/>
                <w:sz w:val="22"/>
                <w:highlight w:val="none"/>
              </w:rPr>
            </w:pPr>
            <w:r>
              <w:rPr>
                <w:rFonts w:hint="eastAsia" w:cs="宋体"/>
                <w:color w:val="auto"/>
                <w:sz w:val="22"/>
                <w:highlight w:val="none"/>
                <w:lang w:bidi="ar"/>
              </w:rPr>
              <w:t>合计（一+二</w:t>
            </w:r>
            <w:r>
              <w:rPr>
                <w:rFonts w:hint="eastAsia" w:cs="宋体"/>
                <w:color w:val="auto"/>
                <w:sz w:val="22"/>
                <w:highlight w:val="none"/>
                <w:lang w:val="en-US" w:eastAsia="zh-CN" w:bidi="ar"/>
              </w:rPr>
              <w:t>+三</w:t>
            </w:r>
            <w:r>
              <w:rPr>
                <w:rFonts w:hint="eastAsia" w:cs="宋体"/>
                <w:color w:val="auto"/>
                <w:sz w:val="22"/>
                <w:highlight w:val="none"/>
                <w:lang w:bidi="ar"/>
              </w:rPr>
              <w:t>）</w:t>
            </w:r>
          </w:p>
        </w:tc>
        <w:tc>
          <w:tcPr>
            <w:tcW w:w="765" w:type="dxa"/>
            <w:noWrap w:val="0"/>
            <w:vAlign w:val="center"/>
          </w:tcPr>
          <w:p>
            <w:pPr>
              <w:spacing w:line="400" w:lineRule="exact"/>
              <w:jc w:val="center"/>
              <w:rPr>
                <w:rFonts w:cs="宋体"/>
                <w:color w:val="auto"/>
                <w:sz w:val="22"/>
                <w:highlight w:val="none"/>
              </w:rPr>
            </w:pPr>
            <w:r>
              <w:rPr>
                <w:rFonts w:hint="eastAsia" w:cs="宋体"/>
                <w:color w:val="auto"/>
                <w:sz w:val="22"/>
                <w:highlight w:val="none"/>
                <w:lang w:bidi="ar"/>
              </w:rPr>
              <w:t>100</w:t>
            </w:r>
          </w:p>
        </w:tc>
        <w:tc>
          <w:tcPr>
            <w:tcW w:w="11558" w:type="dxa"/>
            <w:noWrap w:val="0"/>
            <w:vAlign w:val="center"/>
          </w:tcPr>
          <w:p>
            <w:pPr>
              <w:spacing w:line="400" w:lineRule="exact"/>
              <w:rPr>
                <w:rFonts w:cs="宋体"/>
                <w:color w:val="auto"/>
                <w:sz w:val="22"/>
                <w:highlight w:val="none"/>
              </w:rPr>
            </w:pPr>
          </w:p>
        </w:tc>
      </w:tr>
    </w:tbl>
    <w:p>
      <w:pPr>
        <w:spacing w:line="400" w:lineRule="exact"/>
        <w:ind w:firstLine="422" w:firstLineChars="200"/>
        <w:rPr>
          <w:color w:val="auto"/>
          <w:highlight w:val="none"/>
        </w:rPr>
      </w:pPr>
      <w:r>
        <w:rPr>
          <w:rFonts w:hint="eastAsia"/>
          <w:b/>
          <w:bCs/>
          <w:color w:val="auto"/>
          <w:highlight w:val="none"/>
        </w:rPr>
        <w:t>1、企业业绩：</w:t>
      </w:r>
      <w:r>
        <w:rPr>
          <w:rFonts w:hint="eastAsia"/>
          <w:color w:val="auto"/>
          <w:highlight w:val="none"/>
        </w:rPr>
        <w:t>①业绩金额以中标通知书为准，中标通知书上没有金额或免招标的，以施工合同（不含补充合同）为准，完成时间以竣工验收时间为准。</w:t>
      </w:r>
      <w:r>
        <w:rPr>
          <w:rFonts w:hint="eastAsia"/>
          <w:color w:val="auto"/>
          <w:highlight w:val="none"/>
          <w:lang w:val="en-US" w:eastAsia="zh-CN"/>
        </w:rPr>
        <w:t>②</w:t>
      </w:r>
      <w:r>
        <w:rPr>
          <w:rFonts w:hint="eastAsia"/>
          <w:color w:val="auto"/>
          <w:highlight w:val="none"/>
        </w:rPr>
        <w:t>属于联合体业绩的，按中标通知书金额乘以联合体双方盖章确认的协议书比例为准或施工合同（不含补充合同）的金额为准。提交的业绩证明材料不齐全或不符合上述条件的不得分。</w:t>
      </w:r>
    </w:p>
    <w:p>
      <w:pPr>
        <w:pStyle w:val="6"/>
        <w:spacing w:line="400" w:lineRule="exact"/>
        <w:ind w:left="0" w:leftChars="0" w:firstLine="422" w:firstLineChars="200"/>
        <w:rPr>
          <w:color w:val="auto"/>
          <w:highlight w:val="none"/>
        </w:rPr>
      </w:pPr>
      <w:r>
        <w:rPr>
          <w:rFonts w:hint="eastAsia"/>
          <w:b/>
          <w:bCs/>
          <w:color w:val="auto"/>
          <w:highlight w:val="none"/>
        </w:rPr>
        <w:t>2、工程奖项：</w:t>
      </w:r>
      <w:r>
        <w:rPr>
          <w:rFonts w:hint="eastAsia" w:cs="宋体"/>
          <w:color w:val="auto"/>
          <w:kern w:val="0"/>
          <w:szCs w:val="21"/>
          <w:highlight w:val="none"/>
        </w:rPr>
        <w:t>时间以获奖证书颁发时间为准</w:t>
      </w:r>
      <w:r>
        <w:rPr>
          <w:rFonts w:hint="eastAsia"/>
          <w:color w:val="auto"/>
          <w:highlight w:val="none"/>
        </w:rPr>
        <w:t>。只计算园林绿化工程类奖项，其他非园林绿化工程项目，如：建筑、路桥、铁路、水利、电力、化工、冶金、市政、港口航道等的获奖不参与计分，奖项不含安全文明、绿色施工、技术创新</w:t>
      </w:r>
      <w:r>
        <w:rPr>
          <w:color w:val="auto"/>
          <w:highlight w:val="none"/>
        </w:rPr>
        <w:t xml:space="preserve"> QC成果、科技进步及技术应用、装饰类、机电安装类奖项。</w:t>
      </w:r>
      <w:r>
        <w:rPr>
          <w:rFonts w:hint="eastAsia"/>
          <w:color w:val="auto"/>
          <w:highlight w:val="none"/>
        </w:rPr>
        <w:t>投标人须为该获奖项目的承建单位，参建项目不予计算，同一项目获得多个奖项的仅按最高等级的计分，不可重复计算。若奖项颁发机构为行政主管部门或行业协会/学会，须同时提供获奖证明材料扫描件、获奖公示的网页打印件及其查询路径并加盖投标人电子印章；若奖项颁发机构为相关行业协会/学会，须提供获奖证明材料扫描件及颁发机构在全国社会组织信用信息公示平台网站的查询结果截图（相关行业协会/学会须在国内依法登记注册，以中国社会组织政务服务平台网站（https://chinanpo.mca.gov.cn/）-全国社会组织信用信息公示平台（https://xxgs.chinanpo.mca.gov.cn/gsxt/newList）查询结果为准）并加盖投标人电子印章。</w:t>
      </w:r>
    </w:p>
    <w:p>
      <w:pPr>
        <w:pStyle w:val="6"/>
        <w:spacing w:line="400" w:lineRule="exact"/>
        <w:ind w:left="0" w:leftChars="0" w:firstLine="422" w:firstLineChars="200"/>
        <w:rPr>
          <w:color w:val="auto"/>
          <w:highlight w:val="none"/>
        </w:rPr>
      </w:pPr>
      <w:r>
        <w:rPr>
          <w:rFonts w:hint="eastAsia"/>
          <w:b/>
          <w:bCs/>
          <w:color w:val="auto"/>
          <w:highlight w:val="none"/>
        </w:rPr>
        <w:t>3、工程研发能力：</w:t>
      </w:r>
      <w:r>
        <w:rPr>
          <w:rFonts w:hint="eastAsia"/>
          <w:color w:val="auto"/>
          <w:highlight w:val="none"/>
        </w:rPr>
        <w:t>科学技术类奖项包括科学技术进步奖、科学技术奖等，需提供各级人民政府或建设行政主管部门或协会颁发的证书扫描件，并同时提交科学技术成果鉴定证书或其他能证明应用于投标人项目的证明材料扫描件，时间以获奖证书时间为准。获奖单位必须与投标单位名称一致，子、分公司获奖均不予计算。</w:t>
      </w:r>
    </w:p>
    <w:p>
      <w:pPr>
        <w:pStyle w:val="6"/>
        <w:spacing w:line="400" w:lineRule="exact"/>
        <w:ind w:left="0" w:leftChars="0" w:firstLine="422" w:firstLineChars="200"/>
        <w:rPr>
          <w:color w:val="auto"/>
          <w:highlight w:val="none"/>
        </w:rPr>
      </w:pPr>
      <w:r>
        <w:rPr>
          <w:rFonts w:hint="eastAsia"/>
          <w:b/>
          <w:bCs/>
          <w:color w:val="auto"/>
          <w:highlight w:val="none"/>
        </w:rPr>
        <w:t>4、第三方评价：</w:t>
      </w:r>
      <w:r>
        <w:rPr>
          <w:rFonts w:hint="eastAsia"/>
          <w:color w:val="auto"/>
          <w:highlight w:val="none"/>
        </w:rPr>
        <w:t>投标人须提供税务部门颁发的“纳税信用A级”证书扫描件或提供省级或以上税务局网站查询结果网页截图加盖投标人电子印章；评定时间以证书上注明的评价（评定）年度为准（查询结果不包括子公司、分公司）的网页截图。不符合条件的不计分。</w:t>
      </w:r>
    </w:p>
    <w:p>
      <w:pPr>
        <w:spacing w:line="400" w:lineRule="exact"/>
        <w:ind w:firstLine="422" w:firstLineChars="200"/>
        <w:rPr>
          <w:color w:val="auto"/>
          <w:highlight w:val="none"/>
        </w:rPr>
      </w:pPr>
      <w:r>
        <w:rPr>
          <w:rFonts w:hint="eastAsia"/>
          <w:b/>
          <w:bCs/>
          <w:color w:val="auto"/>
          <w:highlight w:val="none"/>
        </w:rPr>
        <w:t>5、项目负责人、技术负责人：</w:t>
      </w:r>
      <w:r>
        <w:rPr>
          <w:rFonts w:hint="eastAsia"/>
          <w:color w:val="auto"/>
          <w:highlight w:val="none"/>
        </w:rPr>
        <w:t>（1）须提供身份证、职称证、毕业证及投标截止时间前近1个月（2025年</w:t>
      </w:r>
      <w:r>
        <w:rPr>
          <w:rFonts w:hint="eastAsia"/>
          <w:color w:val="auto"/>
          <w:highlight w:val="none"/>
          <w:lang w:val="en-US" w:eastAsia="zh-CN"/>
        </w:rPr>
        <w:t>*</w:t>
      </w:r>
      <w:r>
        <w:rPr>
          <w:rFonts w:hint="eastAsia"/>
          <w:color w:val="auto"/>
          <w:highlight w:val="none"/>
        </w:rPr>
        <w:t>月）在本单位购买社保的证明扫描件；从业经历年限从大学专科(或以上)学历的毕业证书的核发时间起计至投标截止当日。</w:t>
      </w:r>
    </w:p>
    <w:p>
      <w:pPr>
        <w:spacing w:line="400" w:lineRule="exact"/>
        <w:ind w:firstLine="420" w:firstLineChars="200"/>
        <w:rPr>
          <w:color w:val="auto"/>
          <w:highlight w:val="none"/>
        </w:rPr>
      </w:pPr>
      <w:r>
        <w:rPr>
          <w:rFonts w:hint="eastAsia"/>
          <w:color w:val="auto"/>
          <w:highlight w:val="none"/>
        </w:rPr>
        <w:t>（2）</w:t>
      </w:r>
      <w:r>
        <w:rPr>
          <w:rFonts w:hint="eastAsia"/>
          <w:color w:val="auto"/>
          <w:highlight w:val="none"/>
          <w:lang w:val="en-US" w:eastAsia="zh-CN"/>
        </w:rPr>
        <w:t>①</w:t>
      </w:r>
      <w:r>
        <w:rPr>
          <w:rFonts w:hint="eastAsia"/>
          <w:color w:val="auto"/>
          <w:highlight w:val="none"/>
          <w:u w:val="none"/>
        </w:rPr>
        <w:t>业绩金额以中标通知书为准，中标通知书上没有金额或免招标的，以施工合同（不含补充合同）为准，完成时间以竣工验收时间为准。</w:t>
      </w:r>
      <w:r>
        <w:rPr>
          <w:rFonts w:hint="eastAsia"/>
          <w:color w:val="auto"/>
          <w:highlight w:val="none"/>
          <w:u w:val="none"/>
          <w:lang w:val="en-US" w:eastAsia="zh-CN"/>
        </w:rPr>
        <w:t>②</w:t>
      </w:r>
      <w:r>
        <w:rPr>
          <w:rFonts w:hint="eastAsia"/>
          <w:color w:val="auto"/>
          <w:highlight w:val="none"/>
          <w:u w:val="none"/>
        </w:rPr>
        <w:t>属于联合体业绩的，按中标通知书金额乘以联合体双方盖章确认的协议书比例为准或施工合同（不含补充合同）的金额为准</w:t>
      </w:r>
      <w:r>
        <w:rPr>
          <w:rFonts w:hint="eastAsia"/>
          <w:color w:val="auto"/>
          <w:highlight w:val="none"/>
          <w:u w:val="none"/>
          <w:lang w:eastAsia="zh-CN"/>
        </w:rPr>
        <w:t>。</w:t>
      </w:r>
      <w:r>
        <w:rPr>
          <w:rFonts w:hint="eastAsia"/>
          <w:color w:val="auto"/>
          <w:highlight w:val="none"/>
          <w:u w:val="none"/>
          <w:lang w:val="en-US" w:eastAsia="zh-CN"/>
        </w:rPr>
        <w:t>③</w:t>
      </w:r>
      <w:r>
        <w:rPr>
          <w:rFonts w:ascii="Arial" w:hAnsi="Arial" w:eastAsia="宋体" w:cs="Arial"/>
          <w:i w:val="0"/>
          <w:iCs w:val="0"/>
          <w:caps w:val="0"/>
          <w:color w:val="auto"/>
          <w:spacing w:val="0"/>
          <w:sz w:val="21"/>
          <w:szCs w:val="21"/>
          <w:highlight w:val="none"/>
          <w:u w:val="none"/>
          <w:shd w:val="clear" w:fill="FFFFFF"/>
        </w:rPr>
        <w:t>项目负责人业绩证明材料应体现其在工程项目中担任项目负责人职务，技术负责人业绩证明材料应体现其在工程项目中担任项目负责人或技术负责人职务，否则不予计分</w:t>
      </w:r>
      <w:r>
        <w:rPr>
          <w:rFonts w:hint="eastAsia"/>
          <w:color w:val="auto"/>
          <w:highlight w:val="none"/>
        </w:rPr>
        <w:t>。</w:t>
      </w:r>
    </w:p>
    <w:p>
      <w:pPr>
        <w:spacing w:line="400" w:lineRule="exact"/>
        <w:ind w:firstLine="420" w:firstLineChars="200"/>
        <w:rPr>
          <w:color w:val="auto"/>
          <w:highlight w:val="none"/>
        </w:rPr>
      </w:pPr>
      <w:r>
        <w:rPr>
          <w:rFonts w:hint="eastAsia"/>
          <w:color w:val="auto"/>
          <w:highlight w:val="none"/>
        </w:rPr>
        <w:t>（3）提交的证明材料不齐全或不符合上述条件的不得分。</w:t>
      </w:r>
    </w:p>
    <w:p>
      <w:pPr>
        <w:spacing w:line="400" w:lineRule="exact"/>
        <w:ind w:firstLine="422" w:firstLineChars="200"/>
        <w:rPr>
          <w:color w:val="auto"/>
          <w:highlight w:val="none"/>
        </w:rPr>
      </w:pPr>
      <w:r>
        <w:rPr>
          <w:b/>
          <w:bCs/>
          <w:color w:val="auto"/>
          <w:highlight w:val="none"/>
        </w:rPr>
        <w:t>6</w:t>
      </w:r>
      <w:r>
        <w:rPr>
          <w:rFonts w:hint="eastAsia"/>
          <w:b/>
          <w:bCs/>
          <w:color w:val="auto"/>
          <w:highlight w:val="none"/>
        </w:rPr>
        <w:t>、其他技术人员：</w:t>
      </w:r>
      <w:r>
        <w:rPr>
          <w:rFonts w:hint="eastAsia"/>
          <w:color w:val="auto"/>
          <w:highlight w:val="none"/>
        </w:rPr>
        <w:t>（1）须提供身份证、职称证书或资格证书或注册证书或培训证或上岗证或技能证书、投标截止时间前近1个月（2025年</w:t>
      </w:r>
      <w:r>
        <w:rPr>
          <w:rFonts w:hint="eastAsia"/>
          <w:color w:val="auto"/>
          <w:highlight w:val="none"/>
          <w:lang w:val="en-US" w:eastAsia="zh-CN"/>
        </w:rPr>
        <w:t>*</w:t>
      </w:r>
      <w:r>
        <w:rPr>
          <w:rFonts w:hint="eastAsia"/>
          <w:color w:val="auto"/>
          <w:highlight w:val="none"/>
        </w:rPr>
        <w:t>月）在本单位购买社保的证明扫描件；一级注册造价工程师的还须提供注册造价工程师注册信息查询网站（http://zaojiasys.jianshe99.com/）查询结果网上截图，且执业状态栏显示“正常”的才计分，不提供不计分。按照《造价工程师职业资格制度规定》的规定，根据原人事部、原建设部发布的《造价工程师执业资格制度暂行规定》（人发〔1996〕77号）取得的造价工程师执业资格，并经注册且在有效期内的，等同于一级注册造价工程师。</w:t>
      </w:r>
    </w:p>
    <w:p>
      <w:pPr>
        <w:spacing w:line="400" w:lineRule="exact"/>
        <w:ind w:firstLine="420" w:firstLineChars="200"/>
        <w:rPr>
          <w:color w:val="auto"/>
          <w:highlight w:val="none"/>
        </w:rPr>
      </w:pPr>
      <w:r>
        <w:rPr>
          <w:rFonts w:hint="eastAsia"/>
          <w:color w:val="auto"/>
          <w:highlight w:val="none"/>
        </w:rPr>
        <w:t>（2）以上材料需加盖投标人电子公章，材料不齐全或不符合上述条件的，不得分。</w:t>
      </w:r>
    </w:p>
    <w:p>
      <w:pPr>
        <w:widowControl/>
        <w:shd w:val="clear" w:color="auto" w:fill="FFFFFF"/>
        <w:spacing w:line="360" w:lineRule="auto"/>
        <w:ind w:firstLine="422" w:firstLineChars="200"/>
        <w:rPr>
          <w:rFonts w:cs="宋体"/>
          <w:color w:val="auto"/>
          <w:kern w:val="0"/>
          <w:szCs w:val="21"/>
          <w:highlight w:val="none"/>
          <w:shd w:val="clear" w:color="auto" w:fill="FFFFFF"/>
          <w:lang w:bidi="ar"/>
        </w:rPr>
      </w:pPr>
      <w:r>
        <w:rPr>
          <w:b/>
          <w:bCs/>
          <w:color w:val="auto"/>
          <w:highlight w:val="none"/>
        </w:rPr>
        <w:t>7</w:t>
      </w:r>
      <w:r>
        <w:rPr>
          <w:rFonts w:hint="eastAsia"/>
          <w:b/>
          <w:bCs/>
          <w:color w:val="auto"/>
          <w:highlight w:val="none"/>
        </w:rPr>
        <w:t>、拟派项目负责人：</w:t>
      </w:r>
      <w:r>
        <w:rPr>
          <w:rFonts w:hint="eastAsia" w:cs="宋体"/>
          <w:color w:val="auto"/>
          <w:kern w:val="0"/>
          <w:szCs w:val="21"/>
          <w:highlight w:val="none"/>
          <w:shd w:val="clear" w:color="auto" w:fill="FFFFFF"/>
          <w:lang w:bidi="ar"/>
        </w:rPr>
        <w:t>由通过技术标有效性审查的投标人拟投入本项目负责人或技术负责人组成答辩小组，讲解投标方案、解答疑问，评标委员会专家根据答辩情况进行评审。讲解投标方案注意事项如下：</w:t>
      </w:r>
    </w:p>
    <w:p>
      <w:pPr>
        <w:widowControl/>
        <w:shd w:val="clear" w:color="auto" w:fill="FFFFFF"/>
        <w:spacing w:line="360" w:lineRule="auto"/>
        <w:rPr>
          <w:rFonts w:cs="宋体"/>
          <w:color w:val="auto"/>
          <w:kern w:val="0"/>
          <w:szCs w:val="21"/>
          <w:highlight w:val="none"/>
          <w:shd w:val="clear" w:color="auto" w:fill="FFFFFF"/>
          <w:lang w:bidi="ar"/>
        </w:rPr>
      </w:pPr>
      <w:r>
        <w:rPr>
          <w:rFonts w:hint="eastAsia" w:cs="宋体"/>
          <w:color w:val="auto"/>
          <w:kern w:val="0"/>
          <w:szCs w:val="21"/>
          <w:highlight w:val="none"/>
          <w:shd w:val="clear" w:color="auto" w:fill="FFFFFF"/>
          <w:lang w:bidi="ar"/>
        </w:rPr>
        <w:t>（1）讲解投标方案的人员组成：由答辩小组人员讲解</w:t>
      </w:r>
      <w:r>
        <w:rPr>
          <w:rFonts w:cs="宋体"/>
          <w:color w:val="auto"/>
          <w:kern w:val="0"/>
          <w:szCs w:val="21"/>
          <w:highlight w:val="none"/>
          <w:shd w:val="clear" w:color="auto" w:fill="FFFFFF"/>
          <w:lang w:bidi="ar"/>
        </w:rPr>
        <w:t>(参与人员须是本单位的在职人员）。</w:t>
      </w:r>
    </w:p>
    <w:p>
      <w:pPr>
        <w:widowControl/>
        <w:shd w:val="clear" w:color="auto" w:fill="FFFFFF"/>
        <w:spacing w:line="360" w:lineRule="auto"/>
        <w:rPr>
          <w:rFonts w:cs="宋体"/>
          <w:color w:val="auto"/>
          <w:kern w:val="0"/>
          <w:szCs w:val="21"/>
          <w:highlight w:val="none"/>
          <w:shd w:val="clear" w:color="auto" w:fill="FFFFFF"/>
          <w:lang w:bidi="ar"/>
        </w:rPr>
      </w:pPr>
      <w:r>
        <w:rPr>
          <w:rFonts w:hint="eastAsia" w:cs="宋体"/>
          <w:color w:val="auto"/>
          <w:kern w:val="0"/>
          <w:szCs w:val="21"/>
          <w:highlight w:val="none"/>
          <w:shd w:val="clear" w:color="auto" w:fill="FFFFFF"/>
          <w:lang w:bidi="ar"/>
        </w:rPr>
        <w:t>（2）讲解投标方案的顺序：所有通过技术标有效性审查的投标人，按开标记录表上的先后顺序依次进行答辩。</w:t>
      </w:r>
    </w:p>
    <w:p>
      <w:pPr>
        <w:widowControl/>
        <w:shd w:val="clear" w:color="auto" w:fill="FFFFFF"/>
        <w:spacing w:line="360" w:lineRule="auto"/>
        <w:rPr>
          <w:rFonts w:cs="宋体"/>
          <w:color w:val="auto"/>
          <w:kern w:val="0"/>
          <w:szCs w:val="21"/>
          <w:highlight w:val="none"/>
          <w:shd w:val="clear" w:color="auto" w:fill="FFFFFF"/>
          <w:lang w:bidi="ar"/>
        </w:rPr>
      </w:pPr>
      <w:r>
        <w:rPr>
          <w:rFonts w:hint="eastAsia" w:cs="宋体"/>
          <w:color w:val="auto"/>
          <w:kern w:val="0"/>
          <w:szCs w:val="21"/>
          <w:highlight w:val="none"/>
          <w:shd w:val="clear" w:color="auto" w:fill="FFFFFF"/>
          <w:lang w:bidi="ar"/>
        </w:rPr>
        <w:t>（3）讲解方案人员的要求：投标人在参加讲解时，应向招标人（招标代理）提供一份加盖公章的法定代表人证明书及授权委托书，并展示讲解人员在本单位</w:t>
      </w:r>
      <w:r>
        <w:rPr>
          <w:rFonts w:cs="宋体"/>
          <w:color w:val="auto"/>
          <w:kern w:val="0"/>
          <w:szCs w:val="21"/>
          <w:highlight w:val="none"/>
          <w:shd w:val="clear" w:color="auto" w:fill="FFFFFF"/>
          <w:lang w:bidi="ar"/>
        </w:rPr>
        <w:t>202</w:t>
      </w:r>
      <w:r>
        <w:rPr>
          <w:rFonts w:hint="eastAsia" w:cs="宋体"/>
          <w:color w:val="auto"/>
          <w:kern w:val="0"/>
          <w:szCs w:val="21"/>
          <w:highlight w:val="none"/>
          <w:shd w:val="clear" w:color="auto" w:fill="FFFFFF"/>
          <w:lang w:bidi="ar"/>
        </w:rPr>
        <w:t>5年</w:t>
      </w:r>
      <w:r>
        <w:rPr>
          <w:rFonts w:hint="eastAsia" w:cs="宋体"/>
          <w:color w:val="auto"/>
          <w:kern w:val="0"/>
          <w:szCs w:val="21"/>
          <w:highlight w:val="none"/>
          <w:shd w:val="clear" w:color="auto" w:fill="FFFFFF"/>
          <w:lang w:val="en-US" w:eastAsia="zh-CN" w:bidi="ar"/>
        </w:rPr>
        <w:t>8</w:t>
      </w:r>
      <w:r>
        <w:rPr>
          <w:rFonts w:hint="eastAsia" w:cs="宋体"/>
          <w:color w:val="auto"/>
          <w:kern w:val="0"/>
          <w:szCs w:val="21"/>
          <w:highlight w:val="none"/>
          <w:shd w:val="clear" w:color="auto" w:fill="FFFFFF"/>
          <w:lang w:bidi="ar"/>
        </w:rPr>
        <w:t>月的有效社保证明复印件并加盖单位公章</w:t>
      </w:r>
      <w:r>
        <w:rPr>
          <w:rFonts w:cs="宋体"/>
          <w:color w:val="auto"/>
          <w:kern w:val="0"/>
          <w:szCs w:val="21"/>
          <w:highlight w:val="none"/>
          <w:shd w:val="clear" w:color="auto" w:fill="FFFFFF"/>
          <w:lang w:bidi="ar"/>
        </w:rPr>
        <w:t>)、身份证原件</w:t>
      </w:r>
      <w:r>
        <w:rPr>
          <w:rFonts w:hint="eastAsia" w:cs="宋体"/>
          <w:color w:val="auto"/>
          <w:kern w:val="0"/>
          <w:szCs w:val="21"/>
          <w:highlight w:val="none"/>
          <w:shd w:val="clear" w:color="auto" w:fill="FFFFFF"/>
          <w:lang w:bidi="ar"/>
        </w:rPr>
        <w:t>，招标人（招标代理）核对确认身份后再进行讲解。未能出示前述证明文件的单位不予参加讲解环节。</w:t>
      </w:r>
    </w:p>
    <w:p>
      <w:pPr>
        <w:widowControl/>
        <w:shd w:val="clear" w:color="auto" w:fill="FFFFFF"/>
        <w:spacing w:line="360" w:lineRule="auto"/>
        <w:rPr>
          <w:rFonts w:cs="宋体"/>
          <w:color w:val="auto"/>
          <w:kern w:val="0"/>
          <w:szCs w:val="21"/>
          <w:highlight w:val="none"/>
          <w:shd w:val="clear" w:color="auto" w:fill="FFFFFF"/>
          <w:lang w:bidi="ar"/>
        </w:rPr>
      </w:pPr>
      <w:r>
        <w:rPr>
          <w:rFonts w:hint="eastAsia" w:cs="宋体"/>
          <w:color w:val="auto"/>
          <w:kern w:val="0"/>
          <w:szCs w:val="21"/>
          <w:highlight w:val="none"/>
          <w:shd w:val="clear" w:color="auto" w:fill="FFFFFF"/>
          <w:lang w:bidi="ar"/>
        </w:rPr>
        <w:t>（4）讲解形式与要求：讲解环节在评标时进行，具体时间根据评标委员会评审进度而定；招标人（招标代理）在投标方案讲解开始前通知通过技术标有效性审查的投标人到达讲解地点（讲解人员应预留出足够的时间，并保持通讯畅通），讲解人员先陈述，评委针对陈述内容及施工方案提问，由讲解人员进行解答。项目负责人为主辩人，负责陈述及解答问题，技术负责人、专职安全员为辅助补充解释。未通过技术标有效性审查的投标单位无需再参与方案讲解。</w:t>
      </w:r>
    </w:p>
    <w:p>
      <w:pPr>
        <w:widowControl/>
        <w:shd w:val="clear" w:color="auto" w:fill="FFFFFF"/>
        <w:spacing w:line="360" w:lineRule="auto"/>
        <w:rPr>
          <w:color w:val="auto"/>
          <w:highlight w:val="none"/>
        </w:rPr>
      </w:pPr>
      <w:r>
        <w:rPr>
          <w:rFonts w:hint="eastAsia" w:cs="宋体"/>
          <w:color w:val="auto"/>
          <w:kern w:val="0"/>
          <w:szCs w:val="21"/>
          <w:highlight w:val="none"/>
          <w:shd w:val="clear" w:color="auto" w:fill="FFFFFF"/>
          <w:lang w:bidi="ar"/>
        </w:rPr>
        <w:t>（5）</w:t>
      </w:r>
      <w:r>
        <w:rPr>
          <w:rFonts w:hint="eastAsia" w:cs="宋体"/>
          <w:color w:val="auto"/>
          <w:szCs w:val="21"/>
          <w:highlight w:val="none"/>
        </w:rPr>
        <w:t>原则上，述标及答辩时间不超过25分钟，其中述标时间15分钟，答辩时间10分钟，具体以实际情况为准</w:t>
      </w:r>
      <w:r>
        <w:rPr>
          <w:rFonts w:hint="eastAsia" w:cs="宋体"/>
          <w:color w:val="auto"/>
          <w:kern w:val="0"/>
          <w:szCs w:val="21"/>
          <w:highlight w:val="none"/>
          <w:shd w:val="clear" w:color="auto" w:fill="FFFFFF"/>
          <w:lang w:bidi="ar"/>
        </w:rPr>
        <w:t>。</w:t>
      </w:r>
    </w:p>
    <w:p>
      <w:pPr>
        <w:spacing w:line="400" w:lineRule="exact"/>
        <w:ind w:firstLine="420" w:firstLineChars="200"/>
        <w:rPr>
          <w:rFonts w:hint="eastAsia"/>
          <w:color w:val="auto"/>
          <w:highlight w:val="none"/>
        </w:rPr>
      </w:pPr>
      <w:r>
        <w:rPr>
          <w:color w:val="auto"/>
          <w:highlight w:val="none"/>
        </w:rPr>
        <w:t>8</w:t>
      </w:r>
      <w:r>
        <w:rPr>
          <w:rFonts w:hint="eastAsia"/>
          <w:color w:val="auto"/>
          <w:highlight w:val="none"/>
        </w:rPr>
        <w:t>、投标人得分为所有评委分数汇总后的算术平均值（若分数出现小数点时，保留小数点后二位，第三位小数四舍五入）。</w:t>
      </w:r>
    </w:p>
    <w:p>
      <w:pPr>
        <w:spacing w:line="400" w:lineRule="exact"/>
        <w:ind w:firstLine="420" w:firstLineChars="200"/>
        <w:rPr>
          <w:rFonts w:hint="default" w:eastAsia="宋体"/>
          <w:color w:val="auto"/>
          <w:highlight w:val="none"/>
          <w:lang w:val="en-US" w:eastAsia="zh-CN"/>
        </w:rPr>
      </w:pPr>
      <w:r>
        <w:rPr>
          <w:rFonts w:hint="eastAsia"/>
          <w:color w:val="auto"/>
          <w:highlight w:val="none"/>
          <w:lang w:val="en-US" w:eastAsia="zh-CN"/>
        </w:rPr>
        <w:t>9、投标人“近X年”指自投标截止之日起的当日开始计算。</w:t>
      </w:r>
    </w:p>
    <w:p>
      <w:pPr>
        <w:rPr>
          <w:color w:val="auto"/>
          <w:highlight w:val="none"/>
        </w:rPr>
      </w:pPr>
    </w:p>
    <w:p>
      <w:pPr>
        <w:spacing w:line="400" w:lineRule="exact"/>
        <w:ind w:firstLine="420" w:firstLineChars="200"/>
        <w:rPr>
          <w:rFonts w:ascii="宋体" w:hAnsi="宋体"/>
          <w:color w:val="auto"/>
          <w:highlight w:val="none"/>
        </w:rPr>
      </w:pPr>
    </w:p>
    <w:p>
      <w:pPr>
        <w:tabs>
          <w:tab w:val="left" w:pos="3570"/>
        </w:tabs>
        <w:jc w:val="left"/>
        <w:rPr>
          <w:rFonts w:hint="eastAsia"/>
          <w:b/>
          <w:color w:val="auto"/>
          <w:sz w:val="36"/>
          <w:szCs w:val="36"/>
          <w:highlight w:val="none"/>
        </w:rPr>
      </w:pPr>
      <w:r>
        <w:rPr>
          <w:rFonts w:hint="eastAsia"/>
          <w:b/>
          <w:color w:val="auto"/>
          <w:sz w:val="36"/>
          <w:szCs w:val="36"/>
          <w:highlight w:val="none"/>
        </w:rPr>
        <w:br w:type="page"/>
      </w:r>
    </w:p>
    <w:p>
      <w:pPr>
        <w:tabs>
          <w:tab w:val="left" w:pos="3570"/>
        </w:tabs>
        <w:rPr>
          <w:color w:val="auto"/>
          <w:szCs w:val="21"/>
          <w:highlight w:val="none"/>
        </w:rPr>
      </w:pPr>
      <w:r>
        <w:rPr>
          <w:rFonts w:hint="eastAsia"/>
          <w:color w:val="auto"/>
          <w:szCs w:val="21"/>
          <w:highlight w:val="none"/>
        </w:rPr>
        <w:t>附表五（适用于区间抽取法）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27"/>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21"/>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投标人名称</w:t>
            </w:r>
          </w:p>
        </w:tc>
        <w:tc>
          <w:tcPr>
            <w:tcW w:w="1021"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投标报价</w:t>
            </w:r>
            <w:r>
              <w:rPr>
                <w:color w:val="auto"/>
                <w:szCs w:val="21"/>
                <w:highlight w:val="none"/>
              </w:rPr>
              <w:t>PT</w:t>
            </w:r>
            <w:r>
              <w:rPr>
                <w:rFonts w:hint="eastAsia"/>
                <w:color w:val="auto"/>
                <w:szCs w:val="21"/>
                <w:highlight w:val="none"/>
              </w:rPr>
              <w:t>（元）</w:t>
            </w:r>
          </w:p>
        </w:tc>
        <w:tc>
          <w:tcPr>
            <w:tcW w:w="1021"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计算评标参考价的等分点值X</w:t>
            </w:r>
          </w:p>
        </w:tc>
        <w:tc>
          <w:tcPr>
            <w:tcW w:w="12384" w:type="dxa"/>
            <w:gridSpan w:val="12"/>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评标参考价PC（元）</w:t>
            </w:r>
          </w:p>
        </w:tc>
        <w:tc>
          <w:tcPr>
            <w:tcW w:w="12384" w:type="dxa"/>
            <w:gridSpan w:val="12"/>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偏差（（</w:t>
            </w:r>
            <w:r>
              <w:rPr>
                <w:color w:val="auto"/>
                <w:szCs w:val="21"/>
                <w:highlight w:val="none"/>
              </w:rPr>
              <w:t>PT-PC</w:t>
            </w:r>
            <w:r>
              <w:rPr>
                <w:rFonts w:hint="eastAsia"/>
                <w:color w:val="auto"/>
                <w:szCs w:val="21"/>
                <w:highlight w:val="none"/>
              </w:rPr>
              <w:t>）</w:t>
            </w:r>
            <w:r>
              <w:rPr>
                <w:color w:val="auto"/>
                <w:szCs w:val="21"/>
                <w:highlight w:val="none"/>
              </w:rPr>
              <w:t>/PC</w:t>
            </w:r>
            <w:r>
              <w:rPr>
                <w:rFonts w:hint="eastAsia"/>
                <w:color w:val="auto"/>
                <w:szCs w:val="21"/>
                <w:highlight w:val="none"/>
              </w:rPr>
              <w:t>）（</w:t>
            </w:r>
            <w:r>
              <w:rPr>
                <w:color w:val="auto"/>
                <w:szCs w:val="21"/>
                <w:highlight w:val="none"/>
              </w:rPr>
              <w:t>%</w:t>
            </w:r>
            <w:r>
              <w:rPr>
                <w:rFonts w:hint="eastAsia"/>
                <w:color w:val="auto"/>
                <w:szCs w:val="21"/>
                <w:highlight w:val="none"/>
              </w:rPr>
              <w:t>）</w:t>
            </w:r>
          </w:p>
        </w:tc>
        <w:tc>
          <w:tcPr>
            <w:tcW w:w="1021"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减分（</w:t>
            </w:r>
            <w:r>
              <w:rPr>
                <w:color w:val="auto"/>
                <w:szCs w:val="21"/>
                <w:highlight w:val="none"/>
              </w:rPr>
              <w:t>A</w:t>
            </w:r>
            <w:r>
              <w:rPr>
                <w:rFonts w:hint="eastAsia"/>
                <w:color w:val="auto"/>
                <w:szCs w:val="21"/>
                <w:highlight w:val="none"/>
              </w:rPr>
              <w:t>）</w:t>
            </w:r>
          </w:p>
        </w:tc>
        <w:tc>
          <w:tcPr>
            <w:tcW w:w="1021"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得分</w:t>
            </w:r>
            <w:r>
              <w:rPr>
                <w:color w:val="auto"/>
                <w:szCs w:val="21"/>
                <w:highlight w:val="none"/>
              </w:rPr>
              <w:t>(I=100-A)</w:t>
            </w:r>
          </w:p>
        </w:tc>
        <w:tc>
          <w:tcPr>
            <w:tcW w:w="1021"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得分排名次序</w:t>
            </w:r>
          </w:p>
        </w:tc>
        <w:tc>
          <w:tcPr>
            <w:tcW w:w="1021"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bl>
    <w:p>
      <w:pPr>
        <w:rPr>
          <w:b/>
          <w:color w:val="auto"/>
          <w:szCs w:val="21"/>
          <w:highlight w:val="none"/>
        </w:rPr>
      </w:pPr>
      <w:r>
        <w:rPr>
          <w:rFonts w:hint="eastAsia"/>
          <w:color w:val="auto"/>
          <w:szCs w:val="21"/>
          <w:highlight w:val="none"/>
        </w:rPr>
        <w:t>评委签名：</w:t>
      </w:r>
      <w:r>
        <w:rPr>
          <w:b/>
          <w:color w:val="auto"/>
          <w:sz w:val="36"/>
          <w:szCs w:val="36"/>
          <w:highlight w:val="none"/>
        </w:rPr>
        <w:br w:type="page"/>
      </w: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hint="eastAsia"/>
          <w:color w:val="auto"/>
          <w:kern w:val="0"/>
          <w:szCs w:val="21"/>
          <w:highlight w:val="none"/>
        </w:rPr>
        <w:t>投标人</w:t>
      </w:r>
      <w:r>
        <w:rPr>
          <w:color w:val="auto"/>
          <w:kern w:val="0"/>
          <w:szCs w:val="21"/>
          <w:highlight w:val="none"/>
        </w:rPr>
        <w:t xml:space="preserve">:                                                  </w:t>
      </w:r>
      <w:r>
        <w:rPr>
          <w:rFonts w:hint="eastAsia"/>
          <w:color w:val="auto"/>
          <w:kern w:val="0"/>
          <w:szCs w:val="21"/>
          <w:highlight w:val="none"/>
        </w:rPr>
        <w:t>单位：元</w:t>
      </w:r>
    </w:p>
    <w:tbl>
      <w:tblPr>
        <w:tblStyle w:val="27"/>
        <w:tblW w:w="0" w:type="auto"/>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修正前投标</w:t>
            </w:r>
          </w:p>
          <w:p>
            <w:pPr>
              <w:rPr>
                <w:color w:val="auto"/>
                <w:kern w:val="0"/>
                <w:szCs w:val="21"/>
                <w:highlight w:val="none"/>
              </w:rPr>
            </w:pPr>
            <w:r>
              <w:rPr>
                <w:rFonts w:hint="eastAsia"/>
                <w:color w:val="auto"/>
                <w:kern w:val="0"/>
                <w:szCs w:val="21"/>
                <w:highlight w:val="none"/>
              </w:rPr>
              <w:t>报价</w:t>
            </w:r>
            <w:r>
              <w:rPr>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修正后投标</w:t>
            </w:r>
          </w:p>
          <w:p>
            <w:pPr>
              <w:rPr>
                <w:color w:val="auto"/>
                <w:kern w:val="0"/>
                <w:szCs w:val="21"/>
                <w:highlight w:val="none"/>
              </w:rPr>
            </w:pPr>
            <w:r>
              <w:rPr>
                <w:rFonts w:hint="eastAsia"/>
                <w:color w:val="auto"/>
                <w:kern w:val="0"/>
                <w:szCs w:val="21"/>
                <w:highlight w:val="none"/>
              </w:rPr>
              <w:t>报价</w:t>
            </w:r>
            <w:r>
              <w:rPr>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修正率</w:t>
            </w:r>
          </w:p>
          <w:p>
            <w:pPr>
              <w:rPr>
                <w:color w:val="auto"/>
                <w:kern w:val="0"/>
                <w:szCs w:val="21"/>
                <w:highlight w:val="none"/>
              </w:rPr>
            </w:pPr>
            <w:r>
              <w:rPr>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当</w:t>
            </w:r>
            <w:r>
              <w:rPr>
                <w:color w:val="auto"/>
                <w:kern w:val="0"/>
                <w:szCs w:val="21"/>
                <w:highlight w:val="none"/>
              </w:rPr>
              <w:t>B&gt;A</w:t>
            </w:r>
            <w:r>
              <w:rPr>
                <w:rFonts w:hint="eastAsia"/>
                <w:color w:val="auto"/>
                <w:kern w:val="0"/>
                <w:szCs w:val="21"/>
                <w:highlight w:val="none"/>
              </w:rPr>
              <w:t>时，修正后报价与原报价的差额；当</w:t>
            </w:r>
            <w:r>
              <w:rPr>
                <w:color w:val="auto"/>
                <w:kern w:val="0"/>
                <w:szCs w:val="21"/>
                <w:highlight w:val="none"/>
              </w:rPr>
              <w:t>B</w:t>
            </w:r>
            <w:r>
              <w:rPr>
                <w:rFonts w:hint="eastAsia"/>
                <w:color w:val="auto"/>
                <w:kern w:val="0"/>
                <w:szCs w:val="21"/>
                <w:highlight w:val="none"/>
              </w:rPr>
              <w:t>≤</w:t>
            </w:r>
            <w:r>
              <w:rPr>
                <w:color w:val="auto"/>
                <w:kern w:val="0"/>
                <w:szCs w:val="21"/>
                <w:highlight w:val="none"/>
              </w:rPr>
              <w:t>A</w:t>
            </w:r>
            <w:r>
              <w:rPr>
                <w:rFonts w:hint="eastAsia"/>
                <w:color w:val="auto"/>
                <w:kern w:val="0"/>
                <w:szCs w:val="21"/>
                <w:highlight w:val="none"/>
              </w:rPr>
              <w:t>时</w:t>
            </w:r>
            <w:r>
              <w:rPr>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color w:val="auto"/>
                <w:kern w:val="0"/>
                <w:szCs w:val="21"/>
                <w:highlight w:val="none"/>
              </w:rPr>
            </w:pPr>
            <w:r>
              <w:rPr>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color w:val="auto"/>
                <w:kern w:val="0"/>
                <w:szCs w:val="21"/>
                <w:highlight w:val="none"/>
              </w:rPr>
            </w:pPr>
            <w:r>
              <w:rPr>
                <w:color w:val="auto"/>
                <w:kern w:val="0"/>
                <w:szCs w:val="21"/>
                <w:highlight w:val="none"/>
              </w:rPr>
              <w:t>[</w:t>
            </w:r>
            <w:r>
              <w:rPr>
                <w:rFonts w:hint="eastAsia"/>
                <w:color w:val="auto"/>
                <w:kern w:val="0"/>
                <w:szCs w:val="21"/>
                <w:highlight w:val="none"/>
              </w:rPr>
              <w:t>单位工程</w:t>
            </w:r>
            <w:r>
              <w:rPr>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color w:val="auto"/>
                <w:kern w:val="0"/>
                <w:szCs w:val="21"/>
                <w:highlight w:val="none"/>
              </w:rPr>
            </w:pPr>
            <w:r>
              <w:rPr>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color w:val="auto"/>
                <w:kern w:val="0"/>
                <w:szCs w:val="21"/>
                <w:highlight w:val="none"/>
              </w:rPr>
            </w:pPr>
            <w:r>
              <w:rPr>
                <w:color w:val="auto"/>
                <w:kern w:val="0"/>
                <w:szCs w:val="21"/>
                <w:highlight w:val="none"/>
              </w:rPr>
              <w:t>[</w:t>
            </w:r>
            <w:r>
              <w:rPr>
                <w:rFonts w:hint="eastAsia"/>
                <w:color w:val="auto"/>
                <w:kern w:val="0"/>
                <w:szCs w:val="21"/>
                <w:highlight w:val="none"/>
              </w:rPr>
              <w:t>单位工程</w:t>
            </w:r>
            <w:r>
              <w:rPr>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color w:val="auto"/>
                <w:kern w:val="0"/>
                <w:szCs w:val="21"/>
                <w:highlight w:val="none"/>
              </w:rPr>
            </w:pPr>
            <w:r>
              <w:rPr>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color w:val="auto"/>
                <w:kern w:val="0"/>
                <w:szCs w:val="21"/>
                <w:highlight w:val="none"/>
              </w:rPr>
            </w:pPr>
            <w:r>
              <w:rPr>
                <w:color w:val="auto"/>
                <w:kern w:val="0"/>
                <w:szCs w:val="21"/>
                <w:highlight w:val="none"/>
              </w:rPr>
              <w:t>[</w:t>
            </w:r>
            <w:r>
              <w:rPr>
                <w:rFonts w:hint="eastAsia"/>
                <w:color w:val="auto"/>
                <w:kern w:val="0"/>
                <w:szCs w:val="21"/>
                <w:highlight w:val="none"/>
              </w:rPr>
              <w:t>单位工程</w:t>
            </w:r>
            <w:r>
              <w:rPr>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color w:val="auto"/>
                <w:kern w:val="0"/>
                <w:szCs w:val="21"/>
                <w:highlight w:val="none"/>
              </w:rPr>
            </w:pPr>
            <w:r>
              <w:rPr>
                <w:rFonts w:hint="eastAsia"/>
                <w:color w:val="auto"/>
                <w:kern w:val="0"/>
                <w:szCs w:val="21"/>
                <w:highlight w:val="none"/>
              </w:rPr>
              <w:t>∑</w:t>
            </w:r>
            <w:r>
              <w:rPr>
                <w:color w:val="auto"/>
                <w:kern w:val="0"/>
                <w:szCs w:val="21"/>
                <w:highlight w:val="none"/>
              </w:rPr>
              <w:t>A=A</w:t>
            </w:r>
            <w:r>
              <w:rPr>
                <w:color w:val="auto"/>
                <w:kern w:val="0"/>
                <w:szCs w:val="21"/>
                <w:highlight w:val="none"/>
                <w:vertAlign w:val="subscript"/>
              </w:rPr>
              <w:t>1</w:t>
            </w:r>
            <w:r>
              <w:rPr>
                <w:color w:val="auto"/>
                <w:kern w:val="0"/>
                <w:szCs w:val="21"/>
                <w:highlight w:val="none"/>
              </w:rPr>
              <w:t>+A</w:t>
            </w:r>
            <w:r>
              <w:rPr>
                <w:color w:val="auto"/>
                <w:kern w:val="0"/>
                <w:szCs w:val="21"/>
                <w:highlight w:val="none"/>
                <w:vertAlign w:val="subscript"/>
              </w:rPr>
              <w:t>2</w:t>
            </w:r>
            <w:r>
              <w:rPr>
                <w:color w:val="auto"/>
                <w:kern w:val="0"/>
                <w:szCs w:val="21"/>
                <w:highlight w:val="none"/>
              </w:rPr>
              <w:t>+</w:t>
            </w:r>
            <w:r>
              <w:rPr>
                <w:rFonts w:hint="eastAsia"/>
                <w:color w:val="auto"/>
                <w:kern w:val="0"/>
                <w:szCs w:val="21"/>
                <w:highlight w:val="none"/>
              </w:rPr>
              <w:t>…</w:t>
            </w:r>
            <w:r>
              <w:rPr>
                <w:color w:val="auto"/>
                <w:kern w:val="0"/>
                <w:szCs w:val="21"/>
                <w:highlight w:val="none"/>
              </w:rPr>
              <w:t>An</w:t>
            </w:r>
            <w:r>
              <w:rPr>
                <w:rFonts w:hint="eastAsia"/>
                <w:color w:val="auto"/>
                <w:kern w:val="0"/>
                <w:szCs w:val="21"/>
                <w:highlight w:val="none"/>
              </w:rPr>
              <w:t>；∑</w:t>
            </w:r>
            <w:r>
              <w:rPr>
                <w:color w:val="auto"/>
                <w:kern w:val="0"/>
                <w:szCs w:val="21"/>
                <w:highlight w:val="none"/>
              </w:rPr>
              <w:t>B=B</w:t>
            </w:r>
            <w:r>
              <w:rPr>
                <w:color w:val="auto"/>
                <w:kern w:val="0"/>
                <w:szCs w:val="21"/>
                <w:highlight w:val="none"/>
                <w:vertAlign w:val="subscript"/>
              </w:rPr>
              <w:t>1</w:t>
            </w:r>
            <w:r>
              <w:rPr>
                <w:color w:val="auto"/>
                <w:kern w:val="0"/>
                <w:szCs w:val="21"/>
                <w:highlight w:val="none"/>
              </w:rPr>
              <w:t>+B</w:t>
            </w:r>
            <w:r>
              <w:rPr>
                <w:color w:val="auto"/>
                <w:kern w:val="0"/>
                <w:szCs w:val="21"/>
                <w:highlight w:val="none"/>
                <w:vertAlign w:val="subscript"/>
              </w:rPr>
              <w:t>2</w:t>
            </w:r>
            <w:r>
              <w:rPr>
                <w:color w:val="auto"/>
                <w:kern w:val="0"/>
                <w:szCs w:val="21"/>
                <w:highlight w:val="none"/>
              </w:rPr>
              <w:t>+</w:t>
            </w:r>
            <w:r>
              <w:rPr>
                <w:rFonts w:hint="eastAsia"/>
                <w:color w:val="auto"/>
                <w:kern w:val="0"/>
                <w:szCs w:val="21"/>
                <w:highlight w:val="none"/>
              </w:rPr>
              <w:t>…</w:t>
            </w:r>
            <w:r>
              <w:rPr>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2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eastAsia="仿宋_GB2312"/>
          <w:color w:val="auto"/>
          <w:szCs w:val="21"/>
          <w:highlight w:val="none"/>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5" w:orient="landscape"/>
          <w:pgMar w:top="1803" w:right="1440" w:bottom="1803" w:left="1440" w:header="850" w:footer="907" w:gutter="0"/>
          <w:cols w:space="0" w:num="1"/>
          <w:titlePg/>
          <w:docGrid w:type="lines" w:linePitch="331" w:charSpace="0"/>
        </w:sectPr>
      </w:pPr>
    </w:p>
    <w:p>
      <w:pPr>
        <w:ind w:firstLine="420" w:firstLineChars="200"/>
        <w:jc w:val="left"/>
        <w:rPr>
          <w:rFonts w:hint="eastAsia" w:ascii="黑体" w:hAnsi="黑体" w:eastAsia="宋体"/>
          <w:color w:val="auto"/>
          <w:sz w:val="32"/>
          <w:szCs w:val="32"/>
          <w:highlight w:val="none"/>
          <w:lang w:eastAsia="zh-CN"/>
        </w:rPr>
      </w:pPr>
      <w:bookmarkStart w:id="17" w:name="_Toc18664072"/>
      <w:r>
        <w:rPr>
          <w:rFonts w:hint="eastAsia"/>
          <w:color w:val="auto"/>
          <w:szCs w:val="21"/>
          <w:highlight w:val="none"/>
        </w:rPr>
        <w:t>附表</w:t>
      </w:r>
      <w:r>
        <w:rPr>
          <w:rFonts w:hint="eastAsia"/>
          <w:color w:val="auto"/>
          <w:szCs w:val="21"/>
          <w:highlight w:val="none"/>
          <w:lang w:val="en-US" w:eastAsia="zh-CN"/>
        </w:rPr>
        <w:t>七</w:t>
      </w:r>
    </w:p>
    <w:p>
      <w:pPr>
        <w:ind w:firstLine="480" w:firstLineChars="200"/>
        <w:jc w:val="center"/>
        <w:rPr>
          <w:rFonts w:ascii="黑体" w:hAnsi="黑体" w:eastAsia="黑体"/>
          <w:color w:val="auto"/>
          <w:sz w:val="24"/>
          <w:szCs w:val="24"/>
          <w:highlight w:val="none"/>
        </w:rPr>
      </w:pPr>
      <w:r>
        <w:rPr>
          <w:rFonts w:hint="eastAsia" w:ascii="黑体" w:hAnsi="黑体" w:eastAsia="黑体"/>
          <w:color w:val="auto"/>
          <w:sz w:val="24"/>
          <w:szCs w:val="24"/>
          <w:highlight w:val="none"/>
        </w:rPr>
        <w:t>评标委员会成员声明</w:t>
      </w:r>
    </w:p>
    <w:p>
      <w:pPr>
        <w:rPr>
          <w:rFonts w:ascii="仿宋_GB2312" w:eastAsia="仿宋_GB2312"/>
          <w:color w:val="auto"/>
          <w:sz w:val="24"/>
          <w:szCs w:val="24"/>
          <w:highlight w:val="none"/>
        </w:rPr>
      </w:pPr>
      <w:r>
        <w:rPr>
          <w:rFonts w:hint="eastAsia" w:ascii="仿宋_GB2312" w:eastAsia="仿宋_GB2312"/>
          <w:color w:val="auto"/>
          <w:sz w:val="24"/>
          <w:szCs w:val="24"/>
          <w:highlight w:val="none"/>
          <w:u w:val="single"/>
        </w:rPr>
        <w:t xml:space="preserve">   本项目招标人  </w:t>
      </w:r>
      <w:r>
        <w:rPr>
          <w:rFonts w:hint="eastAsia" w:ascii="仿宋_GB2312" w:eastAsia="仿宋_GB2312"/>
          <w:color w:val="auto"/>
          <w:sz w:val="24"/>
          <w:szCs w:val="24"/>
          <w:highlight w:val="none"/>
        </w:rPr>
        <w:t>：</w:t>
      </w:r>
    </w:p>
    <w:p>
      <w:pPr>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本人就参与</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项目的评标工作，作出郑重声明：</w:t>
      </w:r>
    </w:p>
    <w:p>
      <w:pPr>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如果本人违反上述声明内容，造成的后果由本人自行承担。</w:t>
      </w:r>
    </w:p>
    <w:p>
      <w:pPr>
        <w:ind w:firstLine="480" w:firstLineChars="200"/>
        <w:rPr>
          <w:rFonts w:ascii="仿宋_GB2312" w:eastAsia="仿宋_GB2312"/>
          <w:color w:val="auto"/>
          <w:sz w:val="24"/>
          <w:szCs w:val="24"/>
          <w:highlight w:val="none"/>
        </w:rPr>
      </w:pPr>
    </w:p>
    <w:p>
      <w:pPr>
        <w:rPr>
          <w:color w:val="auto"/>
          <w:highlight w:val="none"/>
        </w:rPr>
      </w:pPr>
      <w:r>
        <w:rPr>
          <w:rFonts w:hint="eastAsia" w:ascii="仿宋_GB2312" w:eastAsia="仿宋_GB2312"/>
          <w:color w:val="auto"/>
          <w:sz w:val="24"/>
          <w:szCs w:val="24"/>
          <w:highlight w:val="none"/>
        </w:rPr>
        <w:t xml:space="preserve">                             声明人：</w:t>
      </w:r>
      <w:r>
        <w:rPr>
          <w:rFonts w:hint="eastAsia" w:ascii="仿宋_GB2312" w:eastAsia="仿宋_GB2312"/>
          <w:color w:val="auto"/>
          <w:sz w:val="24"/>
          <w:szCs w:val="24"/>
          <w:highlight w:val="none"/>
          <w:u w:val="single"/>
        </w:rPr>
        <w:t xml:space="preserve">（签名） </w:t>
      </w:r>
      <w:r>
        <w:rPr>
          <w:rFonts w:hint="eastAsia" w:ascii="仿宋_GB2312" w:eastAsia="仿宋_GB2312"/>
          <w:color w:val="auto"/>
          <w:sz w:val="32"/>
          <w:szCs w:val="32"/>
          <w:highlight w:val="none"/>
          <w:u w:val="single"/>
        </w:rPr>
        <w:t xml:space="preserve"> </w:t>
      </w:r>
      <w:r>
        <w:rPr>
          <w:color w:val="auto"/>
          <w:highlight w:val="none"/>
        </w:rPr>
        <w:br w:type="page"/>
      </w:r>
    </w:p>
    <w:p>
      <w:pPr>
        <w:pStyle w:val="2"/>
        <w:jc w:val="center"/>
        <w:rPr>
          <w:rFonts w:hint="default"/>
          <w:color w:val="auto"/>
          <w:highlight w:val="none"/>
        </w:rPr>
      </w:pPr>
      <w:r>
        <w:rPr>
          <w:color w:val="auto"/>
          <w:highlight w:val="none"/>
        </w:rPr>
        <w:t>第三章  合同条款</w:t>
      </w:r>
      <w:bookmarkEnd w:id="17"/>
    </w:p>
    <w:p>
      <w:pPr>
        <w:jc w:val="center"/>
        <w:rPr>
          <w:rFonts w:ascii="宋体" w:hAnsi="宋体"/>
          <w:color w:val="auto"/>
          <w:sz w:val="24"/>
          <w:szCs w:val="24"/>
          <w:highlight w:val="none"/>
        </w:rPr>
      </w:pPr>
      <w:r>
        <w:rPr>
          <w:rFonts w:hint="eastAsia" w:ascii="宋体" w:hAnsi="宋体" w:cs="宋体"/>
          <w:color w:val="auto"/>
          <w:sz w:val="28"/>
          <w:szCs w:val="28"/>
          <w:highlight w:val="none"/>
        </w:rPr>
        <w:t>另册。</w:t>
      </w:r>
    </w:p>
    <w:p>
      <w:pPr>
        <w:rPr>
          <w:color w:val="auto"/>
          <w:sz w:val="24"/>
          <w:szCs w:val="24"/>
          <w:highlight w:val="none"/>
        </w:rPr>
      </w:pPr>
    </w:p>
    <w:p>
      <w:pPr>
        <w:pStyle w:val="25"/>
        <w:spacing w:line="360" w:lineRule="auto"/>
        <w:rPr>
          <w:color w:val="auto"/>
          <w:sz w:val="24"/>
          <w:szCs w:val="24"/>
          <w:highlight w:val="none"/>
        </w:rPr>
      </w:pPr>
    </w:p>
    <w:p>
      <w:pPr>
        <w:pStyle w:val="25"/>
        <w:spacing w:line="360" w:lineRule="auto"/>
        <w:rPr>
          <w:color w:val="auto"/>
          <w:sz w:val="24"/>
          <w:szCs w:val="24"/>
          <w:highlight w:val="none"/>
        </w:rPr>
      </w:pPr>
    </w:p>
    <w:p>
      <w:pPr>
        <w:pStyle w:val="25"/>
        <w:spacing w:line="360" w:lineRule="auto"/>
        <w:rPr>
          <w:color w:val="auto"/>
          <w:sz w:val="24"/>
          <w:szCs w:val="24"/>
          <w:highlight w:val="none"/>
        </w:rPr>
      </w:pPr>
    </w:p>
    <w:p>
      <w:pPr>
        <w:pStyle w:val="25"/>
        <w:spacing w:line="360" w:lineRule="auto"/>
        <w:rPr>
          <w:color w:val="auto"/>
          <w:sz w:val="24"/>
          <w:szCs w:val="24"/>
          <w:highlight w:val="none"/>
        </w:rPr>
      </w:pPr>
    </w:p>
    <w:p>
      <w:pPr>
        <w:pStyle w:val="25"/>
        <w:spacing w:line="360" w:lineRule="auto"/>
        <w:rPr>
          <w:color w:val="auto"/>
          <w:sz w:val="24"/>
          <w:szCs w:val="24"/>
          <w:highlight w:val="none"/>
        </w:rPr>
      </w:pPr>
    </w:p>
    <w:p>
      <w:pPr>
        <w:pStyle w:val="25"/>
        <w:spacing w:line="360" w:lineRule="auto"/>
        <w:rPr>
          <w:color w:val="auto"/>
          <w:sz w:val="24"/>
          <w:szCs w:val="24"/>
          <w:highlight w:val="none"/>
        </w:rPr>
      </w:pPr>
    </w:p>
    <w:p>
      <w:pPr>
        <w:pStyle w:val="13"/>
        <w:spacing w:line="360" w:lineRule="auto"/>
        <w:rPr>
          <w:color w:val="auto"/>
          <w:sz w:val="24"/>
          <w:szCs w:val="24"/>
          <w:highlight w:val="none"/>
        </w:rPr>
      </w:pPr>
    </w:p>
    <w:p>
      <w:pPr>
        <w:pStyle w:val="13"/>
        <w:spacing w:line="360" w:lineRule="auto"/>
        <w:rPr>
          <w:color w:val="auto"/>
          <w:sz w:val="24"/>
          <w:szCs w:val="24"/>
          <w:highlight w:val="none"/>
        </w:rPr>
      </w:pPr>
      <w:r>
        <w:rPr>
          <w:color w:val="auto"/>
          <w:sz w:val="24"/>
          <w:szCs w:val="24"/>
          <w:highlight w:val="none"/>
        </w:rPr>
        <w:br w:type="page"/>
      </w:r>
    </w:p>
    <w:p>
      <w:pPr>
        <w:pStyle w:val="2"/>
        <w:jc w:val="center"/>
        <w:rPr>
          <w:rFonts w:hint="default"/>
          <w:color w:val="auto"/>
          <w:highlight w:val="none"/>
        </w:rPr>
      </w:pPr>
      <w:bookmarkStart w:id="18" w:name="_Toc18664073"/>
      <w:r>
        <w:rPr>
          <w:color w:val="auto"/>
          <w:highlight w:val="none"/>
        </w:rPr>
        <w:t>第四章  投标文件格式</w:t>
      </w:r>
      <w:bookmarkEnd w:id="18"/>
    </w:p>
    <w:p>
      <w:pPr>
        <w:pStyle w:val="35"/>
        <w:spacing w:before="162" w:line="360" w:lineRule="auto"/>
        <w:outlineLvl w:val="0"/>
        <w:rPr>
          <w:rFonts w:eastAsia="宋体"/>
          <w:color w:val="auto"/>
          <w:highlight w:val="none"/>
        </w:rPr>
      </w:pPr>
      <w:bookmarkStart w:id="19" w:name="_Toc7019446"/>
      <w:bookmarkStart w:id="20" w:name="_Toc8084"/>
      <w:r>
        <w:rPr>
          <w:rFonts w:hint="eastAsia" w:eastAsia="宋体"/>
          <w:color w:val="auto"/>
          <w:highlight w:val="none"/>
        </w:rPr>
        <w:t>一、技术标投标文件格式</w:t>
      </w:r>
      <w:bookmarkEnd w:id="19"/>
      <w:bookmarkEnd w:id="20"/>
      <w:bookmarkStart w:id="21" w:name="_Toc60070621"/>
      <w:bookmarkStart w:id="22" w:name="_Toc61541786"/>
      <w:bookmarkStart w:id="23" w:name="_Toc18664074"/>
    </w:p>
    <w:p>
      <w:pPr>
        <w:rPr>
          <w:rFonts w:hint="eastAsia"/>
          <w:color w:val="auto"/>
          <w:highlight w:val="none"/>
        </w:rPr>
      </w:pPr>
      <w:r>
        <w:rPr>
          <w:rFonts w:hint="eastAsia"/>
          <w:color w:val="auto"/>
          <w:highlight w:val="none"/>
        </w:rPr>
        <w:br w:type="page"/>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技术标投标文件封面</w:t>
      </w:r>
    </w:p>
    <w:p>
      <w:pPr>
        <w:pStyle w:val="34"/>
        <w:ind w:firstLine="496"/>
        <w:rPr>
          <w:rFonts w:ascii="宋体" w:hAnsi="宋体" w:cs="宋体"/>
          <w:color w:val="auto"/>
          <w:highlight w:val="none"/>
        </w:rPr>
      </w:pPr>
    </w:p>
    <w:p>
      <w:pPr>
        <w:pStyle w:val="34"/>
        <w:ind w:firstLine="496"/>
        <w:rPr>
          <w:rFonts w:ascii="宋体" w:hAnsi="宋体" w:cs="宋体"/>
          <w:color w:val="auto"/>
          <w:highlight w:val="none"/>
        </w:rPr>
      </w:pPr>
    </w:p>
    <w:p>
      <w:pPr>
        <w:pStyle w:val="34"/>
        <w:ind w:firstLine="496"/>
        <w:rPr>
          <w:rFonts w:ascii="宋体" w:hAnsi="宋体" w:cs="宋体"/>
          <w:color w:val="auto"/>
          <w:highlight w:val="none"/>
        </w:rPr>
      </w:pPr>
    </w:p>
    <w:p>
      <w:pPr>
        <w:pStyle w:val="36"/>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[工程名称] </w:t>
      </w:r>
    </w:p>
    <w:p>
      <w:pPr>
        <w:pStyle w:val="34"/>
        <w:ind w:firstLine="496"/>
        <w:rPr>
          <w:rFonts w:ascii="宋体" w:hAnsi="宋体" w:cs="宋体"/>
          <w:color w:val="auto"/>
          <w:highlight w:val="none"/>
        </w:rPr>
      </w:pPr>
    </w:p>
    <w:p>
      <w:pPr>
        <w:pStyle w:val="34"/>
        <w:ind w:firstLine="496"/>
        <w:rPr>
          <w:rFonts w:ascii="宋体" w:hAnsi="宋体" w:cs="宋体"/>
          <w:color w:val="auto"/>
          <w:highlight w:val="none"/>
        </w:rPr>
      </w:pPr>
    </w:p>
    <w:p>
      <w:pPr>
        <w:pStyle w:val="34"/>
        <w:ind w:firstLine="496"/>
        <w:rPr>
          <w:rFonts w:ascii="宋体" w:hAnsi="宋体" w:cs="宋体"/>
          <w:color w:val="auto"/>
          <w:highlight w:val="none"/>
        </w:rPr>
      </w:pPr>
    </w:p>
    <w:p>
      <w:pPr>
        <w:pStyle w:val="34"/>
        <w:ind w:firstLine="496"/>
        <w:rPr>
          <w:rFonts w:ascii="宋体" w:hAnsi="宋体" w:cs="宋体"/>
          <w:color w:val="auto"/>
          <w:highlight w:val="none"/>
        </w:rPr>
      </w:pPr>
    </w:p>
    <w:p>
      <w:pPr>
        <w:pStyle w:val="37"/>
        <w:rPr>
          <w:rFonts w:ascii="宋体" w:hAnsi="宋体" w:eastAsia="宋体" w:cs="宋体"/>
          <w:color w:val="auto"/>
          <w:highlight w:val="none"/>
        </w:rPr>
      </w:pPr>
      <w:r>
        <w:rPr>
          <w:rFonts w:hint="eastAsia" w:ascii="宋体" w:hAnsi="宋体" w:eastAsia="宋体" w:cs="宋体"/>
          <w:color w:val="auto"/>
          <w:highlight w:val="none"/>
        </w:rPr>
        <w:t>投标文件</w:t>
      </w:r>
    </w:p>
    <w:p>
      <w:pPr>
        <w:pStyle w:val="36"/>
        <w:rPr>
          <w:rFonts w:ascii="宋体" w:hAnsi="宋体" w:eastAsia="宋体" w:cs="宋体"/>
          <w:color w:val="auto"/>
          <w:highlight w:val="none"/>
        </w:rPr>
      </w:pPr>
      <w:r>
        <w:rPr>
          <w:rFonts w:hint="eastAsia" w:ascii="宋体" w:hAnsi="宋体" w:eastAsia="宋体"/>
          <w:b w:val="0"/>
          <w:color w:val="auto"/>
          <w:highlight w:val="none"/>
        </w:rPr>
        <w:t>技术投标文件（含资格审查文件）</w:t>
      </w:r>
    </w:p>
    <w:p>
      <w:pPr>
        <w:pStyle w:val="34"/>
        <w:ind w:firstLine="496"/>
        <w:rPr>
          <w:rFonts w:ascii="宋体" w:hAnsi="宋体" w:cs="宋体"/>
          <w:color w:val="auto"/>
          <w:highlight w:val="none"/>
        </w:rPr>
      </w:pPr>
    </w:p>
    <w:p>
      <w:pPr>
        <w:pStyle w:val="34"/>
        <w:ind w:firstLine="496"/>
        <w:rPr>
          <w:rFonts w:ascii="宋体" w:hAnsi="宋体" w:cs="宋体"/>
          <w:color w:val="auto"/>
          <w:highlight w:val="none"/>
        </w:rPr>
      </w:pPr>
    </w:p>
    <w:p>
      <w:pPr>
        <w:pStyle w:val="34"/>
        <w:ind w:firstLine="496"/>
        <w:rPr>
          <w:rFonts w:ascii="宋体" w:hAnsi="宋体" w:cs="宋体"/>
          <w:color w:val="auto"/>
          <w:highlight w:val="none"/>
        </w:rPr>
      </w:pPr>
    </w:p>
    <w:p>
      <w:pPr>
        <w:pStyle w:val="34"/>
        <w:ind w:firstLine="496"/>
        <w:rPr>
          <w:rFonts w:ascii="宋体" w:hAnsi="宋体" w:cs="宋体"/>
          <w:color w:val="auto"/>
          <w:highlight w:val="none"/>
        </w:rPr>
      </w:pPr>
    </w:p>
    <w:p>
      <w:pPr>
        <w:pStyle w:val="34"/>
        <w:ind w:firstLine="496"/>
        <w:rPr>
          <w:rFonts w:ascii="宋体" w:hAnsi="宋体" w:cs="宋体"/>
          <w:color w:val="auto"/>
          <w:highlight w:val="none"/>
        </w:rPr>
      </w:pPr>
    </w:p>
    <w:p>
      <w:pPr>
        <w:pStyle w:val="34"/>
        <w:ind w:firstLine="496"/>
        <w:rPr>
          <w:rFonts w:ascii="宋体" w:hAnsi="宋体" w:cs="宋体"/>
          <w:color w:val="auto"/>
          <w:highlight w:val="none"/>
        </w:rPr>
      </w:pPr>
    </w:p>
    <w:p>
      <w:pPr>
        <w:pStyle w:val="34"/>
        <w:ind w:firstLine="496"/>
        <w:rPr>
          <w:rFonts w:ascii="宋体" w:hAnsi="宋体" w:cs="宋体"/>
          <w:color w:val="auto"/>
          <w:highlight w:val="none"/>
        </w:rPr>
      </w:pPr>
    </w:p>
    <w:p>
      <w:pPr>
        <w:pStyle w:val="38"/>
        <w:ind w:firstLine="616"/>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（填写投标人单位名称） </w:t>
      </w:r>
    </w:p>
    <w:p>
      <w:pPr>
        <w:pStyle w:val="4"/>
        <w:ind w:firstLine="540" w:firstLineChars="200"/>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p>
    <w:p>
      <w:pPr>
        <w:pStyle w:val="4"/>
        <w:rPr>
          <w:rFonts w:hint="eastAsia"/>
          <w:color w:val="auto"/>
          <w:highlight w:val="none"/>
        </w:rPr>
      </w:pPr>
    </w:p>
    <w:p>
      <w:pPr>
        <w:rPr>
          <w:rFonts w:hint="eastAsia"/>
          <w:color w:val="auto"/>
          <w:highlight w:val="none"/>
        </w:rPr>
      </w:pPr>
    </w:p>
    <w:p>
      <w:pPr>
        <w:rPr>
          <w:rFonts w:hint="eastAsia"/>
          <w:color w:val="auto"/>
          <w:highlight w:val="none"/>
        </w:rPr>
      </w:pPr>
    </w:p>
    <w:p>
      <w:pPr>
        <w:pStyle w:val="4"/>
        <w:rPr>
          <w:color w:val="auto"/>
          <w:highlight w:val="none"/>
        </w:rPr>
      </w:pPr>
      <w:r>
        <w:rPr>
          <w:rFonts w:hint="eastAsia"/>
          <w:color w:val="auto"/>
          <w:highlight w:val="none"/>
        </w:rPr>
        <w:t>格式一：</w:t>
      </w:r>
      <w:bookmarkEnd w:id="21"/>
      <w:bookmarkEnd w:id="22"/>
    </w:p>
    <w:p>
      <w:pPr>
        <w:jc w:val="center"/>
        <w:rPr>
          <w:rFonts w:cs="宋体"/>
          <w:b/>
          <w:color w:val="auto"/>
          <w:sz w:val="36"/>
          <w:szCs w:val="36"/>
          <w:highlight w:val="none"/>
        </w:rPr>
      </w:pPr>
      <w:bookmarkStart w:id="24" w:name="_Toc58838587"/>
      <w:r>
        <w:rPr>
          <w:rFonts w:hint="eastAsia" w:cs="宋体"/>
          <w:b/>
          <w:color w:val="auto"/>
          <w:sz w:val="36"/>
          <w:szCs w:val="36"/>
          <w:highlight w:val="none"/>
        </w:rPr>
        <w:t>广州建设工程施工招标投标书（技术标）</w:t>
      </w:r>
      <w:bookmarkEnd w:id="24"/>
    </w:p>
    <w:tbl>
      <w:tblPr>
        <w:tblStyle w:val="27"/>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 w:val="24"/>
                <w:szCs w:val="24"/>
                <w:highlight w:val="none"/>
                <w:lang w:val="zh-CN"/>
              </w:rPr>
            </w:pPr>
            <w:r>
              <w:rPr>
                <w:rFonts w:hint="eastAsia" w:cs="宋体"/>
                <w:color w:val="auto"/>
                <w:sz w:val="24"/>
                <w:szCs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4"/>
                <w:highlight w:val="none"/>
              </w:rPr>
            </w:pPr>
            <w:r>
              <w:rPr>
                <w:rFonts w:hint="eastAsia" w:cs="宋体"/>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4"/>
                <w:highlight w:val="none"/>
              </w:rPr>
            </w:pPr>
            <w:r>
              <w:rPr>
                <w:rFonts w:hint="eastAsia"/>
                <w:color w:val="auto"/>
                <w:sz w:val="24"/>
                <w:szCs w:val="24"/>
                <w:highlight w:val="none"/>
              </w:rPr>
              <w:t>姓   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bCs/>
                <w:color w:val="auto"/>
                <w:sz w:val="24"/>
                <w:szCs w:val="24"/>
                <w:highlight w:val="none"/>
                <w:lang w:val="zh-CN"/>
              </w:rPr>
              <w:t>姓   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cs="宋体"/>
                <w:bCs/>
                <w:color w:val="auto"/>
                <w:sz w:val="24"/>
                <w:szCs w:val="24"/>
                <w:highlight w:val="none"/>
                <w:lang w:val="zh-CN"/>
              </w:rPr>
            </w:pPr>
          </w:p>
        </w:tc>
      </w:tr>
    </w:tbl>
    <w:p>
      <w:pPr>
        <w:autoSpaceDE w:val="0"/>
        <w:autoSpaceDN w:val="0"/>
        <w:adjustRightInd w:val="0"/>
        <w:spacing w:line="360" w:lineRule="auto"/>
        <w:rPr>
          <w:rFonts w:cs="宋体"/>
          <w:color w:val="auto"/>
          <w:sz w:val="24"/>
          <w:szCs w:val="24"/>
          <w:highlight w:val="none"/>
        </w:rPr>
      </w:pPr>
      <w:r>
        <w:rPr>
          <w:b/>
          <w:color w:val="auto"/>
          <w:highlight w:val="none"/>
        </w:rPr>
        <w:br w:type="page"/>
      </w:r>
    </w:p>
    <w:bookmarkEnd w:id="23"/>
    <w:p>
      <w:pPr>
        <w:pStyle w:val="4"/>
        <w:spacing w:before="0" w:beforeAutospacing="0" w:after="0" w:afterAutospacing="0"/>
        <w:rPr>
          <w:color w:val="auto"/>
          <w:highlight w:val="none"/>
        </w:rPr>
      </w:pPr>
      <w:bookmarkStart w:id="25" w:name="_Toc61541787"/>
      <w:bookmarkStart w:id="26" w:name="_Toc60070622"/>
      <w:r>
        <w:rPr>
          <w:rFonts w:hint="eastAsia"/>
          <w:color w:val="auto"/>
          <w:highlight w:val="none"/>
        </w:rPr>
        <w:t>格式二：</w:t>
      </w:r>
      <w:bookmarkEnd w:id="25"/>
      <w:bookmarkEnd w:id="26"/>
    </w:p>
    <w:p>
      <w:pPr>
        <w:jc w:val="center"/>
        <w:rPr>
          <w:rFonts w:cs="宋体"/>
          <w:b/>
          <w:color w:val="auto"/>
          <w:sz w:val="36"/>
          <w:szCs w:val="36"/>
          <w:highlight w:val="none"/>
        </w:rPr>
      </w:pPr>
      <w:r>
        <w:rPr>
          <w:rFonts w:hint="eastAsia" w:cs="宋体"/>
          <w:b/>
          <w:color w:val="auto"/>
          <w:sz w:val="36"/>
          <w:szCs w:val="36"/>
          <w:highlight w:val="none"/>
        </w:rPr>
        <w:t>投标函</w:t>
      </w:r>
    </w:p>
    <w:p>
      <w:pPr>
        <w:topLinePunct/>
        <w:adjustRightInd w:val="0"/>
        <w:snapToGrid w:val="0"/>
        <w:spacing w:line="440" w:lineRule="exact"/>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致：</w:t>
      </w:r>
      <w:r>
        <w:rPr>
          <w:rFonts w:hint="eastAsia" w:cs="宋体"/>
          <w:snapToGrid w:val="0"/>
          <w:color w:val="auto"/>
          <w:spacing w:val="4"/>
          <w:kern w:val="0"/>
          <w:sz w:val="24"/>
          <w:szCs w:val="24"/>
          <w:highlight w:val="none"/>
          <w:u w:val="single"/>
        </w:rPr>
        <w:t xml:space="preserve"> （招标人名称） </w:t>
      </w:r>
    </w:p>
    <w:p>
      <w:pPr>
        <w:pStyle w:val="34"/>
        <w:ind w:firstLine="496"/>
        <w:rPr>
          <w:rFonts w:ascii="宋体" w:hAnsi="宋体" w:eastAsia="宋体"/>
          <w:color w:val="auto"/>
          <w:highlight w:val="none"/>
        </w:rPr>
      </w:pPr>
      <w:r>
        <w:rPr>
          <w:rFonts w:hint="eastAsia" w:ascii="宋体" w:hAnsi="宋体" w:eastAsia="宋体"/>
          <w:color w:val="auto"/>
          <w:highlight w:val="none"/>
        </w:rPr>
        <w:t>1.根据招标人</w:t>
      </w:r>
      <w:r>
        <w:rPr>
          <w:rFonts w:hint="eastAsia" w:ascii="宋体" w:hAnsi="宋体" w:eastAsia="宋体"/>
          <w:color w:val="auto"/>
          <w:highlight w:val="none"/>
          <w:u w:val="single"/>
        </w:rPr>
        <w:t xml:space="preserve"> （工程项目名称） </w:t>
      </w:r>
      <w:r>
        <w:rPr>
          <w:rFonts w:hint="eastAsia" w:ascii="宋体" w:hAnsi="宋体" w:eastAsia="宋体"/>
          <w:color w:val="auto"/>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34"/>
        <w:ind w:firstLine="496"/>
        <w:rPr>
          <w:rFonts w:ascii="宋体" w:hAnsi="宋体" w:eastAsia="宋体"/>
          <w:color w:val="auto"/>
          <w:highlight w:val="none"/>
        </w:rPr>
      </w:pPr>
      <w:r>
        <w:rPr>
          <w:rFonts w:hint="eastAsia" w:ascii="宋体" w:hAnsi="宋体" w:eastAsia="宋体"/>
          <w:color w:val="auto"/>
          <w:highlight w:val="none"/>
        </w:rPr>
        <w:t>2.我方已详细审核全部招标文件，包括修改文件（如有时）及有关附件。</w:t>
      </w:r>
    </w:p>
    <w:p>
      <w:pPr>
        <w:pStyle w:val="34"/>
        <w:ind w:firstLine="496"/>
        <w:rPr>
          <w:rFonts w:ascii="宋体" w:hAnsi="宋体" w:eastAsia="宋体"/>
          <w:color w:val="auto"/>
          <w:highlight w:val="none"/>
        </w:rPr>
      </w:pPr>
      <w:r>
        <w:rPr>
          <w:rFonts w:hint="eastAsia" w:ascii="宋体" w:hAnsi="宋体" w:eastAsia="宋体"/>
          <w:color w:val="auto"/>
          <w:highlight w:val="none"/>
        </w:rPr>
        <w:t>3.如果我方中标，我方保证按照合同文件中规定的开工日期开始施工，并按规定的预计竣工日期完成和交付全部工程。</w:t>
      </w:r>
    </w:p>
    <w:p>
      <w:pPr>
        <w:pStyle w:val="34"/>
        <w:ind w:firstLine="496"/>
        <w:rPr>
          <w:rFonts w:ascii="宋体" w:hAnsi="宋体" w:eastAsia="宋体"/>
          <w:color w:val="auto"/>
          <w:highlight w:val="none"/>
        </w:rPr>
      </w:pPr>
      <w:r>
        <w:rPr>
          <w:rFonts w:hint="eastAsia" w:ascii="宋体" w:hAnsi="宋体" w:eastAsia="宋体"/>
          <w:color w:val="auto"/>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pStyle w:val="34"/>
        <w:ind w:firstLine="496"/>
        <w:rPr>
          <w:rFonts w:ascii="宋体" w:hAnsi="宋体" w:eastAsia="宋体"/>
          <w:color w:val="auto"/>
          <w:highlight w:val="none"/>
          <w:u w:val="single"/>
        </w:rPr>
      </w:pPr>
      <w:r>
        <w:rPr>
          <w:rFonts w:hint="eastAsia" w:ascii="宋体" w:hAnsi="宋体" w:eastAsia="宋体"/>
          <w:color w:val="auto"/>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34"/>
        <w:ind w:firstLine="496"/>
        <w:rPr>
          <w:rFonts w:ascii="宋体" w:hAnsi="宋体" w:eastAsia="宋体"/>
          <w:color w:val="auto"/>
          <w:highlight w:val="none"/>
        </w:rPr>
      </w:pPr>
      <w:r>
        <w:rPr>
          <w:rFonts w:hint="eastAsia" w:ascii="宋体" w:hAnsi="宋体" w:eastAsia="宋体"/>
          <w:color w:val="auto"/>
          <w:highlight w:val="none"/>
        </w:rPr>
        <w:t>6.如果我方中标，我方将按照招标文件的规定，按时提交履约担保，以保障本项目优质、优价、按期、顺利完成。</w:t>
      </w:r>
    </w:p>
    <w:p>
      <w:pPr>
        <w:pStyle w:val="34"/>
        <w:ind w:firstLine="496"/>
        <w:rPr>
          <w:rFonts w:ascii="宋体" w:hAnsi="宋体" w:eastAsia="宋体"/>
          <w:color w:val="auto"/>
          <w:highlight w:val="none"/>
        </w:rPr>
      </w:pPr>
      <w:r>
        <w:rPr>
          <w:rFonts w:hint="eastAsia" w:ascii="宋体" w:hAnsi="宋体" w:eastAsia="宋体"/>
          <w:color w:val="auto"/>
          <w:highlight w:val="none"/>
        </w:rPr>
        <w:t>7.我方同意所提交的投标文件在招标文件投标须知中第15条规定的投标有效期内有效，在此期限届满之前，本投标书始终将对我方具有约束力，并随时接受中标。</w:t>
      </w:r>
    </w:p>
    <w:p>
      <w:pPr>
        <w:pStyle w:val="34"/>
        <w:ind w:firstLine="496"/>
        <w:rPr>
          <w:rFonts w:ascii="宋体" w:hAnsi="宋体" w:eastAsia="宋体"/>
          <w:color w:val="auto"/>
          <w:highlight w:val="none"/>
        </w:rPr>
      </w:pPr>
      <w:r>
        <w:rPr>
          <w:rFonts w:hint="eastAsia" w:ascii="宋体" w:hAnsi="宋体" w:eastAsia="宋体"/>
          <w:color w:val="auto"/>
          <w:highlight w:val="none"/>
        </w:rPr>
        <w:t>8.在合同协议书正式签署生效之前，本投标书连同你单位的中标通知书将构成我们双方之间共同遵守的文件，对双方具有约束力。</w:t>
      </w:r>
    </w:p>
    <w:p>
      <w:pPr>
        <w:pStyle w:val="34"/>
        <w:ind w:firstLine="496"/>
        <w:rPr>
          <w:rFonts w:ascii="宋体" w:hAnsi="宋体" w:eastAsia="宋体"/>
          <w:color w:val="auto"/>
          <w:highlight w:val="none"/>
        </w:rPr>
      </w:pPr>
      <w:r>
        <w:rPr>
          <w:rFonts w:hint="eastAsia" w:ascii="宋体" w:hAnsi="宋体" w:eastAsia="宋体"/>
          <w:color w:val="auto"/>
          <w:highlight w:val="none"/>
        </w:rPr>
        <w:t>9.随同本投标文件，我方已提交人民币</w:t>
      </w:r>
      <w:r>
        <w:rPr>
          <w:rFonts w:hint="eastAsia" w:ascii="宋体" w:hAnsi="宋体" w:eastAsia="宋体"/>
          <w:color w:val="auto"/>
          <w:highlight w:val="none"/>
          <w:u w:val="single"/>
        </w:rPr>
        <w:t xml:space="preserve">          </w:t>
      </w:r>
      <w:r>
        <w:rPr>
          <w:rFonts w:hint="eastAsia" w:ascii="宋体" w:hAnsi="宋体" w:eastAsia="宋体"/>
          <w:color w:val="auto"/>
          <w:highlight w:val="none"/>
          <w:u w:val="none"/>
        </w:rPr>
        <w:t xml:space="preserve"> 元</w:t>
      </w:r>
      <w:r>
        <w:rPr>
          <w:rFonts w:hint="eastAsia" w:ascii="宋体" w:hAnsi="宋体" w:eastAsia="宋体"/>
          <w:color w:val="auto"/>
          <w:highlight w:val="none"/>
        </w:rPr>
        <w:t>的投标担保。如果我方在投标文件有效期内撤销投标文件；或在接到中标通知书后30天内未能或拒绝签订合同协议书；或未能按招标文件要求提交履约担保，你单位有权没收投标保证金，另选中标单位。</w:t>
      </w:r>
    </w:p>
    <w:p>
      <w:pPr>
        <w:pStyle w:val="34"/>
        <w:ind w:firstLine="496"/>
        <w:rPr>
          <w:rFonts w:ascii="宋体" w:hAnsi="宋体" w:eastAsia="宋体"/>
          <w:color w:val="auto"/>
          <w:highlight w:val="none"/>
        </w:rPr>
      </w:pPr>
      <w:r>
        <w:rPr>
          <w:rFonts w:hint="eastAsia" w:ascii="宋体" w:hAnsi="宋体" w:eastAsia="宋体"/>
          <w:color w:val="auto"/>
          <w:highlight w:val="none"/>
        </w:rPr>
        <w:t>10.我方理解，你单位不一定接受最低标价的投标或你单位接到的其它任何投标。同时也理解，你单位不负担我方的任何投标费用。</w:t>
      </w:r>
    </w:p>
    <w:p>
      <w:pPr>
        <w:pStyle w:val="34"/>
        <w:ind w:firstLine="496"/>
        <w:rPr>
          <w:rFonts w:ascii="宋体" w:hAnsi="宋体" w:eastAsia="宋体"/>
          <w:color w:val="auto"/>
          <w:highlight w:val="none"/>
        </w:rPr>
      </w:pPr>
    </w:p>
    <w:p>
      <w:pPr>
        <w:pStyle w:val="34"/>
        <w:ind w:firstLine="496"/>
        <w:rPr>
          <w:rFonts w:ascii="宋体" w:hAnsi="宋体" w:eastAsia="宋体"/>
          <w:color w:val="auto"/>
          <w:highlight w:val="none"/>
        </w:rPr>
      </w:pPr>
    </w:p>
    <w:p>
      <w:pPr>
        <w:pStyle w:val="34"/>
        <w:ind w:firstLine="496"/>
        <w:rPr>
          <w:rFonts w:ascii="宋体" w:hAnsi="宋体" w:eastAsia="宋体"/>
          <w:color w:val="auto"/>
          <w:highlight w:val="none"/>
        </w:rPr>
      </w:pPr>
    </w:p>
    <w:p>
      <w:pPr>
        <w:pStyle w:val="34"/>
        <w:ind w:firstLine="691" w:firstLineChars="279"/>
        <w:rPr>
          <w:rFonts w:ascii="宋体" w:hAnsi="宋体" w:eastAsia="宋体"/>
          <w:color w:val="auto"/>
          <w:highlight w:val="none"/>
        </w:rPr>
      </w:pPr>
      <w:r>
        <w:rPr>
          <w:rFonts w:hint="eastAsia" w:ascii="宋体" w:hAnsi="宋体" w:eastAsia="宋体"/>
          <w:color w:val="auto"/>
          <w:highlight w:val="none"/>
        </w:rPr>
        <w:t>投 标 人：</w:t>
      </w:r>
    </w:p>
    <w:p>
      <w:pPr>
        <w:pStyle w:val="34"/>
        <w:ind w:firstLine="691" w:firstLineChars="279"/>
        <w:rPr>
          <w:rFonts w:hint="eastAsia" w:ascii="宋体" w:hAnsi="宋体" w:eastAsia="宋体"/>
          <w:color w:val="auto"/>
          <w:highlight w:val="none"/>
        </w:rPr>
      </w:pPr>
      <w:r>
        <w:rPr>
          <w:rFonts w:hint="eastAsia" w:ascii="宋体" w:hAnsi="宋体" w:eastAsia="宋体"/>
          <w:color w:val="auto"/>
          <w:highlight w:val="none"/>
        </w:rPr>
        <w:t xml:space="preserve">日    期：    年    月    日 </w:t>
      </w:r>
    </w:p>
    <w:p>
      <w:pPr>
        <w:autoSpaceDN w:val="0"/>
        <w:jc w:val="center"/>
        <w:rPr>
          <w:rFonts w:cs="宋体"/>
          <w:color w:val="auto"/>
          <w:szCs w:val="20"/>
          <w:highlight w:val="none"/>
        </w:rPr>
      </w:pPr>
      <w:r>
        <w:rPr>
          <w:rFonts w:hint="eastAsia" w:cs="宋体"/>
          <w:color w:val="auto"/>
          <w:szCs w:val="20"/>
          <w:highlight w:val="none"/>
        </w:rPr>
        <w:br w:type="page"/>
      </w:r>
    </w:p>
    <w:p>
      <w:pPr>
        <w:tabs>
          <w:tab w:val="left" w:pos="720"/>
        </w:tabs>
        <w:snapToGrid w:val="0"/>
        <w:spacing w:line="440" w:lineRule="exact"/>
        <w:rPr>
          <w:rFonts w:hint="eastAsia"/>
          <w:color w:val="auto"/>
          <w:sz w:val="24"/>
          <w:szCs w:val="24"/>
          <w:highlight w:val="none"/>
        </w:rPr>
      </w:pPr>
      <w:bookmarkStart w:id="27" w:name="_Toc61541788"/>
      <w:bookmarkStart w:id="28" w:name="_Toc60070623"/>
      <w:r>
        <w:rPr>
          <w:rFonts w:hint="eastAsia"/>
          <w:color w:val="auto"/>
          <w:sz w:val="24"/>
          <w:szCs w:val="24"/>
          <w:highlight w:val="none"/>
        </w:rPr>
        <w:t>格式三：</w:t>
      </w:r>
      <w:bookmarkEnd w:id="27"/>
      <w:bookmarkEnd w:id="28"/>
    </w:p>
    <w:p>
      <w:pPr>
        <w:widowControl/>
        <w:topLinePunct/>
        <w:adjustRightInd w:val="0"/>
        <w:snapToGrid w:val="0"/>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法定代表人（负责人）证明书、法定代表人授权委托书</w:t>
      </w:r>
    </w:p>
    <w:p>
      <w:pPr>
        <w:spacing w:line="360" w:lineRule="auto"/>
        <w:rPr>
          <w:rFonts w:ascii="宋体" w:hAnsi="宋体" w:cs="宋体"/>
          <w:color w:val="auto"/>
          <w:sz w:val="24"/>
          <w:highlight w:val="none"/>
        </w:rPr>
      </w:pPr>
    </w:p>
    <w:p>
      <w:pPr>
        <w:spacing w:line="360" w:lineRule="auto"/>
        <w:jc w:val="center"/>
        <w:rPr>
          <w:rFonts w:ascii="宋体" w:hAnsi="宋体" w:cs="宋体"/>
          <w:b/>
          <w:color w:val="auto"/>
          <w:sz w:val="28"/>
          <w:highlight w:val="none"/>
        </w:rPr>
      </w:pPr>
      <w:r>
        <w:rPr>
          <w:rFonts w:hint="eastAsia" w:ascii="宋体" w:hAnsi="宋体" w:cs="宋体"/>
          <w:b/>
          <w:color w:val="auto"/>
          <w:sz w:val="28"/>
          <w:highlight w:val="none"/>
        </w:rPr>
        <w:t>法定代表人（负责人）证明书</w:t>
      </w:r>
    </w:p>
    <w:p>
      <w:pPr>
        <w:spacing w:line="360" w:lineRule="auto"/>
        <w:jc w:val="right"/>
        <w:rPr>
          <w:rFonts w:ascii="宋体" w:hAnsi="宋体" w:cs="宋体"/>
          <w:color w:val="auto"/>
          <w:sz w:val="24"/>
          <w:highlight w:val="none"/>
        </w:rPr>
      </w:pPr>
      <w:r>
        <w:rPr>
          <w:rFonts w:hint="eastAsia" w:ascii="宋体" w:hAnsi="宋体" w:cs="宋体"/>
          <w:color w:val="auto"/>
          <w:highlight w:val="none"/>
        </w:rPr>
        <w:t>（　 ）第　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noWrap w:val="0"/>
            <w:vAlign w:val="top"/>
          </w:tcPr>
          <w:p>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现任我单位</w:t>
            </w:r>
            <w:r>
              <w:rPr>
                <w:rFonts w:hint="eastAsia" w:ascii="宋体" w:hAnsi="宋体" w:cs="宋体"/>
                <w:color w:val="auto"/>
                <w:sz w:val="24"/>
                <w:highlight w:val="none"/>
                <w:u w:val="single"/>
              </w:rPr>
              <w:t>　　　　　</w:t>
            </w:r>
            <w:r>
              <w:rPr>
                <w:rFonts w:hint="eastAsia" w:ascii="宋体" w:hAnsi="宋体" w:cs="宋体"/>
                <w:color w:val="auto"/>
                <w:sz w:val="24"/>
                <w:highlight w:val="none"/>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u w:val="single"/>
              </w:rPr>
            </w:pPr>
            <w:r>
              <w:rPr>
                <w:rFonts w:hint="eastAsia" w:ascii="宋体" w:hAnsi="宋体" w:cs="宋体"/>
                <w:color w:val="auto"/>
                <w:sz w:val="24"/>
                <w:highlight w:val="none"/>
              </w:rPr>
              <w:t>有效期限：</w:t>
            </w:r>
            <w:r>
              <w:rPr>
                <w:rFonts w:hint="eastAsia" w:ascii="宋体" w:hAnsi="宋体" w:cs="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u w:val="single"/>
              </w:rPr>
            </w:pPr>
            <w:r>
              <w:rPr>
                <w:rFonts w:hint="eastAsia" w:ascii="宋体" w:hAnsi="宋体" w:cs="宋体"/>
                <w:color w:val="auto"/>
                <w:sz w:val="24"/>
                <w:highlight w:val="none"/>
              </w:rPr>
              <w:t>附：法定代表人（负责人）性别：</w:t>
            </w:r>
            <w:r>
              <w:rPr>
                <w:rFonts w:hint="eastAsia" w:ascii="宋体" w:hAnsi="宋体" w:cs="宋体"/>
                <w:color w:val="auto"/>
                <w:sz w:val="24"/>
                <w:highlight w:val="none"/>
                <w:u w:val="single"/>
              </w:rPr>
              <w:t>　　</w:t>
            </w:r>
            <w:r>
              <w:rPr>
                <w:rFonts w:hint="eastAsia" w:ascii="宋体" w:hAnsi="宋体" w:cs="宋体"/>
                <w:color w:val="auto"/>
                <w:sz w:val="24"/>
                <w:highlight w:val="none"/>
              </w:rPr>
              <w:t>年龄：</w:t>
            </w:r>
            <w:r>
              <w:rPr>
                <w:rFonts w:hint="eastAsia" w:ascii="宋体" w:hAnsi="宋体" w:cs="宋体"/>
                <w:color w:val="auto"/>
                <w:sz w:val="24"/>
                <w:highlight w:val="none"/>
                <w:u w:val="single"/>
              </w:rPr>
              <w:t>　　</w:t>
            </w: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u w:val="single"/>
              </w:rPr>
            </w:pPr>
            <w:r>
              <w:rPr>
                <w:rFonts w:hint="eastAsia" w:ascii="宋体" w:hAnsi="宋体" w:cs="宋体"/>
                <w:color w:val="auto"/>
                <w:sz w:val="24"/>
                <w:highlight w:val="none"/>
              </w:rPr>
              <w:t>注册号码：</w:t>
            </w:r>
            <w:r>
              <w:rPr>
                <w:rFonts w:hint="eastAsia" w:ascii="宋体" w:hAnsi="宋体" w:cs="宋体"/>
                <w:color w:val="auto"/>
                <w:sz w:val="24"/>
                <w:highlight w:val="none"/>
                <w:u w:val="single"/>
              </w:rPr>
              <w:t>　　　　　　　　　　</w:t>
            </w:r>
            <w:r>
              <w:rPr>
                <w:rFonts w:hint="eastAsia" w:ascii="宋体" w:hAnsi="宋体" w:cs="宋体"/>
                <w:color w:val="auto"/>
                <w:sz w:val="24"/>
                <w:highlight w:val="none"/>
              </w:rPr>
              <w:t>企业类型：</w:t>
            </w:r>
            <w:r>
              <w:rPr>
                <w:rFonts w:hint="eastAsia" w:ascii="宋体" w:hAnsi="宋体" w:cs="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u w:val="single"/>
              </w:rPr>
            </w:pPr>
            <w:r>
              <w:rPr>
                <w:rFonts w:hint="eastAsia" w:ascii="宋体" w:hAnsi="宋体" w:cs="宋体"/>
                <w:color w:val="auto"/>
                <w:sz w:val="24"/>
                <w:highlight w:val="none"/>
              </w:rPr>
              <w:t>经营范围：</w:t>
            </w:r>
            <w:r>
              <w:rPr>
                <w:rFonts w:hint="eastAsia" w:ascii="宋体" w:hAnsi="宋体" w:cs="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　　　　　    年　月　　日</w:t>
            </w:r>
          </w:p>
        </w:tc>
      </w:tr>
    </w:tbl>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法定代表人授权委托书</w:t>
      </w:r>
    </w:p>
    <w:p>
      <w:pPr>
        <w:spacing w:line="360" w:lineRule="auto"/>
        <w:jc w:val="right"/>
        <w:rPr>
          <w:rFonts w:ascii="宋体" w:hAnsi="宋体" w:cs="宋体"/>
          <w:color w:val="auto"/>
          <w:sz w:val="24"/>
          <w:highlight w:val="none"/>
        </w:rPr>
      </w:pPr>
      <w:r>
        <w:rPr>
          <w:rFonts w:hint="eastAsia" w:ascii="宋体" w:hAnsi="宋体" w:cs="宋体"/>
          <w:color w:val="auto"/>
          <w:highlight w:val="none"/>
        </w:rPr>
        <w:t>（　 ）第　号</w:t>
      </w:r>
    </w:p>
    <w:tbl>
      <w:tblPr>
        <w:tblStyle w:val="27"/>
        <w:tblW w:w="0" w:type="auto"/>
        <w:jc w:val="center"/>
        <w:tblLayout w:type="fixed"/>
        <w:tblCellMar>
          <w:top w:w="0" w:type="dxa"/>
          <w:left w:w="108" w:type="dxa"/>
          <w:bottom w:w="0" w:type="dxa"/>
          <w:right w:w="108" w:type="dxa"/>
        </w:tblCellMar>
      </w:tblPr>
      <w:tblGrid>
        <w:gridCol w:w="9287"/>
      </w:tblGrid>
      <w:tr>
        <w:tblPrEx>
          <w:tblCellMar>
            <w:top w:w="0" w:type="dxa"/>
            <w:left w:w="108" w:type="dxa"/>
            <w:bottom w:w="0" w:type="dxa"/>
            <w:right w:w="108" w:type="dxa"/>
          </w:tblCellMar>
        </w:tblPrEx>
        <w:trPr>
          <w:jc w:val="center"/>
        </w:trPr>
        <w:tc>
          <w:tcPr>
            <w:tcW w:w="928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为我方委托代理人，其权限是：</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有效期限：</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附：代理人性别：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注册号码：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企业类型：</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经营范围：</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法定代表人（负责人）：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（签名或盖章）</w:t>
            </w:r>
          </w:p>
          <w:p>
            <w:pPr>
              <w:spacing w:line="360" w:lineRule="auto"/>
              <w:rPr>
                <w:rFonts w:ascii="宋体" w:hAnsi="宋体" w:cs="宋体"/>
                <w:color w:val="auto"/>
                <w:sz w:val="24"/>
                <w:highlight w:val="none"/>
              </w:rPr>
            </w:pPr>
            <w:r>
              <w:rPr>
                <w:rFonts w:hint="eastAsia" w:ascii="宋体" w:hAnsi="宋体" w:cs="宋体"/>
                <w:color w:val="auto"/>
                <w:sz w:val="24"/>
                <w:highlight w:val="none"/>
              </w:rPr>
              <w:t>授权单位：（盖章）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5880" w:firstLineChars="2450"/>
              <w:rPr>
                <w:rFonts w:ascii="宋体" w:hAnsi="宋体" w:cs="宋体"/>
                <w:color w:val="auto"/>
                <w:sz w:val="24"/>
                <w:highlight w:val="none"/>
              </w:rPr>
            </w:pPr>
            <w:r>
              <w:rPr>
                <w:rFonts w:hint="eastAsia" w:ascii="宋体" w:hAnsi="宋体" w:cs="宋体"/>
                <w:color w:val="auto"/>
                <w:sz w:val="24"/>
                <w:highlight w:val="none"/>
              </w:rPr>
              <w:t>年  月   日</w:t>
            </w: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注：本格式供参考。</w:t>
      </w:r>
    </w:p>
    <w:p>
      <w:pPr>
        <w:topLinePunct/>
        <w:adjustRightInd w:val="0"/>
        <w:snapToGrid w:val="0"/>
        <w:jc w:val="left"/>
        <w:outlineLvl w:val="2"/>
        <w:rPr>
          <w:rFonts w:hint="eastAsia" w:ascii="宋体" w:hAnsi="宋体" w:cs="宋体"/>
          <w:snapToGrid w:val="0"/>
          <w:color w:val="auto"/>
          <w:spacing w:val="4"/>
          <w:kern w:val="0"/>
          <w:sz w:val="24"/>
          <w:szCs w:val="24"/>
          <w:highlight w:val="none"/>
        </w:rPr>
      </w:pPr>
    </w:p>
    <w:p>
      <w:pPr>
        <w:rPr>
          <w:rFonts w:hint="eastAsia"/>
          <w:color w:val="auto"/>
          <w:highlight w:val="none"/>
        </w:rPr>
      </w:pPr>
      <w:bookmarkStart w:id="29" w:name="_Toc60070624"/>
      <w:bookmarkStart w:id="30" w:name="_Toc61541789"/>
      <w:r>
        <w:rPr>
          <w:rFonts w:hint="eastAsia"/>
          <w:color w:val="auto"/>
          <w:highlight w:val="none"/>
        </w:rPr>
        <w:br w:type="page"/>
      </w:r>
    </w:p>
    <w:p>
      <w:pPr>
        <w:tabs>
          <w:tab w:val="left" w:pos="720"/>
        </w:tabs>
        <w:snapToGrid w:val="0"/>
        <w:spacing w:line="400" w:lineRule="exact"/>
        <w:jc w:val="both"/>
        <w:rPr>
          <w:rFonts w:hint="eastAsia" w:cs="Times New Roman"/>
          <w:color w:val="auto"/>
          <w:kern w:val="0"/>
          <w:sz w:val="27"/>
          <w:szCs w:val="27"/>
          <w:highlight w:val="none"/>
          <w:u w:val="none"/>
        </w:rPr>
      </w:pPr>
      <w:r>
        <w:rPr>
          <w:rFonts w:hint="eastAsia"/>
          <w:color w:val="auto"/>
          <w:kern w:val="0"/>
          <w:sz w:val="27"/>
          <w:szCs w:val="27"/>
          <w:highlight w:val="none"/>
        </w:rPr>
        <w:t>格式四</w:t>
      </w:r>
      <w:r>
        <w:rPr>
          <w:rFonts w:hint="eastAsia"/>
          <w:snapToGrid/>
          <w:color w:val="auto"/>
          <w:spacing w:val="0"/>
          <w:kern w:val="0"/>
          <w:sz w:val="27"/>
          <w:szCs w:val="27"/>
          <w:highlight w:val="none"/>
        </w:rPr>
        <w:t>：</w:t>
      </w:r>
      <w:bookmarkEnd w:id="29"/>
      <w:bookmarkEnd w:id="30"/>
    </w:p>
    <w:p>
      <w:pPr>
        <w:widowControl/>
        <w:shd w:val="clear" w:color="auto" w:fill="FFFFFF"/>
        <w:spacing w:line="480" w:lineRule="exact"/>
        <w:ind w:firstLine="643" w:firstLineChars="200"/>
        <w:jc w:val="center"/>
        <w:rPr>
          <w:rFonts w:cs="宋体"/>
          <w:b/>
          <w:color w:val="auto"/>
          <w:kern w:val="0"/>
          <w:sz w:val="32"/>
          <w:szCs w:val="32"/>
          <w:highlight w:val="none"/>
          <w:lang w:bidi="ar"/>
        </w:rPr>
      </w:pPr>
      <w:r>
        <w:rPr>
          <w:rFonts w:hint="eastAsia" w:cs="宋体"/>
          <w:b/>
          <w:color w:val="auto"/>
          <w:kern w:val="0"/>
          <w:sz w:val="32"/>
          <w:szCs w:val="32"/>
          <w:highlight w:val="none"/>
          <w:lang w:bidi="ar"/>
        </w:rPr>
        <w:t>施工项目管理团队人员信息表</w:t>
      </w:r>
    </w:p>
    <w:p>
      <w:pPr>
        <w:widowControl/>
        <w:shd w:val="clear" w:color="auto" w:fill="FFFFFF"/>
        <w:ind w:firstLine="201" w:firstLineChars="200"/>
        <w:jc w:val="center"/>
        <w:rPr>
          <w:rFonts w:cs="宋体"/>
          <w:b/>
          <w:color w:val="auto"/>
          <w:kern w:val="0"/>
          <w:sz w:val="10"/>
          <w:szCs w:val="10"/>
          <w:highlight w:val="none"/>
          <w:lang w:bidi="ar"/>
        </w:rPr>
      </w:pPr>
    </w:p>
    <w:tbl>
      <w:tblPr>
        <w:tblStyle w:val="27"/>
        <w:tblW w:w="9038" w:type="dxa"/>
        <w:jc w:val="center"/>
        <w:tblLayout w:type="fixed"/>
        <w:tblCellMar>
          <w:top w:w="0" w:type="dxa"/>
          <w:left w:w="0" w:type="dxa"/>
          <w:bottom w:w="0" w:type="dxa"/>
          <w:right w:w="0" w:type="dxa"/>
        </w:tblCellMar>
      </w:tblPr>
      <w:tblGrid>
        <w:gridCol w:w="635"/>
        <w:gridCol w:w="1642"/>
        <w:gridCol w:w="2284"/>
        <w:gridCol w:w="1800"/>
        <w:gridCol w:w="2677"/>
      </w:tblGrid>
      <w:tr>
        <w:tblPrEx>
          <w:tblCellMar>
            <w:top w:w="0" w:type="dxa"/>
            <w:left w:w="0" w:type="dxa"/>
            <w:bottom w:w="0" w:type="dxa"/>
            <w:right w:w="0" w:type="dxa"/>
          </w:tblCellMar>
        </w:tblPrEx>
        <w:trPr>
          <w:trHeight w:val="491"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color w:val="auto"/>
                <w:szCs w:val="21"/>
                <w:highlight w:val="none"/>
              </w:rPr>
            </w:pPr>
            <w:r>
              <w:rPr>
                <w:rFonts w:hint="eastAsia" w:cs="宋体"/>
                <w:b/>
                <w:color w:val="auto"/>
                <w:kern w:val="0"/>
                <w:szCs w:val="21"/>
                <w:highlight w:val="none"/>
                <w:lang w:bidi="ar"/>
              </w:rPr>
              <w:t>序号</w:t>
            </w:r>
          </w:p>
        </w:tc>
        <w:tc>
          <w:tcPr>
            <w:tcW w:w="1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color w:val="auto"/>
                <w:szCs w:val="21"/>
                <w:highlight w:val="none"/>
              </w:rPr>
            </w:pPr>
            <w:r>
              <w:rPr>
                <w:rFonts w:hint="eastAsia" w:cs="宋体"/>
                <w:b/>
                <w:color w:val="auto"/>
                <w:kern w:val="0"/>
                <w:szCs w:val="21"/>
                <w:highlight w:val="none"/>
                <w:lang w:bidi="ar"/>
              </w:rPr>
              <w:t>姓名</w:t>
            </w:r>
          </w:p>
        </w:tc>
        <w:tc>
          <w:tcPr>
            <w:tcW w:w="2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color w:val="auto"/>
                <w:szCs w:val="21"/>
                <w:highlight w:val="none"/>
              </w:rPr>
            </w:pPr>
            <w:r>
              <w:rPr>
                <w:rFonts w:hint="eastAsia" w:cs="宋体"/>
                <w:b/>
                <w:color w:val="auto"/>
                <w:kern w:val="0"/>
                <w:szCs w:val="21"/>
                <w:highlight w:val="none"/>
                <w:lang w:bidi="ar"/>
              </w:rPr>
              <w:t>岗位</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color w:val="auto"/>
                <w:szCs w:val="21"/>
                <w:highlight w:val="none"/>
              </w:rPr>
            </w:pPr>
            <w:r>
              <w:rPr>
                <w:rFonts w:hint="eastAsia" w:cs="宋体"/>
                <w:b/>
                <w:color w:val="auto"/>
                <w:kern w:val="0"/>
                <w:szCs w:val="21"/>
                <w:highlight w:val="none"/>
                <w:lang w:bidi="ar"/>
              </w:rPr>
              <w:t>职称</w:t>
            </w:r>
          </w:p>
        </w:tc>
        <w:tc>
          <w:tcPr>
            <w:tcW w:w="2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b/>
                <w:color w:val="auto"/>
                <w:szCs w:val="21"/>
                <w:highlight w:val="none"/>
              </w:rPr>
            </w:pPr>
            <w:r>
              <w:rPr>
                <w:rFonts w:hint="eastAsia" w:cs="宋体"/>
                <w:b/>
                <w:color w:val="auto"/>
                <w:kern w:val="0"/>
                <w:szCs w:val="21"/>
                <w:highlight w:val="none"/>
                <w:lang w:bidi="ar"/>
              </w:rPr>
              <w:t>职称证书或资格证书编号</w:t>
            </w: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auto"/>
                <w:szCs w:val="21"/>
                <w:highlight w:val="none"/>
              </w:rPr>
            </w:pPr>
            <w:r>
              <w:rPr>
                <w:rFonts w:hint="eastAsia" w:cs="宋体"/>
                <w:color w:val="auto"/>
                <w:kern w:val="0"/>
                <w:szCs w:val="21"/>
                <w:highlight w:val="none"/>
                <w:lang w:bidi="ar"/>
              </w:rPr>
              <w:t>1</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r>
              <w:rPr>
                <w:rFonts w:hint="eastAsia" w:ascii="宋体" w:hAnsi="宋体"/>
                <w:color w:val="auto"/>
                <w:spacing w:val="-2"/>
                <w:kern w:val="0"/>
                <w:szCs w:val="21"/>
                <w:highlight w:val="none"/>
              </w:rPr>
              <w:t>技术负责人</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auto"/>
                <w:szCs w:val="21"/>
                <w:highlight w:val="none"/>
              </w:rPr>
            </w:pPr>
            <w:r>
              <w:rPr>
                <w:rFonts w:hint="eastAsia" w:cs="宋体"/>
                <w:color w:val="auto"/>
                <w:kern w:val="0"/>
                <w:szCs w:val="21"/>
                <w:highlight w:val="none"/>
                <w:lang w:bidi="ar"/>
              </w:rPr>
              <w:t>2</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auto"/>
                <w:szCs w:val="21"/>
                <w:highlight w:val="none"/>
              </w:rPr>
            </w:pPr>
            <w:r>
              <w:rPr>
                <w:rFonts w:hint="eastAsia" w:cs="宋体"/>
                <w:color w:val="auto"/>
                <w:kern w:val="0"/>
                <w:szCs w:val="21"/>
                <w:highlight w:val="none"/>
                <w:lang w:bidi="ar"/>
              </w:rPr>
              <w:t>3</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color w:val="auto"/>
                <w:szCs w:val="21"/>
                <w:highlight w:val="none"/>
              </w:rPr>
            </w:pPr>
            <w:r>
              <w:rPr>
                <w:rFonts w:hint="eastAsia" w:cs="宋体"/>
                <w:color w:val="auto"/>
                <w:kern w:val="0"/>
                <w:szCs w:val="21"/>
                <w:highlight w:val="none"/>
                <w:lang w:bidi="ar"/>
              </w:rPr>
              <w:t>4</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r>
              <w:rPr>
                <w:rFonts w:hint="eastAsia" w:cs="宋体"/>
                <w:color w:val="auto"/>
                <w:kern w:val="0"/>
                <w:szCs w:val="21"/>
                <w:highlight w:val="none"/>
                <w:lang w:bidi="ar"/>
              </w:rPr>
              <w:t>……</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color w:val="auto"/>
                <w:szCs w:val="21"/>
                <w:highlight w:val="none"/>
              </w:rPr>
            </w:pPr>
          </w:p>
        </w:tc>
      </w:tr>
      <w:tr>
        <w:tblPrEx>
          <w:tblCellMar>
            <w:top w:w="0" w:type="dxa"/>
            <w:left w:w="0" w:type="dxa"/>
            <w:bottom w:w="0" w:type="dxa"/>
            <w:right w:w="0" w:type="dxa"/>
          </w:tblCellMar>
        </w:tblPrEx>
        <w:trPr>
          <w:trHeight w:val="3644" w:hRule="atLeast"/>
          <w:jc w:val="center"/>
        </w:trPr>
        <w:tc>
          <w:tcPr>
            <w:tcW w:w="903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50"/>
                <w:rFonts w:hint="eastAsia" w:ascii="宋体" w:hAnsi="宋体" w:eastAsia="宋体" w:cs="宋体"/>
                <w:color w:val="auto"/>
                <w:sz w:val="21"/>
                <w:szCs w:val="21"/>
                <w:highlight w:val="none"/>
                <w:lang w:eastAsia="zh-CN" w:bidi="ar"/>
              </w:rPr>
            </w:pPr>
            <w:r>
              <w:rPr>
                <w:rStyle w:val="50"/>
                <w:rFonts w:hint="default" w:ascii="宋体" w:hAnsi="宋体" w:eastAsia="宋体" w:cs="宋体"/>
                <w:color w:val="auto"/>
                <w:sz w:val="21"/>
                <w:szCs w:val="21"/>
                <w:highlight w:val="none"/>
                <w:lang w:bidi="ar"/>
              </w:rPr>
              <w:t>备注：</w:t>
            </w:r>
          </w:p>
          <w:p>
            <w:pPr>
              <w:widowControl/>
              <w:jc w:val="left"/>
              <w:textAlignment w:val="center"/>
              <w:rPr>
                <w:rFonts w:hint="eastAsia" w:cs="宋体"/>
                <w:color w:val="auto"/>
                <w:szCs w:val="21"/>
                <w:highlight w:val="none"/>
              </w:rPr>
            </w:pPr>
            <w:r>
              <w:rPr>
                <w:rFonts w:hint="eastAsia" w:cs="宋体"/>
                <w:color w:val="auto"/>
                <w:szCs w:val="21"/>
                <w:highlight w:val="none"/>
              </w:rPr>
              <w:t>1、“岗位”要求（除项目负责人外）：拟派驻施工现场的技术负责人等。以上项目管理团队人员信息将由交易系统提取后供各相关单位在履约时比对、查核。</w:t>
            </w:r>
          </w:p>
          <w:p>
            <w:pPr>
              <w:widowControl/>
              <w:jc w:val="left"/>
              <w:textAlignment w:val="center"/>
              <w:rPr>
                <w:rFonts w:hint="eastAsia" w:cs="宋体"/>
                <w:color w:val="auto"/>
                <w:szCs w:val="21"/>
                <w:highlight w:val="none"/>
              </w:rPr>
            </w:pPr>
            <w:r>
              <w:rPr>
                <w:rFonts w:hint="eastAsia" w:cs="宋体"/>
                <w:color w:val="auto"/>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cs="宋体"/>
                <w:color w:val="auto"/>
                <w:szCs w:val="21"/>
                <w:highlight w:val="none"/>
              </w:rPr>
            </w:pPr>
            <w:r>
              <w:rPr>
                <w:rFonts w:hint="eastAsia" w:cs="宋体"/>
                <w:color w:val="auto"/>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34"/>
        <w:ind w:firstLine="3161" w:firstLineChars="1450"/>
        <w:rPr>
          <w:rFonts w:hint="default" w:cs="宋体"/>
          <w:color w:val="auto"/>
          <w:sz w:val="21"/>
          <w:szCs w:val="21"/>
          <w:highlight w:val="none"/>
        </w:rPr>
      </w:pPr>
      <w:r>
        <w:rPr>
          <w:rFonts w:cs="宋体"/>
          <w:color w:val="auto"/>
          <w:sz w:val="21"/>
          <w:szCs w:val="21"/>
          <w:highlight w:val="none"/>
        </w:rPr>
        <w:t>投标人：　　</w:t>
      </w:r>
    </w:p>
    <w:p>
      <w:pPr>
        <w:ind w:right="42" w:rightChars="20" w:firstLine="3150" w:firstLineChars="1500"/>
        <w:jc w:val="left"/>
        <w:rPr>
          <w:rFonts w:cs="宋体"/>
          <w:bCs/>
          <w:color w:val="auto"/>
          <w:szCs w:val="24"/>
          <w:highlight w:val="none"/>
        </w:rPr>
      </w:pPr>
      <w:r>
        <w:rPr>
          <w:rFonts w:hint="eastAsia" w:cs="宋体"/>
          <w:color w:val="auto"/>
          <w:szCs w:val="21"/>
          <w:highlight w:val="none"/>
        </w:rPr>
        <w:t>日   期：    年    月    日</w:t>
      </w:r>
    </w:p>
    <w:p>
      <w:pPr>
        <w:widowControl/>
        <w:jc w:val="left"/>
        <w:rPr>
          <w:color w:val="auto"/>
          <w:kern w:val="0"/>
          <w:sz w:val="27"/>
          <w:szCs w:val="27"/>
          <w:highlight w:val="none"/>
        </w:rPr>
      </w:pPr>
      <w:bookmarkStart w:id="31" w:name="_Toc60070626"/>
      <w:bookmarkStart w:id="32" w:name="_Toc61541791"/>
      <w:r>
        <w:rPr>
          <w:color w:val="auto"/>
          <w:highlight w:val="none"/>
        </w:rPr>
        <w:br w:type="page"/>
      </w:r>
    </w:p>
    <w:p>
      <w:pPr>
        <w:pStyle w:val="4"/>
        <w:rPr>
          <w:color w:val="auto"/>
          <w:highlight w:val="none"/>
        </w:rPr>
      </w:pPr>
      <w:r>
        <w:rPr>
          <w:rFonts w:hint="eastAsia"/>
          <w:color w:val="auto"/>
          <w:highlight w:val="none"/>
        </w:rPr>
        <w:t>格式</w:t>
      </w:r>
      <w:r>
        <w:rPr>
          <w:rFonts w:hint="eastAsia"/>
          <w:color w:val="auto"/>
          <w:highlight w:val="none"/>
          <w:lang w:val="en-US" w:eastAsia="zh-CN"/>
        </w:rPr>
        <w:t>五</w:t>
      </w:r>
      <w:r>
        <w:rPr>
          <w:rFonts w:hint="eastAsia"/>
          <w:color w:val="auto"/>
          <w:highlight w:val="none"/>
        </w:rPr>
        <w:t>：</w:t>
      </w:r>
      <w:bookmarkEnd w:id="31"/>
      <w:bookmarkEnd w:id="32"/>
    </w:p>
    <w:p>
      <w:pPr>
        <w:jc w:val="center"/>
        <w:rPr>
          <w:rFonts w:hint="default" w:eastAsia="宋体" w:cs="宋体"/>
          <w:color w:val="auto"/>
          <w:sz w:val="36"/>
          <w:szCs w:val="36"/>
          <w:highlight w:val="none"/>
          <w:lang w:val="en-US" w:eastAsia="zh-CN"/>
        </w:rPr>
      </w:pPr>
      <w:r>
        <w:rPr>
          <w:rFonts w:hint="eastAsia" w:cs="宋体"/>
          <w:b/>
          <w:color w:val="auto"/>
          <w:sz w:val="36"/>
          <w:szCs w:val="36"/>
          <w:highlight w:val="none"/>
        </w:rPr>
        <w:t>企业</w:t>
      </w:r>
      <w:r>
        <w:rPr>
          <w:rFonts w:hint="eastAsia" w:cs="宋体"/>
          <w:b/>
          <w:color w:val="auto"/>
          <w:sz w:val="36"/>
          <w:szCs w:val="36"/>
          <w:highlight w:val="none"/>
          <w:lang w:val="en-US" w:eastAsia="zh-CN"/>
        </w:rPr>
        <w:t>资信证明材料</w:t>
      </w:r>
    </w:p>
    <w:p>
      <w:pPr>
        <w:rPr>
          <w:color w:val="auto"/>
          <w:sz w:val="24"/>
          <w:szCs w:val="24"/>
          <w:highlight w:val="none"/>
        </w:rPr>
      </w:pPr>
    </w:p>
    <w:p>
      <w:pPr>
        <w:spacing w:line="360" w:lineRule="auto"/>
        <w:jc w:val="center"/>
        <w:rPr>
          <w:rFonts w:cs="宋体"/>
          <w:bCs/>
          <w:color w:val="auto"/>
          <w:szCs w:val="24"/>
          <w:highlight w:val="none"/>
        </w:rPr>
      </w:pPr>
      <w:r>
        <w:rPr>
          <w:rFonts w:hint="eastAsia" w:cs="宋体"/>
          <w:bCs/>
          <w:color w:val="auto"/>
          <w:szCs w:val="24"/>
          <w:highlight w:val="none"/>
        </w:rPr>
        <w:t>按</w:t>
      </w:r>
      <w:r>
        <w:rPr>
          <w:rFonts w:hint="eastAsia" w:cs="宋体"/>
          <w:bCs/>
          <w:color w:val="auto"/>
          <w:szCs w:val="24"/>
          <w:highlight w:val="none"/>
          <w:lang w:val="en-US" w:eastAsia="zh-CN"/>
        </w:rPr>
        <w:t>评审标准</w:t>
      </w:r>
      <w:r>
        <w:rPr>
          <w:rFonts w:hint="eastAsia" w:cs="宋体"/>
          <w:bCs/>
          <w:color w:val="auto"/>
          <w:szCs w:val="24"/>
          <w:highlight w:val="none"/>
        </w:rPr>
        <w:t>附相关证明资料</w:t>
      </w:r>
      <w:r>
        <w:rPr>
          <w:rFonts w:hint="eastAsia" w:cs="宋体"/>
          <w:bCs/>
          <w:color w:val="auto"/>
          <w:szCs w:val="24"/>
          <w:highlight w:val="none"/>
          <w:lang w:eastAsia="zh-CN"/>
        </w:rPr>
        <w:t>，</w:t>
      </w:r>
      <w:r>
        <w:rPr>
          <w:rFonts w:hint="eastAsia" w:cs="宋体"/>
          <w:bCs/>
          <w:color w:val="auto"/>
          <w:szCs w:val="24"/>
          <w:highlight w:val="none"/>
          <w:lang w:val="en-US" w:eastAsia="zh-CN"/>
        </w:rPr>
        <w:t>格式自拟</w:t>
      </w:r>
      <w:r>
        <w:rPr>
          <w:rFonts w:hint="eastAsia" w:cs="宋体"/>
          <w:bCs/>
          <w:color w:val="auto"/>
          <w:szCs w:val="24"/>
          <w:highlight w:val="none"/>
        </w:rPr>
        <w:t>。</w:t>
      </w:r>
    </w:p>
    <w:p>
      <w:pPr>
        <w:autoSpaceDE w:val="0"/>
        <w:autoSpaceDN w:val="0"/>
        <w:adjustRightInd w:val="0"/>
        <w:spacing w:line="360" w:lineRule="auto"/>
        <w:rPr>
          <w:rFonts w:cs="宋体"/>
          <w:color w:val="auto"/>
          <w:sz w:val="24"/>
          <w:szCs w:val="24"/>
          <w:highlight w:val="none"/>
        </w:rPr>
      </w:pPr>
    </w:p>
    <w:p>
      <w:pPr>
        <w:pStyle w:val="4"/>
        <w:rPr>
          <w:color w:val="auto"/>
          <w:highlight w:val="none"/>
        </w:rPr>
      </w:pPr>
      <w:r>
        <w:rPr>
          <w:rFonts w:hint="eastAsia"/>
          <w:color w:val="auto"/>
          <w:highlight w:val="none"/>
        </w:rPr>
        <w:br w:type="page"/>
      </w:r>
    </w:p>
    <w:p>
      <w:pPr>
        <w:pStyle w:val="4"/>
        <w:rPr>
          <w:color w:val="auto"/>
          <w:highlight w:val="none"/>
        </w:rPr>
      </w:pPr>
      <w:bookmarkStart w:id="33" w:name="_Toc60070630"/>
      <w:bookmarkStart w:id="34" w:name="_Toc61541793"/>
      <w:bookmarkStart w:id="35" w:name="_Toc58838602"/>
      <w:r>
        <w:rPr>
          <w:rFonts w:hint="eastAsia"/>
          <w:color w:val="auto"/>
          <w:highlight w:val="none"/>
        </w:rPr>
        <w:t>格式</w:t>
      </w:r>
      <w:r>
        <w:rPr>
          <w:rFonts w:hint="eastAsia"/>
          <w:color w:val="auto"/>
          <w:highlight w:val="none"/>
          <w:lang w:val="en-US" w:eastAsia="zh-CN"/>
        </w:rPr>
        <w:t>六</w:t>
      </w:r>
      <w:r>
        <w:rPr>
          <w:rFonts w:hint="eastAsia"/>
          <w:color w:val="auto"/>
          <w:highlight w:val="none"/>
        </w:rPr>
        <w:t>：</w:t>
      </w:r>
      <w:bookmarkEnd w:id="33"/>
      <w:bookmarkEnd w:id="34"/>
    </w:p>
    <w:bookmarkEnd w:id="35"/>
    <w:p>
      <w:pPr>
        <w:jc w:val="center"/>
        <w:rPr>
          <w:b/>
          <w:color w:val="auto"/>
          <w:sz w:val="36"/>
          <w:szCs w:val="36"/>
          <w:highlight w:val="none"/>
        </w:rPr>
      </w:pPr>
      <w:r>
        <w:rPr>
          <w:rFonts w:hint="eastAsia"/>
          <w:b/>
          <w:color w:val="auto"/>
          <w:sz w:val="36"/>
          <w:szCs w:val="36"/>
          <w:highlight w:val="none"/>
        </w:rPr>
        <w:t>危险性较大的分部分项工程安全管理措施</w:t>
      </w:r>
    </w:p>
    <w:p>
      <w:pPr>
        <w:pStyle w:val="43"/>
        <w:numPr>
          <w:ilvl w:val="0"/>
          <w:numId w:val="5"/>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pPr>
        <w:pStyle w:val="43"/>
        <w:numPr>
          <w:ilvl w:val="0"/>
          <w:numId w:val="5"/>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招标人根据设计文件的要求及37号文的规定列出“危险性较大的分部分项工程清单及超过一定规模的危险性较大的分部分项工程清单”中与本招标项目相关的清单项，具体详第5点“打√”标识。</w:t>
      </w:r>
    </w:p>
    <w:p>
      <w:pPr>
        <w:pStyle w:val="43"/>
        <w:numPr>
          <w:ilvl w:val="0"/>
          <w:numId w:val="6"/>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投标单位同意建设单位在清单中标识的该项请在对应项打“√”标识，并在投标文件中提供相应的安全管理措施。</w:t>
      </w:r>
    </w:p>
    <w:p>
      <w:pPr>
        <w:pStyle w:val="43"/>
        <w:numPr>
          <w:ilvl w:val="0"/>
          <w:numId w:val="6"/>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投标单位对清单中认为需要补充的该项请在对应项打“√”标识，并在投标文件中提供相应的安全管理措施。</w:t>
      </w:r>
    </w:p>
    <w:p>
      <w:pPr>
        <w:pStyle w:val="43"/>
        <w:numPr>
          <w:ilvl w:val="0"/>
          <w:numId w:val="6"/>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投标单位不同意建设单位在清单中标识的该项请在对应项打“×”标识，并在备注栏填上相关说明。</w:t>
      </w:r>
    </w:p>
    <w:p>
      <w:pPr>
        <w:pStyle w:val="43"/>
        <w:numPr>
          <w:ilvl w:val="0"/>
          <w:numId w:val="5"/>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投标单位应当在投标时根据招标人提供的下述第5点清单，在施工组织中编制专项施工方案。</w:t>
      </w:r>
    </w:p>
    <w:p>
      <w:pPr>
        <w:pStyle w:val="43"/>
        <w:numPr>
          <w:ilvl w:val="0"/>
          <w:numId w:val="5"/>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对于超过一定规模的危大工程，中标单位应当组织召开专家论证会对专项施工方案进行论证。</w:t>
      </w:r>
    </w:p>
    <w:p>
      <w:pPr>
        <w:pStyle w:val="43"/>
        <w:numPr>
          <w:ilvl w:val="0"/>
          <w:numId w:val="5"/>
        </w:numPr>
        <w:autoSpaceDE w:val="0"/>
        <w:autoSpaceDN w:val="0"/>
        <w:adjustRightInd w:val="0"/>
        <w:spacing w:line="276" w:lineRule="auto"/>
        <w:ind w:firstLineChars="0"/>
        <w:jc w:val="left"/>
        <w:rPr>
          <w:rFonts w:hint="eastAsia"/>
          <w:color w:val="auto"/>
          <w:szCs w:val="21"/>
          <w:highlight w:val="none"/>
        </w:rPr>
      </w:pPr>
      <w:r>
        <w:rPr>
          <w:rFonts w:hint="eastAsia"/>
          <w:color w:val="auto"/>
          <w:szCs w:val="21"/>
          <w:highlight w:val="none"/>
        </w:rPr>
        <w:t>危险性较大的分部分项工程清单及超过一定规模的危险性较大的分部分项工程清单：</w:t>
      </w:r>
    </w:p>
    <w:tbl>
      <w:tblPr>
        <w:tblStyle w:val="27"/>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center"/>
          </w:tcPr>
          <w:p>
            <w:pPr>
              <w:spacing w:line="276" w:lineRule="auto"/>
              <w:jc w:val="center"/>
              <w:rPr>
                <w:rFonts w:ascii="Times New Roman" w:hAnsi="Times New Roman"/>
                <w:b/>
                <w:color w:val="auto"/>
                <w:szCs w:val="21"/>
                <w:highlight w:val="none"/>
              </w:rPr>
            </w:pPr>
            <w:r>
              <w:rPr>
                <w:rFonts w:hint="eastAsia" w:ascii="Times New Roman" w:hAnsi="Times New Roman"/>
                <w:b/>
                <w:color w:val="auto"/>
                <w:szCs w:val="21"/>
                <w:highlight w:val="none"/>
              </w:rPr>
              <w:t>一、危险性较大的分部分项工程清单</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建设单位</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投标单位</w:t>
            </w:r>
          </w:p>
        </w:tc>
        <w:tc>
          <w:tcPr>
            <w:tcW w:w="1063"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一、基坑支护</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（一）开挖深度超过3m（含3m）的基坑（槽）的土方开挖、支护、降水工程。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（二）开挖深度虽未超过3m，但地质条件、周围环境和地下管线复杂，或影响毗邻建、构筑物安全的基坑（槽）的土方开挖、支护、降水工程。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二、模板工程及支撑体系</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（一）各类工具式模板工程：包括滑模、爬模、飞模、隧道模等工程。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（三）承重支撑体系：用于钢结构安装等满堂支撑体系。</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　三、起重吊装及起重机械安装拆卸工程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default" w:ascii="Arial" w:hAnsi="Arial" w:cs="Arial"/>
                <w:color w:val="auto"/>
                <w:szCs w:val="21"/>
                <w:highlight w:val="none"/>
                <w:lang w:val="en-US" w:eastAsia="zh-CN"/>
              </w:rPr>
              <w:t>√</w:t>
            </w:r>
            <w:r>
              <w:rPr>
                <w:rFonts w:hint="eastAsia" w:ascii="Arial" w:hAnsi="Arial" w:cs="Arial"/>
                <w:color w:val="auto"/>
                <w:szCs w:val="21"/>
                <w:highlight w:val="none"/>
                <w:lang w:val="en-US" w:eastAsia="zh-CN"/>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（一）采用非常规起重设备、方法，且单件起吊重量在10kN及以上的起重吊装工程。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default" w:ascii="Arial" w:hAnsi="Arial" w:cs="Arial"/>
                <w:color w:val="auto"/>
                <w:szCs w:val="21"/>
                <w:highlight w:val="none"/>
              </w:rPr>
              <w:t>√</w:t>
            </w:r>
            <w:r>
              <w:rPr>
                <w:rFonts w:hint="eastAsia"/>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s="宋体"/>
                <w:color w:val="auto"/>
                <w:szCs w:val="21"/>
                <w:highlight w:val="none"/>
              </w:rPr>
              <w:t>（二）采用起重机械进行安装的工程。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w:t>
            </w:r>
            <w:r>
              <w:rPr>
                <w:rFonts w:hint="eastAsia"/>
                <w:color w:val="auto"/>
                <w:szCs w:val="21"/>
                <w:highlight w:val="none"/>
                <w:lang w:val="en-US" w:eastAsia="zh-CN"/>
              </w:rPr>
              <w:t xml:space="preserve">  </w:t>
            </w:r>
            <w:r>
              <w:rPr>
                <w:rFonts w:hint="default" w:ascii="Arial" w:hAnsi="Arial" w:cs="Arial"/>
                <w:color w:val="auto"/>
                <w:szCs w:val="21"/>
                <w:highlight w:val="none"/>
                <w:lang w:val="en-US" w:eastAsia="zh-CN"/>
              </w:rPr>
              <w:t>√</w:t>
            </w:r>
            <w:r>
              <w:rPr>
                <w:rFonts w:hint="eastAsia"/>
                <w:color w:val="auto"/>
                <w:szCs w:val="21"/>
                <w:highlight w:val="none"/>
                <w:lang w:val="en-US" w:eastAsia="zh-CN"/>
              </w:rPr>
              <w:t xml:space="preserve">  </w:t>
            </w:r>
            <w:r>
              <w:rPr>
                <w:rFonts w:hint="eastAsia" w:ascii="Times New Roman" w:hAnsi="Times New Roman"/>
                <w:color w:val="auto"/>
                <w:szCs w:val="21"/>
                <w:highlight w:val="none"/>
              </w:rPr>
              <w:t>)</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（三）起重机械安装和拆卸工程。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Arial" w:hAnsi="Arial" w:cs="Arial"/>
                <w:color w:val="auto"/>
                <w:szCs w:val="21"/>
                <w:highlight w:val="none"/>
                <w:lang w:val="en-US" w:eastAsia="zh-CN"/>
              </w:rPr>
              <w:t xml:space="preserve">  </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四、脚手架工程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（一）搭设高度24m及以上的落地式钢管脚手架工程（包括采光井、电梯井脚手架）。</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（二）附着式升降脚手架工程。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（三）悬挑式脚手架工程。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（四）高处作业吊篮。</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（五）卸料平台、操作平台工程。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（六）异型脚手架工程。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五、拆除工程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可能影响行人、交通、电力设施、通讯设施或其它建、构筑物安全的拆除工程。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六、暗挖工程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采用矿山法、盾构法、顶管法施工的隧道、洞室工程。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七、其它</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（一）建筑幕墙安装工程。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（二）钢结构、网架和索膜结构安装工程。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（三）人工挖孔桩工程。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（四）水下作业工程。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（五）装配式建筑混凝土预制构件安装工程。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（六）采用新技术、新工艺、新材料、新设备可能影响工程施工安全，尚无国家、行业及地方技术标准的分部分项工程。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center"/>
          </w:tcPr>
          <w:p>
            <w:pPr>
              <w:widowControl/>
              <w:spacing w:line="276" w:lineRule="auto"/>
              <w:rPr>
                <w:rFonts w:ascii="Times New Roman" w:hAnsi="Times New Roman" w:cs="宋体"/>
                <w:b/>
                <w:color w:val="auto"/>
                <w:szCs w:val="21"/>
                <w:highlight w:val="none"/>
              </w:rPr>
            </w:pPr>
            <w:r>
              <w:rPr>
                <w:rFonts w:hint="eastAsia" w:ascii="Times New Roman" w:hAnsi="Times New Roman" w:cs="宋体"/>
                <w:b/>
                <w:bCs/>
                <w:color w:val="auto"/>
                <w:szCs w:val="21"/>
                <w:highlight w:val="none"/>
              </w:rPr>
              <w:t>二、超过一定规模的危险性较大的分部分项工程清单</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一、深基坑工程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ind w:firstLine="480"/>
              <w:jc w:val="left"/>
              <w:rPr>
                <w:rFonts w:ascii="Times New Roman" w:hAnsi="Times New Roman"/>
                <w:color w:val="auto"/>
                <w:szCs w:val="21"/>
                <w:highlight w:val="none"/>
              </w:rPr>
            </w:pPr>
            <w:r>
              <w:rPr>
                <w:rFonts w:hint="eastAsia" w:ascii="Times New Roman" w:hAnsi="Times New Roman"/>
                <w:color w:val="auto"/>
                <w:szCs w:val="21"/>
                <w:highlight w:val="none"/>
              </w:rPr>
              <w:t>开挖深度超过5m（含5m）的基坑（槽）的土方开挖、支护、降水工程。</w:t>
            </w:r>
          </w:p>
        </w:tc>
        <w:tc>
          <w:tcPr>
            <w:tcW w:w="1361" w:type="dxa"/>
            <w:noWrap w:val="0"/>
            <w:vAlign w:val="center"/>
          </w:tcPr>
          <w:p>
            <w:pPr>
              <w:spacing w:line="276" w:lineRule="auto"/>
              <w:ind w:firstLine="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ind w:firstLine="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ind w:firstLine="48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ind w:firstLine="480"/>
              <w:jc w:val="left"/>
              <w:rPr>
                <w:rFonts w:ascii="Times New Roman" w:hAnsi="Times New Roman"/>
                <w:color w:val="auto"/>
                <w:szCs w:val="21"/>
                <w:highlight w:val="none"/>
              </w:rPr>
            </w:pPr>
            <w:r>
              <w:rPr>
                <w:rFonts w:hint="eastAsia" w:ascii="Times New Roman" w:hAnsi="Times New Roman"/>
                <w:color w:val="auto"/>
                <w:szCs w:val="21"/>
                <w:highlight w:val="none"/>
              </w:rPr>
              <w:t>二、模板工程及支撑体系</w:t>
            </w:r>
          </w:p>
        </w:tc>
        <w:tc>
          <w:tcPr>
            <w:tcW w:w="1361" w:type="dxa"/>
            <w:noWrap w:val="0"/>
            <w:vAlign w:val="center"/>
          </w:tcPr>
          <w:p>
            <w:pPr>
              <w:spacing w:line="276" w:lineRule="auto"/>
              <w:ind w:firstLine="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ind w:firstLine="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ind w:firstLine="48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ind w:firstLine="480"/>
              <w:jc w:val="left"/>
              <w:rPr>
                <w:rFonts w:ascii="Times New Roman" w:hAnsi="Times New Roman"/>
                <w:color w:val="auto"/>
                <w:szCs w:val="21"/>
                <w:highlight w:val="none"/>
              </w:rPr>
            </w:pPr>
            <w:r>
              <w:rPr>
                <w:rFonts w:hint="eastAsia" w:ascii="Times New Roman" w:hAnsi="Times New Roman"/>
                <w:color w:val="auto"/>
                <w:szCs w:val="21"/>
                <w:highlight w:val="none"/>
              </w:rPr>
              <w:t>（一）各类工具式模板工程：包括滑模、爬模、飞模、隧道模等工程。</w:t>
            </w:r>
          </w:p>
        </w:tc>
        <w:tc>
          <w:tcPr>
            <w:tcW w:w="1361" w:type="dxa"/>
            <w:noWrap w:val="0"/>
            <w:vAlign w:val="center"/>
          </w:tcPr>
          <w:p>
            <w:pPr>
              <w:spacing w:line="276" w:lineRule="auto"/>
              <w:ind w:firstLine="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ind w:firstLine="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ind w:firstLine="48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ind w:firstLine="480"/>
              <w:jc w:val="left"/>
              <w:rPr>
                <w:rFonts w:ascii="Times New Roman" w:hAnsi="Times New Roman"/>
                <w:color w:val="auto"/>
                <w:szCs w:val="21"/>
                <w:highlight w:val="none"/>
              </w:rPr>
            </w:pPr>
            <w:r>
              <w:rPr>
                <w:rFonts w:hint="eastAsia" w:ascii="Times New Roman" w:hAnsi="Times New Roman"/>
                <w:color w:val="auto"/>
                <w:szCs w:val="21"/>
                <w:highlight w:val="none"/>
              </w:rPr>
              <w:t>（二）混凝土模板支撑工程：搭设高度8m及以上，或搭设跨度18m及以上，或施工总荷载（设计值）15kN/m2及以上，或集中线荷载（设计值）20kN/m及以上。</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（三）承重支撑体系：用于钢结构安装等满堂支撑体系，承受单点集中荷载7kN及以上。</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三、起重吊装及起重机械安装拆卸工程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 xml:space="preserve">  </w:t>
            </w:r>
            <w:r>
              <w:rPr>
                <w:rFonts w:hint="eastAsia" w:ascii="Arial" w:hAnsi="Arial" w:cs="Arial"/>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（一）采用非常规起重设备、方法，且单件起吊重量在100kN及以上的起重吊装工程。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Arial" w:hAnsi="Arial" w:cs="Arial"/>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（二）起重量300kN及以上，或搭设总高度200m及以上，或搭设基础标高在200m及以上的起重机械安装和拆卸工程。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Arial" w:hAnsi="Arial" w:cs="Arial"/>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四、脚手架工程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（一）搭设高度50m及以上的落地式钢管脚手架工程。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（二）提升高度在150m及以上的附着式升降脚手架工程或附着式升降操作平台工程。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（三）分段架体搭设高度20m及以上的悬挑式脚手架工程。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五、拆除工程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（一）码头、桥梁、高架、烟囱、水塔或拆除中容易引起有毒有害气（液）体或粉尘扩散、易燃易爆事故发生的特殊建、构筑物的拆除工程。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（二）文物保护建筑、优秀历史建筑或历史文化风貌区影响范围内的拆除工程。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六、暗挖工程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采用矿山法、盾构法、顶管法施工的隧道、洞室工程。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七、其它</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（一）施工高度50m及以上的建筑幕墙安装工程。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（二）跨度36m及以上的钢结构安装工程，或跨度60m及以上的网架和索膜结构安装工程。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（三）开挖深度16m及以上的人工挖孔桩工程。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（四）水下作业工程。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（五）重量1000kN及以上的大型结构整体顶升、平移、转体等施工工艺。</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（六）采用新技术、新工艺、新材料、新设备可能影响工程施工安全，尚无国家、行业及地方技术标准的分部分项工程。</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pPr>
              <w:spacing w:line="276" w:lineRule="auto"/>
              <w:jc w:val="center"/>
              <w:rPr>
                <w:rFonts w:ascii="Times New Roman" w:hAnsi="Times New Roman"/>
                <w:color w:val="auto"/>
                <w:szCs w:val="21"/>
                <w:highlight w:val="none"/>
              </w:rPr>
            </w:pPr>
          </w:p>
        </w:tc>
      </w:tr>
    </w:tbl>
    <w:p>
      <w:pPr>
        <w:autoSpaceDE w:val="0"/>
        <w:autoSpaceDN w:val="0"/>
        <w:adjustRightInd w:val="0"/>
        <w:spacing w:line="360" w:lineRule="auto"/>
        <w:jc w:val="left"/>
        <w:rPr>
          <w:color w:val="auto"/>
          <w:sz w:val="24"/>
          <w:szCs w:val="28"/>
          <w:highlight w:val="none"/>
        </w:rPr>
      </w:pPr>
    </w:p>
    <w:p>
      <w:pPr>
        <w:topLinePunct/>
        <w:adjustRightInd w:val="0"/>
        <w:snapToGrid w:val="0"/>
        <w:spacing w:line="360" w:lineRule="auto"/>
        <w:ind w:firstLine="496" w:firstLineChars="200"/>
        <w:rPr>
          <w:color w:val="auto"/>
          <w:spacing w:val="4"/>
          <w:kern w:val="0"/>
          <w:sz w:val="24"/>
          <w:szCs w:val="24"/>
          <w:highlight w:val="none"/>
        </w:rPr>
      </w:pPr>
    </w:p>
    <w:p>
      <w:pPr>
        <w:topLinePunct/>
        <w:adjustRightInd w:val="0"/>
        <w:snapToGrid w:val="0"/>
        <w:spacing w:line="360" w:lineRule="auto"/>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投 标 人：</w:t>
      </w:r>
    </w:p>
    <w:p>
      <w:pPr>
        <w:autoSpaceDE w:val="0"/>
        <w:autoSpaceDN w:val="0"/>
        <w:adjustRightInd w:val="0"/>
        <w:spacing w:line="360" w:lineRule="auto"/>
        <w:ind w:firstLine="691" w:firstLineChars="279"/>
        <w:rPr>
          <w:rFonts w:cs="宋体"/>
          <w:bCs/>
          <w:color w:val="auto"/>
          <w:sz w:val="24"/>
          <w:szCs w:val="24"/>
          <w:highlight w:val="none"/>
        </w:rPr>
      </w:pPr>
      <w:r>
        <w:rPr>
          <w:rFonts w:hint="eastAsia" w:cs="宋体"/>
          <w:snapToGrid w:val="0"/>
          <w:color w:val="auto"/>
          <w:spacing w:val="4"/>
          <w:kern w:val="0"/>
          <w:sz w:val="24"/>
          <w:szCs w:val="24"/>
          <w:highlight w:val="none"/>
        </w:rPr>
        <w:t>日    期：    年    月    日</w:t>
      </w:r>
    </w:p>
    <w:p>
      <w:pPr>
        <w:rPr>
          <w:color w:val="auto"/>
          <w:highlight w:val="none"/>
        </w:rPr>
      </w:pPr>
    </w:p>
    <w:p>
      <w:pPr>
        <w:ind w:right="-130" w:rightChars="-62"/>
        <w:rPr>
          <w:color w:val="auto"/>
          <w:highlight w:val="none"/>
        </w:rPr>
      </w:pPr>
    </w:p>
    <w:p>
      <w:pPr>
        <w:widowControl/>
        <w:jc w:val="left"/>
        <w:rPr>
          <w:color w:val="auto"/>
          <w:highlight w:val="none"/>
        </w:rPr>
      </w:pPr>
      <w:r>
        <w:rPr>
          <w:color w:val="auto"/>
          <w:highlight w:val="none"/>
        </w:rPr>
        <w:br w:type="page"/>
      </w:r>
    </w:p>
    <w:p>
      <w:pPr>
        <w:pStyle w:val="4"/>
        <w:rPr>
          <w:color w:val="auto"/>
          <w:highlight w:val="none"/>
        </w:rPr>
      </w:pPr>
      <w:bookmarkStart w:id="36" w:name="_Toc61541795"/>
      <w:bookmarkStart w:id="37" w:name="_Toc58838603"/>
      <w:bookmarkStart w:id="38" w:name="_Toc60070631"/>
      <w:r>
        <w:rPr>
          <w:rFonts w:hint="eastAsia"/>
          <w:color w:val="auto"/>
          <w:highlight w:val="none"/>
        </w:rPr>
        <w:t>格式</w:t>
      </w:r>
      <w:r>
        <w:rPr>
          <w:rFonts w:hint="eastAsia"/>
          <w:color w:val="auto"/>
          <w:highlight w:val="none"/>
          <w:lang w:val="en-US" w:eastAsia="zh-CN"/>
        </w:rPr>
        <w:t>七</w:t>
      </w:r>
      <w:r>
        <w:rPr>
          <w:rFonts w:hint="eastAsia"/>
          <w:color w:val="auto"/>
          <w:highlight w:val="none"/>
        </w:rPr>
        <w:t>：</w:t>
      </w:r>
      <w:bookmarkEnd w:id="36"/>
      <w:bookmarkEnd w:id="37"/>
      <w:bookmarkEnd w:id="38"/>
    </w:p>
    <w:p>
      <w:pPr>
        <w:jc w:val="center"/>
        <w:rPr>
          <w:b/>
          <w:color w:val="auto"/>
          <w:sz w:val="36"/>
          <w:szCs w:val="36"/>
          <w:highlight w:val="none"/>
        </w:rPr>
      </w:pPr>
      <w:r>
        <w:rPr>
          <w:rFonts w:hint="eastAsia"/>
          <w:b/>
          <w:color w:val="auto"/>
          <w:sz w:val="36"/>
          <w:szCs w:val="36"/>
          <w:highlight w:val="none"/>
        </w:rPr>
        <w:t>参与编制技术标投标文件人员名单</w:t>
      </w:r>
    </w:p>
    <w:tbl>
      <w:tblPr>
        <w:tblStyle w:val="27"/>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r>
              <w:rPr>
                <w:rFonts w:hint="eastAsia" w:cs="宋体"/>
                <w:color w:val="auto"/>
                <w:szCs w:val="21"/>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r>
              <w:rPr>
                <w:rFonts w:hint="eastAsia"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r>
              <w:rPr>
                <w:rFonts w:hint="eastAsia"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r>
              <w:rPr>
                <w:rFonts w:hint="eastAsia"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r>
              <w:rPr>
                <w:rFonts w:hint="eastAsia"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r>
              <w:rPr>
                <w:rFonts w:hint="eastAsia"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cs="宋体"/>
                <w:color w:val="auto"/>
                <w:szCs w:val="21"/>
                <w:highlight w:val="none"/>
              </w:rPr>
            </w:pPr>
          </w:p>
        </w:tc>
      </w:tr>
    </w:tbl>
    <w:p>
      <w:pPr>
        <w:autoSpaceDE w:val="0"/>
        <w:autoSpaceDN w:val="0"/>
        <w:adjustRightInd w:val="0"/>
        <w:spacing w:line="360" w:lineRule="auto"/>
        <w:rPr>
          <w:rFonts w:cs="宋体"/>
          <w:bCs/>
          <w:color w:val="auto"/>
          <w:sz w:val="24"/>
          <w:szCs w:val="24"/>
          <w:highlight w:val="none"/>
        </w:rPr>
      </w:pPr>
      <w:r>
        <w:rPr>
          <w:rFonts w:hint="eastAsia" w:cs="宋体"/>
          <w:color w:val="auto"/>
          <w:sz w:val="24"/>
          <w:szCs w:val="24"/>
          <w:highlight w:val="none"/>
        </w:rPr>
        <w:t>注：参与编制技术标书所有人员名单应包括如编制技术投标方案、负责清样校对、负责打印及复印等所有人员在内的人员名单。</w:t>
      </w:r>
    </w:p>
    <w:p>
      <w:pPr>
        <w:rPr>
          <w:color w:val="auto"/>
          <w:highlight w:val="none"/>
        </w:rPr>
      </w:pPr>
    </w:p>
    <w:p>
      <w:pPr>
        <w:pStyle w:val="4"/>
        <w:rPr>
          <w:rFonts w:hint="default" w:eastAsia="宋体" w:cs="宋体"/>
          <w:b/>
          <w:bCs/>
          <w:color w:val="auto"/>
          <w:sz w:val="44"/>
          <w:szCs w:val="44"/>
          <w:highlight w:val="none"/>
          <w:lang w:val="en-US" w:eastAsia="zh-CN"/>
        </w:rPr>
      </w:pPr>
      <w:r>
        <w:rPr>
          <w:color w:val="auto"/>
          <w:highlight w:val="none"/>
        </w:rPr>
        <w:br w:type="page"/>
      </w:r>
      <w:r>
        <w:rPr>
          <w:rFonts w:hint="eastAsia"/>
          <w:snapToGrid w:val="0"/>
          <w:color w:val="auto"/>
          <w:highlight w:val="none"/>
        </w:rPr>
        <w:t>格式</w:t>
      </w:r>
      <w:r>
        <w:rPr>
          <w:rFonts w:hint="eastAsia"/>
          <w:snapToGrid w:val="0"/>
          <w:color w:val="auto"/>
          <w:highlight w:val="none"/>
          <w:lang w:val="en-US" w:eastAsia="zh-CN"/>
        </w:rPr>
        <w:t>八</w:t>
      </w:r>
      <w:r>
        <w:rPr>
          <w:rFonts w:hint="eastAsia"/>
          <w:snapToGrid w:val="0"/>
          <w:color w:val="auto"/>
          <w:highlight w:val="none"/>
        </w:rPr>
        <w:t>：</w:t>
      </w:r>
      <w:r>
        <w:rPr>
          <w:rFonts w:hint="eastAsia"/>
          <w:snapToGrid w:val="0"/>
          <w:color w:val="auto"/>
          <w:highlight w:val="none"/>
          <w:lang w:val="en-US" w:eastAsia="zh-CN"/>
        </w:rPr>
        <w:t>施工组织设计或施工方案（格式自拟）</w:t>
      </w:r>
    </w:p>
    <w:p>
      <w:pPr>
        <w:rPr>
          <w:color w:val="auto"/>
          <w:highlight w:val="none"/>
        </w:rPr>
      </w:pPr>
    </w:p>
    <w:p>
      <w:pPr>
        <w:pStyle w:val="26"/>
        <w:rPr>
          <w:color w:val="auto"/>
          <w:highlight w:val="none"/>
        </w:rPr>
      </w:pPr>
    </w:p>
    <w:p>
      <w:pPr>
        <w:rPr>
          <w:rFonts w:hint="eastAsia"/>
          <w:color w:val="auto"/>
          <w:highlight w:val="none"/>
        </w:rPr>
      </w:pPr>
      <w:bookmarkStart w:id="39" w:name="_Toc58838604"/>
      <w:bookmarkStart w:id="40" w:name="_Toc61541796"/>
      <w:r>
        <w:rPr>
          <w:rFonts w:hint="eastAsia"/>
          <w:color w:val="auto"/>
          <w:highlight w:val="none"/>
        </w:rPr>
        <w:br w:type="page"/>
      </w:r>
    </w:p>
    <w:p>
      <w:pPr>
        <w:pStyle w:val="3"/>
        <w:rPr>
          <w:bCs/>
          <w:color w:val="auto"/>
          <w:highlight w:val="none"/>
        </w:rPr>
      </w:pPr>
      <w:r>
        <w:rPr>
          <w:rFonts w:hint="eastAsia"/>
          <w:color w:val="auto"/>
          <w:highlight w:val="none"/>
        </w:rPr>
        <w:t>二、经济标投标文件格式</w:t>
      </w:r>
      <w:bookmarkEnd w:id="39"/>
      <w:bookmarkEnd w:id="40"/>
    </w:p>
    <w:p>
      <w:pPr>
        <w:topLinePunct/>
        <w:adjustRightInd w:val="0"/>
        <w:snapToGrid w:val="0"/>
        <w:jc w:val="center"/>
        <w:outlineLvl w:val="2"/>
        <w:rPr>
          <w:rFonts w:ascii="宋体" w:hAnsi="宋体" w:cs="宋体"/>
          <w:snapToGrid w:val="0"/>
          <w:color w:val="auto"/>
          <w:spacing w:val="4"/>
          <w:kern w:val="0"/>
          <w:sz w:val="24"/>
          <w:szCs w:val="24"/>
          <w:highlight w:val="none"/>
        </w:rPr>
      </w:pPr>
      <w:bookmarkStart w:id="41" w:name="_Toc6493862"/>
      <w:bookmarkStart w:id="42" w:name="_Toc58838605"/>
      <w:bookmarkStart w:id="43" w:name="_Toc61541797"/>
      <w:bookmarkStart w:id="44" w:name="_Toc60070633"/>
      <w:r>
        <w:rPr>
          <w:rFonts w:hint="eastAsia" w:ascii="宋体" w:hAnsi="宋体" w:cs="宋体"/>
          <w:snapToGrid w:val="0"/>
          <w:color w:val="auto"/>
          <w:spacing w:val="4"/>
          <w:kern w:val="0"/>
          <w:sz w:val="24"/>
          <w:szCs w:val="24"/>
          <w:highlight w:val="none"/>
        </w:rPr>
        <w:t>经济标封面</w:t>
      </w:r>
    </w:p>
    <w:p>
      <w:pPr>
        <w:topLinePunct/>
        <w:adjustRightInd w:val="0"/>
        <w:snapToGrid w:val="0"/>
        <w:spacing w:line="360" w:lineRule="auto"/>
        <w:ind w:firstLine="496" w:firstLineChars="200"/>
        <w:jc w:val="left"/>
        <w:rPr>
          <w:rFonts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topLinePunct/>
        <w:adjustRightInd w:val="0"/>
        <w:snapToGrid w:val="0"/>
        <w:spacing w:line="360" w:lineRule="auto"/>
        <w:jc w:val="center"/>
        <w:rPr>
          <w:rFonts w:ascii="宋体" w:hAnsi="宋体" w:cs="宋体"/>
          <w:snapToGrid w:val="0"/>
          <w:color w:val="auto"/>
          <w:spacing w:val="4"/>
          <w:kern w:val="0"/>
          <w:sz w:val="36"/>
          <w:szCs w:val="36"/>
          <w:highlight w:val="none"/>
          <w:u w:val="single"/>
        </w:rPr>
      </w:pPr>
      <w:r>
        <w:rPr>
          <w:rFonts w:hint="eastAsia" w:ascii="宋体" w:hAnsi="宋体" w:cs="宋体"/>
          <w:snapToGrid w:val="0"/>
          <w:color w:val="auto"/>
          <w:spacing w:val="4"/>
          <w:kern w:val="0"/>
          <w:sz w:val="36"/>
          <w:szCs w:val="36"/>
          <w:highlight w:val="none"/>
          <w:u w:val="single"/>
        </w:rPr>
        <w:t xml:space="preserve">[工程名称] </w:t>
      </w: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topLinePunct/>
        <w:adjustRightInd w:val="0"/>
        <w:snapToGrid w:val="0"/>
        <w:spacing w:line="360" w:lineRule="auto"/>
        <w:jc w:val="center"/>
        <w:rPr>
          <w:rFonts w:ascii="宋体" w:hAnsi="宋体" w:cs="宋体"/>
          <w:snapToGrid w:val="0"/>
          <w:color w:val="auto"/>
          <w:spacing w:val="4"/>
          <w:kern w:val="0"/>
          <w:sz w:val="84"/>
          <w:szCs w:val="84"/>
          <w:highlight w:val="none"/>
        </w:rPr>
      </w:pPr>
      <w:r>
        <w:rPr>
          <w:rFonts w:hint="eastAsia" w:ascii="宋体" w:hAnsi="宋体" w:cs="宋体"/>
          <w:snapToGrid w:val="0"/>
          <w:color w:val="auto"/>
          <w:spacing w:val="4"/>
          <w:kern w:val="0"/>
          <w:sz w:val="84"/>
          <w:szCs w:val="84"/>
          <w:highlight w:val="none"/>
        </w:rPr>
        <w:t>投标文件</w:t>
      </w:r>
    </w:p>
    <w:p>
      <w:pPr>
        <w:topLinePunct/>
        <w:adjustRightInd w:val="0"/>
        <w:snapToGrid w:val="0"/>
        <w:spacing w:line="360" w:lineRule="auto"/>
        <w:jc w:val="center"/>
        <w:rPr>
          <w:rFonts w:ascii="宋体" w:hAnsi="宋体" w:cs="宋体"/>
          <w:snapToGrid w:val="0"/>
          <w:color w:val="auto"/>
          <w:spacing w:val="4"/>
          <w:kern w:val="0"/>
          <w:sz w:val="36"/>
          <w:szCs w:val="36"/>
          <w:highlight w:val="none"/>
        </w:rPr>
      </w:pPr>
      <w:r>
        <w:rPr>
          <w:rFonts w:hint="eastAsia" w:ascii="宋体" w:hAnsi="宋体" w:cs="宋体"/>
          <w:snapToGrid w:val="0"/>
          <w:color w:val="auto"/>
          <w:spacing w:val="4"/>
          <w:kern w:val="0"/>
          <w:sz w:val="36"/>
          <w:szCs w:val="36"/>
          <w:highlight w:val="none"/>
        </w:rPr>
        <w:t>第二册 （经济标书）</w:t>
      </w: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topLinePunct/>
        <w:adjustRightInd w:val="0"/>
        <w:snapToGrid w:val="0"/>
        <w:spacing w:line="360" w:lineRule="auto"/>
        <w:rPr>
          <w:rFonts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topLinePunct/>
        <w:adjustRightInd w:val="0"/>
        <w:snapToGrid w:val="0"/>
        <w:spacing w:line="360" w:lineRule="auto"/>
        <w:ind w:firstLine="616" w:firstLineChars="200"/>
        <w:jc w:val="left"/>
        <w:rPr>
          <w:rFonts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投标人：</w:t>
      </w:r>
      <w:r>
        <w:rPr>
          <w:rFonts w:hint="eastAsia" w:ascii="宋体" w:hAnsi="宋体" w:cs="宋体"/>
          <w:snapToGrid w:val="0"/>
          <w:color w:val="auto"/>
          <w:spacing w:val="4"/>
          <w:kern w:val="0"/>
          <w:sz w:val="30"/>
          <w:szCs w:val="30"/>
          <w:highlight w:val="none"/>
          <w:u w:val="single"/>
        </w:rPr>
        <w:t xml:space="preserve"> </w:t>
      </w:r>
    </w:p>
    <w:p>
      <w:pPr>
        <w:topLinePunct/>
        <w:adjustRightInd w:val="0"/>
        <w:snapToGrid w:val="0"/>
        <w:spacing w:line="360" w:lineRule="auto"/>
        <w:ind w:firstLine="616" w:firstLineChars="200"/>
        <w:jc w:val="left"/>
        <w:rPr>
          <w:rFonts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日  期：</w:t>
      </w:r>
      <w:r>
        <w:rPr>
          <w:rFonts w:hint="eastAsia" w:ascii="宋体" w:hAnsi="宋体" w:cs="宋体"/>
          <w:snapToGrid w:val="0"/>
          <w:color w:val="auto"/>
          <w:spacing w:val="4"/>
          <w:kern w:val="0"/>
          <w:sz w:val="30"/>
          <w:szCs w:val="30"/>
          <w:highlight w:val="none"/>
          <w:u w:val="single"/>
        </w:rPr>
        <w:t xml:space="preserve">                                        </w:t>
      </w:r>
    </w:p>
    <w:p>
      <w:pPr>
        <w:pStyle w:val="4"/>
        <w:rPr>
          <w:rFonts w:hint="eastAsia"/>
          <w:snapToGrid w:val="0"/>
          <w:color w:val="auto"/>
          <w:highlight w:val="none"/>
        </w:rPr>
      </w:pPr>
    </w:p>
    <w:p>
      <w:pPr>
        <w:rPr>
          <w:rFonts w:hint="eastAsia"/>
          <w:color w:val="auto"/>
          <w:highlight w:val="none"/>
        </w:rPr>
      </w:pPr>
    </w:p>
    <w:p>
      <w:pPr>
        <w:pStyle w:val="4"/>
        <w:rPr>
          <w:rFonts w:cs="宋体"/>
          <w:b/>
          <w:bCs/>
          <w:color w:val="auto"/>
          <w:sz w:val="44"/>
          <w:szCs w:val="44"/>
          <w:highlight w:val="none"/>
          <w:lang w:val="zh-CN"/>
        </w:rPr>
      </w:pPr>
      <w:r>
        <w:rPr>
          <w:rFonts w:hint="eastAsia"/>
          <w:snapToGrid w:val="0"/>
          <w:color w:val="auto"/>
          <w:highlight w:val="none"/>
        </w:rPr>
        <w:t>格式</w:t>
      </w:r>
      <w:bookmarkEnd w:id="41"/>
      <w:bookmarkEnd w:id="42"/>
      <w:r>
        <w:rPr>
          <w:rFonts w:hint="eastAsia"/>
          <w:snapToGrid w:val="0"/>
          <w:color w:val="auto"/>
          <w:highlight w:val="none"/>
          <w:lang w:val="en-US" w:eastAsia="zh-CN"/>
        </w:rPr>
        <w:t>九</w:t>
      </w:r>
      <w:r>
        <w:rPr>
          <w:rFonts w:hint="eastAsia"/>
          <w:snapToGrid w:val="0"/>
          <w:color w:val="auto"/>
          <w:highlight w:val="none"/>
        </w:rPr>
        <w:t>：</w:t>
      </w:r>
      <w:bookmarkEnd w:id="43"/>
      <w:bookmarkEnd w:id="44"/>
    </w:p>
    <w:p>
      <w:pPr>
        <w:jc w:val="center"/>
        <w:rPr>
          <w:b/>
          <w:color w:val="auto"/>
          <w:sz w:val="36"/>
          <w:szCs w:val="36"/>
          <w:highlight w:val="none"/>
        </w:rPr>
      </w:pPr>
      <w:bookmarkStart w:id="45" w:name="_Toc58838606"/>
      <w:r>
        <w:rPr>
          <w:rFonts w:hint="eastAsia"/>
          <w:b/>
          <w:color w:val="auto"/>
          <w:sz w:val="36"/>
          <w:szCs w:val="36"/>
          <w:highlight w:val="none"/>
        </w:rPr>
        <w:t>广州建设工程施工招标投标书（经济标）</w:t>
      </w:r>
      <w:bookmarkEnd w:id="45"/>
    </w:p>
    <w:tbl>
      <w:tblPr>
        <w:tblStyle w:val="27"/>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工程名称</w:t>
            </w:r>
          </w:p>
        </w:tc>
        <w:tc>
          <w:tcPr>
            <w:tcW w:w="60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宋体"/>
                <w:bCs/>
                <w:color w:val="auto"/>
                <w:sz w:val="24"/>
                <w:szCs w:val="24"/>
                <w:highlight w:val="none"/>
                <w:lang w:val="zh-CN"/>
              </w:rPr>
            </w:pPr>
            <w:r>
              <w:rPr>
                <w:rFonts w:hint="eastAsia"/>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宋体"/>
                <w:bCs/>
                <w:color w:val="auto"/>
                <w:sz w:val="24"/>
                <w:szCs w:val="24"/>
                <w:highlight w:val="none"/>
                <w:lang w:val="zh-CN"/>
              </w:rPr>
            </w:pPr>
            <w:r>
              <w:rPr>
                <w:rFonts w:hint="eastAsia"/>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其中：</w:t>
            </w:r>
            <w:r>
              <w:rPr>
                <w:rFonts w:hint="eastAsia" w:cs="宋体"/>
                <w:bCs/>
                <w:color w:val="auto"/>
                <w:sz w:val="24"/>
                <w:szCs w:val="24"/>
                <w:highlight w:val="none"/>
                <w:lang w:val="zh-CN"/>
              </w:rPr>
              <w:t>人工费</w:t>
            </w:r>
            <w:r>
              <w:rPr>
                <w:rFonts w:hint="eastAsia"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宋体"/>
                <w:bCs/>
                <w:color w:val="auto"/>
                <w:sz w:val="24"/>
                <w:szCs w:val="24"/>
                <w:highlight w:val="none"/>
                <w:lang w:val="zh-CN"/>
              </w:rPr>
            </w:pPr>
            <w:r>
              <w:rPr>
                <w:rFonts w:hint="eastAsia"/>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宋体"/>
                <w:bCs/>
                <w:color w:val="auto"/>
                <w:sz w:val="24"/>
                <w:szCs w:val="24"/>
                <w:highlight w:val="none"/>
                <w:lang w:val="zh-CN"/>
              </w:rPr>
            </w:pPr>
            <w:r>
              <w:rPr>
                <w:rFonts w:hint="eastAsia"/>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vAlign w:val="center"/>
          </w:tcPr>
          <w:p>
            <w:pPr>
              <w:widowControl/>
              <w:jc w:val="left"/>
              <w:rPr>
                <w:rFonts w:cs="宋体"/>
                <w:b/>
                <w:color w:val="auto"/>
                <w:sz w:val="24"/>
                <w:szCs w:val="24"/>
                <w:highlight w:val="none"/>
                <w:lang w:val="zh-CN"/>
              </w:rPr>
            </w:pPr>
            <w:r>
              <w:rPr>
                <w:rFonts w:hint="eastAsia" w:cs="宋体"/>
                <w:bCs/>
                <w:color w:val="auto"/>
                <w:sz w:val="24"/>
                <w:szCs w:val="24"/>
                <w:highlight w:val="none"/>
                <w:lang w:val="zh-CN"/>
              </w:rPr>
              <w:t>其中：</w:t>
            </w:r>
            <w:r>
              <w:rPr>
                <w:rFonts w:hint="eastAsia" w:cs="宋体"/>
                <w:color w:val="auto"/>
                <w:sz w:val="24"/>
                <w:szCs w:val="24"/>
                <w:highlight w:val="none"/>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宋体"/>
                <w:bCs/>
                <w:color w:val="auto"/>
                <w:sz w:val="24"/>
                <w:szCs w:val="24"/>
                <w:highlight w:val="none"/>
                <w:lang w:val="zh-CN"/>
              </w:rPr>
            </w:pPr>
            <w:r>
              <w:rPr>
                <w:rFonts w:hint="eastAsia"/>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pPr>
              <w:widowControl/>
              <w:jc w:val="left"/>
              <w:rPr>
                <w:rFonts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宋体"/>
                <w:bCs/>
                <w:color w:val="auto"/>
                <w:sz w:val="24"/>
                <w:szCs w:val="24"/>
                <w:highlight w:val="none"/>
                <w:lang w:val="zh-CN"/>
              </w:rPr>
            </w:pPr>
            <w:r>
              <w:rPr>
                <w:rFonts w:hint="eastAsia"/>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pPr>
              <w:widowControl/>
              <w:jc w:val="left"/>
              <w:rPr>
                <w:rFonts w:cs="宋体"/>
                <w:bCs/>
                <w:color w:val="auto"/>
                <w:sz w:val="24"/>
                <w:szCs w:val="24"/>
                <w:highlight w:val="none"/>
                <w:lang w:val="zh-CN"/>
              </w:rPr>
            </w:pPr>
            <w:r>
              <w:rPr>
                <w:rFonts w:hint="eastAsia" w:cs="宋体"/>
                <w:bCs/>
                <w:color w:val="auto"/>
                <w:sz w:val="24"/>
                <w:szCs w:val="24"/>
                <w:highlight w:val="none"/>
                <w:lang w:val="zh-CN"/>
              </w:rPr>
              <w:t>其中： 暂列金额</w:t>
            </w:r>
            <w:r>
              <w:rPr>
                <w:rFonts w:hint="eastAsia"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宋体"/>
                <w:bCs/>
                <w:color w:val="auto"/>
                <w:sz w:val="24"/>
                <w:szCs w:val="24"/>
                <w:highlight w:val="none"/>
                <w:lang w:val="zh-CN"/>
              </w:rPr>
            </w:pPr>
            <w:r>
              <w:rPr>
                <w:rFonts w:hint="eastAsia"/>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pPr>
              <w:widowControl/>
              <w:jc w:val="left"/>
              <w:rPr>
                <w:rFonts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宋体"/>
                <w:bCs/>
                <w:color w:val="auto"/>
                <w:sz w:val="24"/>
                <w:szCs w:val="24"/>
                <w:highlight w:val="none"/>
                <w:lang w:val="zh-CN"/>
              </w:rPr>
            </w:pPr>
            <w:r>
              <w:rPr>
                <w:rFonts w:hint="eastAsia"/>
                <w:color w:val="auto"/>
                <w:sz w:val="24"/>
                <w:szCs w:val="24"/>
                <w:highlight w:val="none"/>
              </w:rPr>
              <w:t>小写：</w:t>
            </w:r>
          </w:p>
        </w:tc>
      </w:tr>
    </w:tbl>
    <w:p>
      <w:pPr>
        <w:autoSpaceDE w:val="0"/>
        <w:autoSpaceDN w:val="0"/>
        <w:adjustRightInd w:val="0"/>
        <w:jc w:val="left"/>
        <w:rPr>
          <w:rFonts w:cs="宋体"/>
          <w:b/>
          <w:color w:val="auto"/>
          <w:sz w:val="24"/>
          <w:szCs w:val="24"/>
          <w:highlight w:val="none"/>
          <w:lang w:val="zh-CN"/>
        </w:rPr>
      </w:pPr>
      <w:r>
        <w:rPr>
          <w:color w:val="auto"/>
          <w:highlight w:val="none"/>
        </w:rPr>
        <w:br w:type="page"/>
      </w:r>
      <w:bookmarkStart w:id="46" w:name="_Toc6493863"/>
      <w:bookmarkStart w:id="47" w:name="_Toc58838607"/>
      <w:bookmarkStart w:id="48" w:name="_Toc60070634"/>
      <w:bookmarkStart w:id="49" w:name="_Toc61541798"/>
    </w:p>
    <w:p>
      <w:pPr>
        <w:pStyle w:val="4"/>
        <w:rPr>
          <w:bCs/>
          <w:color w:val="auto"/>
          <w:highlight w:val="none"/>
        </w:rPr>
      </w:pPr>
      <w:r>
        <w:rPr>
          <w:rFonts w:hint="eastAsia"/>
          <w:snapToGrid w:val="0"/>
          <w:color w:val="auto"/>
          <w:highlight w:val="none"/>
        </w:rPr>
        <w:t>格式十</w:t>
      </w:r>
      <w:bookmarkEnd w:id="46"/>
      <w:bookmarkEnd w:id="47"/>
      <w:r>
        <w:rPr>
          <w:rFonts w:hint="eastAsia"/>
          <w:snapToGrid w:val="0"/>
          <w:color w:val="auto"/>
          <w:highlight w:val="none"/>
        </w:rPr>
        <w:t>：</w:t>
      </w:r>
      <w:bookmarkEnd w:id="48"/>
      <w:bookmarkEnd w:id="49"/>
    </w:p>
    <w:p>
      <w:pPr>
        <w:jc w:val="center"/>
        <w:rPr>
          <w:b/>
          <w:color w:val="auto"/>
          <w:sz w:val="36"/>
          <w:szCs w:val="36"/>
          <w:highlight w:val="none"/>
        </w:rPr>
      </w:pPr>
      <w:bookmarkStart w:id="50" w:name="_Toc58838608"/>
      <w:r>
        <w:rPr>
          <w:rFonts w:hint="eastAsia"/>
          <w:b/>
          <w:color w:val="auto"/>
          <w:sz w:val="36"/>
          <w:szCs w:val="36"/>
          <w:highlight w:val="none"/>
        </w:rPr>
        <w:t>参与编制经济标投标文件人员名单</w:t>
      </w:r>
      <w:bookmarkEnd w:id="50"/>
    </w:p>
    <w:tbl>
      <w:tblPr>
        <w:tblStyle w:val="27"/>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919" w:type="dxa"/>
            <w:gridSpan w:val="5"/>
            <w:vAlign w:val="center"/>
          </w:tcPr>
          <w:p>
            <w:pPr>
              <w:tabs>
                <w:tab w:val="left" w:pos="720"/>
              </w:tabs>
              <w:snapToGrid w:val="0"/>
              <w:spacing w:line="360" w:lineRule="auto"/>
              <w:jc w:val="center"/>
              <w:rPr>
                <w:color w:val="auto"/>
                <w:sz w:val="24"/>
                <w:szCs w:val="24"/>
                <w:highlight w:val="none"/>
              </w:rPr>
            </w:pPr>
            <w:r>
              <w:rPr>
                <w:rFonts w:hint="eastAsia"/>
                <w:color w:val="auto"/>
                <w:sz w:val="24"/>
                <w:szCs w:val="24"/>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9" w:type="dxa"/>
            <w:vAlign w:val="center"/>
          </w:tcPr>
          <w:p>
            <w:pPr>
              <w:tabs>
                <w:tab w:val="left" w:pos="720"/>
              </w:tabs>
              <w:snapToGrid w:val="0"/>
              <w:spacing w:line="360" w:lineRule="auto"/>
              <w:jc w:val="center"/>
              <w:rPr>
                <w:color w:val="auto"/>
                <w:sz w:val="24"/>
                <w:szCs w:val="24"/>
                <w:highlight w:val="none"/>
              </w:rPr>
            </w:pPr>
            <w:r>
              <w:rPr>
                <w:rFonts w:hint="eastAsia"/>
                <w:color w:val="auto"/>
                <w:sz w:val="24"/>
                <w:szCs w:val="24"/>
                <w:highlight w:val="none"/>
              </w:rPr>
              <w:t>姓名</w:t>
            </w:r>
          </w:p>
        </w:tc>
        <w:tc>
          <w:tcPr>
            <w:tcW w:w="1441" w:type="dxa"/>
            <w:vAlign w:val="center"/>
          </w:tcPr>
          <w:p>
            <w:pPr>
              <w:tabs>
                <w:tab w:val="left" w:pos="720"/>
              </w:tabs>
              <w:snapToGrid w:val="0"/>
              <w:spacing w:line="360" w:lineRule="auto"/>
              <w:jc w:val="center"/>
              <w:rPr>
                <w:color w:val="auto"/>
                <w:sz w:val="24"/>
                <w:szCs w:val="24"/>
                <w:highlight w:val="none"/>
              </w:rPr>
            </w:pPr>
            <w:r>
              <w:rPr>
                <w:rFonts w:hint="eastAsia"/>
                <w:color w:val="auto"/>
                <w:sz w:val="24"/>
                <w:szCs w:val="24"/>
                <w:highlight w:val="none"/>
              </w:rPr>
              <w:t>职务</w:t>
            </w:r>
          </w:p>
        </w:tc>
        <w:tc>
          <w:tcPr>
            <w:tcW w:w="2461" w:type="dxa"/>
            <w:vAlign w:val="center"/>
          </w:tcPr>
          <w:p>
            <w:pPr>
              <w:tabs>
                <w:tab w:val="left" w:pos="720"/>
              </w:tabs>
              <w:snapToGrid w:val="0"/>
              <w:spacing w:line="360" w:lineRule="auto"/>
              <w:jc w:val="center"/>
              <w:rPr>
                <w:color w:val="auto"/>
                <w:sz w:val="24"/>
                <w:szCs w:val="24"/>
                <w:highlight w:val="none"/>
              </w:rPr>
            </w:pPr>
            <w:r>
              <w:rPr>
                <w:rFonts w:hint="eastAsia"/>
                <w:color w:val="auto"/>
                <w:sz w:val="24"/>
                <w:szCs w:val="24"/>
                <w:highlight w:val="none"/>
              </w:rPr>
              <w:t>所承担工作</w:t>
            </w:r>
          </w:p>
        </w:tc>
        <w:tc>
          <w:tcPr>
            <w:tcW w:w="2359" w:type="dxa"/>
            <w:vAlign w:val="center"/>
          </w:tcPr>
          <w:p>
            <w:pPr>
              <w:tabs>
                <w:tab w:val="left" w:pos="720"/>
              </w:tabs>
              <w:snapToGrid w:val="0"/>
              <w:spacing w:line="360" w:lineRule="auto"/>
              <w:jc w:val="center"/>
              <w:rPr>
                <w:color w:val="auto"/>
                <w:sz w:val="24"/>
                <w:szCs w:val="24"/>
                <w:highlight w:val="none"/>
              </w:rPr>
            </w:pPr>
            <w:r>
              <w:rPr>
                <w:rFonts w:hint="eastAsia"/>
                <w:color w:val="auto"/>
                <w:sz w:val="24"/>
                <w:szCs w:val="24"/>
                <w:highlight w:val="none"/>
              </w:rPr>
              <w:t>身份证号码</w:t>
            </w:r>
          </w:p>
        </w:tc>
        <w:tc>
          <w:tcPr>
            <w:tcW w:w="1419" w:type="dxa"/>
            <w:vAlign w:val="center"/>
          </w:tcPr>
          <w:p>
            <w:pPr>
              <w:tabs>
                <w:tab w:val="left" w:pos="720"/>
              </w:tabs>
              <w:snapToGrid w:val="0"/>
              <w:spacing w:line="360" w:lineRule="auto"/>
              <w:jc w:val="center"/>
              <w:rPr>
                <w:color w:val="auto"/>
                <w:sz w:val="24"/>
                <w:szCs w:val="24"/>
                <w:highlight w:val="none"/>
              </w:rPr>
            </w:pPr>
            <w:r>
              <w:rPr>
                <w:rFonts w:hint="eastAsia"/>
                <w:color w:val="auto"/>
                <w:sz w:val="24"/>
                <w:szCs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9" w:type="dxa"/>
            <w:vAlign w:val="center"/>
          </w:tcPr>
          <w:p>
            <w:pPr>
              <w:tabs>
                <w:tab w:val="left" w:pos="720"/>
              </w:tabs>
              <w:snapToGrid w:val="0"/>
              <w:spacing w:line="360" w:lineRule="auto"/>
              <w:jc w:val="center"/>
              <w:rPr>
                <w:color w:val="auto"/>
                <w:sz w:val="24"/>
                <w:szCs w:val="24"/>
                <w:highlight w:val="none"/>
              </w:rPr>
            </w:pPr>
          </w:p>
        </w:tc>
        <w:tc>
          <w:tcPr>
            <w:tcW w:w="1441" w:type="dxa"/>
            <w:vAlign w:val="center"/>
          </w:tcPr>
          <w:p>
            <w:pPr>
              <w:tabs>
                <w:tab w:val="left" w:pos="720"/>
              </w:tabs>
              <w:snapToGrid w:val="0"/>
              <w:spacing w:line="360" w:lineRule="auto"/>
              <w:jc w:val="center"/>
              <w:rPr>
                <w:color w:val="auto"/>
                <w:sz w:val="24"/>
                <w:szCs w:val="24"/>
                <w:highlight w:val="none"/>
              </w:rPr>
            </w:pPr>
          </w:p>
        </w:tc>
        <w:tc>
          <w:tcPr>
            <w:tcW w:w="2461" w:type="dxa"/>
            <w:vAlign w:val="center"/>
          </w:tcPr>
          <w:p>
            <w:pPr>
              <w:tabs>
                <w:tab w:val="left" w:pos="720"/>
              </w:tabs>
              <w:snapToGrid w:val="0"/>
              <w:spacing w:line="360" w:lineRule="auto"/>
              <w:jc w:val="center"/>
              <w:rPr>
                <w:color w:val="auto"/>
                <w:sz w:val="24"/>
                <w:szCs w:val="24"/>
                <w:highlight w:val="none"/>
              </w:rPr>
            </w:pPr>
          </w:p>
        </w:tc>
        <w:tc>
          <w:tcPr>
            <w:tcW w:w="2359" w:type="dxa"/>
            <w:vAlign w:val="center"/>
          </w:tcPr>
          <w:p>
            <w:pPr>
              <w:tabs>
                <w:tab w:val="left" w:pos="720"/>
              </w:tabs>
              <w:snapToGrid w:val="0"/>
              <w:spacing w:line="360" w:lineRule="auto"/>
              <w:jc w:val="center"/>
              <w:rPr>
                <w:color w:val="auto"/>
                <w:sz w:val="24"/>
                <w:szCs w:val="24"/>
                <w:highlight w:val="none"/>
              </w:rPr>
            </w:pPr>
          </w:p>
        </w:tc>
        <w:tc>
          <w:tcPr>
            <w:tcW w:w="1419" w:type="dxa"/>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color w:val="auto"/>
                <w:sz w:val="24"/>
                <w:szCs w:val="24"/>
                <w:highlight w:val="none"/>
              </w:rPr>
            </w:pPr>
          </w:p>
        </w:tc>
        <w:tc>
          <w:tcPr>
            <w:tcW w:w="1441" w:type="dxa"/>
            <w:vAlign w:val="center"/>
          </w:tcPr>
          <w:p>
            <w:pPr>
              <w:tabs>
                <w:tab w:val="left" w:pos="720"/>
              </w:tabs>
              <w:snapToGrid w:val="0"/>
              <w:spacing w:line="360" w:lineRule="auto"/>
              <w:jc w:val="center"/>
              <w:rPr>
                <w:color w:val="auto"/>
                <w:sz w:val="24"/>
                <w:szCs w:val="24"/>
                <w:highlight w:val="none"/>
              </w:rPr>
            </w:pPr>
          </w:p>
        </w:tc>
        <w:tc>
          <w:tcPr>
            <w:tcW w:w="2461" w:type="dxa"/>
            <w:vAlign w:val="center"/>
          </w:tcPr>
          <w:p>
            <w:pPr>
              <w:tabs>
                <w:tab w:val="left" w:pos="720"/>
              </w:tabs>
              <w:snapToGrid w:val="0"/>
              <w:spacing w:line="360" w:lineRule="auto"/>
              <w:jc w:val="center"/>
              <w:rPr>
                <w:color w:val="auto"/>
                <w:sz w:val="24"/>
                <w:szCs w:val="24"/>
                <w:highlight w:val="none"/>
              </w:rPr>
            </w:pPr>
          </w:p>
        </w:tc>
        <w:tc>
          <w:tcPr>
            <w:tcW w:w="2359" w:type="dxa"/>
            <w:vAlign w:val="center"/>
          </w:tcPr>
          <w:p>
            <w:pPr>
              <w:tabs>
                <w:tab w:val="left" w:pos="720"/>
              </w:tabs>
              <w:snapToGrid w:val="0"/>
              <w:spacing w:line="360" w:lineRule="auto"/>
              <w:jc w:val="center"/>
              <w:rPr>
                <w:color w:val="auto"/>
                <w:sz w:val="24"/>
                <w:szCs w:val="24"/>
                <w:highlight w:val="none"/>
              </w:rPr>
            </w:pPr>
          </w:p>
        </w:tc>
        <w:tc>
          <w:tcPr>
            <w:tcW w:w="1419" w:type="dxa"/>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color w:val="auto"/>
                <w:sz w:val="24"/>
                <w:szCs w:val="24"/>
                <w:highlight w:val="none"/>
              </w:rPr>
            </w:pPr>
          </w:p>
        </w:tc>
        <w:tc>
          <w:tcPr>
            <w:tcW w:w="1441" w:type="dxa"/>
            <w:vAlign w:val="center"/>
          </w:tcPr>
          <w:p>
            <w:pPr>
              <w:tabs>
                <w:tab w:val="left" w:pos="720"/>
              </w:tabs>
              <w:snapToGrid w:val="0"/>
              <w:spacing w:line="360" w:lineRule="auto"/>
              <w:jc w:val="center"/>
              <w:rPr>
                <w:color w:val="auto"/>
                <w:sz w:val="24"/>
                <w:szCs w:val="24"/>
                <w:highlight w:val="none"/>
              </w:rPr>
            </w:pPr>
          </w:p>
        </w:tc>
        <w:tc>
          <w:tcPr>
            <w:tcW w:w="2461" w:type="dxa"/>
            <w:vAlign w:val="center"/>
          </w:tcPr>
          <w:p>
            <w:pPr>
              <w:tabs>
                <w:tab w:val="left" w:pos="720"/>
              </w:tabs>
              <w:snapToGrid w:val="0"/>
              <w:spacing w:line="360" w:lineRule="auto"/>
              <w:jc w:val="center"/>
              <w:rPr>
                <w:color w:val="auto"/>
                <w:sz w:val="24"/>
                <w:szCs w:val="24"/>
                <w:highlight w:val="none"/>
              </w:rPr>
            </w:pPr>
          </w:p>
        </w:tc>
        <w:tc>
          <w:tcPr>
            <w:tcW w:w="2359" w:type="dxa"/>
            <w:vAlign w:val="center"/>
          </w:tcPr>
          <w:p>
            <w:pPr>
              <w:tabs>
                <w:tab w:val="left" w:pos="720"/>
              </w:tabs>
              <w:snapToGrid w:val="0"/>
              <w:spacing w:line="360" w:lineRule="auto"/>
              <w:jc w:val="center"/>
              <w:rPr>
                <w:color w:val="auto"/>
                <w:sz w:val="24"/>
                <w:szCs w:val="24"/>
                <w:highlight w:val="none"/>
              </w:rPr>
            </w:pPr>
          </w:p>
        </w:tc>
        <w:tc>
          <w:tcPr>
            <w:tcW w:w="1419" w:type="dxa"/>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color w:val="auto"/>
                <w:sz w:val="24"/>
                <w:szCs w:val="24"/>
                <w:highlight w:val="none"/>
              </w:rPr>
            </w:pPr>
          </w:p>
        </w:tc>
        <w:tc>
          <w:tcPr>
            <w:tcW w:w="1441" w:type="dxa"/>
            <w:vAlign w:val="center"/>
          </w:tcPr>
          <w:p>
            <w:pPr>
              <w:tabs>
                <w:tab w:val="left" w:pos="720"/>
              </w:tabs>
              <w:snapToGrid w:val="0"/>
              <w:spacing w:line="360" w:lineRule="auto"/>
              <w:jc w:val="center"/>
              <w:rPr>
                <w:color w:val="auto"/>
                <w:sz w:val="24"/>
                <w:szCs w:val="24"/>
                <w:highlight w:val="none"/>
              </w:rPr>
            </w:pPr>
          </w:p>
        </w:tc>
        <w:tc>
          <w:tcPr>
            <w:tcW w:w="2461" w:type="dxa"/>
            <w:vAlign w:val="center"/>
          </w:tcPr>
          <w:p>
            <w:pPr>
              <w:tabs>
                <w:tab w:val="left" w:pos="720"/>
              </w:tabs>
              <w:snapToGrid w:val="0"/>
              <w:spacing w:line="360" w:lineRule="auto"/>
              <w:jc w:val="center"/>
              <w:rPr>
                <w:color w:val="auto"/>
                <w:sz w:val="24"/>
                <w:szCs w:val="24"/>
                <w:highlight w:val="none"/>
              </w:rPr>
            </w:pPr>
          </w:p>
        </w:tc>
        <w:tc>
          <w:tcPr>
            <w:tcW w:w="2359" w:type="dxa"/>
            <w:vAlign w:val="center"/>
          </w:tcPr>
          <w:p>
            <w:pPr>
              <w:tabs>
                <w:tab w:val="left" w:pos="720"/>
              </w:tabs>
              <w:snapToGrid w:val="0"/>
              <w:spacing w:line="360" w:lineRule="auto"/>
              <w:jc w:val="center"/>
              <w:rPr>
                <w:color w:val="auto"/>
                <w:sz w:val="24"/>
                <w:szCs w:val="24"/>
                <w:highlight w:val="none"/>
              </w:rPr>
            </w:pPr>
          </w:p>
        </w:tc>
        <w:tc>
          <w:tcPr>
            <w:tcW w:w="1419" w:type="dxa"/>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color w:val="auto"/>
                <w:sz w:val="24"/>
                <w:szCs w:val="24"/>
                <w:highlight w:val="none"/>
              </w:rPr>
            </w:pPr>
          </w:p>
        </w:tc>
        <w:tc>
          <w:tcPr>
            <w:tcW w:w="1441" w:type="dxa"/>
            <w:vAlign w:val="center"/>
          </w:tcPr>
          <w:p>
            <w:pPr>
              <w:tabs>
                <w:tab w:val="left" w:pos="720"/>
              </w:tabs>
              <w:snapToGrid w:val="0"/>
              <w:spacing w:line="360" w:lineRule="auto"/>
              <w:jc w:val="center"/>
              <w:rPr>
                <w:color w:val="auto"/>
                <w:sz w:val="24"/>
                <w:szCs w:val="24"/>
                <w:highlight w:val="none"/>
              </w:rPr>
            </w:pPr>
          </w:p>
        </w:tc>
        <w:tc>
          <w:tcPr>
            <w:tcW w:w="2461" w:type="dxa"/>
            <w:vAlign w:val="center"/>
          </w:tcPr>
          <w:p>
            <w:pPr>
              <w:tabs>
                <w:tab w:val="left" w:pos="720"/>
              </w:tabs>
              <w:snapToGrid w:val="0"/>
              <w:spacing w:line="360" w:lineRule="auto"/>
              <w:jc w:val="center"/>
              <w:rPr>
                <w:color w:val="auto"/>
                <w:sz w:val="24"/>
                <w:szCs w:val="24"/>
                <w:highlight w:val="none"/>
              </w:rPr>
            </w:pPr>
          </w:p>
        </w:tc>
        <w:tc>
          <w:tcPr>
            <w:tcW w:w="2359" w:type="dxa"/>
            <w:vAlign w:val="center"/>
          </w:tcPr>
          <w:p>
            <w:pPr>
              <w:tabs>
                <w:tab w:val="left" w:pos="720"/>
              </w:tabs>
              <w:snapToGrid w:val="0"/>
              <w:spacing w:line="360" w:lineRule="auto"/>
              <w:jc w:val="center"/>
              <w:rPr>
                <w:color w:val="auto"/>
                <w:sz w:val="24"/>
                <w:szCs w:val="24"/>
                <w:highlight w:val="none"/>
              </w:rPr>
            </w:pPr>
          </w:p>
        </w:tc>
        <w:tc>
          <w:tcPr>
            <w:tcW w:w="1419" w:type="dxa"/>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color w:val="auto"/>
                <w:sz w:val="24"/>
                <w:szCs w:val="24"/>
                <w:highlight w:val="none"/>
              </w:rPr>
            </w:pPr>
          </w:p>
        </w:tc>
        <w:tc>
          <w:tcPr>
            <w:tcW w:w="1441" w:type="dxa"/>
            <w:vAlign w:val="center"/>
          </w:tcPr>
          <w:p>
            <w:pPr>
              <w:tabs>
                <w:tab w:val="left" w:pos="720"/>
              </w:tabs>
              <w:snapToGrid w:val="0"/>
              <w:spacing w:line="360" w:lineRule="auto"/>
              <w:jc w:val="center"/>
              <w:rPr>
                <w:color w:val="auto"/>
                <w:sz w:val="24"/>
                <w:szCs w:val="24"/>
                <w:highlight w:val="none"/>
              </w:rPr>
            </w:pPr>
          </w:p>
        </w:tc>
        <w:tc>
          <w:tcPr>
            <w:tcW w:w="2461" w:type="dxa"/>
            <w:vAlign w:val="center"/>
          </w:tcPr>
          <w:p>
            <w:pPr>
              <w:tabs>
                <w:tab w:val="left" w:pos="720"/>
              </w:tabs>
              <w:snapToGrid w:val="0"/>
              <w:spacing w:line="360" w:lineRule="auto"/>
              <w:jc w:val="center"/>
              <w:rPr>
                <w:color w:val="auto"/>
                <w:sz w:val="24"/>
                <w:szCs w:val="24"/>
                <w:highlight w:val="none"/>
              </w:rPr>
            </w:pPr>
          </w:p>
        </w:tc>
        <w:tc>
          <w:tcPr>
            <w:tcW w:w="2359" w:type="dxa"/>
            <w:vAlign w:val="center"/>
          </w:tcPr>
          <w:p>
            <w:pPr>
              <w:tabs>
                <w:tab w:val="left" w:pos="720"/>
              </w:tabs>
              <w:snapToGrid w:val="0"/>
              <w:spacing w:line="360" w:lineRule="auto"/>
              <w:jc w:val="center"/>
              <w:rPr>
                <w:color w:val="auto"/>
                <w:sz w:val="24"/>
                <w:szCs w:val="24"/>
                <w:highlight w:val="none"/>
              </w:rPr>
            </w:pPr>
          </w:p>
        </w:tc>
        <w:tc>
          <w:tcPr>
            <w:tcW w:w="1419" w:type="dxa"/>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9" w:type="dxa"/>
            <w:vAlign w:val="center"/>
          </w:tcPr>
          <w:p>
            <w:pPr>
              <w:tabs>
                <w:tab w:val="left" w:pos="720"/>
              </w:tabs>
              <w:snapToGrid w:val="0"/>
              <w:spacing w:line="360" w:lineRule="auto"/>
              <w:jc w:val="center"/>
              <w:rPr>
                <w:color w:val="auto"/>
                <w:sz w:val="24"/>
                <w:szCs w:val="24"/>
                <w:highlight w:val="none"/>
              </w:rPr>
            </w:pPr>
          </w:p>
        </w:tc>
        <w:tc>
          <w:tcPr>
            <w:tcW w:w="1441" w:type="dxa"/>
            <w:vAlign w:val="center"/>
          </w:tcPr>
          <w:p>
            <w:pPr>
              <w:tabs>
                <w:tab w:val="left" w:pos="720"/>
              </w:tabs>
              <w:snapToGrid w:val="0"/>
              <w:spacing w:line="360" w:lineRule="auto"/>
              <w:jc w:val="center"/>
              <w:rPr>
                <w:color w:val="auto"/>
                <w:sz w:val="24"/>
                <w:szCs w:val="24"/>
                <w:highlight w:val="none"/>
              </w:rPr>
            </w:pPr>
          </w:p>
        </w:tc>
        <w:tc>
          <w:tcPr>
            <w:tcW w:w="2461" w:type="dxa"/>
            <w:vAlign w:val="center"/>
          </w:tcPr>
          <w:p>
            <w:pPr>
              <w:tabs>
                <w:tab w:val="left" w:pos="720"/>
              </w:tabs>
              <w:snapToGrid w:val="0"/>
              <w:spacing w:line="360" w:lineRule="auto"/>
              <w:jc w:val="center"/>
              <w:rPr>
                <w:color w:val="auto"/>
                <w:sz w:val="24"/>
                <w:szCs w:val="24"/>
                <w:highlight w:val="none"/>
              </w:rPr>
            </w:pPr>
          </w:p>
        </w:tc>
        <w:tc>
          <w:tcPr>
            <w:tcW w:w="2359" w:type="dxa"/>
            <w:vAlign w:val="center"/>
          </w:tcPr>
          <w:p>
            <w:pPr>
              <w:tabs>
                <w:tab w:val="left" w:pos="720"/>
              </w:tabs>
              <w:snapToGrid w:val="0"/>
              <w:spacing w:line="360" w:lineRule="auto"/>
              <w:jc w:val="center"/>
              <w:rPr>
                <w:color w:val="auto"/>
                <w:sz w:val="24"/>
                <w:szCs w:val="24"/>
                <w:highlight w:val="none"/>
              </w:rPr>
            </w:pPr>
          </w:p>
        </w:tc>
        <w:tc>
          <w:tcPr>
            <w:tcW w:w="1419" w:type="dxa"/>
            <w:vAlign w:val="center"/>
          </w:tcPr>
          <w:p>
            <w:pPr>
              <w:tabs>
                <w:tab w:val="left" w:pos="720"/>
              </w:tabs>
              <w:snapToGrid w:val="0"/>
              <w:spacing w:line="360" w:lineRule="auto"/>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9" w:type="dxa"/>
            <w:vAlign w:val="center"/>
          </w:tcPr>
          <w:p>
            <w:pPr>
              <w:tabs>
                <w:tab w:val="left" w:pos="720"/>
              </w:tabs>
              <w:snapToGrid w:val="0"/>
              <w:spacing w:line="360" w:lineRule="auto"/>
              <w:jc w:val="center"/>
              <w:rPr>
                <w:color w:val="auto"/>
                <w:sz w:val="24"/>
                <w:szCs w:val="24"/>
                <w:highlight w:val="none"/>
              </w:rPr>
            </w:pPr>
          </w:p>
        </w:tc>
        <w:tc>
          <w:tcPr>
            <w:tcW w:w="1441" w:type="dxa"/>
            <w:vAlign w:val="center"/>
          </w:tcPr>
          <w:p>
            <w:pPr>
              <w:tabs>
                <w:tab w:val="left" w:pos="720"/>
              </w:tabs>
              <w:snapToGrid w:val="0"/>
              <w:spacing w:line="360" w:lineRule="auto"/>
              <w:jc w:val="center"/>
              <w:rPr>
                <w:color w:val="auto"/>
                <w:sz w:val="24"/>
                <w:szCs w:val="24"/>
                <w:highlight w:val="none"/>
              </w:rPr>
            </w:pPr>
          </w:p>
        </w:tc>
        <w:tc>
          <w:tcPr>
            <w:tcW w:w="2461" w:type="dxa"/>
            <w:vAlign w:val="center"/>
          </w:tcPr>
          <w:p>
            <w:pPr>
              <w:tabs>
                <w:tab w:val="left" w:pos="720"/>
              </w:tabs>
              <w:snapToGrid w:val="0"/>
              <w:spacing w:line="360" w:lineRule="auto"/>
              <w:jc w:val="center"/>
              <w:rPr>
                <w:color w:val="auto"/>
                <w:sz w:val="24"/>
                <w:szCs w:val="24"/>
                <w:highlight w:val="none"/>
              </w:rPr>
            </w:pPr>
          </w:p>
        </w:tc>
        <w:tc>
          <w:tcPr>
            <w:tcW w:w="2359" w:type="dxa"/>
            <w:vAlign w:val="center"/>
          </w:tcPr>
          <w:p>
            <w:pPr>
              <w:tabs>
                <w:tab w:val="left" w:pos="720"/>
              </w:tabs>
              <w:snapToGrid w:val="0"/>
              <w:spacing w:line="360" w:lineRule="auto"/>
              <w:jc w:val="center"/>
              <w:rPr>
                <w:color w:val="auto"/>
                <w:sz w:val="24"/>
                <w:szCs w:val="24"/>
                <w:highlight w:val="none"/>
              </w:rPr>
            </w:pPr>
          </w:p>
        </w:tc>
        <w:tc>
          <w:tcPr>
            <w:tcW w:w="1419" w:type="dxa"/>
            <w:vAlign w:val="center"/>
          </w:tcPr>
          <w:p>
            <w:pPr>
              <w:tabs>
                <w:tab w:val="left" w:pos="720"/>
              </w:tabs>
              <w:snapToGrid w:val="0"/>
              <w:spacing w:line="360" w:lineRule="auto"/>
              <w:jc w:val="center"/>
              <w:rPr>
                <w:color w:val="auto"/>
                <w:sz w:val="24"/>
                <w:szCs w:val="24"/>
                <w:highlight w:val="none"/>
              </w:rPr>
            </w:pPr>
          </w:p>
        </w:tc>
      </w:tr>
    </w:tbl>
    <w:p>
      <w:pPr>
        <w:tabs>
          <w:tab w:val="left" w:pos="720"/>
        </w:tabs>
        <w:snapToGrid w:val="0"/>
        <w:spacing w:line="360" w:lineRule="auto"/>
        <w:rPr>
          <w:color w:val="auto"/>
          <w:sz w:val="24"/>
          <w:szCs w:val="24"/>
          <w:highlight w:val="none"/>
        </w:rPr>
      </w:pPr>
    </w:p>
    <w:p>
      <w:pPr>
        <w:rPr>
          <w:color w:val="auto"/>
          <w:highlight w:val="none"/>
        </w:rPr>
      </w:pPr>
      <w:r>
        <w:rPr>
          <w:rFonts w:hint="eastAsia"/>
          <w:color w:val="auto"/>
          <w:spacing w:val="4"/>
          <w:kern w:val="0"/>
          <w:sz w:val="24"/>
          <w:szCs w:val="24"/>
          <w:highlight w:val="none"/>
        </w:rPr>
        <w:t>注：参与编制经济标书所有人员名单应包括如编制各种专业工程量清单投标报价、负责清样校对、负责打印及复印等所有人员在内的人员名单。</w:t>
      </w:r>
    </w:p>
    <w:p>
      <w:pPr>
        <w:widowControl/>
        <w:jc w:val="left"/>
        <w:rPr>
          <w:rFonts w:cs="宋体"/>
          <w:b/>
          <w:color w:val="auto"/>
          <w:kern w:val="0"/>
          <w:sz w:val="24"/>
          <w:szCs w:val="24"/>
          <w:highlight w:val="none"/>
        </w:rPr>
      </w:pPr>
      <w:r>
        <w:rPr>
          <w:color w:val="auto"/>
          <w:highlight w:val="none"/>
        </w:rPr>
        <w:br w:type="page"/>
      </w:r>
    </w:p>
    <w:p>
      <w:pPr>
        <w:pStyle w:val="4"/>
        <w:rPr>
          <w:color w:val="auto"/>
          <w:highlight w:val="none"/>
        </w:rPr>
      </w:pPr>
      <w:bookmarkStart w:id="51" w:name="_Toc60070635"/>
      <w:bookmarkStart w:id="52" w:name="_Toc61541799"/>
      <w:r>
        <w:rPr>
          <w:rFonts w:hint="eastAsia"/>
          <w:color w:val="auto"/>
          <w:highlight w:val="none"/>
        </w:rPr>
        <w:t>格式</w:t>
      </w:r>
      <w:r>
        <w:rPr>
          <w:rFonts w:hint="eastAsia"/>
          <w:snapToGrid w:val="0"/>
          <w:color w:val="auto"/>
          <w:highlight w:val="none"/>
        </w:rPr>
        <w:t>十</w:t>
      </w:r>
      <w:r>
        <w:rPr>
          <w:rFonts w:hint="eastAsia"/>
          <w:snapToGrid w:val="0"/>
          <w:color w:val="auto"/>
          <w:highlight w:val="none"/>
          <w:lang w:val="en-US" w:eastAsia="zh-CN"/>
        </w:rPr>
        <w:t>一</w:t>
      </w:r>
      <w:r>
        <w:rPr>
          <w:rFonts w:hint="eastAsia"/>
          <w:color w:val="auto"/>
          <w:kern w:val="2"/>
          <w:highlight w:val="none"/>
        </w:rPr>
        <w:t>：</w:t>
      </w:r>
      <w:bookmarkEnd w:id="51"/>
      <w:bookmarkEnd w:id="52"/>
    </w:p>
    <w:p>
      <w:pPr>
        <w:pStyle w:val="25"/>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对投标文件编制的承诺</w:t>
      </w:r>
    </w:p>
    <w:p>
      <w:pPr>
        <w:pStyle w:val="2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pPr>
        <w:pStyle w:val="2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1.被授权人清楚投标文件编制的具体情况，包括工程量清单、以及投标文件的加密打包的理解；</w:t>
      </w:r>
    </w:p>
    <w:p>
      <w:pPr>
        <w:pStyle w:val="2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pPr>
        <w:pStyle w:val="2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pPr>
        <w:pStyle w:val="2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pPr>
        <w:pStyle w:val="25"/>
        <w:spacing w:after="0" w:line="360" w:lineRule="auto"/>
        <w:ind w:firstLine="360" w:firstLineChars="150"/>
        <w:rPr>
          <w:rFonts w:ascii="宋体" w:hAnsi="宋体" w:cs="宋体"/>
          <w:color w:val="auto"/>
          <w:sz w:val="24"/>
          <w:szCs w:val="24"/>
          <w:highlight w:val="none"/>
        </w:rPr>
      </w:pPr>
    </w:p>
    <w:p>
      <w:pPr>
        <w:pStyle w:val="2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pPr>
        <w:spacing w:line="360" w:lineRule="auto"/>
        <w:ind w:right="90" w:firstLine="3240" w:firstLineChars="1350"/>
        <w:rPr>
          <w:rFonts w:hint="eastAsia" w:cs="宋体"/>
          <w:color w:val="auto"/>
          <w:sz w:val="24"/>
          <w:szCs w:val="24"/>
          <w:highlight w:val="none"/>
        </w:rPr>
      </w:pPr>
      <w:r>
        <w:rPr>
          <w:rFonts w:hint="eastAsia" w:cs="宋体"/>
          <w:color w:val="auto"/>
          <w:sz w:val="24"/>
          <w:szCs w:val="24"/>
          <w:highlight w:val="none"/>
        </w:rPr>
        <w:t xml:space="preserve">投标人名称：            </w:t>
      </w:r>
    </w:p>
    <w:p>
      <w:pPr>
        <w:spacing w:line="360" w:lineRule="auto"/>
        <w:ind w:right="90" w:firstLine="3240" w:firstLineChars="1350"/>
        <w:rPr>
          <w:rFonts w:cs="宋体"/>
          <w:color w:val="auto"/>
          <w:sz w:val="24"/>
          <w:szCs w:val="24"/>
          <w:highlight w:val="none"/>
        </w:rPr>
      </w:pPr>
      <w:r>
        <w:rPr>
          <w:rFonts w:hint="eastAsia" w:cs="宋体"/>
          <w:color w:val="auto"/>
          <w:sz w:val="24"/>
          <w:szCs w:val="24"/>
          <w:highlight w:val="none"/>
        </w:rPr>
        <w:t xml:space="preserve">                日期：      年   月   日</w:t>
      </w:r>
    </w:p>
    <w:p>
      <w:pPr>
        <w:pStyle w:val="25"/>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投标文件编制情况</w:t>
      </w:r>
    </w:p>
    <w:p>
      <w:pPr>
        <w:pStyle w:val="25"/>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pPr>
        <w:pStyle w:val="2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27"/>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25"/>
              <w:spacing w:after="0" w:line="360" w:lineRule="auto"/>
              <w:ind w:firstLine="0"/>
              <w:rPr>
                <w:rFonts w:ascii="宋体" w:hAnsi="宋体" w:cs="宋体"/>
                <w:color w:val="auto"/>
                <w:kern w:val="2"/>
                <w:sz w:val="24"/>
                <w:szCs w:val="24"/>
                <w:highlight w:val="none"/>
              </w:rPr>
            </w:pPr>
            <w:r>
              <w:rPr>
                <w:rFonts w:hint="eastAsia" w:ascii="宋体" w:hAnsi="宋体" w:cs="宋体"/>
                <w:color w:val="auto"/>
                <w:kern w:val="2"/>
                <w:sz w:val="24"/>
                <w:szCs w:val="24"/>
                <w:highlight w:val="none"/>
              </w:rPr>
              <w:t>投标文件加密打包的电脑  自有    □      外包    □   其他    □</w:t>
            </w:r>
          </w:p>
          <w:p>
            <w:pPr>
              <w:pStyle w:val="25"/>
              <w:spacing w:after="0" w:line="360" w:lineRule="auto"/>
              <w:ind w:firstLine="0"/>
              <w:rPr>
                <w:rFonts w:ascii="宋体" w:hAnsi="宋体" w:cs="宋体"/>
                <w:color w:val="auto"/>
                <w:kern w:val="2"/>
                <w:sz w:val="24"/>
                <w:szCs w:val="24"/>
                <w:highlight w:val="none"/>
              </w:rPr>
            </w:pPr>
            <w:r>
              <w:rPr>
                <w:rFonts w:hint="eastAsia" w:ascii="宋体" w:hAnsi="宋体" w:cs="宋体"/>
                <w:color w:val="auto"/>
                <w:kern w:val="2"/>
                <w:sz w:val="24"/>
                <w:szCs w:val="24"/>
                <w:highlight w:val="none"/>
              </w:rPr>
              <w:t>电脑类型</w:t>
            </w:r>
          </w:p>
          <w:p>
            <w:pPr>
              <w:pStyle w:val="25"/>
              <w:spacing w:after="0" w:line="360" w:lineRule="auto"/>
              <w:ind w:firstLine="0"/>
              <w:rPr>
                <w:rFonts w:ascii="宋体" w:hAnsi="宋体" w:cs="宋体"/>
                <w:color w:val="auto"/>
                <w:kern w:val="2"/>
                <w:sz w:val="24"/>
                <w:szCs w:val="24"/>
                <w:highlight w:val="none"/>
              </w:rPr>
            </w:pPr>
            <w:r>
              <w:rPr>
                <w:rFonts w:hint="eastAsia" w:ascii="宋体" w:hAnsi="宋体" w:cs="宋体"/>
                <w:color w:val="auto"/>
                <w:kern w:val="2"/>
                <w:sz w:val="24"/>
                <w:szCs w:val="24"/>
                <w:highlight w:val="none"/>
              </w:rPr>
              <w:t>电脑所属单位</w:t>
            </w:r>
          </w:p>
          <w:p>
            <w:pPr>
              <w:pStyle w:val="25"/>
              <w:spacing w:after="0" w:line="360" w:lineRule="auto"/>
              <w:ind w:firstLine="0"/>
              <w:rPr>
                <w:rFonts w:ascii="宋体" w:hAnsi="宋体" w:cs="宋体"/>
                <w:color w:val="auto"/>
                <w:kern w:val="2"/>
                <w:sz w:val="24"/>
                <w:szCs w:val="24"/>
                <w:highlight w:val="none"/>
              </w:rPr>
            </w:pPr>
            <w:r>
              <w:rPr>
                <w:rFonts w:hint="eastAsia" w:ascii="宋体" w:hAnsi="宋体" w:cs="宋体"/>
                <w:color w:val="auto"/>
                <w:kern w:val="2"/>
                <w:sz w:val="24"/>
                <w:szCs w:val="24"/>
                <w:highlight w:val="none"/>
              </w:rPr>
              <w:t>电脑所在地址        （如××市××区(县) ××街（路）××号××大厦××房）</w:t>
            </w:r>
          </w:p>
        </w:tc>
      </w:tr>
    </w:tbl>
    <w:p>
      <w:pPr>
        <w:snapToGrid/>
        <w:spacing w:line="240" w:lineRule="auto"/>
        <w:outlineLvl w:val="9"/>
        <w:rPr>
          <w:rFonts w:cs="宋体"/>
          <w:color w:val="auto"/>
          <w:szCs w:val="21"/>
          <w:highlight w:val="none"/>
        </w:rPr>
      </w:pPr>
      <w:r>
        <w:rPr>
          <w:rFonts w:cs="宋体"/>
          <w:color w:val="auto"/>
          <w:szCs w:val="21"/>
          <w:highlight w:val="none"/>
        </w:rPr>
        <w:br w:type="page"/>
      </w:r>
    </w:p>
    <w:p>
      <w:pPr>
        <w:jc w:val="right"/>
        <w:rPr>
          <w:color w:val="auto"/>
          <w:highlight w:val="none"/>
        </w:rPr>
      </w:pPr>
      <w:r>
        <w:rPr>
          <w:color w:val="auto"/>
          <w:highlight w:val="none"/>
        </w:rPr>
        <w:br w:type="page"/>
      </w:r>
    </w:p>
    <w:p>
      <w:pPr>
        <w:rPr>
          <w:color w:val="auto"/>
          <w:highlight w:val="none"/>
        </w:rPr>
      </w:pPr>
    </w:p>
    <w:p>
      <w:pPr>
        <w:tabs>
          <w:tab w:val="left" w:pos="720"/>
        </w:tabs>
        <w:snapToGrid w:val="0"/>
        <w:spacing w:line="360" w:lineRule="auto"/>
        <w:ind w:firstLine="482" w:firstLineChars="100"/>
        <w:jc w:val="left"/>
        <w:outlineLvl w:val="0"/>
        <w:rPr>
          <w:rStyle w:val="42"/>
          <w:rFonts w:hint="default"/>
          <w:color w:val="auto"/>
          <w:highlight w:val="none"/>
        </w:rPr>
      </w:pPr>
      <w:r>
        <w:rPr>
          <w:rStyle w:val="42"/>
          <w:rFonts w:hint="default"/>
          <w:color w:val="auto"/>
          <w:highlight w:val="none"/>
        </w:rPr>
        <w:t>第五章  技术条件（工程建设标准）</w:t>
      </w:r>
    </w:p>
    <w:p>
      <w:pPr>
        <w:topLinePunct/>
        <w:adjustRightIn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下列文件应被认为是组成本章内容的一部分，并互为补充和解释，如各文件存在冲突之处，以如下排列次序在前者优先适用：</w:t>
      </w: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1、遵照招标人相关管理规定要求；</w:t>
      </w: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2、采用图纸中规定的其它技术和验收标准；</w:t>
      </w: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3、采用中华人民共和国现行技术和验收规范。</w:t>
      </w:r>
    </w:p>
    <w:p>
      <w:pPr>
        <w:topLinePunct/>
        <w:adjustRightIn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以现行的中华人民共和国及有关</w:t>
      </w:r>
      <w:r>
        <w:rPr>
          <w:rFonts w:hint="eastAsia" w:ascii="宋体" w:hAnsi="宋体" w:cs="宋体"/>
          <w:b/>
          <w:color w:val="auto"/>
          <w:spacing w:val="4"/>
          <w:kern w:val="0"/>
          <w:sz w:val="24"/>
          <w:szCs w:val="24"/>
          <w:highlight w:val="none"/>
        </w:rPr>
        <w:t>部委</w:t>
      </w:r>
      <w:r>
        <w:rPr>
          <w:rFonts w:hint="eastAsia" w:ascii="宋体" w:hAnsi="宋体" w:cs="宋体"/>
          <w:b/>
          <w:color w:val="auto"/>
          <w:sz w:val="24"/>
          <w:szCs w:val="24"/>
          <w:highlight w:val="none"/>
        </w:rPr>
        <w:t>颁布的标准、规范、和规程。若施工时期建设主管部门颁布新的规范、标准，则按照新的规范、标准执行。</w:t>
      </w:r>
    </w:p>
    <w:p>
      <w:pPr>
        <w:topLinePunct w:val="0"/>
        <w:adjustRightInd/>
        <w:spacing w:line="240" w:lineRule="auto"/>
        <w:ind w:firstLine="0" w:firstLineChars="0"/>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pPr>
        <w:pStyle w:val="2"/>
        <w:jc w:val="center"/>
        <w:rPr>
          <w:rFonts w:hint="default"/>
          <w:color w:val="auto"/>
          <w:highlight w:val="none"/>
        </w:rPr>
      </w:pPr>
      <w:bookmarkStart w:id="53" w:name="_Toc18664075"/>
      <w:r>
        <w:rPr>
          <w:color w:val="auto"/>
          <w:highlight w:val="none"/>
        </w:rPr>
        <w:t>第六章  图纸及勘察资料</w:t>
      </w:r>
      <w:bookmarkEnd w:id="53"/>
    </w:p>
    <w:p>
      <w:pPr>
        <w:topLinePunct/>
        <w:adjustRightInd w:val="0"/>
        <w:snapToGrid w:val="0"/>
        <w:spacing w:line="360" w:lineRule="auto"/>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招标图纸（另册）。</w:t>
      </w:r>
    </w:p>
    <w:p>
      <w:pPr>
        <w:topLinePunct/>
        <w:adjustRightInd w:val="0"/>
        <w:snapToGrid w:val="0"/>
        <w:spacing w:line="360" w:lineRule="auto"/>
        <w:ind w:firstLine="496" w:firstLineChars="200"/>
        <w:rPr>
          <w:rFonts w:cs="宋体"/>
          <w:snapToGrid w:val="0"/>
          <w:color w:val="auto"/>
          <w:spacing w:val="4"/>
          <w:kern w:val="0"/>
          <w:sz w:val="24"/>
          <w:szCs w:val="24"/>
          <w:highlight w:val="none"/>
        </w:rPr>
      </w:pPr>
    </w:p>
    <w:p>
      <w:pPr>
        <w:topLinePunct/>
        <w:adjustRightInd w:val="0"/>
        <w:snapToGrid w:val="0"/>
        <w:spacing w:before="156" w:after="156" w:line="360" w:lineRule="auto"/>
        <w:ind w:firstLine="496" w:firstLineChars="200"/>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注：本项目所有招标图纸、资料知识产权属招标人所有，不得用于除本次招标项目外其它用途，否则应承担由此所引起的全部法律责任。</w:t>
      </w:r>
    </w:p>
    <w:p>
      <w:pPr>
        <w:jc w:val="center"/>
        <w:rPr>
          <w:rFonts w:cs="宋体"/>
          <w:b/>
          <w:bCs/>
          <w:color w:val="auto"/>
          <w:sz w:val="28"/>
          <w:szCs w:val="28"/>
          <w:highlight w:val="none"/>
        </w:rPr>
      </w:pPr>
    </w:p>
    <w:p>
      <w:pPr>
        <w:pStyle w:val="2"/>
        <w:jc w:val="center"/>
        <w:rPr>
          <w:rFonts w:hint="default"/>
          <w:color w:val="auto"/>
          <w:highlight w:val="none"/>
        </w:rPr>
      </w:pPr>
      <w:r>
        <w:rPr>
          <w:color w:val="auto"/>
          <w:sz w:val="24"/>
          <w:szCs w:val="24"/>
          <w:highlight w:val="none"/>
        </w:rPr>
        <w:br w:type="page"/>
      </w:r>
      <w:bookmarkStart w:id="54" w:name="_Toc18664076"/>
      <w:r>
        <w:rPr>
          <w:color w:val="auto"/>
          <w:highlight w:val="none"/>
        </w:rPr>
        <w:t>第七章  工程量清单</w:t>
      </w:r>
      <w:bookmarkEnd w:id="54"/>
    </w:p>
    <w:p>
      <w:pPr>
        <w:rPr>
          <w:b/>
          <w:color w:val="auto"/>
          <w:sz w:val="24"/>
          <w:szCs w:val="24"/>
          <w:highlight w:val="none"/>
        </w:rPr>
      </w:pPr>
      <w:r>
        <w:rPr>
          <w:rFonts w:hint="eastAsia"/>
          <w:color w:val="auto"/>
          <w:sz w:val="24"/>
          <w:szCs w:val="24"/>
          <w:highlight w:val="none"/>
        </w:rPr>
        <w:t>注：另册。</w:t>
      </w:r>
    </w:p>
    <w:p>
      <w:pPr>
        <w:pStyle w:val="25"/>
        <w:spacing w:after="0" w:line="360" w:lineRule="auto"/>
        <w:ind w:left="-2" w:leftChars="-1" w:firstLine="960" w:firstLineChars="400"/>
        <w:rPr>
          <w:rFonts w:ascii="宋体"/>
          <w:color w:val="auto"/>
          <w:sz w:val="24"/>
          <w:highlight w:val="none"/>
        </w:rPr>
      </w:pPr>
    </w:p>
    <w:p>
      <w:pPr>
        <w:pStyle w:val="2"/>
        <w:rPr>
          <w:rFonts w:hint="default"/>
          <w:color w:val="auto"/>
          <w:highlight w:val="none"/>
        </w:rPr>
      </w:pPr>
    </w:p>
    <w:p>
      <w:pPr>
        <w:pStyle w:val="2"/>
        <w:jc w:val="center"/>
        <w:rPr>
          <w:rFonts w:hint="default"/>
          <w:color w:val="auto"/>
          <w:highlight w:val="none"/>
        </w:rPr>
      </w:pPr>
      <w:r>
        <w:rPr>
          <w:color w:val="auto"/>
          <w:sz w:val="24"/>
          <w:szCs w:val="24"/>
          <w:highlight w:val="none"/>
        </w:rPr>
        <w:br w:type="page"/>
      </w:r>
      <w:bookmarkStart w:id="55" w:name="_Toc18664077"/>
      <w:r>
        <w:rPr>
          <w:color w:val="auto"/>
          <w:highlight w:val="none"/>
        </w:rPr>
        <w:t>第八章  最高投标限价</w:t>
      </w:r>
      <w:bookmarkEnd w:id="55"/>
    </w:p>
    <w:p>
      <w:pPr>
        <w:spacing w:line="600" w:lineRule="exact"/>
        <w:jc w:val="center"/>
        <w:rPr>
          <w:color w:val="auto"/>
          <w:sz w:val="24"/>
          <w:szCs w:val="24"/>
          <w:highlight w:val="none"/>
        </w:rPr>
      </w:pPr>
      <w:r>
        <w:rPr>
          <w:rFonts w:hint="eastAsia"/>
          <w:color w:val="auto"/>
          <w:sz w:val="24"/>
          <w:szCs w:val="24"/>
          <w:highlight w:val="none"/>
        </w:rPr>
        <w:t>详见《最高投标限价公布函》</w:t>
      </w:r>
    </w:p>
    <w:p>
      <w:pPr>
        <w:rPr>
          <w:color w:val="auto"/>
          <w:highlight w:val="none"/>
        </w:rPr>
      </w:pPr>
    </w:p>
    <w:p>
      <w:pPr>
        <w:rPr>
          <w:color w:val="auto"/>
          <w:highlight w:val="none"/>
        </w:rPr>
      </w:pPr>
    </w:p>
    <w:sectPr>
      <w:headerReference r:id="rId18" w:type="first"/>
      <w:footerReference r:id="rId20" w:type="first"/>
      <w:headerReference r:id="rId17" w:type="default"/>
      <w:footerReference r:id="rId19" w:type="default"/>
      <w:pgSz w:w="11905" w:h="16838"/>
      <w:pgMar w:top="1440" w:right="1803" w:bottom="1440" w:left="1803" w:header="850" w:footer="907" w:gutter="0"/>
      <w:cols w:space="0" w:num="1"/>
      <w:titlePg/>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jc w:val="right"/>
      <w:rPr>
        <w:rStyle w:val="2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7CjRcIBAACP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ZyPXgPDmmLBw6SejTlBzMZxTYTTvVF6Ex/eS9fAfbf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wo0XCAQAAjwMAAA4AAAAAAAAAAQAgAAAAHgEAAGRycy9lMm9Eb2MueG1sUEsF&#10;BgAAAAAGAAYAWQEAAFI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rPr>
        <w:rStyle w:val="29"/>
      </w:rPr>
    </w:pPr>
    <w:r>
      <w:fldChar w:fldCharType="begin"/>
    </w:r>
    <w:r>
      <w:rPr>
        <w:rStyle w:val="29"/>
      </w:rPr>
      <w:instrText xml:space="preserve">PAGE  </w:instrText>
    </w:r>
    <w:r>
      <w:fldChar w:fldCharType="separate"/>
    </w:r>
    <w:r>
      <w:rPr>
        <w:rStyle w:val="29"/>
        <w:rFonts w:hint="eastAsia"/>
      </w:rPr>
      <w:t>一</w:t>
    </w:r>
    <w:r>
      <w:rPr>
        <w:rStyle w:val="29"/>
      </w:rPr>
      <w:t>–2</w:t>
    </w:r>
    <w:r>
      <w:fldChar w:fldCharType="end"/>
    </w:r>
  </w:p>
  <w:p>
    <w:pPr>
      <w:pStyle w:val="16"/>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jc w:val="right"/>
      <w:rPr>
        <w:rStyle w:val="29"/>
      </w:rPr>
    </w:pPr>
    <w:r>
      <mc:AlternateContent>
        <mc:Choice Requires="wps">
          <w:drawing>
            <wp:anchor distT="0" distB="0" distL="114300" distR="114300" simplePos="0" relativeHeight="251662336" behindDoc="0" locked="0" layoutInCell="1" allowOverlap="1">
              <wp:simplePos x="0" y="0"/>
              <wp:positionH relativeFrom="margin">
                <wp:posOffset>2705735</wp:posOffset>
              </wp:positionH>
              <wp:positionV relativeFrom="paragraph">
                <wp:posOffset>109855</wp:posOffset>
              </wp:positionV>
              <wp:extent cx="307340" cy="2787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307340" cy="278765"/>
                      </a:xfrm>
                      <a:prstGeom prst="rect">
                        <a:avLst/>
                      </a:prstGeom>
                      <a:noFill/>
                      <a:ln>
                        <a:noFill/>
                      </a:ln>
                    </wps:spPr>
                    <wps:txbx>
                      <w:txbxContent>
                        <w:p>
                          <w:pPr>
                            <w:pStyle w:val="16"/>
                            <w:ind w:firstLine="392"/>
                            <w:jc w:val="right"/>
                          </w:pPr>
                          <w:r>
                            <w:fldChar w:fldCharType="begin"/>
                          </w:r>
                          <w:r>
                            <w:rPr>
                              <w:rStyle w:val="29"/>
                            </w:rPr>
                            <w:instrText xml:space="preserve">PAGE  </w:instrText>
                          </w:r>
                          <w:r>
                            <w:fldChar w:fldCharType="separate"/>
                          </w:r>
                          <w:r>
                            <w:rPr>
                              <w:rStyle w:val="29"/>
                            </w:rPr>
                            <w:t>16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213.05pt;margin-top:8.65pt;height:21.95pt;width:24.2pt;mso-position-horizontal-relative:margin;mso-wrap-style:none;z-index:251662336;mso-width-relative:page;mso-height-relative:page;" filled="f" stroked="f" coordsize="21600,21600" o:gfxdata="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jPbHk1gAAAAkBAAAPAAAAAAAAAAEAIAAAACIAAABkcnMvZG93bnJl&#10;di54bWxQSwECFAAUAAAACACHTuJA8qxhLsYBAACLAwAADgAAAAAAAAABACAAAAAlAQAAZHJzL2Uy&#10;b0RvYy54bWxQSwUGAAAAAAYABgBZAQAAXQUAAAAA&#10;">
              <v:fill on="f" focussize="0,0"/>
              <v:stroke on="f"/>
              <v:imagedata o:title=""/>
              <o:lock v:ext="edit" aspectratio="f"/>
              <v:textbox inset="0mm,0mm,0mm,0mm" style="mso-fit-shape-to-text:t;">
                <w:txbxContent>
                  <w:p>
                    <w:pPr>
                      <w:pStyle w:val="16"/>
                      <w:ind w:firstLine="392"/>
                      <w:jc w:val="right"/>
                    </w:pPr>
                    <w:r>
                      <w:fldChar w:fldCharType="begin"/>
                    </w:r>
                    <w:r>
                      <w:rPr>
                        <w:rStyle w:val="29"/>
                      </w:rPr>
                      <w:instrText xml:space="preserve">PAGE  </w:instrText>
                    </w:r>
                    <w:r>
                      <w:fldChar w:fldCharType="separate"/>
                    </w:r>
                    <w:r>
                      <w:rPr>
                        <w:rStyle w:val="29"/>
                      </w:rP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07340" cy="2787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07340" cy="278765"/>
                      </a:xfrm>
                      <a:prstGeom prst="rect">
                        <a:avLst/>
                      </a:prstGeom>
                      <a:noFill/>
                      <a:ln>
                        <a:noFill/>
                      </a:ln>
                    </wps:spPr>
                    <wps:txbx>
                      <w:txbxContent>
                        <w:p>
                          <w:pPr>
                            <w:pStyle w:val="16"/>
                            <w:ind w:firstLine="392"/>
                          </w:pPr>
                          <w:r>
                            <w:fldChar w:fldCharType="begin"/>
                          </w:r>
                          <w:r>
                            <w:rPr>
                              <w:rStyle w:val="29"/>
                            </w:rPr>
                            <w:instrText xml:space="preserve"> PAGE </w:instrText>
                          </w:r>
                          <w:r>
                            <w:fldChar w:fldCharType="separate"/>
                          </w:r>
                          <w:r>
                            <w:rPr>
                              <w:rStyle w:val="29"/>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21.95pt;width:24.2pt;mso-position-horizontal:center;mso-position-horizontal-relative:margin;mso-wrap-style:none;z-index:251663360;mso-width-relative:page;mso-height-relative:page;" filled="f" stroked="f" coordsize="21600,21600" o:gfxdata="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HAzv9EAAAADAQAADwAAAAAAAAABACAAAAAiAAAAZHJzL2Rvd25yZXYueG1s&#10;UEsBAhQAFAAAAAgAh07iQIYrr9nGAQAAiwMAAA4AAAAAAAAAAQAgAAAAIAEAAGRycy9lMm9Eb2Mu&#10;eG1sUEsFBgAAAAAGAAYAWQEAAFgFAAAAAA==&#10;">
              <v:fill on="f" focussize="0,0"/>
              <v:stroke on="f"/>
              <v:imagedata o:title=""/>
              <o:lock v:ext="edit" aspectratio="f"/>
              <v:textbox inset="0mm,0mm,0mm,0mm" style="mso-fit-shape-to-text:t;">
                <w:txbxContent>
                  <w:p>
                    <w:pPr>
                      <w:pStyle w:val="16"/>
                      <w:ind w:firstLine="392"/>
                    </w:pPr>
                    <w:r>
                      <w:fldChar w:fldCharType="begin"/>
                    </w:r>
                    <w:r>
                      <w:rPr>
                        <w:rStyle w:val="29"/>
                      </w:rPr>
                      <w:instrText xml:space="preserve"> PAGE </w:instrText>
                    </w:r>
                    <w:r>
                      <w:fldChar w:fldCharType="separate"/>
                    </w:r>
                    <w:r>
                      <w:rPr>
                        <w:rStyle w:val="29"/>
                      </w:rP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jc w:val="center"/>
                            <w:rPr>
                              <w:rStyle w:val="29"/>
                            </w:rPr>
                          </w:pPr>
                          <w:r>
                            <w:fldChar w:fldCharType="begin"/>
                          </w:r>
                          <w:r>
                            <w:rPr>
                              <w:rStyle w:val="29"/>
                            </w:rPr>
                            <w:instrText xml:space="preserve">PAGE  </w:instrText>
                          </w:r>
                          <w:r>
                            <w:fldChar w:fldCharType="separate"/>
                          </w:r>
                          <w:r>
                            <w:rPr>
                              <w:rStyle w:val="29"/>
                            </w:rPr>
                            <w:t>61</w:t>
                          </w:r>
                          <w:r>
                            <w:fldChar w:fldCharType="end"/>
                          </w:r>
                        </w:p>
                        <w:p>
                          <w:pPr>
                            <w:pStyle w:val="16"/>
                            <w:ind w:left="-4410" w:leftChars="-2100" w:right="-4439" w:rightChars="-2114"/>
                            <w:rPr>
                              <w:rStyle w:val="29"/>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5cC/M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5c4d8ctTvz888f515/z7+8E&#10;fShQH6DGvLuAmWn44Adcm9kP6My8BxVt/iIjgnGU93SRVw6JiPxotVytKgwJjM0XxGdPz0OE9FF6&#10;S7LR0IjzK7Ly42dIY+qckqs5f6uNKTM07i8HYmYPy72PPWYrDbthIrTz7Qn59Dj6hjrcdErMJ4fK&#10;5i2ZjTgbu8nINSC8PyQsXPrJqCPUVAznVBhNO5UX4fm9ZD39R5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OXAvzCAQAAjwMAAA4AAAAAAAAAAQAgAAAAHgEAAGRycy9lMm9Eb2MueG1sUEsF&#10;BgAAAAAGAAYAWQEAAFIFAAAAAA==&#10;">
              <v:fill on="f" focussize="0,0"/>
              <v:stroke on="f"/>
              <v:imagedata o:title=""/>
              <o:lock v:ext="edit" aspectratio="f"/>
              <v:textbox inset="0mm,0mm,0mm,0mm" style="mso-fit-shape-to-text:t;">
                <w:txbxContent>
                  <w:p>
                    <w:pPr>
                      <w:pStyle w:val="16"/>
                      <w:jc w:val="center"/>
                      <w:rPr>
                        <w:rStyle w:val="29"/>
                      </w:rPr>
                    </w:pPr>
                    <w:r>
                      <w:fldChar w:fldCharType="begin"/>
                    </w:r>
                    <w:r>
                      <w:rPr>
                        <w:rStyle w:val="29"/>
                      </w:rPr>
                      <w:instrText xml:space="preserve">PAGE  </w:instrText>
                    </w:r>
                    <w:r>
                      <w:fldChar w:fldCharType="separate"/>
                    </w:r>
                    <w:r>
                      <w:rPr>
                        <w:rStyle w:val="29"/>
                      </w:rPr>
                      <w:t>61</w:t>
                    </w:r>
                    <w:r>
                      <w:fldChar w:fldCharType="end"/>
                    </w:r>
                  </w:p>
                  <w:p>
                    <w:pPr>
                      <w:pStyle w:val="16"/>
                      <w:ind w:left="-4410" w:leftChars="-2100" w:right="-4439" w:rightChars="-2114"/>
                      <w:rPr>
                        <w:rStyle w:val="29"/>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9"/>
      </w:rPr>
    </w:pPr>
    <w:r>
      <w:fldChar w:fldCharType="begin"/>
    </w:r>
    <w:r>
      <w:rPr>
        <w:rStyle w:val="29"/>
      </w:rPr>
      <w:instrText xml:space="preserve">PAGE  </w:instrText>
    </w:r>
    <w:r>
      <w:fldChar w:fldCharType="separate"/>
    </w:r>
    <w:r>
      <w:rPr>
        <w:rStyle w:val="29"/>
        <w:rFonts w:hint="eastAsia"/>
      </w:rPr>
      <w:t>一</w:t>
    </w:r>
    <w:r>
      <w:rPr>
        <w:rStyle w:val="29"/>
      </w:rPr>
      <w:t>–2</w:t>
    </w:r>
    <w:r>
      <w:fldChar w:fldCharType="end"/>
    </w:r>
  </w:p>
  <w:p>
    <w:pPr>
      <w:pStyle w:val="16"/>
      <w:ind w:right="360" w:firstLine="360"/>
      <w:jc w:val="center"/>
    </w:pPr>
    <w:r>
      <w:rPr>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jc w:val="center"/>
                          </w:pPr>
                          <w:r>
                            <w:fldChar w:fldCharType="begin"/>
                          </w:r>
                          <w:r>
                            <w:rPr>
                              <w:rStyle w:val="29"/>
                            </w:rPr>
                            <w:instrText xml:space="preserve"> PAGE </w:instrText>
                          </w:r>
                          <w:r>
                            <w:fldChar w:fldCharType="separate"/>
                          </w:r>
                          <w:r>
                            <w:rPr>
                              <w:rStyle w:val="29"/>
                            </w:rPr>
                            <w:t>59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NzGcMBAACP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pI3MZwwEAAI8DAAAOAAAAAAAAAAEAIAAAAB4BAABkcnMvZTJvRG9jLnhtbFBL&#10;BQYAAAAABgAGAFkBAABTBQAAAAA=&#10;">
              <v:fill on="f" focussize="0,0"/>
              <v:stroke on="f"/>
              <v:imagedata o:title=""/>
              <o:lock v:ext="edit" aspectratio="f"/>
              <v:textbox inset="0mm,0mm,0mm,0mm" style="mso-fit-shape-to-text:t;">
                <w:txbxContent>
                  <w:p>
                    <w:pPr>
                      <w:pStyle w:val="16"/>
                      <w:jc w:val="center"/>
                    </w:pPr>
                    <w:r>
                      <w:fldChar w:fldCharType="begin"/>
                    </w:r>
                    <w:r>
                      <w:rPr>
                        <w:rStyle w:val="29"/>
                      </w:rPr>
                      <w:instrText xml:space="preserve"> PAGE </w:instrText>
                    </w:r>
                    <w:r>
                      <w:fldChar w:fldCharType="separate"/>
                    </w:r>
                    <w:r>
                      <w:rPr>
                        <w:rStyle w:val="29"/>
                      </w:rP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9"/>
      </w:rPr>
    </w:pPr>
    <w:r>
      <w:fldChar w:fldCharType="begin"/>
    </w:r>
    <w:r>
      <w:rPr>
        <w:rStyle w:val="29"/>
      </w:rPr>
      <w:instrText xml:space="preserve">PAGE  </w:instrText>
    </w:r>
    <w:r>
      <w:fldChar w:fldCharType="separate"/>
    </w:r>
    <w:r>
      <w:rPr>
        <w:rStyle w:val="29"/>
      </w:rPr>
      <w:t>86</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4E816E"/>
    <w:multiLevelType w:val="singleLevel"/>
    <w:tmpl w:val="E04E816E"/>
    <w:lvl w:ilvl="0" w:tentative="0">
      <w:start w:val="2"/>
      <w:numFmt w:val="decimal"/>
      <w:lvlText w:val="%1."/>
      <w:lvlJc w:val="left"/>
      <w:pPr>
        <w:tabs>
          <w:tab w:val="left" w:pos="312"/>
        </w:tabs>
      </w:pPr>
    </w:lvl>
  </w:abstractNum>
  <w:abstractNum w:abstractNumId="1">
    <w:nsid w:val="F50248E0"/>
    <w:multiLevelType w:val="singleLevel"/>
    <w:tmpl w:val="F50248E0"/>
    <w:lvl w:ilvl="0" w:tentative="0">
      <w:start w:val="2"/>
      <w:numFmt w:val="decimal"/>
      <w:lvlText w:val="%1."/>
      <w:lvlJc w:val="left"/>
      <w:pPr>
        <w:tabs>
          <w:tab w:val="left" w:pos="312"/>
        </w:tabs>
      </w:pPr>
    </w:lvl>
  </w:abstractNum>
  <w:abstractNum w:abstractNumId="2">
    <w:nsid w:val="00000005"/>
    <w:multiLevelType w:val="multilevel"/>
    <w:tmpl w:val="00000005"/>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00000009"/>
    <w:multiLevelType w:val="multilevel"/>
    <w:tmpl w:val="00000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C315C1"/>
    <w:multiLevelType w:val="singleLevel"/>
    <w:tmpl w:val="03C315C1"/>
    <w:lvl w:ilvl="0" w:tentative="0">
      <w:start w:val="1"/>
      <w:numFmt w:val="decimal"/>
      <w:suff w:val="nothing"/>
      <w:lvlText w:val="（%1）"/>
      <w:lvlJc w:val="left"/>
    </w:lvl>
  </w:abstractNum>
  <w:abstractNum w:abstractNumId="5">
    <w:nsid w:val="1C100063"/>
    <w:multiLevelType w:val="singleLevel"/>
    <w:tmpl w:val="1C100063"/>
    <w:lvl w:ilvl="0" w:tentative="0">
      <w:start w:val="1"/>
      <w:numFmt w:val="decimal"/>
      <w:suff w:val="nothing"/>
      <w:lvlText w:val="（%1）"/>
      <w:lvlJc w:val="left"/>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MzgwMTQ3ZGUxYzJhNDcwZDJiZjVlMDA1ZDk2ZDIifQ=="/>
  </w:docVars>
  <w:rsids>
    <w:rsidRoot w:val="18691B45"/>
    <w:rsid w:val="00012143"/>
    <w:rsid w:val="0012367E"/>
    <w:rsid w:val="001A07DA"/>
    <w:rsid w:val="001D7D62"/>
    <w:rsid w:val="003B49AE"/>
    <w:rsid w:val="006D1F01"/>
    <w:rsid w:val="007742EC"/>
    <w:rsid w:val="00825D35"/>
    <w:rsid w:val="00833D65"/>
    <w:rsid w:val="00900B41"/>
    <w:rsid w:val="009D0EA3"/>
    <w:rsid w:val="00A55C49"/>
    <w:rsid w:val="00B43058"/>
    <w:rsid w:val="00B93B8C"/>
    <w:rsid w:val="00C00249"/>
    <w:rsid w:val="00C558E9"/>
    <w:rsid w:val="00C64F76"/>
    <w:rsid w:val="00D022D0"/>
    <w:rsid w:val="00D3263A"/>
    <w:rsid w:val="00D36F05"/>
    <w:rsid w:val="00D52326"/>
    <w:rsid w:val="00D9637F"/>
    <w:rsid w:val="00E23DEF"/>
    <w:rsid w:val="00E32D5A"/>
    <w:rsid w:val="00EB7AAD"/>
    <w:rsid w:val="00FA2F8E"/>
    <w:rsid w:val="01011432"/>
    <w:rsid w:val="01233A9E"/>
    <w:rsid w:val="014545C7"/>
    <w:rsid w:val="016E22E2"/>
    <w:rsid w:val="01A65774"/>
    <w:rsid w:val="01AF2D2F"/>
    <w:rsid w:val="01B77A9C"/>
    <w:rsid w:val="01D60B10"/>
    <w:rsid w:val="01FA208E"/>
    <w:rsid w:val="01FD609D"/>
    <w:rsid w:val="0201310D"/>
    <w:rsid w:val="021E7FE8"/>
    <w:rsid w:val="028431EE"/>
    <w:rsid w:val="02BC1AB4"/>
    <w:rsid w:val="02DE3CC3"/>
    <w:rsid w:val="02F02146"/>
    <w:rsid w:val="02F76F90"/>
    <w:rsid w:val="03031C16"/>
    <w:rsid w:val="032F04D8"/>
    <w:rsid w:val="03394EB3"/>
    <w:rsid w:val="033E7560"/>
    <w:rsid w:val="037E4FBC"/>
    <w:rsid w:val="038E2CE0"/>
    <w:rsid w:val="039E740C"/>
    <w:rsid w:val="03AE7BFE"/>
    <w:rsid w:val="03B56C10"/>
    <w:rsid w:val="03B80CBC"/>
    <w:rsid w:val="03E07A24"/>
    <w:rsid w:val="03F86B1C"/>
    <w:rsid w:val="04970EC6"/>
    <w:rsid w:val="04A40B73"/>
    <w:rsid w:val="04BA2023"/>
    <w:rsid w:val="04EC5C54"/>
    <w:rsid w:val="04F03C97"/>
    <w:rsid w:val="05144275"/>
    <w:rsid w:val="054E7C7B"/>
    <w:rsid w:val="05544226"/>
    <w:rsid w:val="05A131E3"/>
    <w:rsid w:val="05CC0E93"/>
    <w:rsid w:val="0625480B"/>
    <w:rsid w:val="06334763"/>
    <w:rsid w:val="06514C09"/>
    <w:rsid w:val="06762343"/>
    <w:rsid w:val="069872E2"/>
    <w:rsid w:val="06C51A4E"/>
    <w:rsid w:val="06ED4932"/>
    <w:rsid w:val="07041C7C"/>
    <w:rsid w:val="0768220B"/>
    <w:rsid w:val="076E6A24"/>
    <w:rsid w:val="078761D7"/>
    <w:rsid w:val="07895A92"/>
    <w:rsid w:val="078D3A1F"/>
    <w:rsid w:val="07A019A5"/>
    <w:rsid w:val="083B225D"/>
    <w:rsid w:val="083D5264"/>
    <w:rsid w:val="0857253A"/>
    <w:rsid w:val="088272FC"/>
    <w:rsid w:val="08931509"/>
    <w:rsid w:val="08B70308"/>
    <w:rsid w:val="08BB45BC"/>
    <w:rsid w:val="08DB3834"/>
    <w:rsid w:val="08E1637C"/>
    <w:rsid w:val="08E368D7"/>
    <w:rsid w:val="09135B08"/>
    <w:rsid w:val="0922463B"/>
    <w:rsid w:val="09364906"/>
    <w:rsid w:val="09727371"/>
    <w:rsid w:val="09850A0C"/>
    <w:rsid w:val="098736D2"/>
    <w:rsid w:val="09AF1858"/>
    <w:rsid w:val="09C94AB7"/>
    <w:rsid w:val="09DC47EA"/>
    <w:rsid w:val="09EE1E07"/>
    <w:rsid w:val="0A0A57FB"/>
    <w:rsid w:val="0A1100AE"/>
    <w:rsid w:val="0A2763AD"/>
    <w:rsid w:val="0A4D7496"/>
    <w:rsid w:val="0A6054E6"/>
    <w:rsid w:val="0A7F4639"/>
    <w:rsid w:val="0A925106"/>
    <w:rsid w:val="0AB9401C"/>
    <w:rsid w:val="0ACF434F"/>
    <w:rsid w:val="0AE20526"/>
    <w:rsid w:val="0AFD0EBC"/>
    <w:rsid w:val="0B3F7726"/>
    <w:rsid w:val="0B446D2F"/>
    <w:rsid w:val="0B653142"/>
    <w:rsid w:val="0B683CDE"/>
    <w:rsid w:val="0BC82E73"/>
    <w:rsid w:val="0BE1258C"/>
    <w:rsid w:val="0BE402D8"/>
    <w:rsid w:val="0BF036A0"/>
    <w:rsid w:val="0C5F656B"/>
    <w:rsid w:val="0C961555"/>
    <w:rsid w:val="0D1575D2"/>
    <w:rsid w:val="0D21274C"/>
    <w:rsid w:val="0D6E26AA"/>
    <w:rsid w:val="0DE6032D"/>
    <w:rsid w:val="0DFF4F4B"/>
    <w:rsid w:val="0E4312DC"/>
    <w:rsid w:val="0E6179B4"/>
    <w:rsid w:val="0E663461"/>
    <w:rsid w:val="0EA77ABC"/>
    <w:rsid w:val="0EBC70A4"/>
    <w:rsid w:val="0EC3457F"/>
    <w:rsid w:val="0EE53BA9"/>
    <w:rsid w:val="0EFA4D2B"/>
    <w:rsid w:val="0FE60171"/>
    <w:rsid w:val="0FEB4237"/>
    <w:rsid w:val="104B091B"/>
    <w:rsid w:val="10627B77"/>
    <w:rsid w:val="10790FE5"/>
    <w:rsid w:val="10AD6EE0"/>
    <w:rsid w:val="10B77D5F"/>
    <w:rsid w:val="10C36F58"/>
    <w:rsid w:val="10C4382B"/>
    <w:rsid w:val="10E568E6"/>
    <w:rsid w:val="10E86A9D"/>
    <w:rsid w:val="10F95BF0"/>
    <w:rsid w:val="110A60E1"/>
    <w:rsid w:val="1146358C"/>
    <w:rsid w:val="114F61E9"/>
    <w:rsid w:val="118045F5"/>
    <w:rsid w:val="119360D6"/>
    <w:rsid w:val="11AC0F46"/>
    <w:rsid w:val="11BF511D"/>
    <w:rsid w:val="11EA75D6"/>
    <w:rsid w:val="124D097B"/>
    <w:rsid w:val="125A4C9C"/>
    <w:rsid w:val="126530E1"/>
    <w:rsid w:val="126D4B79"/>
    <w:rsid w:val="12920C39"/>
    <w:rsid w:val="12CF2EB1"/>
    <w:rsid w:val="12E47DB7"/>
    <w:rsid w:val="12EA441C"/>
    <w:rsid w:val="138274AF"/>
    <w:rsid w:val="13980163"/>
    <w:rsid w:val="13B567D8"/>
    <w:rsid w:val="13B92958"/>
    <w:rsid w:val="13D56DB2"/>
    <w:rsid w:val="13E96481"/>
    <w:rsid w:val="13F33480"/>
    <w:rsid w:val="145002AE"/>
    <w:rsid w:val="14520854"/>
    <w:rsid w:val="14946D53"/>
    <w:rsid w:val="149A1732"/>
    <w:rsid w:val="14E31122"/>
    <w:rsid w:val="15DE1964"/>
    <w:rsid w:val="15EB6D1A"/>
    <w:rsid w:val="15FD6452"/>
    <w:rsid w:val="1610114A"/>
    <w:rsid w:val="162547EA"/>
    <w:rsid w:val="1626576B"/>
    <w:rsid w:val="16726F3A"/>
    <w:rsid w:val="16797F90"/>
    <w:rsid w:val="177D07FE"/>
    <w:rsid w:val="178A2E0D"/>
    <w:rsid w:val="178B0334"/>
    <w:rsid w:val="179E7583"/>
    <w:rsid w:val="179F076E"/>
    <w:rsid w:val="17E70F2A"/>
    <w:rsid w:val="182E6B59"/>
    <w:rsid w:val="18431A11"/>
    <w:rsid w:val="186146C9"/>
    <w:rsid w:val="18691B45"/>
    <w:rsid w:val="187D753B"/>
    <w:rsid w:val="187F5606"/>
    <w:rsid w:val="18820C52"/>
    <w:rsid w:val="188624F1"/>
    <w:rsid w:val="18A271B7"/>
    <w:rsid w:val="18BF5A03"/>
    <w:rsid w:val="193208CA"/>
    <w:rsid w:val="198729C4"/>
    <w:rsid w:val="199D4EE4"/>
    <w:rsid w:val="19AD7F51"/>
    <w:rsid w:val="19AF7825"/>
    <w:rsid w:val="19B33448"/>
    <w:rsid w:val="1A111CB4"/>
    <w:rsid w:val="1A591B56"/>
    <w:rsid w:val="1A764E35"/>
    <w:rsid w:val="1A8C3594"/>
    <w:rsid w:val="1A9A04D5"/>
    <w:rsid w:val="1AAC0209"/>
    <w:rsid w:val="1AB947E4"/>
    <w:rsid w:val="1ABF00EC"/>
    <w:rsid w:val="1AF123A4"/>
    <w:rsid w:val="1B010022"/>
    <w:rsid w:val="1B0C4116"/>
    <w:rsid w:val="1B8D4CDD"/>
    <w:rsid w:val="1B9868CE"/>
    <w:rsid w:val="1BB3140A"/>
    <w:rsid w:val="1BCB7AA5"/>
    <w:rsid w:val="1BDD4B1E"/>
    <w:rsid w:val="1BF81957"/>
    <w:rsid w:val="1C23690A"/>
    <w:rsid w:val="1C252021"/>
    <w:rsid w:val="1C44694B"/>
    <w:rsid w:val="1C586E96"/>
    <w:rsid w:val="1C746B04"/>
    <w:rsid w:val="1CB64332"/>
    <w:rsid w:val="1CC50728"/>
    <w:rsid w:val="1D0D2626"/>
    <w:rsid w:val="1D126A49"/>
    <w:rsid w:val="1D3D13F5"/>
    <w:rsid w:val="1D6A0633"/>
    <w:rsid w:val="1D70306D"/>
    <w:rsid w:val="1DB46302"/>
    <w:rsid w:val="1DB65EEF"/>
    <w:rsid w:val="1DC35F95"/>
    <w:rsid w:val="1DD00905"/>
    <w:rsid w:val="1DD957B9"/>
    <w:rsid w:val="1DF975A6"/>
    <w:rsid w:val="1DFF2796"/>
    <w:rsid w:val="1E053DEB"/>
    <w:rsid w:val="1E4A5F16"/>
    <w:rsid w:val="1F5A5A7E"/>
    <w:rsid w:val="1F6F425A"/>
    <w:rsid w:val="1F78690B"/>
    <w:rsid w:val="1F881244"/>
    <w:rsid w:val="1F990211"/>
    <w:rsid w:val="1FAF4A23"/>
    <w:rsid w:val="20151F6D"/>
    <w:rsid w:val="20691349"/>
    <w:rsid w:val="207634FB"/>
    <w:rsid w:val="20765354"/>
    <w:rsid w:val="208C08C0"/>
    <w:rsid w:val="209414F1"/>
    <w:rsid w:val="21020B82"/>
    <w:rsid w:val="211508B6"/>
    <w:rsid w:val="215A451A"/>
    <w:rsid w:val="216B2BCB"/>
    <w:rsid w:val="219043E0"/>
    <w:rsid w:val="219E2991"/>
    <w:rsid w:val="21F515F0"/>
    <w:rsid w:val="22010B4F"/>
    <w:rsid w:val="223C0D99"/>
    <w:rsid w:val="2246751B"/>
    <w:rsid w:val="225E5711"/>
    <w:rsid w:val="226A4C31"/>
    <w:rsid w:val="22A91AE4"/>
    <w:rsid w:val="22AC349C"/>
    <w:rsid w:val="22B12860"/>
    <w:rsid w:val="22BE3D16"/>
    <w:rsid w:val="22FF194A"/>
    <w:rsid w:val="23491784"/>
    <w:rsid w:val="235002CB"/>
    <w:rsid w:val="236C0430"/>
    <w:rsid w:val="2393640A"/>
    <w:rsid w:val="23C245F9"/>
    <w:rsid w:val="23E26A49"/>
    <w:rsid w:val="23F76D19"/>
    <w:rsid w:val="242330D3"/>
    <w:rsid w:val="242A0B1C"/>
    <w:rsid w:val="24521931"/>
    <w:rsid w:val="245711E5"/>
    <w:rsid w:val="24635DDC"/>
    <w:rsid w:val="24772334"/>
    <w:rsid w:val="24C0322E"/>
    <w:rsid w:val="24EC5DD1"/>
    <w:rsid w:val="255D282B"/>
    <w:rsid w:val="25AA68F3"/>
    <w:rsid w:val="25F43166"/>
    <w:rsid w:val="26155209"/>
    <w:rsid w:val="265E23EA"/>
    <w:rsid w:val="267E6EFD"/>
    <w:rsid w:val="26CD7ABD"/>
    <w:rsid w:val="27041BFB"/>
    <w:rsid w:val="273A72C8"/>
    <w:rsid w:val="274E68CF"/>
    <w:rsid w:val="27537CF7"/>
    <w:rsid w:val="27554102"/>
    <w:rsid w:val="27693709"/>
    <w:rsid w:val="27856069"/>
    <w:rsid w:val="27992516"/>
    <w:rsid w:val="27C27631"/>
    <w:rsid w:val="27D74B17"/>
    <w:rsid w:val="27E47234"/>
    <w:rsid w:val="28127295"/>
    <w:rsid w:val="282A79FE"/>
    <w:rsid w:val="28344D9D"/>
    <w:rsid w:val="283F26BC"/>
    <w:rsid w:val="285C14C0"/>
    <w:rsid w:val="2873691C"/>
    <w:rsid w:val="28871836"/>
    <w:rsid w:val="28883B68"/>
    <w:rsid w:val="288B5901"/>
    <w:rsid w:val="28C17575"/>
    <w:rsid w:val="28C20802"/>
    <w:rsid w:val="28C23E77"/>
    <w:rsid w:val="28CD24DA"/>
    <w:rsid w:val="28D842A6"/>
    <w:rsid w:val="28E30464"/>
    <w:rsid w:val="295A2A7A"/>
    <w:rsid w:val="29705C05"/>
    <w:rsid w:val="297156B4"/>
    <w:rsid w:val="298962E5"/>
    <w:rsid w:val="29C12935"/>
    <w:rsid w:val="29E43C61"/>
    <w:rsid w:val="29EF3C6E"/>
    <w:rsid w:val="2A292D24"/>
    <w:rsid w:val="2A297180"/>
    <w:rsid w:val="2A587A65"/>
    <w:rsid w:val="2A9309C8"/>
    <w:rsid w:val="2ABA427C"/>
    <w:rsid w:val="2AC670C5"/>
    <w:rsid w:val="2B550223"/>
    <w:rsid w:val="2BDB26FC"/>
    <w:rsid w:val="2BE459DF"/>
    <w:rsid w:val="2BE5357A"/>
    <w:rsid w:val="2C136E31"/>
    <w:rsid w:val="2C3D5C6A"/>
    <w:rsid w:val="2C7371F6"/>
    <w:rsid w:val="2C834A28"/>
    <w:rsid w:val="2C9A4365"/>
    <w:rsid w:val="2CC37098"/>
    <w:rsid w:val="2CC57B01"/>
    <w:rsid w:val="2D49011B"/>
    <w:rsid w:val="2D6A3D37"/>
    <w:rsid w:val="2D6C39C1"/>
    <w:rsid w:val="2D910300"/>
    <w:rsid w:val="2DE51610"/>
    <w:rsid w:val="2DF61A6F"/>
    <w:rsid w:val="2DFE0923"/>
    <w:rsid w:val="2E2800D5"/>
    <w:rsid w:val="2E312AA7"/>
    <w:rsid w:val="2E4B1DBB"/>
    <w:rsid w:val="2E4E59E5"/>
    <w:rsid w:val="2E7A591C"/>
    <w:rsid w:val="2E8E1CA7"/>
    <w:rsid w:val="2EC607B8"/>
    <w:rsid w:val="2EF87518"/>
    <w:rsid w:val="2F25260C"/>
    <w:rsid w:val="2F3C7955"/>
    <w:rsid w:val="2F475651"/>
    <w:rsid w:val="2F5702EB"/>
    <w:rsid w:val="2F805A94"/>
    <w:rsid w:val="2FAC20D0"/>
    <w:rsid w:val="2FBA0100"/>
    <w:rsid w:val="2FD3275F"/>
    <w:rsid w:val="2FD41991"/>
    <w:rsid w:val="2FE204FD"/>
    <w:rsid w:val="2FF51C98"/>
    <w:rsid w:val="300761B5"/>
    <w:rsid w:val="30761A27"/>
    <w:rsid w:val="308B6B06"/>
    <w:rsid w:val="308E3855"/>
    <w:rsid w:val="30A9726C"/>
    <w:rsid w:val="30F20D81"/>
    <w:rsid w:val="30FA7AC8"/>
    <w:rsid w:val="3112096E"/>
    <w:rsid w:val="313E79B5"/>
    <w:rsid w:val="315E56FD"/>
    <w:rsid w:val="316310AA"/>
    <w:rsid w:val="31892CC4"/>
    <w:rsid w:val="318F7A31"/>
    <w:rsid w:val="31A812D2"/>
    <w:rsid w:val="31B36502"/>
    <w:rsid w:val="31B61C41"/>
    <w:rsid w:val="31DE61E8"/>
    <w:rsid w:val="32286B2B"/>
    <w:rsid w:val="325B4596"/>
    <w:rsid w:val="32AE7C62"/>
    <w:rsid w:val="32CF7AE2"/>
    <w:rsid w:val="32DC383B"/>
    <w:rsid w:val="33105381"/>
    <w:rsid w:val="332B3F69"/>
    <w:rsid w:val="333F7A14"/>
    <w:rsid w:val="337A6C9E"/>
    <w:rsid w:val="339935C8"/>
    <w:rsid w:val="33D25BF5"/>
    <w:rsid w:val="33E12499"/>
    <w:rsid w:val="341449FD"/>
    <w:rsid w:val="34196DEC"/>
    <w:rsid w:val="348778C5"/>
    <w:rsid w:val="34B61CCD"/>
    <w:rsid w:val="34DB376C"/>
    <w:rsid w:val="34EE524E"/>
    <w:rsid w:val="354A7C83"/>
    <w:rsid w:val="35773495"/>
    <w:rsid w:val="358F4C83"/>
    <w:rsid w:val="359D0A22"/>
    <w:rsid w:val="35A72B84"/>
    <w:rsid w:val="35B258E6"/>
    <w:rsid w:val="35D22DC1"/>
    <w:rsid w:val="35F962CC"/>
    <w:rsid w:val="35FB7A35"/>
    <w:rsid w:val="3606739B"/>
    <w:rsid w:val="36266C69"/>
    <w:rsid w:val="36321AB2"/>
    <w:rsid w:val="363650FE"/>
    <w:rsid w:val="36453593"/>
    <w:rsid w:val="367278A0"/>
    <w:rsid w:val="36784051"/>
    <w:rsid w:val="368220F2"/>
    <w:rsid w:val="36941E25"/>
    <w:rsid w:val="36B424C7"/>
    <w:rsid w:val="36BB634B"/>
    <w:rsid w:val="36E032BC"/>
    <w:rsid w:val="36E27742"/>
    <w:rsid w:val="36F56D67"/>
    <w:rsid w:val="377E062E"/>
    <w:rsid w:val="37991DE9"/>
    <w:rsid w:val="379B35BF"/>
    <w:rsid w:val="37B87D95"/>
    <w:rsid w:val="38084878"/>
    <w:rsid w:val="38156F95"/>
    <w:rsid w:val="388154A6"/>
    <w:rsid w:val="388163D9"/>
    <w:rsid w:val="38910D12"/>
    <w:rsid w:val="38B14C59"/>
    <w:rsid w:val="38B36EDA"/>
    <w:rsid w:val="38D02EDF"/>
    <w:rsid w:val="38D96E08"/>
    <w:rsid w:val="390239BE"/>
    <w:rsid w:val="392477C9"/>
    <w:rsid w:val="3929719C"/>
    <w:rsid w:val="394538AA"/>
    <w:rsid w:val="39736B31"/>
    <w:rsid w:val="398C14D9"/>
    <w:rsid w:val="39DC01CA"/>
    <w:rsid w:val="39EB6200"/>
    <w:rsid w:val="3A0054D6"/>
    <w:rsid w:val="3A053765"/>
    <w:rsid w:val="3A06303A"/>
    <w:rsid w:val="3A43428E"/>
    <w:rsid w:val="3A555D6F"/>
    <w:rsid w:val="3A6B3EB0"/>
    <w:rsid w:val="3A804B9A"/>
    <w:rsid w:val="3AAC3BE1"/>
    <w:rsid w:val="3AC86541"/>
    <w:rsid w:val="3ACE5480"/>
    <w:rsid w:val="3B056CDE"/>
    <w:rsid w:val="3B095BAB"/>
    <w:rsid w:val="3B147FDE"/>
    <w:rsid w:val="3B8714F7"/>
    <w:rsid w:val="3BAA5A51"/>
    <w:rsid w:val="3BDE289D"/>
    <w:rsid w:val="3BF5150F"/>
    <w:rsid w:val="3C0126E8"/>
    <w:rsid w:val="3C3400D5"/>
    <w:rsid w:val="3C543D8E"/>
    <w:rsid w:val="3C810789"/>
    <w:rsid w:val="3C905550"/>
    <w:rsid w:val="3CA414C6"/>
    <w:rsid w:val="3D334986"/>
    <w:rsid w:val="3D6B3717"/>
    <w:rsid w:val="3D6F6D49"/>
    <w:rsid w:val="3D987AD7"/>
    <w:rsid w:val="3DCB6A74"/>
    <w:rsid w:val="3E682515"/>
    <w:rsid w:val="3E703177"/>
    <w:rsid w:val="3E7F160D"/>
    <w:rsid w:val="3E926BAB"/>
    <w:rsid w:val="3EBA1C33"/>
    <w:rsid w:val="3EFC4A0B"/>
    <w:rsid w:val="3F214472"/>
    <w:rsid w:val="3F285800"/>
    <w:rsid w:val="3F653A05"/>
    <w:rsid w:val="3F6D76B7"/>
    <w:rsid w:val="3F7D3D9E"/>
    <w:rsid w:val="3F7E3672"/>
    <w:rsid w:val="3FBF43B6"/>
    <w:rsid w:val="3FD046A9"/>
    <w:rsid w:val="3FD85478"/>
    <w:rsid w:val="400B75FC"/>
    <w:rsid w:val="40182376"/>
    <w:rsid w:val="40420E03"/>
    <w:rsid w:val="40B3559D"/>
    <w:rsid w:val="40B96AB0"/>
    <w:rsid w:val="40C357E1"/>
    <w:rsid w:val="40CB28E7"/>
    <w:rsid w:val="40E02836"/>
    <w:rsid w:val="415648A7"/>
    <w:rsid w:val="416D0FB0"/>
    <w:rsid w:val="4176520B"/>
    <w:rsid w:val="41AA4043"/>
    <w:rsid w:val="42707BEA"/>
    <w:rsid w:val="42713719"/>
    <w:rsid w:val="427C1DBE"/>
    <w:rsid w:val="42C817D4"/>
    <w:rsid w:val="42D737C5"/>
    <w:rsid w:val="42E46002"/>
    <w:rsid w:val="42E83C24"/>
    <w:rsid w:val="42F14AFA"/>
    <w:rsid w:val="42FC61B0"/>
    <w:rsid w:val="430B16C1"/>
    <w:rsid w:val="431A24ED"/>
    <w:rsid w:val="43452E25"/>
    <w:rsid w:val="438352B1"/>
    <w:rsid w:val="43853221"/>
    <w:rsid w:val="43C024AB"/>
    <w:rsid w:val="43D9356D"/>
    <w:rsid w:val="43FB1735"/>
    <w:rsid w:val="44125A4F"/>
    <w:rsid w:val="441C6812"/>
    <w:rsid w:val="447D039C"/>
    <w:rsid w:val="4497636C"/>
    <w:rsid w:val="44C91833"/>
    <w:rsid w:val="44E07B24"/>
    <w:rsid w:val="44F468B0"/>
    <w:rsid w:val="451C1152"/>
    <w:rsid w:val="45235AC3"/>
    <w:rsid w:val="452A0524"/>
    <w:rsid w:val="454A55E8"/>
    <w:rsid w:val="45617644"/>
    <w:rsid w:val="45635565"/>
    <w:rsid w:val="4574179F"/>
    <w:rsid w:val="458F0387"/>
    <w:rsid w:val="459A4240"/>
    <w:rsid w:val="459E681C"/>
    <w:rsid w:val="45A65588"/>
    <w:rsid w:val="45B92357"/>
    <w:rsid w:val="45ED3300"/>
    <w:rsid w:val="4629116B"/>
    <w:rsid w:val="46513FED"/>
    <w:rsid w:val="466B6926"/>
    <w:rsid w:val="467F0332"/>
    <w:rsid w:val="468C6E45"/>
    <w:rsid w:val="4692697E"/>
    <w:rsid w:val="46D01742"/>
    <w:rsid w:val="471C61F6"/>
    <w:rsid w:val="473A2575"/>
    <w:rsid w:val="47721D0E"/>
    <w:rsid w:val="477D15A8"/>
    <w:rsid w:val="477F442B"/>
    <w:rsid w:val="478163F5"/>
    <w:rsid w:val="47904FA0"/>
    <w:rsid w:val="479B1265"/>
    <w:rsid w:val="47AD10DD"/>
    <w:rsid w:val="47CF53B3"/>
    <w:rsid w:val="47D817FE"/>
    <w:rsid w:val="47FF698D"/>
    <w:rsid w:val="482329A8"/>
    <w:rsid w:val="48384D06"/>
    <w:rsid w:val="486A0C38"/>
    <w:rsid w:val="487B457C"/>
    <w:rsid w:val="488937B4"/>
    <w:rsid w:val="489D13C1"/>
    <w:rsid w:val="495711BC"/>
    <w:rsid w:val="49627B61"/>
    <w:rsid w:val="49F337AF"/>
    <w:rsid w:val="4A2A5A2A"/>
    <w:rsid w:val="4A4A0D21"/>
    <w:rsid w:val="4A982AFD"/>
    <w:rsid w:val="4AB87029"/>
    <w:rsid w:val="4ADB30B3"/>
    <w:rsid w:val="4B0E1D4E"/>
    <w:rsid w:val="4B425E9C"/>
    <w:rsid w:val="4B4E40D2"/>
    <w:rsid w:val="4B683B54"/>
    <w:rsid w:val="4B6C5846"/>
    <w:rsid w:val="4B6E3534"/>
    <w:rsid w:val="4B78366B"/>
    <w:rsid w:val="4B7F482B"/>
    <w:rsid w:val="4B867F1B"/>
    <w:rsid w:val="4B88753C"/>
    <w:rsid w:val="4B8D1999"/>
    <w:rsid w:val="4BB24DCF"/>
    <w:rsid w:val="4BCD7E5B"/>
    <w:rsid w:val="4BF84921"/>
    <w:rsid w:val="4C293D83"/>
    <w:rsid w:val="4CD723E0"/>
    <w:rsid w:val="4CEF5BAF"/>
    <w:rsid w:val="4D1D271C"/>
    <w:rsid w:val="4D834C75"/>
    <w:rsid w:val="4D9724CF"/>
    <w:rsid w:val="4DB43CAA"/>
    <w:rsid w:val="4DE23E3D"/>
    <w:rsid w:val="4E035DB6"/>
    <w:rsid w:val="4E192EE4"/>
    <w:rsid w:val="4E27562B"/>
    <w:rsid w:val="4E391564"/>
    <w:rsid w:val="4E6F6FA8"/>
    <w:rsid w:val="4E7740AE"/>
    <w:rsid w:val="4EA36C51"/>
    <w:rsid w:val="4EB87E76"/>
    <w:rsid w:val="4ED4505D"/>
    <w:rsid w:val="4F4421E2"/>
    <w:rsid w:val="4F7800DE"/>
    <w:rsid w:val="4FE17A31"/>
    <w:rsid w:val="4FFB777D"/>
    <w:rsid w:val="50106568"/>
    <w:rsid w:val="5019541D"/>
    <w:rsid w:val="50342257"/>
    <w:rsid w:val="50650662"/>
    <w:rsid w:val="506F7733"/>
    <w:rsid w:val="50AD26B0"/>
    <w:rsid w:val="50B4412D"/>
    <w:rsid w:val="50CC2F1F"/>
    <w:rsid w:val="50E377D9"/>
    <w:rsid w:val="50E7551B"/>
    <w:rsid w:val="51112598"/>
    <w:rsid w:val="5116195C"/>
    <w:rsid w:val="511C0292"/>
    <w:rsid w:val="513D41D6"/>
    <w:rsid w:val="51752B27"/>
    <w:rsid w:val="5186766D"/>
    <w:rsid w:val="5187392A"/>
    <w:rsid w:val="51C57DE7"/>
    <w:rsid w:val="51F16505"/>
    <w:rsid w:val="51FF0643"/>
    <w:rsid w:val="521536EF"/>
    <w:rsid w:val="52194C6B"/>
    <w:rsid w:val="52285CE0"/>
    <w:rsid w:val="52522E68"/>
    <w:rsid w:val="5259001E"/>
    <w:rsid w:val="52632790"/>
    <w:rsid w:val="526F3A1A"/>
    <w:rsid w:val="527C1C93"/>
    <w:rsid w:val="52BD2B3B"/>
    <w:rsid w:val="531647E1"/>
    <w:rsid w:val="532C6CD6"/>
    <w:rsid w:val="536F3BF2"/>
    <w:rsid w:val="539C5BBB"/>
    <w:rsid w:val="53B41F7A"/>
    <w:rsid w:val="54041F40"/>
    <w:rsid w:val="5440577E"/>
    <w:rsid w:val="54862681"/>
    <w:rsid w:val="54882B71"/>
    <w:rsid w:val="548A2368"/>
    <w:rsid w:val="54E57FC4"/>
    <w:rsid w:val="54FE7E64"/>
    <w:rsid w:val="551663CF"/>
    <w:rsid w:val="557355CF"/>
    <w:rsid w:val="55E464CD"/>
    <w:rsid w:val="55FD4A17"/>
    <w:rsid w:val="55FF08D9"/>
    <w:rsid w:val="562C39D0"/>
    <w:rsid w:val="5636079E"/>
    <w:rsid w:val="564F3020"/>
    <w:rsid w:val="565B0A46"/>
    <w:rsid w:val="56982E14"/>
    <w:rsid w:val="56BB64C5"/>
    <w:rsid w:val="56F55AD9"/>
    <w:rsid w:val="5703554A"/>
    <w:rsid w:val="572F5D27"/>
    <w:rsid w:val="5737087F"/>
    <w:rsid w:val="5740613F"/>
    <w:rsid w:val="574A2360"/>
    <w:rsid w:val="575907F5"/>
    <w:rsid w:val="575A55A1"/>
    <w:rsid w:val="578D2B30"/>
    <w:rsid w:val="58082F5C"/>
    <w:rsid w:val="581A3584"/>
    <w:rsid w:val="58333756"/>
    <w:rsid w:val="5846475C"/>
    <w:rsid w:val="58745F47"/>
    <w:rsid w:val="588072FF"/>
    <w:rsid w:val="58D36385"/>
    <w:rsid w:val="59253085"/>
    <w:rsid w:val="59372DB8"/>
    <w:rsid w:val="594B23BF"/>
    <w:rsid w:val="59901C06"/>
    <w:rsid w:val="59B461B6"/>
    <w:rsid w:val="59DD74BB"/>
    <w:rsid w:val="5A111301"/>
    <w:rsid w:val="5A206081"/>
    <w:rsid w:val="5AAA1D9C"/>
    <w:rsid w:val="5AD308BE"/>
    <w:rsid w:val="5B5159DA"/>
    <w:rsid w:val="5B525C87"/>
    <w:rsid w:val="5B5C4D58"/>
    <w:rsid w:val="5B68187B"/>
    <w:rsid w:val="5B745BFD"/>
    <w:rsid w:val="5BB2491C"/>
    <w:rsid w:val="5BB274F1"/>
    <w:rsid w:val="5BE220CB"/>
    <w:rsid w:val="5C016154"/>
    <w:rsid w:val="5C9F314E"/>
    <w:rsid w:val="5CB52971"/>
    <w:rsid w:val="5CB63FF4"/>
    <w:rsid w:val="5CBA381D"/>
    <w:rsid w:val="5CF311B6"/>
    <w:rsid w:val="5CFF3025"/>
    <w:rsid w:val="5D094A6B"/>
    <w:rsid w:val="5D7B0CF3"/>
    <w:rsid w:val="5D885990"/>
    <w:rsid w:val="5E0314BA"/>
    <w:rsid w:val="5E3E0745"/>
    <w:rsid w:val="5E421FE3"/>
    <w:rsid w:val="5E457C2B"/>
    <w:rsid w:val="5E6F6B50"/>
    <w:rsid w:val="5EA345D2"/>
    <w:rsid w:val="5EEC1F4F"/>
    <w:rsid w:val="5F0A29BB"/>
    <w:rsid w:val="5F0B6879"/>
    <w:rsid w:val="5F1B1E6B"/>
    <w:rsid w:val="5F350FC3"/>
    <w:rsid w:val="5F6128A5"/>
    <w:rsid w:val="5F645F89"/>
    <w:rsid w:val="5F6D3829"/>
    <w:rsid w:val="5F8E1258"/>
    <w:rsid w:val="5F9021D8"/>
    <w:rsid w:val="5FD37DBD"/>
    <w:rsid w:val="600F514A"/>
    <w:rsid w:val="605E0C2A"/>
    <w:rsid w:val="60B116A2"/>
    <w:rsid w:val="60BD381C"/>
    <w:rsid w:val="60C05441"/>
    <w:rsid w:val="610F6AD4"/>
    <w:rsid w:val="61243C22"/>
    <w:rsid w:val="613F7CC2"/>
    <w:rsid w:val="614B207E"/>
    <w:rsid w:val="61565DA5"/>
    <w:rsid w:val="61617172"/>
    <w:rsid w:val="6170330B"/>
    <w:rsid w:val="61820481"/>
    <w:rsid w:val="619031FE"/>
    <w:rsid w:val="61A30FEA"/>
    <w:rsid w:val="61A92379"/>
    <w:rsid w:val="61B208DA"/>
    <w:rsid w:val="61C83E7A"/>
    <w:rsid w:val="61D02526"/>
    <w:rsid w:val="61E41603"/>
    <w:rsid w:val="62095144"/>
    <w:rsid w:val="621A5025"/>
    <w:rsid w:val="626D15F8"/>
    <w:rsid w:val="629C7683"/>
    <w:rsid w:val="62D174CE"/>
    <w:rsid w:val="62F31AFE"/>
    <w:rsid w:val="62F33259"/>
    <w:rsid w:val="631B43BD"/>
    <w:rsid w:val="63B97F3C"/>
    <w:rsid w:val="63E87188"/>
    <w:rsid w:val="64096896"/>
    <w:rsid w:val="64243F39"/>
    <w:rsid w:val="642A77A1"/>
    <w:rsid w:val="64473FCD"/>
    <w:rsid w:val="64711EC8"/>
    <w:rsid w:val="64B61035"/>
    <w:rsid w:val="64D836A1"/>
    <w:rsid w:val="65037FF2"/>
    <w:rsid w:val="653D1756"/>
    <w:rsid w:val="655820EC"/>
    <w:rsid w:val="65590BCD"/>
    <w:rsid w:val="65834337"/>
    <w:rsid w:val="65C9123C"/>
    <w:rsid w:val="66263F98"/>
    <w:rsid w:val="6659436D"/>
    <w:rsid w:val="66692CE9"/>
    <w:rsid w:val="667F5B28"/>
    <w:rsid w:val="66862C89"/>
    <w:rsid w:val="66882EA5"/>
    <w:rsid w:val="66AE2D81"/>
    <w:rsid w:val="67705E13"/>
    <w:rsid w:val="67785CB1"/>
    <w:rsid w:val="679B09B6"/>
    <w:rsid w:val="67BA0E3C"/>
    <w:rsid w:val="67D53EC8"/>
    <w:rsid w:val="68534F51"/>
    <w:rsid w:val="685F66EA"/>
    <w:rsid w:val="6873723D"/>
    <w:rsid w:val="68FC5484"/>
    <w:rsid w:val="690313ED"/>
    <w:rsid w:val="69196036"/>
    <w:rsid w:val="692F13B6"/>
    <w:rsid w:val="695533DC"/>
    <w:rsid w:val="696F289E"/>
    <w:rsid w:val="69CA3B35"/>
    <w:rsid w:val="69FA19C4"/>
    <w:rsid w:val="6A171EE2"/>
    <w:rsid w:val="6A2764B6"/>
    <w:rsid w:val="6A95638E"/>
    <w:rsid w:val="6AC8783F"/>
    <w:rsid w:val="6B1765A5"/>
    <w:rsid w:val="6B1F53C6"/>
    <w:rsid w:val="6B282560"/>
    <w:rsid w:val="6B347157"/>
    <w:rsid w:val="6B4A344A"/>
    <w:rsid w:val="6B6E150B"/>
    <w:rsid w:val="6B856D63"/>
    <w:rsid w:val="6B9320D0"/>
    <w:rsid w:val="6BC24763"/>
    <w:rsid w:val="6BE04BE9"/>
    <w:rsid w:val="6BEC358E"/>
    <w:rsid w:val="6BF7601D"/>
    <w:rsid w:val="6C2B2308"/>
    <w:rsid w:val="6C6C46CF"/>
    <w:rsid w:val="6C772B6F"/>
    <w:rsid w:val="6C7D4B2E"/>
    <w:rsid w:val="6C8336A5"/>
    <w:rsid w:val="6CB63EEF"/>
    <w:rsid w:val="6CD97B29"/>
    <w:rsid w:val="6D1202AF"/>
    <w:rsid w:val="6D192225"/>
    <w:rsid w:val="6D432789"/>
    <w:rsid w:val="6D57537F"/>
    <w:rsid w:val="6D643EDD"/>
    <w:rsid w:val="6D73789E"/>
    <w:rsid w:val="6D7D1FE7"/>
    <w:rsid w:val="6D8E2C21"/>
    <w:rsid w:val="6D934AB3"/>
    <w:rsid w:val="6DBE0F5A"/>
    <w:rsid w:val="6E4130AC"/>
    <w:rsid w:val="6E4B4721"/>
    <w:rsid w:val="6E641B01"/>
    <w:rsid w:val="6E736BA0"/>
    <w:rsid w:val="6E894432"/>
    <w:rsid w:val="6EA2087C"/>
    <w:rsid w:val="6EA26388"/>
    <w:rsid w:val="6ECB7DD2"/>
    <w:rsid w:val="6EEA5B42"/>
    <w:rsid w:val="6F0C2ABA"/>
    <w:rsid w:val="6F573414"/>
    <w:rsid w:val="6F655ACF"/>
    <w:rsid w:val="6F667AFB"/>
    <w:rsid w:val="6F6A1399"/>
    <w:rsid w:val="6F6B6EC0"/>
    <w:rsid w:val="6F885CC3"/>
    <w:rsid w:val="6FC07DEB"/>
    <w:rsid w:val="6FC211D5"/>
    <w:rsid w:val="70257616"/>
    <w:rsid w:val="703C0C7E"/>
    <w:rsid w:val="70C1148D"/>
    <w:rsid w:val="70E43DF4"/>
    <w:rsid w:val="70FC02D9"/>
    <w:rsid w:val="712C1FF5"/>
    <w:rsid w:val="715048FD"/>
    <w:rsid w:val="719142B5"/>
    <w:rsid w:val="71B25DFA"/>
    <w:rsid w:val="71BD2A24"/>
    <w:rsid w:val="71C43FD8"/>
    <w:rsid w:val="71CF0CFD"/>
    <w:rsid w:val="71D85554"/>
    <w:rsid w:val="72291AE6"/>
    <w:rsid w:val="7245377A"/>
    <w:rsid w:val="724A7260"/>
    <w:rsid w:val="724C37F3"/>
    <w:rsid w:val="725D5B8B"/>
    <w:rsid w:val="72895FDA"/>
    <w:rsid w:val="728F13B0"/>
    <w:rsid w:val="72D35A08"/>
    <w:rsid w:val="731C29AB"/>
    <w:rsid w:val="733F6699"/>
    <w:rsid w:val="734B1703"/>
    <w:rsid w:val="734E4B2E"/>
    <w:rsid w:val="737248AC"/>
    <w:rsid w:val="738357A3"/>
    <w:rsid w:val="739A7976"/>
    <w:rsid w:val="73BA27AD"/>
    <w:rsid w:val="74130252"/>
    <w:rsid w:val="74135534"/>
    <w:rsid w:val="74370783"/>
    <w:rsid w:val="744A7C59"/>
    <w:rsid w:val="74510D7A"/>
    <w:rsid w:val="74820F33"/>
    <w:rsid w:val="749107D0"/>
    <w:rsid w:val="74DA7A4F"/>
    <w:rsid w:val="74DB663A"/>
    <w:rsid w:val="74E41BEE"/>
    <w:rsid w:val="74EB6FEC"/>
    <w:rsid w:val="74FF2584"/>
    <w:rsid w:val="75E023B5"/>
    <w:rsid w:val="75E874BC"/>
    <w:rsid w:val="760F67F7"/>
    <w:rsid w:val="763C6F9C"/>
    <w:rsid w:val="76C92E49"/>
    <w:rsid w:val="76D2566C"/>
    <w:rsid w:val="7735228D"/>
    <w:rsid w:val="776963DA"/>
    <w:rsid w:val="776B5CAF"/>
    <w:rsid w:val="779571D0"/>
    <w:rsid w:val="77BF424C"/>
    <w:rsid w:val="77C75E03"/>
    <w:rsid w:val="77E91D55"/>
    <w:rsid w:val="77F75794"/>
    <w:rsid w:val="78222BDF"/>
    <w:rsid w:val="78281DF2"/>
    <w:rsid w:val="7862793A"/>
    <w:rsid w:val="7883527A"/>
    <w:rsid w:val="78882890"/>
    <w:rsid w:val="78B13B95"/>
    <w:rsid w:val="78DD253E"/>
    <w:rsid w:val="78E47CA7"/>
    <w:rsid w:val="78F63C9E"/>
    <w:rsid w:val="793D48A8"/>
    <w:rsid w:val="794744F9"/>
    <w:rsid w:val="795135CA"/>
    <w:rsid w:val="798017B9"/>
    <w:rsid w:val="79826AF6"/>
    <w:rsid w:val="79A27982"/>
    <w:rsid w:val="7A467E34"/>
    <w:rsid w:val="7A721A4A"/>
    <w:rsid w:val="7ABB519F"/>
    <w:rsid w:val="7B1C50F8"/>
    <w:rsid w:val="7B212204"/>
    <w:rsid w:val="7B3F7B7E"/>
    <w:rsid w:val="7B803A8A"/>
    <w:rsid w:val="7B9B1FB8"/>
    <w:rsid w:val="7BA121C2"/>
    <w:rsid w:val="7BB5729C"/>
    <w:rsid w:val="7C10151B"/>
    <w:rsid w:val="7C66698D"/>
    <w:rsid w:val="7C920181"/>
    <w:rsid w:val="7CAB2FF1"/>
    <w:rsid w:val="7D3104DE"/>
    <w:rsid w:val="7D717D97"/>
    <w:rsid w:val="7D7358BD"/>
    <w:rsid w:val="7DC11F98"/>
    <w:rsid w:val="7DCB56F9"/>
    <w:rsid w:val="7E0E3838"/>
    <w:rsid w:val="7E1A215C"/>
    <w:rsid w:val="7E24305B"/>
    <w:rsid w:val="7E6D0329"/>
    <w:rsid w:val="7EAD12A3"/>
    <w:rsid w:val="7EFB0260"/>
    <w:rsid w:val="7F4C7055"/>
    <w:rsid w:val="7F896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2"/>
      <w:lang w:val="en-US" w:eastAsia="zh-CN" w:bidi="ar-SA"/>
    </w:rPr>
  </w:style>
  <w:style w:type="paragraph" w:styleId="2">
    <w:name w:val="heading 1"/>
    <w:basedOn w:val="1"/>
    <w:next w:val="1"/>
    <w:link w:val="52"/>
    <w:qFormat/>
    <w:uiPriority w:val="0"/>
    <w:pPr>
      <w:spacing w:before="100" w:beforeAutospacing="1" w:after="100" w:afterAutospacing="1"/>
      <w:jc w:val="left"/>
      <w:outlineLvl w:val="0"/>
    </w:pPr>
    <w:rPr>
      <w:rFonts w:hint="eastAsia"/>
      <w:kern w:val="44"/>
      <w:sz w:val="48"/>
      <w:szCs w:val="48"/>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4">
    <w:name w:val="heading 3"/>
    <w:basedOn w:val="1"/>
    <w:next w:val="1"/>
    <w:qFormat/>
    <w:uiPriority w:val="0"/>
    <w:pPr>
      <w:widowControl/>
      <w:spacing w:before="100" w:beforeAutospacing="1" w:after="100" w:afterAutospacing="1"/>
      <w:jc w:val="left"/>
      <w:outlineLvl w:val="2"/>
    </w:pPr>
    <w:rPr>
      <w:kern w:val="0"/>
      <w:sz w:val="27"/>
      <w:szCs w:val="27"/>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semiHidden/>
    <w:unhideWhenUsed/>
    <w:qFormat/>
    <w:uiPriority w:val="99"/>
    <w:pPr>
      <w:ind w:left="420" w:leftChars="200"/>
    </w:pPr>
  </w:style>
  <w:style w:type="paragraph" w:styleId="7">
    <w:name w:val="Normal Indent"/>
    <w:basedOn w:val="1"/>
    <w:qFormat/>
    <w:uiPriority w:val="0"/>
    <w:pPr>
      <w:ind w:firstLine="420" w:firstLineChars="200"/>
    </w:pPr>
  </w:style>
  <w:style w:type="paragraph" w:styleId="8">
    <w:name w:val="annotation text"/>
    <w:basedOn w:val="1"/>
    <w:link w:val="53"/>
    <w:unhideWhenUsed/>
    <w:qFormat/>
    <w:uiPriority w:val="99"/>
    <w:pPr>
      <w:jc w:val="left"/>
    </w:pPr>
    <w:rPr>
      <w:rFonts w:ascii="Calibri" w:hAnsi="Calibri"/>
    </w:rPr>
  </w:style>
  <w:style w:type="paragraph" w:styleId="9">
    <w:name w:val="Body Text"/>
    <w:basedOn w:val="1"/>
    <w:unhideWhenUsed/>
    <w:qFormat/>
    <w:uiPriority w:val="99"/>
    <w:pPr>
      <w:spacing w:after="120"/>
    </w:pPr>
    <w:rPr>
      <w:rFonts w:ascii="Calibri" w:hAnsi="Calibri"/>
      <w:kern w:val="0"/>
      <w:sz w:val="20"/>
      <w:szCs w:val="20"/>
    </w:r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szCs w:val="24"/>
    </w:rPr>
  </w:style>
  <w:style w:type="paragraph" w:styleId="12">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3">
    <w:name w:val="Plain Text"/>
    <w:basedOn w:val="1"/>
    <w:qFormat/>
    <w:uiPriority w:val="0"/>
    <w:rPr>
      <w:rFonts w:hAnsi="Courier New"/>
      <w:kern w:val="0"/>
      <w:sz w:val="20"/>
      <w:szCs w:val="20"/>
    </w:rPr>
  </w:style>
  <w:style w:type="paragraph" w:styleId="14">
    <w:name w:val="Date"/>
    <w:basedOn w:val="1"/>
    <w:next w:val="1"/>
    <w:qFormat/>
    <w:uiPriority w:val="0"/>
    <w:rPr>
      <w:rFonts w:ascii="Times New Roman" w:hAnsi="Times New Roman"/>
      <w:kern w:val="0"/>
      <w:sz w:val="20"/>
      <w:szCs w:val="20"/>
    </w:rPr>
  </w:style>
  <w:style w:type="paragraph" w:styleId="15">
    <w:name w:val="Balloon Text"/>
    <w:basedOn w:val="1"/>
    <w:link w:val="55"/>
    <w:qFormat/>
    <w:uiPriority w:val="0"/>
    <w:rPr>
      <w:sz w:val="18"/>
      <w:szCs w:val="18"/>
    </w:rPr>
  </w:style>
  <w:style w:type="paragraph" w:styleId="16">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pPr>
      <w:tabs>
        <w:tab w:val="right" w:leader="dot" w:pos="9060"/>
      </w:tabs>
      <w:adjustRightInd w:val="0"/>
      <w:snapToGrid w:val="0"/>
      <w:spacing w:line="360" w:lineRule="auto"/>
      <w:jc w:val="left"/>
      <w:textAlignment w:val="baseline"/>
    </w:pPr>
    <w:rPr>
      <w:caps/>
      <w:kern w:val="0"/>
      <w:sz w:val="24"/>
      <w:szCs w:val="32"/>
    </w:rPr>
  </w:style>
  <w:style w:type="paragraph" w:styleId="1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0">
    <w:name w:val="Body Text 2"/>
    <w:basedOn w:val="1"/>
    <w:qFormat/>
    <w:uiPriority w:val="0"/>
    <w:rPr>
      <w:kern w:val="0"/>
      <w:sz w:val="20"/>
      <w:szCs w:val="24"/>
      <w:u w:val="single"/>
    </w:rPr>
  </w:style>
  <w:style w:type="paragraph" w:styleId="21">
    <w:name w:val="Normal (Web)"/>
    <w:basedOn w:val="1"/>
    <w:qFormat/>
    <w:uiPriority w:val="0"/>
    <w:rPr>
      <w:sz w:val="24"/>
    </w:rPr>
  </w:style>
  <w:style w:type="paragraph" w:styleId="22">
    <w:name w:val="index 1"/>
    <w:basedOn w:val="1"/>
    <w:next w:val="1"/>
    <w:qFormat/>
    <w:uiPriority w:val="0"/>
    <w:rPr>
      <w:rFonts w:ascii="Times New Roman" w:hAnsi="Times New Roman" w:eastAsia="仿宋_GB2312"/>
      <w:sz w:val="28"/>
      <w:szCs w:val="20"/>
    </w:rPr>
  </w:style>
  <w:style w:type="paragraph" w:styleId="23">
    <w:name w:val="Title"/>
    <w:basedOn w:val="1"/>
    <w:qFormat/>
    <w:uiPriority w:val="0"/>
    <w:pPr>
      <w:spacing w:before="120" w:after="60"/>
      <w:jc w:val="center"/>
    </w:pPr>
    <w:rPr>
      <w:rFonts w:ascii="Arial" w:hAnsi="Arial"/>
      <w:b/>
      <w:kern w:val="0"/>
      <w:sz w:val="44"/>
      <w:szCs w:val="20"/>
    </w:rPr>
  </w:style>
  <w:style w:type="paragraph" w:styleId="24">
    <w:name w:val="annotation subject"/>
    <w:basedOn w:val="8"/>
    <w:next w:val="8"/>
    <w:link w:val="54"/>
    <w:qFormat/>
    <w:uiPriority w:val="0"/>
    <w:rPr>
      <w:rFonts w:ascii="宋体" w:hAnsi="宋体"/>
      <w:b/>
      <w:bCs/>
    </w:rPr>
  </w:style>
  <w:style w:type="paragraph" w:styleId="25">
    <w:name w:val="Body Text First Indent"/>
    <w:basedOn w:val="9"/>
    <w:qFormat/>
    <w:uiPriority w:val="0"/>
    <w:pPr>
      <w:ind w:firstLine="420"/>
    </w:pPr>
    <w:rPr>
      <w:rFonts w:ascii="Times New Roman" w:hAnsi="Times New Roman"/>
    </w:rPr>
  </w:style>
  <w:style w:type="paragraph" w:styleId="26">
    <w:name w:val="Body Text First Indent 2"/>
    <w:basedOn w:val="10"/>
    <w:qFormat/>
    <w:uiPriority w:val="0"/>
    <w:pPr>
      <w:ind w:firstLine="420" w:firstLineChars="200"/>
    </w:pPr>
  </w:style>
  <w:style w:type="character" w:styleId="29">
    <w:name w:val="page number"/>
    <w:qFormat/>
    <w:uiPriority w:val="0"/>
    <w:rPr>
      <w:rFonts w:cs="Times New Roman"/>
    </w:rPr>
  </w:style>
  <w:style w:type="character" w:styleId="30">
    <w:name w:val="Hyperlink"/>
    <w:unhideWhenUsed/>
    <w:qFormat/>
    <w:uiPriority w:val="99"/>
    <w:rPr>
      <w:color w:val="000000"/>
      <w:u w:val="none"/>
    </w:rPr>
  </w:style>
  <w:style w:type="character" w:styleId="31">
    <w:name w:val="annotation reference"/>
    <w:basedOn w:val="28"/>
    <w:qFormat/>
    <w:uiPriority w:val="0"/>
    <w:rPr>
      <w:sz w:val="21"/>
      <w:szCs w:val="21"/>
    </w:rPr>
  </w:style>
  <w:style w:type="paragraph" w:customStyle="1" w:styleId="3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3">
    <w:name w:val="font51"/>
    <w:qFormat/>
    <w:uiPriority w:val="0"/>
    <w:rPr>
      <w:rFonts w:hint="eastAsia" w:ascii="宋体" w:hAnsi="宋体" w:eastAsia="宋体" w:cs="宋体"/>
      <w:color w:val="000000"/>
      <w:sz w:val="20"/>
      <w:szCs w:val="20"/>
      <w:u w:val="none"/>
    </w:rPr>
  </w:style>
  <w:style w:type="paragraph" w:customStyle="1" w:styleId="34">
    <w:name w:val="文一"/>
    <w:basedOn w:val="1"/>
    <w:next w:val="1"/>
    <w:qFormat/>
    <w:uiPriority w:val="0"/>
    <w:pPr>
      <w:topLinePunct/>
      <w:adjustRightInd w:val="0"/>
      <w:snapToGrid w:val="0"/>
      <w:spacing w:line="360" w:lineRule="auto"/>
      <w:ind w:firstLine="200" w:firstLineChars="200"/>
    </w:pPr>
    <w:rPr>
      <w:rFonts w:hint="eastAsia"/>
      <w:snapToGrid w:val="0"/>
      <w:spacing w:val="4"/>
      <w:kern w:val="0"/>
      <w:sz w:val="24"/>
      <w:szCs w:val="24"/>
    </w:rPr>
  </w:style>
  <w:style w:type="paragraph" w:customStyle="1" w:styleId="35">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paragraph" w:customStyle="1" w:styleId="36">
    <w:name w:val="封二"/>
    <w:basedOn w:val="34"/>
    <w:next w:val="34"/>
    <w:qFormat/>
    <w:uiPriority w:val="0"/>
    <w:pPr>
      <w:ind w:firstLine="0" w:firstLineChars="0"/>
      <w:jc w:val="center"/>
    </w:pPr>
    <w:rPr>
      <w:rFonts w:ascii="Times New Roman" w:hAnsi="Times New Roman" w:eastAsia="黑体"/>
      <w:b/>
      <w:sz w:val="36"/>
      <w:szCs w:val="36"/>
    </w:rPr>
  </w:style>
  <w:style w:type="paragraph" w:customStyle="1" w:styleId="37">
    <w:name w:val="封一"/>
    <w:basedOn w:val="34"/>
    <w:next w:val="34"/>
    <w:qFormat/>
    <w:uiPriority w:val="0"/>
    <w:pPr>
      <w:ind w:firstLine="0" w:firstLineChars="0"/>
      <w:jc w:val="center"/>
    </w:pPr>
    <w:rPr>
      <w:rFonts w:ascii="Times New Roman" w:hAnsi="Times New Roman" w:eastAsia="黑体"/>
      <w:b/>
      <w:sz w:val="84"/>
      <w:szCs w:val="84"/>
    </w:rPr>
  </w:style>
  <w:style w:type="paragraph" w:customStyle="1" w:styleId="38">
    <w:name w:val="封四"/>
    <w:basedOn w:val="34"/>
    <w:next w:val="34"/>
    <w:qFormat/>
    <w:uiPriority w:val="0"/>
    <w:pPr>
      <w:jc w:val="left"/>
    </w:pPr>
    <w:rPr>
      <w:rFonts w:ascii="Times New Roman" w:hAnsi="Times New Roman"/>
      <w:sz w:val="30"/>
      <w:szCs w:val="30"/>
    </w:rPr>
  </w:style>
  <w:style w:type="paragraph" w:customStyle="1" w:styleId="39">
    <w:name w:val="正题"/>
    <w:basedOn w:val="34"/>
    <w:next w:val="34"/>
    <w:qFormat/>
    <w:uiPriority w:val="0"/>
    <w:pPr>
      <w:ind w:firstLine="0" w:firstLineChars="0"/>
      <w:jc w:val="center"/>
    </w:pPr>
    <w:rPr>
      <w:rFonts w:eastAsia="黑体"/>
      <w:b/>
      <w:sz w:val="36"/>
      <w:szCs w:val="36"/>
    </w:rPr>
  </w:style>
  <w:style w:type="paragraph" w:customStyle="1" w:styleId="40">
    <w:name w:val="文二"/>
    <w:basedOn w:val="1"/>
    <w:qFormat/>
    <w:uiPriority w:val="0"/>
    <w:pPr>
      <w:jc w:val="left"/>
    </w:pPr>
    <w:rPr>
      <w:szCs w:val="21"/>
    </w:rPr>
  </w:style>
  <w:style w:type="paragraph" w:customStyle="1" w:styleId="41">
    <w:name w:val="Char Char Char Char"/>
    <w:basedOn w:val="1"/>
    <w:qFormat/>
    <w:uiPriority w:val="0"/>
    <w:rPr>
      <w:rFonts w:ascii="Times New Roman" w:hAnsi="Times New Roman"/>
      <w:sz w:val="30"/>
      <w:szCs w:val="24"/>
    </w:rPr>
  </w:style>
  <w:style w:type="character" w:customStyle="1" w:styleId="42">
    <w:name w:val="标题 1 字符"/>
    <w:qFormat/>
    <w:uiPriority w:val="0"/>
    <w:rPr>
      <w:rFonts w:hint="eastAsia"/>
      <w:b/>
      <w:kern w:val="44"/>
      <w:sz w:val="48"/>
      <w:szCs w:val="48"/>
    </w:rPr>
  </w:style>
  <w:style w:type="paragraph" w:styleId="43">
    <w:name w:val="List Paragraph"/>
    <w:basedOn w:val="1"/>
    <w:qFormat/>
    <w:uiPriority w:val="0"/>
    <w:pPr>
      <w:ind w:firstLine="420" w:firstLineChars="200"/>
    </w:pPr>
    <w:rPr>
      <w:rFonts w:ascii="Times New Roman" w:hAnsi="Times New Roman"/>
      <w:szCs w:val="20"/>
    </w:rPr>
  </w:style>
  <w:style w:type="paragraph" w:customStyle="1" w:styleId="44">
    <w:name w:val="文提"/>
    <w:basedOn w:val="34"/>
    <w:qFormat/>
    <w:uiPriority w:val="0"/>
    <w:pPr>
      <w:ind w:firstLine="0" w:firstLineChars="0"/>
    </w:pPr>
    <w:rPr>
      <w:rFonts w:ascii="Times New Roman" w:hAnsi="Times New Roman" w:eastAsia="黑体" w:cs="宋体"/>
      <w:b/>
    </w:rPr>
  </w:style>
  <w:style w:type="character" w:customStyle="1" w:styleId="45">
    <w:name w:val="font71"/>
    <w:qFormat/>
    <w:uiPriority w:val="0"/>
    <w:rPr>
      <w:rFonts w:hint="eastAsia" w:ascii="宋体" w:hAnsi="宋体" w:eastAsia="宋体" w:cs="宋体"/>
      <w:color w:val="000000"/>
      <w:sz w:val="20"/>
      <w:szCs w:val="20"/>
      <w:u w:val="none"/>
    </w:rPr>
  </w:style>
  <w:style w:type="paragraph" w:customStyle="1" w:styleId="46">
    <w:name w:val="正文5"/>
    <w:qFormat/>
    <w:uiPriority w:val="0"/>
    <w:pPr>
      <w:jc w:val="both"/>
    </w:pPr>
    <w:rPr>
      <w:rFonts w:ascii="Calibri" w:hAnsi="Calibri" w:eastAsia="宋体" w:cs="宋体"/>
      <w:kern w:val="2"/>
      <w:sz w:val="21"/>
      <w:szCs w:val="21"/>
      <w:lang w:val="en-US" w:eastAsia="zh-CN" w:bidi="ar-SA"/>
    </w:rPr>
  </w:style>
  <w:style w:type="paragraph" w:customStyle="1" w:styleId="47">
    <w:name w:val="正文文本缩进 New New"/>
    <w:basedOn w:val="1"/>
    <w:qFormat/>
    <w:uiPriority w:val="0"/>
    <w:pPr>
      <w:spacing w:after="120"/>
      <w:ind w:left="420" w:leftChars="200"/>
    </w:pPr>
    <w:rPr>
      <w:rFonts w:ascii="Times New Roman" w:eastAsia="楷体_GB2312"/>
      <w:szCs w:val="20"/>
    </w:rPr>
  </w:style>
  <w:style w:type="paragraph" w:customStyle="1" w:styleId="48">
    <w:name w:val="表头"/>
    <w:basedOn w:val="1"/>
    <w:qFormat/>
    <w:uiPriority w:val="0"/>
    <w:pPr>
      <w:spacing w:line="360" w:lineRule="auto"/>
      <w:jc w:val="center"/>
    </w:pPr>
    <w:rPr>
      <w:rFonts w:ascii="黑体" w:hAnsi="Times New Roman" w:eastAsia="黑体"/>
      <w:kern w:val="0"/>
      <w:sz w:val="24"/>
      <w:szCs w:val="20"/>
    </w:rPr>
  </w:style>
  <w:style w:type="paragraph" w:customStyle="1" w:styleId="49">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character" w:customStyle="1" w:styleId="50">
    <w:name w:val="font01"/>
    <w:qFormat/>
    <w:uiPriority w:val="0"/>
    <w:rPr>
      <w:rFonts w:hint="eastAsia" w:ascii="仿宋" w:hAnsi="仿宋" w:eastAsia="仿宋" w:cs="仿宋"/>
      <w:color w:val="000000"/>
      <w:sz w:val="28"/>
      <w:szCs w:val="28"/>
      <w:u w:val="none"/>
    </w:rPr>
  </w:style>
  <w:style w:type="character" w:customStyle="1" w:styleId="51">
    <w:name w:val="font11"/>
    <w:basedOn w:val="28"/>
    <w:qFormat/>
    <w:uiPriority w:val="0"/>
    <w:rPr>
      <w:rFonts w:hint="eastAsia" w:ascii="宋体" w:hAnsi="宋体" w:eastAsia="宋体"/>
      <w:color w:val="000000"/>
      <w:sz w:val="24"/>
      <w:szCs w:val="24"/>
      <w:u w:val="single"/>
    </w:rPr>
  </w:style>
  <w:style w:type="character" w:customStyle="1" w:styleId="52">
    <w:name w:val="标题 1 字符1"/>
    <w:link w:val="2"/>
    <w:qFormat/>
    <w:uiPriority w:val="0"/>
    <w:rPr>
      <w:rFonts w:ascii="宋体" w:hAnsi="宋体" w:eastAsia="宋体" w:cs="宋体"/>
      <w:b/>
      <w:kern w:val="44"/>
      <w:sz w:val="28"/>
      <w:szCs w:val="28"/>
    </w:rPr>
  </w:style>
  <w:style w:type="character" w:customStyle="1" w:styleId="53">
    <w:name w:val="批注文字 字符"/>
    <w:basedOn w:val="28"/>
    <w:link w:val="8"/>
    <w:qFormat/>
    <w:uiPriority w:val="99"/>
    <w:rPr>
      <w:kern w:val="2"/>
      <w:sz w:val="21"/>
      <w:szCs w:val="22"/>
    </w:rPr>
  </w:style>
  <w:style w:type="character" w:customStyle="1" w:styleId="54">
    <w:name w:val="批注主题 字符"/>
    <w:basedOn w:val="53"/>
    <w:link w:val="24"/>
    <w:qFormat/>
    <w:uiPriority w:val="0"/>
    <w:rPr>
      <w:rFonts w:ascii="宋体" w:hAnsi="宋体"/>
      <w:b/>
      <w:bCs/>
      <w:kern w:val="2"/>
      <w:sz w:val="21"/>
      <w:szCs w:val="22"/>
    </w:rPr>
  </w:style>
  <w:style w:type="character" w:customStyle="1" w:styleId="55">
    <w:name w:val="批注框文本 字符"/>
    <w:basedOn w:val="28"/>
    <w:link w:val="15"/>
    <w:qFormat/>
    <w:uiPriority w:val="0"/>
    <w:rPr>
      <w:rFonts w:ascii="宋体" w:hAnsi="宋体"/>
      <w:kern w:val="2"/>
      <w:sz w:val="18"/>
      <w:szCs w:val="18"/>
    </w:rPr>
  </w:style>
  <w:style w:type="character" w:customStyle="1" w:styleId="56">
    <w:name w:val="s2"/>
    <w:qFormat/>
    <w:uiPriority w:val="0"/>
  </w:style>
  <w:style w:type="paragraph" w:customStyle="1" w:styleId="57">
    <w:name w:val="正文1"/>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87</Pages>
  <Words>6794</Words>
  <Characters>7125</Characters>
  <Lines>436</Lines>
  <Paragraphs>122</Paragraphs>
  <TotalTime>2</TotalTime>
  <ScaleCrop>false</ScaleCrop>
  <LinksUpToDate>false</LinksUpToDate>
  <CharactersWithSpaces>52524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2021-07-16T06:16:00Z</dcterms:created>
  <dc:creator>GX</dc:creator>
  <cp:lastModifiedBy>杨文哲</cp:lastModifiedBy>
  <cp:lastPrinted>2025-05-08T06:53:00Z</cp:lastPrinted>
  <dcterms:modified xsi:type="dcterms:W3CDTF">2025-08-29T11:02:51Z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4D0984B64E2E455BADF0D65AC61A5058_13</vt:lpwstr>
  </property>
  <property fmtid="{D5CDD505-2E9C-101B-9397-08002B2CF9AE}" pid="4" name="KSOTemplateDocerSaveRecord">
    <vt:lpwstr>eyJoZGlkIjoiNDI1NGQ4MDY4NjMxYWVlMzc3ODM2NDE0MmU1ODUxYzYiLCJ1c2VySWQiOiIxNTY4OTA2ODQzIn0=</vt:lpwstr>
  </property>
</Properties>
</file>