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snapToGrid w:val="0"/>
        <w:spacing w:line="360" w:lineRule="auto"/>
        <w:ind w:right="25" w:rightChars="12"/>
        <w:jc w:val="center"/>
        <w:rPr>
          <w:rFonts w:cs="宋体"/>
          <w:b/>
          <w:color w:val="auto"/>
          <w:sz w:val="48"/>
          <w:szCs w:val="48"/>
          <w:highlight w:val="none"/>
          <w:u w:val="none"/>
        </w:rPr>
      </w:pPr>
    </w:p>
    <w:p>
      <w:pPr>
        <w:pStyle w:val="25"/>
        <w:snapToGrid w:val="0"/>
        <w:spacing w:line="360" w:lineRule="auto"/>
        <w:ind w:right="25" w:rightChars="12"/>
        <w:jc w:val="center"/>
        <w:rPr>
          <w:rFonts w:hint="eastAsia" w:eastAsia="宋体" w:cs="宋体"/>
          <w:b/>
          <w:color w:val="auto"/>
          <w:sz w:val="48"/>
          <w:szCs w:val="48"/>
          <w:highlight w:val="none"/>
          <w:u w:val="none"/>
          <w:lang w:eastAsia="zh-CN"/>
        </w:rPr>
      </w:pPr>
      <w:r>
        <w:rPr>
          <w:rFonts w:hint="eastAsia" w:cs="宋体"/>
          <w:b/>
          <w:color w:val="auto"/>
          <w:sz w:val="48"/>
          <w:szCs w:val="48"/>
          <w:highlight w:val="none"/>
          <w:u w:val="none"/>
          <w:lang w:eastAsia="zh-CN"/>
        </w:rPr>
        <w:t>福山村、福洞村安置区开关房电缆及配套工程施工</w:t>
      </w:r>
    </w:p>
    <w:p>
      <w:pPr>
        <w:snapToGrid w:val="0"/>
        <w:spacing w:line="360" w:lineRule="auto"/>
        <w:jc w:val="center"/>
        <w:rPr>
          <w:rFonts w:ascii="宋体" w:hAnsi="宋体" w:cs="宋体"/>
          <w:color w:val="auto"/>
          <w:sz w:val="36"/>
          <w:szCs w:val="36"/>
          <w:highlight w:val="none"/>
          <w:u w:val="single"/>
        </w:rPr>
      </w:pPr>
    </w:p>
    <w:p>
      <w:pPr>
        <w:pStyle w:val="16"/>
        <w:snapToGrid w:val="0"/>
        <w:spacing w:line="360" w:lineRule="auto"/>
        <w:rPr>
          <w:rFonts w:hAnsi="宋体" w:cs="宋体"/>
          <w:color w:val="auto"/>
          <w:highlight w:val="none"/>
        </w:rPr>
      </w:pPr>
      <w:r>
        <w:rPr>
          <w:rFonts w:hint="eastAsia" w:hAnsi="宋体" w:cs="宋体"/>
          <w:color w:val="auto"/>
          <w:highlight w:val="none"/>
        </w:rPr>
        <w:t xml:space="preserve"> </w:t>
      </w:r>
    </w:p>
    <w:p>
      <w:pPr>
        <w:pStyle w:val="16"/>
        <w:snapToGrid w:val="0"/>
        <w:spacing w:line="360" w:lineRule="auto"/>
        <w:rPr>
          <w:rFonts w:hAnsi="宋体" w:cs="宋体"/>
          <w:color w:val="auto"/>
          <w:sz w:val="36"/>
          <w:szCs w:val="36"/>
          <w:highlight w:val="none"/>
          <w:u w:val="single"/>
        </w:rPr>
      </w:pPr>
    </w:p>
    <w:p>
      <w:pPr>
        <w:pStyle w:val="16"/>
        <w:snapToGrid w:val="0"/>
        <w:spacing w:line="360" w:lineRule="auto"/>
        <w:rPr>
          <w:rFonts w:hAnsi="宋体" w:cs="宋体"/>
          <w:color w:val="auto"/>
          <w:sz w:val="36"/>
          <w:szCs w:val="36"/>
          <w:highlight w:val="none"/>
          <w:u w:val="single"/>
        </w:rPr>
      </w:pPr>
    </w:p>
    <w:p>
      <w:pPr>
        <w:pStyle w:val="16"/>
        <w:snapToGrid w:val="0"/>
        <w:spacing w:line="360" w:lineRule="auto"/>
        <w:rPr>
          <w:rFonts w:hAnsi="宋体" w:cs="宋体"/>
          <w:color w:val="auto"/>
          <w:sz w:val="36"/>
          <w:szCs w:val="36"/>
          <w:highlight w:val="none"/>
          <w:u w:val="single"/>
        </w:rPr>
      </w:pPr>
    </w:p>
    <w:p>
      <w:pPr>
        <w:snapToGrid w:val="0"/>
        <w:spacing w:line="360" w:lineRule="auto"/>
        <w:jc w:val="center"/>
        <w:rPr>
          <w:rFonts w:ascii="宋体" w:hAnsi="宋体" w:cs="宋体"/>
          <w:b/>
          <w:bCs/>
          <w:color w:val="auto"/>
          <w:spacing w:val="26"/>
          <w:sz w:val="110"/>
          <w:szCs w:val="110"/>
          <w:highlight w:val="none"/>
        </w:rPr>
      </w:pPr>
      <w:r>
        <w:rPr>
          <w:rFonts w:hint="eastAsia" w:ascii="宋体" w:hAnsi="宋体" w:cs="宋体"/>
          <w:b/>
          <w:bCs/>
          <w:color w:val="auto"/>
          <w:spacing w:val="26"/>
          <w:sz w:val="110"/>
          <w:szCs w:val="110"/>
          <w:highlight w:val="none"/>
        </w:rPr>
        <w:t>招标文件</w:t>
      </w:r>
    </w:p>
    <w:p>
      <w:pPr>
        <w:snapToGrid w:val="0"/>
        <w:spacing w:line="360" w:lineRule="auto"/>
        <w:jc w:val="center"/>
        <w:rPr>
          <w:rFonts w:ascii="宋体" w:hAnsi="宋体" w:cs="宋体"/>
          <w:color w:val="auto"/>
          <w:sz w:val="32"/>
          <w:szCs w:val="32"/>
          <w:highlight w:val="none"/>
        </w:rPr>
      </w:pPr>
    </w:p>
    <w:p>
      <w:pPr>
        <w:snapToGrid w:val="0"/>
        <w:spacing w:line="360" w:lineRule="auto"/>
        <w:ind w:firstLine="2560" w:firstLineChars="800"/>
        <w:rPr>
          <w:rFonts w:ascii="宋体" w:hAnsi="宋体" w:cs="宋体"/>
          <w:color w:val="auto"/>
          <w:sz w:val="32"/>
          <w:szCs w:val="32"/>
          <w:highlight w:val="none"/>
        </w:rPr>
      </w:pPr>
    </w:p>
    <w:p>
      <w:pPr>
        <w:snapToGrid w:val="0"/>
        <w:spacing w:line="360" w:lineRule="auto"/>
        <w:ind w:firstLine="2560" w:firstLineChars="800"/>
        <w:rPr>
          <w:rFonts w:ascii="宋体" w:hAnsi="宋体" w:cs="宋体"/>
          <w:color w:val="auto"/>
          <w:sz w:val="32"/>
          <w:szCs w:val="32"/>
          <w:highlight w:val="none"/>
        </w:rPr>
      </w:pPr>
    </w:p>
    <w:p>
      <w:pPr>
        <w:pStyle w:val="11"/>
        <w:rPr>
          <w:color w:val="auto"/>
          <w:highlight w:val="none"/>
        </w:rPr>
      </w:pPr>
    </w:p>
    <w:p>
      <w:pPr>
        <w:snapToGrid w:val="0"/>
        <w:spacing w:line="360" w:lineRule="auto"/>
        <w:ind w:firstLine="1200" w:firstLineChars="400"/>
        <w:rPr>
          <w:rFonts w:ascii="宋体" w:hAnsi="宋体" w:cs="宋体"/>
          <w:color w:val="auto"/>
          <w:sz w:val="30"/>
          <w:szCs w:val="30"/>
          <w:highlight w:val="none"/>
        </w:rPr>
      </w:pPr>
    </w:p>
    <w:p>
      <w:pPr>
        <w:pStyle w:val="16"/>
        <w:snapToGrid w:val="0"/>
        <w:spacing w:line="360" w:lineRule="auto"/>
        <w:rPr>
          <w:rFonts w:hAnsi="宋体" w:cs="宋体"/>
          <w:color w:val="auto"/>
          <w:highlight w:val="none"/>
        </w:rPr>
      </w:pPr>
    </w:p>
    <w:p>
      <w:pPr>
        <w:keepNext w:val="0"/>
        <w:keepLines w:val="0"/>
        <w:pageBreakBefore w:val="0"/>
        <w:widowControl w:val="0"/>
        <w:kinsoku/>
        <w:wordWrap/>
        <w:overflowPunct/>
        <w:topLinePunct w:val="0"/>
        <w:autoSpaceDE/>
        <w:autoSpaceDN/>
        <w:bidi w:val="0"/>
        <w:adjustRightInd/>
        <w:snapToGrid w:val="0"/>
        <w:spacing w:after="157" w:afterLines="50" w:line="360" w:lineRule="auto"/>
        <w:ind w:left="0" w:leftChars="0" w:firstLine="840" w:firstLineChars="279"/>
        <w:textAlignment w:val="auto"/>
        <w:rPr>
          <w:rFonts w:ascii="宋体" w:hAnsi="宋体" w:cs="宋体"/>
          <w:b/>
          <w:bCs/>
          <w:color w:val="auto"/>
          <w:spacing w:val="-2"/>
          <w:sz w:val="30"/>
          <w:szCs w:val="30"/>
          <w:highlight w:val="none"/>
        </w:rPr>
      </w:pPr>
      <w:r>
        <w:rPr>
          <w:rFonts w:hint="eastAsia" w:ascii="宋体" w:hAnsi="宋体" w:cs="宋体"/>
          <w:b/>
          <w:bCs/>
          <w:color w:val="auto"/>
          <w:sz w:val="30"/>
          <w:szCs w:val="30"/>
          <w:highlight w:val="none"/>
        </w:rPr>
        <w:t>招  标 单 位：</w:t>
      </w:r>
      <w:r>
        <w:rPr>
          <w:rFonts w:hint="eastAsia" w:ascii="宋体" w:hAnsi="宋体" w:cs="宋体"/>
          <w:b/>
          <w:bCs/>
          <w:color w:val="auto"/>
          <w:spacing w:val="-2"/>
          <w:sz w:val="30"/>
          <w:szCs w:val="30"/>
          <w:highlight w:val="none"/>
          <w:u w:val="single"/>
        </w:rPr>
        <w:t>广州开发区财政投资建设项目管理中心</w:t>
      </w:r>
    </w:p>
    <w:p>
      <w:pPr>
        <w:keepNext w:val="0"/>
        <w:keepLines w:val="0"/>
        <w:pageBreakBefore w:val="0"/>
        <w:widowControl w:val="0"/>
        <w:kinsoku/>
        <w:wordWrap/>
        <w:overflowPunct/>
        <w:topLinePunct w:val="0"/>
        <w:autoSpaceDE/>
        <w:autoSpaceDN/>
        <w:bidi w:val="0"/>
        <w:adjustRightInd/>
        <w:snapToGrid w:val="0"/>
        <w:spacing w:after="157" w:afterLines="50" w:line="360" w:lineRule="auto"/>
        <w:ind w:left="0" w:leftChars="0" w:firstLine="840" w:firstLineChars="279"/>
        <w:textAlignment w:val="auto"/>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rPr>
        <w:t>招标代理单位：</w:t>
      </w:r>
      <w:r>
        <w:rPr>
          <w:rFonts w:hint="eastAsia" w:ascii="宋体" w:hAnsi="宋体" w:cs="宋体"/>
          <w:b/>
          <w:bCs/>
          <w:color w:val="auto"/>
          <w:sz w:val="30"/>
          <w:szCs w:val="30"/>
          <w:highlight w:val="none"/>
          <w:u w:val="single"/>
          <w:lang w:eastAsia="zh-CN"/>
        </w:rPr>
        <w:t>广州名都建设项目管理有限公司</w:t>
      </w:r>
    </w:p>
    <w:p>
      <w:pPr>
        <w:keepNext w:val="0"/>
        <w:keepLines w:val="0"/>
        <w:pageBreakBefore w:val="0"/>
        <w:widowControl w:val="0"/>
        <w:kinsoku/>
        <w:wordWrap/>
        <w:overflowPunct/>
        <w:topLinePunct w:val="0"/>
        <w:autoSpaceDE/>
        <w:autoSpaceDN/>
        <w:bidi w:val="0"/>
        <w:adjustRightInd/>
        <w:snapToGrid w:val="0"/>
        <w:spacing w:after="157" w:afterLines="50" w:line="360" w:lineRule="auto"/>
        <w:ind w:left="0" w:leftChars="0" w:firstLine="840" w:firstLineChars="279"/>
        <w:textAlignment w:val="auto"/>
        <w:rPr>
          <w:rFonts w:ascii="宋体" w:hAnsi="宋体" w:cs="宋体"/>
          <w:b/>
          <w:bCs/>
          <w:color w:val="auto"/>
          <w:sz w:val="30"/>
          <w:szCs w:val="30"/>
          <w:highlight w:val="none"/>
        </w:rPr>
      </w:pPr>
      <w:r>
        <w:rPr>
          <w:rFonts w:hint="eastAsia" w:ascii="宋体" w:hAnsi="宋体" w:cs="宋体"/>
          <w:b/>
          <w:bCs/>
          <w:color w:val="auto"/>
          <w:sz w:val="30"/>
          <w:szCs w:val="30"/>
          <w:highlight w:val="none"/>
        </w:rPr>
        <w:t>日        期：</w:t>
      </w:r>
      <w:r>
        <w:rPr>
          <w:rFonts w:hint="eastAsia" w:ascii="宋体" w:hAnsi="宋体" w:cs="宋体"/>
          <w:b/>
          <w:bCs/>
          <w:color w:val="auto"/>
          <w:sz w:val="30"/>
          <w:szCs w:val="30"/>
          <w:highlight w:val="none"/>
          <w:u w:val="single"/>
        </w:rPr>
        <w:t>2025年</w:t>
      </w:r>
      <w:r>
        <w:rPr>
          <w:rFonts w:hint="eastAsia" w:ascii="宋体" w:hAnsi="宋体" w:cs="宋体"/>
          <w:b/>
          <w:bCs/>
          <w:color w:val="auto"/>
          <w:sz w:val="30"/>
          <w:szCs w:val="30"/>
          <w:highlight w:val="none"/>
          <w:u w:val="single"/>
          <w:lang w:val="en-US" w:eastAsia="zh-CN"/>
        </w:rPr>
        <w:t>08</w:t>
      </w:r>
      <w:r>
        <w:rPr>
          <w:rFonts w:hint="eastAsia" w:ascii="宋体" w:hAnsi="宋体" w:cs="宋体"/>
          <w:b/>
          <w:bCs/>
          <w:color w:val="auto"/>
          <w:sz w:val="30"/>
          <w:szCs w:val="30"/>
          <w:highlight w:val="none"/>
          <w:u w:val="single"/>
        </w:rPr>
        <w:t>月</w:t>
      </w:r>
    </w:p>
    <w:p>
      <w:pPr>
        <w:snapToGrid w:val="0"/>
        <w:spacing w:line="360" w:lineRule="auto"/>
        <w:jc w:val="center"/>
        <w:rPr>
          <w:rStyle w:val="35"/>
          <w:rFonts w:ascii="宋体" w:hAnsi="宋体" w:cs="宋体"/>
          <w:b/>
          <w:bCs/>
          <w:color w:val="auto"/>
          <w:sz w:val="36"/>
          <w:szCs w:val="36"/>
          <w:highlight w:val="none"/>
        </w:rPr>
      </w:pPr>
      <w:r>
        <w:rPr>
          <w:rStyle w:val="35"/>
          <w:rFonts w:hint="eastAsia" w:ascii="宋体" w:hAnsi="宋体" w:cs="宋体"/>
          <w:b/>
          <w:bCs/>
          <w:color w:val="auto"/>
          <w:highlight w:val="none"/>
        </w:rPr>
        <w:br w:type="page"/>
      </w:r>
      <w:r>
        <w:rPr>
          <w:rStyle w:val="35"/>
          <w:rFonts w:hint="eastAsia" w:ascii="宋体" w:hAnsi="宋体" w:cs="宋体"/>
          <w:b/>
          <w:bCs/>
          <w:color w:val="auto"/>
          <w:sz w:val="36"/>
          <w:szCs w:val="36"/>
          <w:highlight w:val="none"/>
          <w:u w:val="none"/>
        </w:rPr>
        <w:t>目</w:t>
      </w:r>
      <w:r>
        <w:rPr>
          <w:rStyle w:val="35"/>
          <w:rFonts w:hint="eastAsia" w:ascii="宋体" w:hAnsi="宋体" w:cs="宋体"/>
          <w:b/>
          <w:bCs/>
          <w:color w:val="auto"/>
          <w:sz w:val="36"/>
          <w:szCs w:val="36"/>
          <w:highlight w:val="none"/>
          <w:u w:val="none"/>
          <w:lang w:val="en-US" w:eastAsia="zh-CN"/>
        </w:rPr>
        <w:t xml:space="preserve">  </w:t>
      </w:r>
      <w:r>
        <w:rPr>
          <w:rStyle w:val="35"/>
          <w:rFonts w:hint="eastAsia" w:ascii="宋体" w:hAnsi="宋体" w:cs="宋体"/>
          <w:b/>
          <w:bCs/>
          <w:color w:val="auto"/>
          <w:sz w:val="36"/>
          <w:szCs w:val="36"/>
          <w:highlight w:val="none"/>
          <w:u w:val="none"/>
        </w:rPr>
        <w:t>录</w:t>
      </w:r>
    </w:p>
    <w:p>
      <w:pPr>
        <w:pStyle w:val="22"/>
        <w:pageBreakBefore w:val="0"/>
        <w:widowControl w:val="0"/>
        <w:kinsoku/>
        <w:wordWrap/>
        <w:overflowPunct/>
        <w:topLinePunct w:val="0"/>
        <w:autoSpaceDE/>
        <w:autoSpaceDN/>
        <w:bidi w:val="0"/>
        <w:snapToGrid w:val="0"/>
        <w:spacing w:line="480" w:lineRule="auto"/>
        <w:rPr>
          <w:rFonts w:asciiTheme="minorHAnsi" w:hAnsiTheme="minorHAnsi" w:eastAsiaTheme="minorEastAsia" w:cstheme="minorBidi"/>
          <w:caps w:val="0"/>
          <w:color w:val="auto"/>
          <w:kern w:val="2"/>
          <w:sz w:val="21"/>
          <w:szCs w:val="22"/>
          <w:highlight w:val="none"/>
        </w:rPr>
      </w:pPr>
      <w:r>
        <w:rPr>
          <w:rFonts w:hint="eastAsia" w:cs="宋体"/>
          <w:color w:val="auto"/>
          <w:szCs w:val="24"/>
          <w:highlight w:val="none"/>
        </w:rPr>
        <w:fldChar w:fldCharType="begin"/>
      </w:r>
      <w:r>
        <w:rPr>
          <w:rFonts w:hint="eastAsia" w:cs="宋体"/>
          <w:color w:val="auto"/>
          <w:szCs w:val="24"/>
          <w:highlight w:val="none"/>
        </w:rPr>
        <w:instrText xml:space="preserve"> TOC \o "1-3" \h \z \u </w:instrText>
      </w:r>
      <w:r>
        <w:rPr>
          <w:rFonts w:hint="eastAsia" w:cs="宋体"/>
          <w:color w:val="auto"/>
          <w:szCs w:val="24"/>
          <w:highlight w:val="none"/>
        </w:rPr>
        <w:fldChar w:fldCharType="separate"/>
      </w:r>
      <w:r>
        <w:rPr>
          <w:color w:val="auto"/>
          <w:highlight w:val="none"/>
        </w:rPr>
        <w:fldChar w:fldCharType="begin"/>
      </w:r>
      <w:r>
        <w:rPr>
          <w:color w:val="auto"/>
          <w:highlight w:val="none"/>
        </w:rPr>
        <w:instrText xml:space="preserve"> HYPERLINK \l "_Toc194090338" </w:instrText>
      </w:r>
      <w:r>
        <w:rPr>
          <w:color w:val="auto"/>
          <w:highlight w:val="none"/>
        </w:rPr>
        <w:fldChar w:fldCharType="separate"/>
      </w:r>
      <w:r>
        <w:rPr>
          <w:rStyle w:val="35"/>
          <w:rFonts w:hint="eastAsia" w:cs="宋体"/>
          <w:bCs/>
          <w:color w:val="auto"/>
          <w:highlight w:val="none"/>
        </w:rPr>
        <w:t>第一章</w:t>
      </w:r>
      <w:r>
        <w:rPr>
          <w:rStyle w:val="35"/>
          <w:rFonts w:cs="宋体"/>
          <w:bCs/>
          <w:color w:val="auto"/>
          <w:highlight w:val="none"/>
        </w:rPr>
        <w:t xml:space="preserve">  </w:t>
      </w:r>
      <w:r>
        <w:rPr>
          <w:rStyle w:val="35"/>
          <w:rFonts w:hint="eastAsia" w:cs="宋体"/>
          <w:bCs/>
          <w:color w:val="auto"/>
          <w:highlight w:val="none"/>
        </w:rPr>
        <w:t>投标须知</w:t>
      </w:r>
      <w:r>
        <w:rPr>
          <w:color w:val="auto"/>
          <w:highlight w:val="none"/>
        </w:rPr>
        <w:tab/>
      </w:r>
      <w:r>
        <w:rPr>
          <w:color w:val="auto"/>
          <w:highlight w:val="none"/>
        </w:rPr>
        <w:fldChar w:fldCharType="begin"/>
      </w:r>
      <w:r>
        <w:rPr>
          <w:color w:val="auto"/>
          <w:highlight w:val="none"/>
        </w:rPr>
        <w:instrText xml:space="preserve"> PAGEREF _Toc194090338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24"/>
        <w:pageBreakBefore w:val="0"/>
        <w:widowControl w:val="0"/>
        <w:kinsoku/>
        <w:wordWrap/>
        <w:overflowPunct/>
        <w:topLinePunct w:val="0"/>
        <w:autoSpaceDE/>
        <w:autoSpaceDN/>
        <w:bidi w:val="0"/>
        <w:snapToGrid w:val="0"/>
        <w:spacing w:line="480" w:lineRule="auto"/>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"_Toc194090339" </w:instrText>
      </w:r>
      <w:r>
        <w:rPr>
          <w:color w:val="auto"/>
          <w:highlight w:val="none"/>
        </w:rPr>
        <w:fldChar w:fldCharType="separate"/>
      </w:r>
      <w:r>
        <w:rPr>
          <w:rStyle w:val="35"/>
          <w:rFonts w:hint="eastAsia" w:ascii="宋体" w:hAnsi="宋体" w:cs="宋体"/>
          <w:color w:val="auto"/>
          <w:highlight w:val="none"/>
        </w:rPr>
        <w:t>一、投标须知前附表</w:t>
      </w:r>
      <w:r>
        <w:rPr>
          <w:color w:val="auto"/>
          <w:highlight w:val="none"/>
        </w:rPr>
        <w:tab/>
      </w:r>
      <w:r>
        <w:rPr>
          <w:color w:val="auto"/>
          <w:highlight w:val="none"/>
        </w:rPr>
        <w:fldChar w:fldCharType="begin"/>
      </w:r>
      <w:r>
        <w:rPr>
          <w:color w:val="auto"/>
          <w:highlight w:val="none"/>
        </w:rPr>
        <w:instrText xml:space="preserve"> PAGEREF _Toc194090339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24"/>
        <w:pageBreakBefore w:val="0"/>
        <w:widowControl w:val="0"/>
        <w:kinsoku/>
        <w:wordWrap/>
        <w:overflowPunct/>
        <w:topLinePunct w:val="0"/>
        <w:autoSpaceDE/>
        <w:autoSpaceDN/>
        <w:bidi w:val="0"/>
        <w:snapToGrid w:val="0"/>
        <w:spacing w:line="480" w:lineRule="auto"/>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"_Toc194090340" </w:instrText>
      </w:r>
      <w:r>
        <w:rPr>
          <w:color w:val="auto"/>
          <w:highlight w:val="none"/>
        </w:rPr>
        <w:fldChar w:fldCharType="separate"/>
      </w:r>
      <w:r>
        <w:rPr>
          <w:rStyle w:val="35"/>
          <w:rFonts w:hint="eastAsia" w:ascii="宋体" w:hAnsi="宋体" w:cs="宋体"/>
          <w:color w:val="auto"/>
          <w:highlight w:val="none"/>
        </w:rPr>
        <w:t>二、投标须知修改表</w:t>
      </w:r>
      <w:r>
        <w:rPr>
          <w:color w:val="auto"/>
          <w:highlight w:val="none"/>
        </w:rPr>
        <w:tab/>
      </w:r>
      <w:r>
        <w:rPr>
          <w:color w:val="auto"/>
          <w:highlight w:val="none"/>
        </w:rPr>
        <w:fldChar w:fldCharType="begin"/>
      </w:r>
      <w:r>
        <w:rPr>
          <w:color w:val="auto"/>
          <w:highlight w:val="none"/>
        </w:rPr>
        <w:instrText xml:space="preserve"> PAGEREF _Toc194090340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22"/>
        <w:pageBreakBefore w:val="0"/>
        <w:widowControl w:val="0"/>
        <w:kinsoku/>
        <w:wordWrap/>
        <w:overflowPunct/>
        <w:topLinePunct w:val="0"/>
        <w:autoSpaceDE/>
        <w:autoSpaceDN/>
        <w:bidi w:val="0"/>
        <w:snapToGrid w:val="0"/>
        <w:spacing w:line="480" w:lineRule="auto"/>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"_Toc194090347" </w:instrText>
      </w:r>
      <w:r>
        <w:rPr>
          <w:color w:val="auto"/>
          <w:highlight w:val="none"/>
        </w:rPr>
        <w:fldChar w:fldCharType="separate"/>
      </w:r>
      <w:r>
        <w:rPr>
          <w:rStyle w:val="35"/>
          <w:rFonts w:hint="eastAsia" w:cs="宋体"/>
          <w:bCs/>
          <w:color w:val="auto"/>
          <w:highlight w:val="none"/>
        </w:rPr>
        <w:t>第二章</w:t>
      </w:r>
      <w:r>
        <w:rPr>
          <w:rStyle w:val="35"/>
          <w:rFonts w:cs="宋体"/>
          <w:bCs/>
          <w:color w:val="auto"/>
          <w:highlight w:val="none"/>
        </w:rPr>
        <w:t xml:space="preserve">  </w:t>
      </w:r>
      <w:r>
        <w:rPr>
          <w:rStyle w:val="35"/>
          <w:rFonts w:hint="eastAsia" w:cs="宋体"/>
          <w:bCs/>
          <w:color w:val="auto"/>
          <w:highlight w:val="none"/>
        </w:rPr>
        <w:t>开标、评标及定标办法</w:t>
      </w:r>
      <w:r>
        <w:rPr>
          <w:color w:val="auto"/>
          <w:highlight w:val="none"/>
        </w:rPr>
        <w:tab/>
      </w:r>
      <w:r>
        <w:rPr>
          <w:color w:val="auto"/>
          <w:highlight w:val="none"/>
        </w:rPr>
        <w:fldChar w:fldCharType="begin"/>
      </w:r>
      <w:r>
        <w:rPr>
          <w:color w:val="auto"/>
          <w:highlight w:val="none"/>
        </w:rPr>
        <w:instrText xml:space="preserve"> PAGEREF _Toc194090347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24"/>
        <w:pageBreakBefore w:val="0"/>
        <w:widowControl w:val="0"/>
        <w:kinsoku/>
        <w:wordWrap/>
        <w:overflowPunct/>
        <w:topLinePunct w:val="0"/>
        <w:autoSpaceDE/>
        <w:autoSpaceDN/>
        <w:bidi w:val="0"/>
        <w:snapToGrid w:val="0"/>
        <w:spacing w:line="480" w:lineRule="auto"/>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"_Toc194090348" </w:instrText>
      </w:r>
      <w:r>
        <w:rPr>
          <w:color w:val="auto"/>
          <w:highlight w:val="none"/>
        </w:rPr>
        <w:fldChar w:fldCharType="separate"/>
      </w:r>
      <w:r>
        <w:rPr>
          <w:rStyle w:val="35"/>
          <w:rFonts w:hint="eastAsia" w:ascii="宋体" w:hAnsi="宋体" w:cs="宋体"/>
          <w:color w:val="auto"/>
          <w:highlight w:val="none"/>
        </w:rPr>
        <w:t>一、开标、评标及定标办法修改表</w:t>
      </w:r>
      <w:r>
        <w:rPr>
          <w:color w:val="auto"/>
          <w:highlight w:val="none"/>
        </w:rPr>
        <w:tab/>
      </w:r>
      <w:r>
        <w:rPr>
          <w:color w:val="auto"/>
          <w:highlight w:val="none"/>
        </w:rPr>
        <w:fldChar w:fldCharType="begin"/>
      </w:r>
      <w:r>
        <w:rPr>
          <w:color w:val="auto"/>
          <w:highlight w:val="none"/>
        </w:rPr>
        <w:instrText xml:space="preserve"> PAGEREF _Toc194090348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22"/>
        <w:pageBreakBefore w:val="0"/>
        <w:widowControl w:val="0"/>
        <w:kinsoku/>
        <w:wordWrap/>
        <w:overflowPunct/>
        <w:topLinePunct w:val="0"/>
        <w:autoSpaceDE/>
        <w:autoSpaceDN/>
        <w:bidi w:val="0"/>
        <w:snapToGrid w:val="0"/>
        <w:spacing w:line="480" w:lineRule="auto"/>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"_Toc194090353" </w:instrText>
      </w:r>
      <w:r>
        <w:rPr>
          <w:color w:val="auto"/>
          <w:highlight w:val="none"/>
        </w:rPr>
        <w:fldChar w:fldCharType="separate"/>
      </w:r>
      <w:r>
        <w:rPr>
          <w:rStyle w:val="35"/>
          <w:rFonts w:hint="eastAsia" w:cs="宋体"/>
          <w:color w:val="auto"/>
          <w:highlight w:val="none"/>
        </w:rPr>
        <w:t>第三章</w:t>
      </w:r>
      <w:r>
        <w:rPr>
          <w:rStyle w:val="35"/>
          <w:rFonts w:cs="宋体"/>
          <w:color w:val="auto"/>
          <w:highlight w:val="none"/>
        </w:rPr>
        <w:t xml:space="preserve">  </w:t>
      </w:r>
      <w:r>
        <w:rPr>
          <w:rStyle w:val="35"/>
          <w:rFonts w:hint="eastAsia" w:cs="宋体"/>
          <w:color w:val="auto"/>
          <w:highlight w:val="none"/>
        </w:rPr>
        <w:t>合同条款</w:t>
      </w:r>
      <w:r>
        <w:rPr>
          <w:color w:val="auto"/>
          <w:highlight w:val="none"/>
        </w:rPr>
        <w:tab/>
      </w:r>
      <w:r>
        <w:rPr>
          <w:color w:val="auto"/>
          <w:highlight w:val="none"/>
        </w:rPr>
        <w:fldChar w:fldCharType="begin"/>
      </w:r>
      <w:r>
        <w:rPr>
          <w:color w:val="auto"/>
          <w:highlight w:val="none"/>
        </w:rPr>
        <w:instrText xml:space="preserve"> PAGEREF _Toc194090353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pPr>
        <w:pStyle w:val="22"/>
        <w:pageBreakBefore w:val="0"/>
        <w:widowControl w:val="0"/>
        <w:kinsoku/>
        <w:wordWrap/>
        <w:overflowPunct/>
        <w:topLinePunct w:val="0"/>
        <w:autoSpaceDE/>
        <w:autoSpaceDN/>
        <w:bidi w:val="0"/>
        <w:snapToGrid w:val="0"/>
        <w:spacing w:line="480" w:lineRule="auto"/>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"_Toc194090354" </w:instrText>
      </w:r>
      <w:r>
        <w:rPr>
          <w:color w:val="auto"/>
          <w:highlight w:val="none"/>
        </w:rPr>
        <w:fldChar w:fldCharType="separate"/>
      </w:r>
      <w:r>
        <w:rPr>
          <w:rStyle w:val="35"/>
          <w:rFonts w:hint="eastAsia" w:cs="宋体"/>
          <w:color w:val="auto"/>
          <w:highlight w:val="none"/>
        </w:rPr>
        <w:t>第四章</w:t>
      </w:r>
      <w:r>
        <w:rPr>
          <w:rStyle w:val="35"/>
          <w:rFonts w:cs="宋体"/>
          <w:color w:val="auto"/>
          <w:highlight w:val="none"/>
        </w:rPr>
        <w:t xml:space="preserve">  </w:t>
      </w:r>
      <w:r>
        <w:rPr>
          <w:rStyle w:val="35"/>
          <w:rFonts w:hint="eastAsia" w:cs="宋体"/>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_Toc194090354 \h </w:instrText>
      </w:r>
      <w:r>
        <w:rPr>
          <w:color w:val="auto"/>
          <w:highlight w:val="none"/>
        </w:rPr>
        <w:fldChar w:fldCharType="separate"/>
      </w:r>
      <w:r>
        <w:rPr>
          <w:color w:val="auto"/>
          <w:highlight w:val="none"/>
        </w:rPr>
        <w:t>136</w:t>
      </w:r>
      <w:r>
        <w:rPr>
          <w:color w:val="auto"/>
          <w:highlight w:val="none"/>
        </w:rPr>
        <w:fldChar w:fldCharType="end"/>
      </w:r>
      <w:r>
        <w:rPr>
          <w:color w:val="auto"/>
          <w:highlight w:val="none"/>
        </w:rPr>
        <w:fldChar w:fldCharType="end"/>
      </w:r>
    </w:p>
    <w:p>
      <w:pPr>
        <w:pStyle w:val="22"/>
        <w:pageBreakBefore w:val="0"/>
        <w:widowControl w:val="0"/>
        <w:kinsoku/>
        <w:wordWrap/>
        <w:overflowPunct/>
        <w:topLinePunct w:val="0"/>
        <w:autoSpaceDE/>
        <w:autoSpaceDN/>
        <w:bidi w:val="0"/>
        <w:snapToGrid w:val="0"/>
        <w:spacing w:line="480" w:lineRule="auto"/>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"_Toc194090355" </w:instrText>
      </w:r>
      <w:r>
        <w:rPr>
          <w:color w:val="auto"/>
          <w:highlight w:val="none"/>
        </w:rPr>
        <w:fldChar w:fldCharType="separate"/>
      </w:r>
      <w:r>
        <w:rPr>
          <w:rStyle w:val="35"/>
          <w:rFonts w:hint="eastAsia" w:cs="宋体"/>
          <w:color w:val="auto"/>
          <w:highlight w:val="none"/>
        </w:rPr>
        <w:t>第五章</w:t>
      </w:r>
      <w:r>
        <w:rPr>
          <w:rStyle w:val="35"/>
          <w:rFonts w:cs="宋体"/>
          <w:color w:val="auto"/>
          <w:highlight w:val="none"/>
        </w:rPr>
        <w:t xml:space="preserve">  </w:t>
      </w:r>
      <w:r>
        <w:rPr>
          <w:rStyle w:val="35"/>
          <w:rFonts w:hint="eastAsia" w:cs="宋体"/>
          <w:color w:val="auto"/>
          <w:highlight w:val="none"/>
        </w:rPr>
        <w:t>技术条件（工程建设标准）</w:t>
      </w:r>
      <w:r>
        <w:rPr>
          <w:color w:val="auto"/>
          <w:highlight w:val="none"/>
        </w:rPr>
        <w:tab/>
      </w:r>
      <w:r>
        <w:rPr>
          <w:color w:val="auto"/>
          <w:highlight w:val="none"/>
        </w:rPr>
        <w:fldChar w:fldCharType="begin"/>
      </w:r>
      <w:r>
        <w:rPr>
          <w:color w:val="auto"/>
          <w:highlight w:val="none"/>
        </w:rPr>
        <w:instrText xml:space="preserve"> PAGEREF _Toc194090355 \h </w:instrText>
      </w:r>
      <w:r>
        <w:rPr>
          <w:color w:val="auto"/>
          <w:highlight w:val="none"/>
        </w:rPr>
        <w:fldChar w:fldCharType="separate"/>
      </w:r>
      <w:r>
        <w:rPr>
          <w:color w:val="auto"/>
          <w:highlight w:val="none"/>
        </w:rPr>
        <w:t>162</w:t>
      </w:r>
      <w:r>
        <w:rPr>
          <w:color w:val="auto"/>
          <w:highlight w:val="none"/>
        </w:rPr>
        <w:fldChar w:fldCharType="end"/>
      </w:r>
      <w:r>
        <w:rPr>
          <w:color w:val="auto"/>
          <w:highlight w:val="none"/>
        </w:rPr>
        <w:fldChar w:fldCharType="end"/>
      </w:r>
    </w:p>
    <w:p>
      <w:pPr>
        <w:pStyle w:val="22"/>
        <w:pageBreakBefore w:val="0"/>
        <w:widowControl w:val="0"/>
        <w:kinsoku/>
        <w:wordWrap/>
        <w:overflowPunct/>
        <w:topLinePunct w:val="0"/>
        <w:autoSpaceDE/>
        <w:autoSpaceDN/>
        <w:bidi w:val="0"/>
        <w:snapToGrid w:val="0"/>
        <w:spacing w:line="480" w:lineRule="auto"/>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"_Toc194090356" </w:instrText>
      </w:r>
      <w:r>
        <w:rPr>
          <w:color w:val="auto"/>
          <w:highlight w:val="none"/>
        </w:rPr>
        <w:fldChar w:fldCharType="separate"/>
      </w:r>
      <w:r>
        <w:rPr>
          <w:rStyle w:val="35"/>
          <w:rFonts w:hint="eastAsia" w:cs="宋体"/>
          <w:color w:val="auto"/>
          <w:highlight w:val="none"/>
        </w:rPr>
        <w:t>第六章</w:t>
      </w:r>
      <w:r>
        <w:rPr>
          <w:rStyle w:val="35"/>
          <w:rFonts w:cs="宋体"/>
          <w:color w:val="auto"/>
          <w:highlight w:val="none"/>
        </w:rPr>
        <w:t xml:space="preserve">  </w:t>
      </w:r>
      <w:r>
        <w:rPr>
          <w:rStyle w:val="35"/>
          <w:rFonts w:hint="eastAsia" w:cs="宋体"/>
          <w:color w:val="auto"/>
          <w:highlight w:val="none"/>
        </w:rPr>
        <w:t>图纸及勘察资料</w:t>
      </w:r>
      <w:r>
        <w:rPr>
          <w:color w:val="auto"/>
          <w:highlight w:val="none"/>
        </w:rPr>
        <w:tab/>
      </w:r>
      <w:r>
        <w:rPr>
          <w:color w:val="auto"/>
          <w:highlight w:val="none"/>
        </w:rPr>
        <w:fldChar w:fldCharType="begin"/>
      </w:r>
      <w:r>
        <w:rPr>
          <w:color w:val="auto"/>
          <w:highlight w:val="none"/>
        </w:rPr>
        <w:instrText xml:space="preserve"> PAGEREF _Toc194090356 \h </w:instrText>
      </w:r>
      <w:r>
        <w:rPr>
          <w:color w:val="auto"/>
          <w:highlight w:val="none"/>
        </w:rPr>
        <w:fldChar w:fldCharType="separate"/>
      </w:r>
      <w:r>
        <w:rPr>
          <w:color w:val="auto"/>
          <w:highlight w:val="none"/>
        </w:rPr>
        <w:t>165</w:t>
      </w:r>
      <w:r>
        <w:rPr>
          <w:color w:val="auto"/>
          <w:highlight w:val="none"/>
        </w:rPr>
        <w:fldChar w:fldCharType="end"/>
      </w:r>
      <w:r>
        <w:rPr>
          <w:color w:val="auto"/>
          <w:highlight w:val="none"/>
        </w:rPr>
        <w:fldChar w:fldCharType="end"/>
      </w:r>
    </w:p>
    <w:p>
      <w:pPr>
        <w:pStyle w:val="22"/>
        <w:pageBreakBefore w:val="0"/>
        <w:widowControl w:val="0"/>
        <w:kinsoku/>
        <w:wordWrap/>
        <w:overflowPunct/>
        <w:topLinePunct w:val="0"/>
        <w:autoSpaceDE/>
        <w:autoSpaceDN/>
        <w:bidi w:val="0"/>
        <w:snapToGrid w:val="0"/>
        <w:spacing w:line="480" w:lineRule="auto"/>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"_Toc194090357" </w:instrText>
      </w:r>
      <w:r>
        <w:rPr>
          <w:color w:val="auto"/>
          <w:highlight w:val="none"/>
        </w:rPr>
        <w:fldChar w:fldCharType="separate"/>
      </w:r>
      <w:r>
        <w:rPr>
          <w:rStyle w:val="35"/>
          <w:rFonts w:hint="eastAsia" w:cs="宋体"/>
          <w:color w:val="auto"/>
          <w:highlight w:val="none"/>
        </w:rPr>
        <w:t>第七章</w:t>
      </w:r>
      <w:r>
        <w:rPr>
          <w:rStyle w:val="35"/>
          <w:rFonts w:cs="宋体"/>
          <w:color w:val="auto"/>
          <w:highlight w:val="none"/>
        </w:rPr>
        <w:t xml:space="preserve">  </w:t>
      </w:r>
      <w:r>
        <w:rPr>
          <w:rStyle w:val="35"/>
          <w:rFonts w:hint="eastAsia" w:cs="宋体"/>
          <w:color w:val="auto"/>
          <w:highlight w:val="none"/>
        </w:rPr>
        <w:t>工程量清单</w:t>
      </w:r>
      <w:r>
        <w:rPr>
          <w:color w:val="auto"/>
          <w:highlight w:val="none"/>
        </w:rPr>
        <w:tab/>
      </w:r>
      <w:r>
        <w:rPr>
          <w:color w:val="auto"/>
          <w:highlight w:val="none"/>
        </w:rPr>
        <w:fldChar w:fldCharType="begin"/>
      </w:r>
      <w:r>
        <w:rPr>
          <w:color w:val="auto"/>
          <w:highlight w:val="none"/>
        </w:rPr>
        <w:instrText xml:space="preserve"> PAGEREF _Toc194090357 \h </w:instrText>
      </w:r>
      <w:r>
        <w:rPr>
          <w:color w:val="auto"/>
          <w:highlight w:val="none"/>
        </w:rPr>
        <w:fldChar w:fldCharType="separate"/>
      </w:r>
      <w:r>
        <w:rPr>
          <w:color w:val="auto"/>
          <w:highlight w:val="none"/>
        </w:rPr>
        <w:t>166</w:t>
      </w:r>
      <w:r>
        <w:rPr>
          <w:color w:val="auto"/>
          <w:highlight w:val="none"/>
        </w:rPr>
        <w:fldChar w:fldCharType="end"/>
      </w:r>
      <w:r>
        <w:rPr>
          <w:color w:val="auto"/>
          <w:highlight w:val="none"/>
        </w:rPr>
        <w:fldChar w:fldCharType="end"/>
      </w:r>
    </w:p>
    <w:p>
      <w:pPr>
        <w:pStyle w:val="22"/>
        <w:pageBreakBefore w:val="0"/>
        <w:widowControl w:val="0"/>
        <w:kinsoku/>
        <w:wordWrap/>
        <w:overflowPunct/>
        <w:topLinePunct w:val="0"/>
        <w:autoSpaceDE/>
        <w:autoSpaceDN/>
        <w:bidi w:val="0"/>
        <w:snapToGrid w:val="0"/>
        <w:spacing w:line="480" w:lineRule="auto"/>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"_Toc194090358" </w:instrText>
      </w:r>
      <w:r>
        <w:rPr>
          <w:color w:val="auto"/>
          <w:highlight w:val="none"/>
        </w:rPr>
        <w:fldChar w:fldCharType="separate"/>
      </w:r>
      <w:r>
        <w:rPr>
          <w:rStyle w:val="35"/>
          <w:rFonts w:hint="eastAsia" w:cs="宋体"/>
          <w:color w:val="auto"/>
          <w:highlight w:val="none"/>
        </w:rPr>
        <w:t>第八章</w:t>
      </w:r>
      <w:r>
        <w:rPr>
          <w:rStyle w:val="35"/>
          <w:rFonts w:cs="宋体"/>
          <w:color w:val="auto"/>
          <w:highlight w:val="none"/>
        </w:rPr>
        <w:t xml:space="preserve">  </w:t>
      </w:r>
      <w:r>
        <w:rPr>
          <w:rStyle w:val="35"/>
          <w:rFonts w:hint="eastAsia" w:cs="宋体"/>
          <w:color w:val="auto"/>
          <w:highlight w:val="none"/>
        </w:rPr>
        <w:t>最高投标限价</w:t>
      </w:r>
      <w:r>
        <w:rPr>
          <w:color w:val="auto"/>
          <w:highlight w:val="none"/>
        </w:rPr>
        <w:tab/>
      </w:r>
      <w:r>
        <w:rPr>
          <w:color w:val="auto"/>
          <w:highlight w:val="none"/>
        </w:rPr>
        <w:fldChar w:fldCharType="begin"/>
      </w:r>
      <w:r>
        <w:rPr>
          <w:color w:val="auto"/>
          <w:highlight w:val="none"/>
        </w:rPr>
        <w:instrText xml:space="preserve"> PAGEREF _Toc194090358 \h </w:instrText>
      </w:r>
      <w:r>
        <w:rPr>
          <w:color w:val="auto"/>
          <w:highlight w:val="none"/>
        </w:rPr>
        <w:fldChar w:fldCharType="separate"/>
      </w:r>
      <w:r>
        <w:rPr>
          <w:color w:val="auto"/>
          <w:highlight w:val="none"/>
        </w:rPr>
        <w:t>167</w:t>
      </w:r>
      <w:r>
        <w:rPr>
          <w:color w:val="auto"/>
          <w:highlight w:val="none"/>
        </w:rPr>
        <w:fldChar w:fldCharType="end"/>
      </w:r>
      <w:r>
        <w:rPr>
          <w:color w:val="auto"/>
          <w:highlight w:val="none"/>
        </w:rPr>
        <w:fldChar w:fldCharType="end"/>
      </w:r>
    </w:p>
    <w:p>
      <w:pPr>
        <w:pStyle w:val="2"/>
        <w:pageBreakBefore w:val="0"/>
        <w:widowControl w:val="0"/>
        <w:tabs>
          <w:tab w:val="right" w:pos="9070"/>
        </w:tabs>
        <w:kinsoku/>
        <w:wordWrap/>
        <w:overflowPunct/>
        <w:topLinePunct w:val="0"/>
        <w:autoSpaceDE/>
        <w:autoSpaceDN/>
        <w:bidi w:val="0"/>
        <w:snapToGrid w:val="0"/>
        <w:spacing w:before="0" w:after="0" w:line="480" w:lineRule="auto"/>
        <w:jc w:val="center"/>
        <w:rPr>
          <w:rFonts w:ascii="宋体" w:hAnsi="宋体" w:cs="宋体"/>
          <w:color w:val="auto"/>
          <w:sz w:val="24"/>
          <w:szCs w:val="24"/>
          <w:highlight w:val="none"/>
        </w:rPr>
      </w:pPr>
      <w:r>
        <w:rPr>
          <w:rFonts w:hint="eastAsia" w:ascii="宋体" w:hAnsi="宋体" w:cs="宋体"/>
          <w:color w:val="auto"/>
          <w:szCs w:val="24"/>
          <w:highlight w:val="none"/>
        </w:rPr>
        <w:fldChar w:fldCharType="end"/>
      </w:r>
    </w:p>
    <w:p>
      <w:pPr>
        <w:pStyle w:val="2"/>
        <w:snapToGrid w:val="0"/>
        <w:spacing w:before="0" w:after="0"/>
        <w:jc w:val="center"/>
        <w:rPr>
          <w:rFonts w:ascii="宋体" w:hAnsi="宋体" w:cs="宋体"/>
          <w:color w:val="auto"/>
          <w:sz w:val="24"/>
          <w:szCs w:val="24"/>
          <w:highlight w:val="none"/>
        </w:rPr>
      </w:pPr>
    </w:p>
    <w:p>
      <w:pPr>
        <w:pStyle w:val="28"/>
        <w:snapToGrid w:val="0"/>
        <w:spacing w:after="0" w:line="360" w:lineRule="auto"/>
        <w:jc w:val="center"/>
        <w:rPr>
          <w:rFonts w:ascii="宋体" w:hAnsi="宋体" w:cs="宋体"/>
          <w:color w:val="auto"/>
          <w:highlight w:val="none"/>
        </w:rPr>
      </w:pPr>
    </w:p>
    <w:p>
      <w:pPr>
        <w:pStyle w:val="2"/>
        <w:snapToGrid w:val="0"/>
        <w:spacing w:before="0" w:after="0"/>
        <w:jc w:val="center"/>
        <w:rPr>
          <w:rFonts w:ascii="宋体" w:hAnsi="宋体" w:cs="宋体"/>
          <w:bCs/>
          <w:color w:val="auto"/>
          <w:sz w:val="32"/>
          <w:szCs w:val="32"/>
          <w:highlight w:val="none"/>
        </w:rPr>
      </w:pPr>
    </w:p>
    <w:p>
      <w:pPr>
        <w:snapToGrid w:val="0"/>
        <w:spacing w:line="360" w:lineRule="auto"/>
        <w:rPr>
          <w:rFonts w:ascii="宋体" w:hAnsi="宋体" w:cs="宋体"/>
          <w:b/>
          <w:bCs/>
          <w:color w:val="auto"/>
          <w:sz w:val="32"/>
          <w:szCs w:val="32"/>
          <w:highlight w:val="none"/>
        </w:rPr>
      </w:pPr>
      <w:r>
        <w:rPr>
          <w:rFonts w:hint="eastAsia" w:ascii="宋体" w:hAnsi="宋体" w:cs="宋体"/>
          <w:b/>
          <w:bCs/>
          <w:color w:val="auto"/>
          <w:sz w:val="32"/>
          <w:szCs w:val="32"/>
          <w:highlight w:val="none"/>
        </w:rPr>
        <w:br w:type="page"/>
      </w:r>
    </w:p>
    <w:p>
      <w:pPr>
        <w:pStyle w:val="2"/>
        <w:snapToGrid w:val="0"/>
        <w:spacing w:before="0" w:after="0"/>
        <w:jc w:val="center"/>
        <w:rPr>
          <w:rFonts w:ascii="宋体" w:hAnsi="宋体" w:cs="宋体"/>
          <w:b/>
          <w:bCs w:val="0"/>
          <w:color w:val="auto"/>
          <w:sz w:val="32"/>
          <w:szCs w:val="32"/>
          <w:highlight w:val="none"/>
        </w:rPr>
      </w:pPr>
      <w:bookmarkStart w:id="0" w:name="_Toc194090338"/>
      <w:r>
        <w:rPr>
          <w:rFonts w:hint="eastAsia" w:ascii="宋体" w:hAnsi="宋体" w:cs="宋体"/>
          <w:b/>
          <w:bCs w:val="0"/>
          <w:color w:val="auto"/>
          <w:sz w:val="32"/>
          <w:szCs w:val="32"/>
          <w:highlight w:val="none"/>
        </w:rPr>
        <w:t>第一章  投标须知</w:t>
      </w:r>
      <w:bookmarkEnd w:id="0"/>
    </w:p>
    <w:p>
      <w:pPr>
        <w:pStyle w:val="3"/>
        <w:snapToGrid w:val="0"/>
        <w:spacing w:before="0" w:after="0" w:line="360" w:lineRule="auto"/>
        <w:ind w:left="0"/>
        <w:rPr>
          <w:rFonts w:ascii="宋体" w:hAnsi="宋体" w:cs="宋体"/>
          <w:color w:val="auto"/>
          <w:highlight w:val="none"/>
        </w:rPr>
      </w:pPr>
      <w:bookmarkStart w:id="1" w:name="_Toc194090339"/>
      <w:r>
        <w:rPr>
          <w:rFonts w:hint="eastAsia" w:ascii="宋体" w:hAnsi="宋体" w:cs="宋体"/>
          <w:color w:val="auto"/>
          <w:highlight w:val="none"/>
        </w:rPr>
        <w:t>一、投标须知前附表</w:t>
      </w:r>
      <w:bookmarkEnd w:id="1"/>
    </w:p>
    <w:p>
      <w:pPr>
        <w:pStyle w:val="11"/>
        <w:snapToGrid w:val="0"/>
        <w:spacing w:line="360" w:lineRule="auto"/>
        <w:ind w:firstLine="0"/>
        <w:rPr>
          <w:rFonts w:ascii="宋体" w:hAnsi="宋体" w:cs="宋体"/>
          <w:b/>
          <w:color w:val="auto"/>
          <w:sz w:val="21"/>
          <w:szCs w:val="21"/>
          <w:highlight w:val="none"/>
        </w:rPr>
      </w:pPr>
      <w:r>
        <w:rPr>
          <w:rFonts w:hint="eastAsia" w:ascii="宋体" w:hAnsi="宋体" w:cs="宋体"/>
          <w:b/>
          <w:color w:val="auto"/>
          <w:sz w:val="21"/>
          <w:szCs w:val="21"/>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0"/>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r>
              <w:rPr>
                <w:rFonts w:hint="eastAsia" w:ascii="宋体" w:hAnsi="宋体"/>
                <w:color w:val="auto"/>
                <w:szCs w:val="21"/>
                <w:highlight w:val="none"/>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17"/>
              <w:ind w:firstLine="458"/>
              <w:jc w:val="center"/>
              <w:rPr>
                <w:rFonts w:ascii="宋体" w:hAnsi="宋体"/>
                <w:color w:val="auto"/>
                <w:sz w:val="21"/>
                <w:szCs w:val="21"/>
                <w:highlight w:val="none"/>
              </w:rPr>
            </w:pPr>
            <w:r>
              <w:rPr>
                <w:rFonts w:hint="eastAsia" w:ascii="宋体" w:hAnsi="宋体"/>
                <w:color w:val="auto"/>
                <w:sz w:val="21"/>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招标人（即发包人）：</w:t>
            </w:r>
            <w:r>
              <w:rPr>
                <w:rFonts w:hint="eastAsia" w:ascii="宋体" w:hAnsi="宋体"/>
                <w:color w:val="auto"/>
                <w:szCs w:val="21"/>
                <w:highlight w:val="none"/>
                <w:u w:val="single"/>
              </w:rPr>
              <w:t>广州开发区财政投资建设项目管理中心</w:t>
            </w:r>
          </w:p>
          <w:p>
            <w:pPr>
              <w:rPr>
                <w:rFonts w:ascii="宋体" w:hAnsi="宋体"/>
                <w:color w:val="auto"/>
                <w:szCs w:val="21"/>
                <w:highlight w:val="none"/>
              </w:rPr>
            </w:pPr>
            <w:r>
              <w:rPr>
                <w:rFonts w:hint="eastAsia" w:ascii="宋体" w:hAnsi="宋体"/>
                <w:color w:val="auto"/>
                <w:szCs w:val="21"/>
                <w:highlight w:val="none"/>
              </w:rPr>
              <w:t>项目建设管理单位：</w:t>
            </w:r>
            <w:r>
              <w:rPr>
                <w:rFonts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rPr>
                <w:rFonts w:hint="eastAsia" w:ascii="宋体" w:hAnsi="宋体" w:eastAsia="宋体"/>
                <w:color w:val="auto"/>
                <w:szCs w:val="21"/>
                <w:highlight w:val="none"/>
                <w:lang w:eastAsia="zh-CN"/>
              </w:rPr>
            </w:pPr>
            <w:r>
              <w:rPr>
                <w:rFonts w:hint="eastAsia" w:ascii="宋体" w:hAnsi="宋体"/>
                <w:color w:val="auto"/>
                <w:szCs w:val="21"/>
                <w:highlight w:val="none"/>
              </w:rPr>
              <w:t>招标代理：</w:t>
            </w:r>
            <w:r>
              <w:rPr>
                <w:rFonts w:hint="eastAsia" w:ascii="宋体" w:hAnsi="宋体"/>
                <w:color w:val="auto"/>
                <w:szCs w:val="21"/>
                <w:highlight w:val="none"/>
                <w:u w:val="single"/>
                <w:lang w:eastAsia="zh-CN"/>
              </w:rPr>
              <w:t>广州名都建设项目管理有限公司</w:t>
            </w:r>
          </w:p>
          <w:p>
            <w:pPr>
              <w:rPr>
                <w:rFonts w:hint="default" w:ascii="宋体" w:hAnsi="宋体" w:eastAsia="宋体"/>
                <w:color w:val="auto"/>
                <w:szCs w:val="21"/>
                <w:highlight w:val="none"/>
                <w:lang w:val="en-US" w:eastAsia="zh-CN"/>
              </w:rPr>
            </w:pPr>
            <w:r>
              <w:rPr>
                <w:rFonts w:hint="eastAsia" w:ascii="宋体" w:hAnsi="宋体"/>
                <w:color w:val="auto"/>
                <w:szCs w:val="21"/>
                <w:highlight w:val="none"/>
              </w:rPr>
              <w:t>设计单位：</w:t>
            </w:r>
            <w:r>
              <w:rPr>
                <w:rFonts w:hint="eastAsia" w:ascii="宋体" w:hAnsi="宋体"/>
                <w:color w:val="auto"/>
                <w:szCs w:val="21"/>
                <w:highlight w:val="none"/>
                <w:u w:val="single"/>
                <w:lang w:val="en-US" w:eastAsia="zh-CN"/>
              </w:rPr>
              <w:t xml:space="preserve">中恩工程技术有限公司       </w:t>
            </w:r>
          </w:p>
          <w:p>
            <w:pPr>
              <w:rPr>
                <w:rFonts w:ascii="宋体" w:hAnsi="宋体"/>
                <w:color w:val="auto"/>
                <w:szCs w:val="21"/>
                <w:highlight w:val="none"/>
                <w:u w:val="single"/>
              </w:rPr>
            </w:pPr>
            <w:r>
              <w:rPr>
                <w:rFonts w:hint="eastAsia" w:ascii="宋体" w:hAnsi="宋体"/>
                <w:color w:val="auto"/>
                <w:szCs w:val="21"/>
                <w:highlight w:val="none"/>
              </w:rPr>
              <w:t>监理单位：</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ascii="宋体" w:hAnsi="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olor w:val="auto"/>
                <w:szCs w:val="21"/>
                <w:highlight w:val="none"/>
                <w:u w:val="single"/>
              </w:rPr>
              <w:t xml:space="preserve">              </w:t>
            </w:r>
          </w:p>
          <w:p>
            <w:pPr>
              <w:rPr>
                <w:rFonts w:ascii="宋体" w:hAnsi="宋体"/>
                <w:color w:val="auto"/>
                <w:szCs w:val="21"/>
                <w:highlight w:val="none"/>
              </w:rPr>
            </w:pPr>
            <w:r>
              <w:rPr>
                <w:rFonts w:hint="eastAsia" w:ascii="宋体" w:hAnsi="宋体"/>
                <w:color w:val="auto"/>
                <w:szCs w:val="21"/>
                <w:highlight w:val="none"/>
              </w:rPr>
              <w:t>检测机构：</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s="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olor w:val="auto"/>
                <w:szCs w:val="21"/>
                <w:highlight w:val="none"/>
                <w:u w:val="single"/>
                <w:lang w:eastAsia="zh-CN"/>
              </w:rPr>
            </w:pPr>
            <w:r>
              <w:rPr>
                <w:rFonts w:hint="eastAsia" w:ascii="宋体" w:hAnsi="宋体"/>
                <w:color w:val="auto"/>
                <w:szCs w:val="21"/>
                <w:highlight w:val="none"/>
                <w:u w:val="single"/>
                <w:lang w:eastAsia="zh-CN"/>
              </w:rPr>
              <w:t>福山村、福洞村安置区开关房电缆及配套工程施工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default" w:ascii="宋体" w:hAnsi="宋体" w:eastAsia="宋体"/>
                <w:color w:val="auto"/>
                <w:szCs w:val="21"/>
                <w:highlight w:val="none"/>
                <w:u w:val="single"/>
                <w:lang w:val="en-US" w:eastAsia="zh-CN"/>
              </w:rPr>
            </w:pPr>
            <w:r>
              <w:rPr>
                <w:rFonts w:hint="eastAsia" w:ascii="宋体" w:hAnsi="宋体"/>
                <w:color w:val="auto"/>
                <w:szCs w:val="21"/>
                <w:highlight w:val="none"/>
                <w:u w:val="single"/>
                <w:lang w:eastAsia="zh-CN"/>
              </w:rPr>
              <w:t>广州市黄埔区中新广州知识城九龙大道东侧，广汕公路以南，穗深城际铁路以西。</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详见本工程招标公告，具体以工程量清单及图纸为准。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u w:val="single"/>
              </w:rPr>
              <w:t>包工、包料、包工期、包质量、包安全、包文明施工、包验收送电、包检测检验、包保修。综合单价包干；措施项目费（除施工围蔽费用外）包干，施工围蔽清单综合单价包干，工程量按实计量。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工程质量达到国家或行业质量检验评定的合格标准。注：本工程正式签署合同时，质量标准按中标人投标文件承诺质量标准。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详见本工程招标公告，具体以工程量清单及图纸为准。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日计划开工，施工总期：</w:t>
            </w:r>
            <w:r>
              <w:rPr>
                <w:rFonts w:hint="eastAsia" w:ascii="宋体" w:hAnsi="宋体"/>
                <w:color w:val="auto"/>
                <w:szCs w:val="21"/>
                <w:highlight w:val="none"/>
                <w:u w:val="single"/>
                <w:lang w:val="en-US" w:eastAsia="zh-CN"/>
              </w:rPr>
              <w:t xml:space="preserve"> 60 </w:t>
            </w:r>
            <w:r>
              <w:rPr>
                <w:rFonts w:hint="eastAsia" w:ascii="宋体" w:hAnsi="宋体"/>
                <w:color w:val="auto"/>
                <w:szCs w:val="21"/>
                <w:highlight w:val="none"/>
              </w:rPr>
              <w:t>日历天。</w:t>
            </w:r>
          </w:p>
          <w:p>
            <w:pPr>
              <w:rPr>
                <w:rFonts w:ascii="宋体" w:hAnsi="宋体"/>
                <w:color w:val="auto"/>
                <w:szCs w:val="21"/>
                <w:highlight w:val="none"/>
              </w:rPr>
            </w:pPr>
            <w:r>
              <w:rPr>
                <w:rFonts w:hint="eastAsia" w:ascii="宋体" w:hAnsi="宋体" w:cs="宋体"/>
                <w:color w:val="auto"/>
                <w:szCs w:val="21"/>
                <w:highlight w:val="none"/>
                <w:u w:val="single"/>
              </w:rPr>
              <w:t>注：本工程正式签署合同时，施工工期按中标投标文件承诺工期。</w:t>
            </w:r>
            <w:r>
              <w:rPr>
                <w:rFonts w:ascii="宋体" w:hAnsi="宋体"/>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区财政资金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详见本工程招标公告</w:t>
            </w:r>
            <w:r>
              <w:rPr>
                <w:rFonts w:hint="eastAsia" w:ascii="宋体" w:hAnsi="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详见本工程招标公告</w:t>
            </w:r>
            <w:r>
              <w:rPr>
                <w:rFonts w:hint="eastAsia" w:ascii="宋体" w:hAnsi="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pStyle w:val="17"/>
              <w:jc w:val="left"/>
              <w:rPr>
                <w:rFonts w:hint="eastAsia" w:ascii="宋体" w:hAnsi="宋体" w:eastAsia="宋体" w:cs="Times New Roman"/>
                <w:color w:val="auto"/>
                <w:kern w:val="0"/>
                <w:sz w:val="20"/>
                <w:szCs w:val="21"/>
                <w:highlight w:val="none"/>
                <w:lang w:val="en-US" w:eastAsia="zh-CN" w:bidi="ar-SA"/>
              </w:rPr>
            </w:pPr>
            <w:r>
              <w:rPr>
                <w:rFonts w:hint="eastAsia" w:ascii="宋体" w:hAnsi="宋体" w:cs="宋体"/>
                <w:color w:val="auto"/>
                <w:kern w:val="2"/>
                <w:sz w:val="21"/>
                <w:szCs w:val="21"/>
                <w:highlight w:val="none"/>
                <w:u w:val="single"/>
              </w:rPr>
              <w:t>自行踏勘，投标人不进行踏勘的，视为已熟知现场条件，自行承担相关风险。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疑问提交时间：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分前；</w:t>
            </w:r>
            <w:r>
              <w:rPr>
                <w:rFonts w:hint="eastAsia" w:ascii="宋体" w:hAnsi="宋体" w:cs="宋体"/>
                <w:color w:val="auto"/>
                <w:szCs w:val="21"/>
                <w:highlight w:val="none"/>
                <w:u w:val="single"/>
              </w:rPr>
              <w:t>(在递交投标文件截止日期前18日)</w:t>
            </w:r>
          </w:p>
          <w:p>
            <w:pPr>
              <w:rPr>
                <w:rFonts w:ascii="宋体" w:hAnsi="宋体" w:cs="宋体"/>
                <w:color w:val="auto"/>
                <w:szCs w:val="21"/>
                <w:highlight w:val="none"/>
              </w:rPr>
            </w:pPr>
            <w:r>
              <w:rPr>
                <w:rFonts w:hint="eastAsia" w:ascii="宋体" w:hAnsi="宋体" w:cs="宋体"/>
                <w:color w:val="auto"/>
                <w:szCs w:val="21"/>
                <w:highlight w:val="none"/>
              </w:rPr>
              <w:t>形式：投标人的疑问通过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交易平台提交。</w:t>
            </w:r>
          </w:p>
          <w:p>
            <w:pPr>
              <w:rPr>
                <w:rFonts w:ascii="宋体" w:hAnsi="宋体" w:cs="宋体"/>
                <w:color w:val="auto"/>
                <w:szCs w:val="21"/>
                <w:highlight w:val="none"/>
              </w:rPr>
            </w:pPr>
            <w:r>
              <w:rPr>
                <w:rFonts w:hint="eastAsia" w:ascii="宋体" w:hAnsi="宋体" w:cs="宋体"/>
                <w:color w:val="auto"/>
                <w:szCs w:val="21"/>
                <w:highlight w:val="none"/>
              </w:rPr>
              <w:t>具体要求：按照</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交易平台关于全流程电子化项目的相关指南进行操作，详见：</w:t>
            </w:r>
            <w:r>
              <w:rPr>
                <w:rFonts w:hint="eastAsia" w:ascii="宋体" w:hAnsi="宋体" w:cs="宋体"/>
                <w:color w:val="auto"/>
                <w:szCs w:val="21"/>
                <w:highlight w:val="none"/>
                <w:u w:val="single"/>
              </w:rPr>
              <w:t>广州交易集团有限公司（广州公共资源交易中心）最新指引</w:t>
            </w:r>
            <w:r>
              <w:rPr>
                <w:rFonts w:hint="eastAsia" w:ascii="宋体" w:hAnsi="宋体" w:cs="宋体"/>
                <w:color w:val="auto"/>
                <w:szCs w:val="21"/>
                <w:highlight w:val="none"/>
              </w:rPr>
              <w:t xml:space="preserve">。提问一律不得署名。 </w:t>
            </w:r>
          </w:p>
          <w:p>
            <w:pPr>
              <w:pStyle w:val="11"/>
              <w:ind w:firstLine="0" w:firstLineChars="0"/>
              <w:rPr>
                <w:rFonts w:hint="eastAsia" w:ascii="Times New Roman" w:hAnsi="Times New Roman" w:eastAsia="宋体" w:cs="Times New Roman"/>
                <w:color w:val="auto"/>
                <w:kern w:val="2"/>
                <w:sz w:val="21"/>
                <w:szCs w:val="20"/>
                <w:highlight w:val="none"/>
                <w:lang w:val="en-US" w:eastAsia="zh-CN" w:bidi="ar-SA"/>
              </w:rPr>
            </w:pPr>
            <w:r>
              <w:rPr>
                <w:rFonts w:hint="eastAsia" w:ascii="宋体" w:hAnsi="宋体" w:cs="宋体"/>
                <w:color w:val="auto"/>
                <w:szCs w:val="21"/>
                <w:highlight w:val="none"/>
                <w:u w:val="single"/>
              </w:rPr>
              <w:t>招标人澄清、修补或答疑期限：在递交投标文件截止日期前15 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工程量清单计价</w:t>
            </w:r>
            <w:r>
              <w:rPr>
                <w:rFonts w:hint="eastAsia" w:ascii="宋体" w:hAnsi="宋体" w:cs="宋体"/>
                <w:color w:val="auto"/>
                <w:szCs w:val="21"/>
                <w:highlight w:val="none"/>
                <w:u w:val="single"/>
              </w:rPr>
              <w:t>，按国家、省有关计价规范执行。纳入年度审计项目计划的政府投资项目，审计机关出具的审计结果应当作为该政府投资项目价款结算的依据（适用于纳入年度审计项目计划的项目）</w:t>
            </w:r>
            <w:r>
              <w:rPr>
                <w:rFonts w:hint="eastAsia" w:ascii="宋体" w:hAnsi="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u w:val="single"/>
              </w:rPr>
            </w:pPr>
            <w:r>
              <w:rPr>
                <w:rFonts w:hint="eastAsia" w:ascii="宋体" w:hAnsi="宋体" w:cs="宋体"/>
                <w:color w:val="auto"/>
                <w:szCs w:val="21"/>
                <w:highlight w:val="none"/>
                <w:u w:val="single"/>
              </w:rPr>
              <w:t>90</w:t>
            </w:r>
            <w:r>
              <w:rPr>
                <w:rFonts w:hint="eastAsia" w:ascii="宋体" w:hAnsi="宋体" w:cs="宋体"/>
                <w:color w:val="auto"/>
                <w:szCs w:val="21"/>
                <w:highlight w:val="none"/>
              </w:rPr>
              <w:t>日历天。（从投标截止之日计起）。</w:t>
            </w:r>
            <w:r>
              <w:rPr>
                <w:rFonts w:hint="eastAsia" w:ascii="宋体" w:hAnsi="宋体" w:cs="宋体"/>
                <w:color w:val="auto"/>
                <w:szCs w:val="21"/>
                <w:highlight w:val="none"/>
                <w:u w:val="single"/>
              </w:rPr>
              <w:t>如投标有效期内发生异议或投诉的，则投标有效期自动延长至异议或投诉处理结束后90日历天。中标人的投标有效期自动延期至合同履行完毕。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rPr>
                <w:color w:val="auto"/>
                <w:highlight w:val="none"/>
              </w:rPr>
            </w:pPr>
            <w:r>
              <w:rPr>
                <w:rFonts w:hint="eastAsia"/>
                <w:color w:val="auto"/>
                <w:highlight w:val="none"/>
              </w:rPr>
              <w:t>方式一：本项目不收投标保证金。</w:t>
            </w:r>
          </w:p>
          <w:p>
            <w:pPr>
              <w:rPr>
                <w:color w:val="auto"/>
                <w:highlight w:val="none"/>
              </w:rPr>
            </w:pPr>
            <w:r>
              <w:rPr>
                <w:rFonts w:hint="eastAsia" w:ascii="宋体" w:hAnsi="宋体"/>
                <w:color w:val="auto"/>
                <w:highlight w:val="none"/>
                <w:u w:val="single"/>
              </w:rPr>
              <w:t>注：投标保证金相关事宜详见招标文件16款。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1</w:t>
            </w:r>
            <w:r>
              <w:rPr>
                <w:rFonts w:hint="eastAsia"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1</w:t>
            </w: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（技术标和经济标同时开标）</w:t>
            </w:r>
          </w:p>
          <w:p>
            <w:pPr>
              <w:widowControl/>
              <w:jc w:val="left"/>
              <w:rPr>
                <w:rFonts w:ascii="宋体" w:hAnsi="宋体" w:cs="宋体"/>
                <w:color w:val="auto"/>
                <w:szCs w:val="21"/>
                <w:highlight w:val="none"/>
              </w:rPr>
            </w:pPr>
            <w:r>
              <w:rPr>
                <w:rFonts w:hint="eastAsia" w:ascii="宋体" w:hAnsi="宋体" w:cs="宋体"/>
                <w:color w:val="auto"/>
                <w:szCs w:val="21"/>
                <w:highlight w:val="none"/>
              </w:rPr>
              <w:t>1、开标开始时间：</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分（与投标截止时间为同一时间），地点：</w:t>
            </w:r>
            <w:r>
              <w:rPr>
                <w:rFonts w:hint="eastAsia" w:ascii="宋体" w:hAnsi="宋体" w:cs="宋体"/>
                <w:color w:val="auto"/>
                <w:szCs w:val="21"/>
                <w:highlight w:val="none"/>
                <w:u w:val="single"/>
              </w:rPr>
              <w:t>广州交易集团有限公司（广州公共资源交易中心）黄埔交易部指定开标室。</w:t>
            </w:r>
            <w:r>
              <w:rPr>
                <w:rFonts w:hint="eastAsia" w:ascii="宋体" w:hAnsi="宋体" w:cs="宋体"/>
                <w:color w:val="auto"/>
                <w:szCs w:val="21"/>
                <w:highlight w:val="none"/>
              </w:rPr>
              <w:t>投标人也可选择参加在线开标，具体按照交易平台相关指南进行操作。详见：</w:t>
            </w:r>
            <w:r>
              <w:rPr>
                <w:rFonts w:hint="eastAsia" w:ascii="宋体" w:hAnsi="宋体" w:cs="宋体"/>
                <w:color w:val="auto"/>
                <w:szCs w:val="21"/>
                <w:highlight w:val="none"/>
                <w:u w:val="single"/>
              </w:rPr>
              <w:t>广州交易集团有限公司（广州公共资源交易中心）网站最新指引</w:t>
            </w:r>
            <w:r>
              <w:rPr>
                <w:rFonts w:hint="eastAsia" w:ascii="宋体" w:hAnsi="宋体" w:cs="宋体"/>
                <w:color w:val="auto"/>
                <w:szCs w:val="21"/>
                <w:highlight w:val="none"/>
              </w:rPr>
              <w:t>。</w:t>
            </w:r>
          </w:p>
          <w:p>
            <w:pPr>
              <w:widowControl/>
              <w:jc w:val="left"/>
              <w:rPr>
                <w:rFonts w:ascii="宋体" w:hAnsi="宋体" w:cs="宋体"/>
                <w:color w:val="auto"/>
                <w:szCs w:val="21"/>
                <w:highlight w:val="none"/>
              </w:rPr>
            </w:pPr>
            <w:r>
              <w:rPr>
                <w:rFonts w:hint="eastAsia" w:ascii="宋体" w:hAnsi="宋体" w:cs="宋体"/>
                <w:color w:val="auto"/>
                <w:szCs w:val="21"/>
                <w:highlight w:val="none"/>
              </w:rPr>
              <w:t>注：投标文件解密问题。投标人只用执行一次解密，招标人执行解密次数根据招标文件开标次数确定。</w:t>
            </w:r>
          </w:p>
          <w:p>
            <w:pPr>
              <w:widowControl/>
              <w:jc w:val="left"/>
              <w:rPr>
                <w:rFonts w:ascii="宋体" w:hAnsi="宋体" w:cs="宋体"/>
                <w:color w:val="auto"/>
                <w:szCs w:val="21"/>
                <w:highlight w:val="none"/>
              </w:rPr>
            </w:pPr>
            <w:r>
              <w:rPr>
                <w:rFonts w:hint="eastAsia" w:ascii="宋体" w:hAnsi="宋体" w:cs="宋体"/>
                <w:color w:val="auto"/>
                <w:szCs w:val="21"/>
                <w:highlight w:val="none"/>
              </w:rPr>
              <w:t>2、递交投标文件备用光盘</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或U盘）</w:t>
            </w:r>
            <w:r>
              <w:rPr>
                <w:rFonts w:hint="eastAsia" w:ascii="宋体" w:hAnsi="宋体" w:cs="宋体"/>
                <w:color w:val="auto"/>
                <w:szCs w:val="21"/>
                <w:highlight w:val="none"/>
              </w:rPr>
              <w:t>时间：</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分至</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分；递交地点：</w:t>
            </w:r>
            <w:r>
              <w:rPr>
                <w:rFonts w:hint="eastAsia" w:ascii="宋体" w:hAnsi="宋体" w:cs="宋体"/>
                <w:color w:val="auto"/>
                <w:szCs w:val="21"/>
                <w:highlight w:val="none"/>
                <w:u w:val="single"/>
              </w:rPr>
              <w:t>广州交易集团有限公司（广州公共资源交易中心）黄埔交易部指定开标室</w:t>
            </w:r>
            <w:r>
              <w:rPr>
                <w:rFonts w:hint="eastAsia" w:ascii="宋体" w:hAnsi="宋体" w:cs="宋体"/>
                <w:color w:val="auto"/>
                <w:szCs w:val="21"/>
                <w:highlight w:val="none"/>
              </w:rPr>
              <w:t>。</w:t>
            </w:r>
          </w:p>
          <w:p>
            <w:pPr>
              <w:spacing w:line="288" w:lineRule="auto"/>
              <w:rPr>
                <w:rFonts w:hint="eastAsia" w:ascii="宋体" w:hAnsi="宋体" w:eastAsia="宋体" w:cs="Times New Roman"/>
                <w:color w:val="auto"/>
                <w:highlight w:val="none"/>
                <w:u w:val="single"/>
                <w:lang w:val="en-US"/>
              </w:rPr>
            </w:pPr>
            <w:r>
              <w:rPr>
                <w:rFonts w:hint="eastAsia" w:ascii="宋体" w:hAnsi="宋体" w:eastAsia="宋体" w:cs="Times New Roman"/>
                <w:color w:val="auto"/>
                <w:highlight w:val="none"/>
                <w:u w:val="single"/>
                <w:lang w:val="en-US"/>
              </w:rPr>
              <w:t>3.投标人应在投标文件（含定标文件）递交截止时间前通过广州交易集团有限公司（广州公共资源交易中心）电子招标投标交易平台递交电子投标文件（含电子定标文件）。</w:t>
            </w:r>
          </w:p>
          <w:p>
            <w:pPr>
              <w:widowControl/>
              <w:jc w:val="left"/>
              <w:rPr>
                <w:rFonts w:ascii="宋体" w:hAnsi="宋体" w:cs="宋体"/>
                <w:color w:val="auto"/>
                <w:szCs w:val="21"/>
                <w:highlight w:val="none"/>
              </w:rPr>
            </w:pPr>
            <w:r>
              <w:rPr>
                <w:rFonts w:hint="eastAsia" w:ascii="宋体" w:hAnsi="宋体" w:cs="宋体"/>
                <w:color w:val="auto"/>
                <w:szCs w:val="21"/>
                <w:highlight w:val="none"/>
              </w:rPr>
              <w:t>上述时间及地点是否有改变，请密切留意补充公告</w:t>
            </w:r>
            <w:r>
              <w:rPr>
                <w:rFonts w:hint="eastAsia" w:ascii="宋体" w:hAnsi="宋体" w:cs="宋体"/>
                <w:color w:val="auto"/>
                <w:szCs w:val="21"/>
                <w:highlight w:val="none"/>
                <w:u w:val="single"/>
              </w:rPr>
              <w:t>（如有）</w:t>
            </w:r>
            <w:r>
              <w:rPr>
                <w:rFonts w:hint="eastAsia" w:ascii="宋体" w:hAnsi="宋体" w:cs="宋体"/>
                <w:color w:val="auto"/>
                <w:szCs w:val="21"/>
                <w:highlight w:val="none"/>
              </w:rPr>
              <w:t>和招标澄清答疑纪要（如有）的相关信息。</w:t>
            </w:r>
          </w:p>
          <w:p>
            <w:pPr>
              <w:widowControl/>
              <w:jc w:val="left"/>
              <w:rPr>
                <w:rFonts w:ascii="宋体" w:hAnsi="宋体" w:cs="宋体"/>
                <w:color w:val="auto"/>
                <w:szCs w:val="21"/>
                <w:highlight w:val="none"/>
                <w:u w:val="single"/>
              </w:rPr>
            </w:pPr>
            <w:r>
              <w:rPr>
                <w:rFonts w:hint="eastAsia" w:ascii="宋体" w:hAnsi="宋体" w:cs="宋体"/>
                <w:color w:val="auto"/>
                <w:szCs w:val="21"/>
                <w:highlight w:val="none"/>
                <w:u w:val="single"/>
              </w:rPr>
              <w:t>本项目各项投标活动可通过广州交易集团有限公司（广州公共资源交易中心）网站查询具体的时间和场地安排。投标人可登录广州交易集团有限公司（广州公共资源交易中心）网站首页，点击“交易业务-建设工程”专栏中的“项目查询（日程安排、答疑纪要）”，输入项目编号或项目名称查询最新信息。递交投标文件截止时间及开标时间是否有变化，请密切留意广州交易集团有限公司（广州公共资源交易中心）网站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pStyle w:val="28"/>
              <w:spacing w:after="0" w:line="240" w:lineRule="auto"/>
              <w:ind w:firstLine="0"/>
              <w:rPr>
                <w:rFonts w:hint="eastAsia" w:ascii="宋体" w:hAnsi="宋体" w:eastAsia="宋体" w:cs="宋体"/>
                <w:color w:val="auto"/>
                <w:sz w:val="21"/>
                <w:szCs w:val="21"/>
                <w:highlight w:val="none"/>
                <w:u w:val="single"/>
              </w:rPr>
            </w:pPr>
            <w:r>
              <w:rPr>
                <w:rFonts w:hint="eastAsia" w:ascii="宋体" w:hAnsi="宋体" w:cs="宋体"/>
                <w:color w:val="auto"/>
                <w:kern w:val="2"/>
                <w:sz w:val="21"/>
                <w:szCs w:val="21"/>
                <w:highlight w:val="none"/>
              </w:rPr>
              <w:t>方式一：</w:t>
            </w:r>
            <w:r>
              <w:rPr>
                <w:rFonts w:hint="eastAsia" w:ascii="宋体" w:hAnsi="宋体" w:cs="宋体"/>
                <w:b/>
                <w:bCs/>
                <w:color w:val="auto"/>
                <w:kern w:val="2"/>
                <w:sz w:val="21"/>
                <w:szCs w:val="21"/>
                <w:highlight w:val="none"/>
                <w:u w:val="single"/>
              </w:rPr>
              <w:t>可选办法六（适合综合评分法三，技术标与经济标同时开启）</w:t>
            </w:r>
            <w:r>
              <w:rPr>
                <w:rFonts w:hint="eastAsia" w:ascii="宋体" w:hAnsi="宋体" w:cs="宋体"/>
                <w:color w:val="auto"/>
                <w:kern w:val="2"/>
                <w:sz w:val="21"/>
                <w:szCs w:val="21"/>
                <w:highlight w:val="none"/>
              </w:rPr>
              <w:t>；</w:t>
            </w:r>
            <w:r>
              <w:rPr>
                <w:rFonts w:hint="eastAsia" w:ascii="宋体" w:hAnsi="宋体" w:eastAsia="宋体" w:cs="宋体"/>
                <w:color w:val="auto"/>
                <w:sz w:val="21"/>
                <w:szCs w:val="21"/>
                <w:highlight w:val="none"/>
                <w:u w:val="single"/>
              </w:rPr>
              <w:t>采用两阶段综合评标法，具体内容如下：</w:t>
            </w:r>
          </w:p>
          <w:p>
            <w:pPr>
              <w:pStyle w:val="28"/>
              <w:spacing w:line="240" w:lineRule="auto"/>
              <w:ind w:firstLine="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技术分（100分）=施工组织设计（</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0分）＋项目组织管理机构能力（</w:t>
            </w:r>
            <w:r>
              <w:rPr>
                <w:rFonts w:hint="eastAsia" w:ascii="宋体" w:hAnsi="宋体" w:eastAsia="宋体" w:cs="宋体"/>
                <w:color w:val="auto"/>
                <w:sz w:val="21"/>
                <w:szCs w:val="21"/>
                <w:highlight w:val="none"/>
                <w:u w:val="single"/>
                <w:lang w:val="en-US" w:eastAsia="zh-CN"/>
              </w:rPr>
              <w:t>48</w:t>
            </w:r>
            <w:r>
              <w:rPr>
                <w:rFonts w:hint="eastAsia" w:ascii="宋体" w:hAnsi="宋体" w:eastAsia="宋体" w:cs="宋体"/>
                <w:color w:val="auto"/>
                <w:sz w:val="21"/>
                <w:szCs w:val="21"/>
                <w:highlight w:val="none"/>
                <w:u w:val="single"/>
              </w:rPr>
              <w:t>分）＋企业资信（2</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分）</w:t>
            </w:r>
          </w:p>
          <w:p>
            <w:pPr>
              <w:pStyle w:val="28"/>
              <w:spacing w:line="240" w:lineRule="auto"/>
              <w:ind w:firstLine="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rPr>
              <w:t>第一阶段得分=技术分</w:t>
            </w:r>
            <w:r>
              <w:rPr>
                <w:rFonts w:hint="eastAsia" w:ascii="宋体" w:hAnsi="宋体" w:eastAsia="宋体" w:cs="宋体"/>
                <w:color w:val="auto"/>
                <w:sz w:val="21"/>
                <w:szCs w:val="21"/>
                <w:highlight w:val="none"/>
                <w:u w:val="single"/>
                <w:lang w:val="en-US" w:eastAsia="zh-CN"/>
              </w:rPr>
              <w:t>×权重</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lang w:val="en-US" w:eastAsia="zh-CN"/>
              </w:rPr>
              <w:t>0%</w:t>
            </w:r>
          </w:p>
          <w:p>
            <w:pPr>
              <w:pStyle w:val="28"/>
              <w:spacing w:line="240" w:lineRule="auto"/>
              <w:ind w:firstLine="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rPr>
              <w:t>第二阶段得分（总得分）=第一阶段得分</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适用于</w:t>
            </w:r>
            <w:r>
              <w:rPr>
                <w:rFonts w:hint="eastAsia" w:ascii="宋体" w:hAnsi="宋体" w:eastAsia="宋体" w:cs="宋体"/>
                <w:color w:val="auto"/>
                <w:sz w:val="21"/>
                <w:szCs w:val="21"/>
                <w:highlight w:val="none"/>
                <w:u w:val="single"/>
              </w:rPr>
              <w:t>投标报价低于成本警示价的投标人</w:t>
            </w:r>
            <w:r>
              <w:rPr>
                <w:rFonts w:hint="eastAsia" w:ascii="宋体" w:hAnsi="宋体" w:eastAsia="宋体" w:cs="宋体"/>
                <w:color w:val="auto"/>
                <w:sz w:val="21"/>
                <w:szCs w:val="21"/>
                <w:highlight w:val="none"/>
                <w:u w:val="single"/>
                <w:lang w:eastAsia="zh-CN"/>
              </w:rPr>
              <w:t>）</w:t>
            </w:r>
          </w:p>
          <w:p>
            <w:pPr>
              <w:pStyle w:val="28"/>
              <w:spacing w:after="0"/>
              <w:ind w:firstLine="0"/>
              <w:rPr>
                <w:rFonts w:ascii="宋体" w:hAnsi="宋体" w:cs="宋体"/>
                <w:color w:val="auto"/>
                <w:kern w:val="2"/>
                <w:sz w:val="21"/>
                <w:szCs w:val="21"/>
                <w:highlight w:val="none"/>
              </w:rPr>
            </w:pPr>
            <w:r>
              <w:rPr>
                <w:rFonts w:hint="eastAsia" w:ascii="宋体" w:hAnsi="宋体" w:eastAsia="宋体" w:cs="宋体"/>
                <w:color w:val="auto"/>
                <w:sz w:val="21"/>
                <w:szCs w:val="21"/>
                <w:highlight w:val="none"/>
                <w:u w:val="single"/>
              </w:rPr>
              <w:t>第二阶段得分（总得分）=技术分×技术分权重（20%）+经济分×经济分权重（80%）</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适用于</w:t>
            </w:r>
            <w:r>
              <w:rPr>
                <w:rFonts w:hint="eastAsia" w:ascii="宋体" w:hAnsi="宋体" w:eastAsia="宋体" w:cs="宋体"/>
                <w:color w:val="auto"/>
                <w:sz w:val="21"/>
                <w:szCs w:val="21"/>
                <w:highlight w:val="none"/>
                <w:u w:val="single"/>
              </w:rPr>
              <w:t>投标报价不低于成本警示价的投标人</w:t>
            </w:r>
            <w:r>
              <w:rPr>
                <w:rFonts w:hint="eastAsia" w:ascii="宋体" w:hAnsi="宋体" w:eastAsia="宋体" w:cs="宋体"/>
                <w:color w:val="auto"/>
                <w:sz w:val="21"/>
                <w:szCs w:val="21"/>
                <w:highlight w:val="none"/>
                <w:u w:val="singl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2</w:t>
            </w:r>
            <w:r>
              <w:rPr>
                <w:rFonts w:hint="eastAsia" w:ascii="宋体" w:hAnsi="宋体"/>
                <w:color w:val="auto"/>
                <w:szCs w:val="21"/>
                <w:highlight w:val="none"/>
              </w:rPr>
              <w:t>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lang w:val="en-US" w:eastAsia="zh-CN"/>
              </w:rPr>
              <w:t>27</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auto"/>
                <w:szCs w:val="21"/>
                <w:highlight w:val="none"/>
              </w:rPr>
            </w:pPr>
            <w:r>
              <w:rPr>
                <w:rFonts w:hint="eastAsia" w:ascii="宋体" w:hAnsi="宋体"/>
                <w:color w:val="auto"/>
                <w:szCs w:val="21"/>
                <w:highlight w:val="none"/>
                <w:lang w:eastAsia="zh-CN"/>
              </w:rPr>
              <w:t>定标</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采用评定分离定标办法</w:t>
            </w:r>
          </w:p>
          <w:p>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评标采用“有限数量制”推荐合格中标候选人。推荐</w:t>
            </w:r>
            <w:r>
              <w:rPr>
                <w:rFonts w:hint="eastAsia" w:ascii="宋体" w:hAnsi="宋体" w:eastAsia="宋体" w:cs="宋体"/>
                <w:b/>
                <w:bCs/>
                <w:color w:val="auto"/>
                <w:sz w:val="21"/>
                <w:szCs w:val="21"/>
                <w:highlight w:val="none"/>
                <w:u w:val="single"/>
              </w:rPr>
              <w:t>3-7名</w:t>
            </w:r>
            <w:r>
              <w:rPr>
                <w:rFonts w:hint="eastAsia" w:ascii="宋体" w:hAnsi="宋体" w:eastAsia="宋体" w:cs="宋体"/>
                <w:color w:val="auto"/>
                <w:sz w:val="21"/>
                <w:szCs w:val="21"/>
                <w:highlight w:val="none"/>
                <w:u w:val="single"/>
              </w:rPr>
              <w:t>合格中标候选人，推荐方式如下：</w:t>
            </w:r>
          </w:p>
          <w:p>
            <w:pPr>
              <w:rPr>
                <w:rFonts w:hint="eastAsia" w:ascii="宋体" w:hAnsi="宋体" w:eastAsia="宋体" w:cs="宋体"/>
                <w:color w:val="auto"/>
                <w:sz w:val="21"/>
                <w:szCs w:val="21"/>
                <w:highlight w:val="none"/>
                <w:u w:val="single"/>
              </w:rPr>
            </w:pP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1</w:t>
            </w:r>
            <w:r>
              <w:rPr>
                <w:rFonts w:hint="eastAsia" w:ascii="宋体" w:hAnsi="宋体" w:eastAsia="宋体" w:cs="宋体"/>
                <w:b/>
                <w:bCs/>
                <w:color w:val="auto"/>
                <w:sz w:val="21"/>
                <w:szCs w:val="21"/>
                <w:highlight w:val="none"/>
                <w:u w:val="single"/>
                <w:lang w:eastAsia="zh-CN"/>
              </w:rPr>
              <w:t>）对于</w:t>
            </w:r>
            <w:r>
              <w:rPr>
                <w:rFonts w:hint="eastAsia" w:ascii="宋体" w:hAnsi="宋体" w:eastAsia="宋体" w:cs="宋体"/>
                <w:b/>
                <w:bCs/>
                <w:color w:val="auto"/>
                <w:sz w:val="21"/>
                <w:szCs w:val="21"/>
                <w:highlight w:val="none"/>
                <w:u w:val="single"/>
              </w:rPr>
              <w:t>投标报价低于成本警示价的投标人：</w:t>
            </w:r>
          </w:p>
          <w:p>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不参加经济标评审，但需参加技术标详细评审及</w:t>
            </w:r>
            <w:r>
              <w:rPr>
                <w:rFonts w:hint="eastAsia" w:ascii="宋体" w:hAnsi="宋体" w:eastAsia="宋体" w:cs="宋体"/>
                <w:color w:val="auto"/>
                <w:sz w:val="21"/>
                <w:szCs w:val="21"/>
                <w:highlight w:val="none"/>
                <w:u w:val="single"/>
              </w:rPr>
              <w:t>经济标有效性审查</w:t>
            </w:r>
            <w:r>
              <w:rPr>
                <w:rFonts w:hint="eastAsia" w:ascii="宋体" w:hAnsi="宋体" w:eastAsia="宋体" w:cs="宋体"/>
                <w:color w:val="auto"/>
                <w:sz w:val="21"/>
                <w:szCs w:val="21"/>
                <w:highlight w:val="none"/>
                <w:u w:val="single"/>
                <w:lang w:eastAsia="zh-CN"/>
              </w:rPr>
              <w:t>。评标委员会根据</w:t>
            </w:r>
            <w:r>
              <w:rPr>
                <w:rFonts w:hint="eastAsia" w:ascii="宋体" w:hAnsi="宋体" w:eastAsia="宋体" w:cs="宋体"/>
                <w:color w:val="auto"/>
                <w:sz w:val="21"/>
                <w:szCs w:val="21"/>
                <w:highlight w:val="none"/>
                <w:u w:val="single"/>
                <w:lang w:val="en-US" w:eastAsia="zh-CN"/>
              </w:rPr>
              <w:t>第一阶段详细评审得分排序，推荐</w:t>
            </w:r>
            <w:r>
              <w:rPr>
                <w:rFonts w:hint="eastAsia" w:ascii="宋体" w:hAnsi="宋体" w:eastAsia="宋体" w:cs="宋体"/>
                <w:color w:val="auto"/>
                <w:sz w:val="21"/>
                <w:szCs w:val="21"/>
                <w:highlight w:val="none"/>
                <w:u w:val="single"/>
              </w:rPr>
              <w:t>通过经济标有效性审查</w:t>
            </w:r>
            <w:r>
              <w:rPr>
                <w:rFonts w:hint="eastAsia" w:ascii="宋体" w:hAnsi="宋体" w:eastAsia="宋体" w:cs="宋体"/>
                <w:color w:val="auto"/>
                <w:sz w:val="21"/>
                <w:szCs w:val="21"/>
                <w:highlight w:val="none"/>
                <w:u w:val="single"/>
                <w:lang w:eastAsia="zh-CN"/>
              </w:rPr>
              <w:t>的</w:t>
            </w:r>
            <w:r>
              <w:rPr>
                <w:rFonts w:hint="eastAsia" w:ascii="宋体" w:hAnsi="宋体" w:eastAsia="宋体" w:cs="宋体"/>
                <w:b/>
                <w:bCs/>
                <w:color w:val="auto"/>
                <w:sz w:val="21"/>
                <w:szCs w:val="21"/>
                <w:highlight w:val="none"/>
                <w:u w:val="single"/>
                <w:lang w:eastAsia="zh-CN"/>
              </w:rPr>
              <w:t>前</w:t>
            </w:r>
            <w:r>
              <w:rPr>
                <w:rFonts w:hint="eastAsia" w:ascii="宋体" w:hAnsi="宋体" w:eastAsia="宋体" w:cs="宋体"/>
                <w:b/>
                <w:bCs/>
                <w:color w:val="auto"/>
                <w:sz w:val="21"/>
                <w:szCs w:val="21"/>
                <w:highlight w:val="none"/>
                <w:u w:val="single"/>
                <w:lang w:val="en-US" w:eastAsia="zh-CN"/>
              </w:rPr>
              <w:t>2名</w:t>
            </w:r>
            <w:r>
              <w:rPr>
                <w:rFonts w:hint="eastAsia" w:ascii="宋体" w:hAnsi="宋体" w:eastAsia="宋体" w:cs="宋体"/>
                <w:color w:val="auto"/>
                <w:sz w:val="21"/>
                <w:szCs w:val="21"/>
                <w:highlight w:val="none"/>
                <w:u w:val="single"/>
              </w:rPr>
              <w:t>投标人为合格中标候选人进入定标阶段</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若</w:t>
            </w:r>
            <w:r>
              <w:rPr>
                <w:rFonts w:hint="eastAsia" w:ascii="宋体" w:hAnsi="宋体" w:eastAsia="宋体" w:cs="宋体"/>
                <w:color w:val="auto"/>
                <w:sz w:val="21"/>
                <w:szCs w:val="21"/>
                <w:highlight w:val="none"/>
                <w:u w:val="single"/>
              </w:rPr>
              <w:t>通过经济标有效性审查</w:t>
            </w:r>
            <w:r>
              <w:rPr>
                <w:rFonts w:hint="eastAsia" w:ascii="宋体" w:hAnsi="宋体" w:eastAsia="宋体" w:cs="宋体"/>
                <w:color w:val="auto"/>
                <w:sz w:val="21"/>
                <w:szCs w:val="21"/>
                <w:highlight w:val="none"/>
                <w:u w:val="single"/>
                <w:lang w:eastAsia="zh-CN"/>
              </w:rPr>
              <w:t>的</w:t>
            </w:r>
            <w:r>
              <w:rPr>
                <w:rFonts w:hint="eastAsia" w:ascii="宋体" w:hAnsi="宋体" w:eastAsia="宋体" w:cs="宋体"/>
                <w:color w:val="auto"/>
                <w:sz w:val="21"/>
                <w:szCs w:val="21"/>
                <w:highlight w:val="none"/>
                <w:u w:val="single"/>
              </w:rPr>
              <w:t>投标人</w:t>
            </w:r>
            <w:r>
              <w:rPr>
                <w:rFonts w:hint="eastAsia" w:ascii="宋体" w:hAnsi="宋体" w:eastAsia="宋体" w:cs="宋体"/>
                <w:color w:val="auto"/>
                <w:sz w:val="21"/>
                <w:szCs w:val="21"/>
                <w:highlight w:val="none"/>
                <w:u w:val="single"/>
                <w:lang w:eastAsia="zh-CN"/>
              </w:rPr>
              <w:t>不足</w:t>
            </w:r>
            <w:r>
              <w:rPr>
                <w:rFonts w:hint="eastAsia" w:ascii="宋体" w:hAnsi="宋体" w:eastAsia="宋体" w:cs="宋体"/>
                <w:color w:val="auto"/>
                <w:sz w:val="21"/>
                <w:szCs w:val="21"/>
                <w:highlight w:val="none"/>
                <w:u w:val="single"/>
                <w:lang w:val="en-US" w:eastAsia="zh-CN"/>
              </w:rPr>
              <w:t>2名，则通过</w:t>
            </w:r>
            <w:r>
              <w:rPr>
                <w:rFonts w:hint="eastAsia" w:ascii="宋体" w:hAnsi="宋体" w:eastAsia="宋体" w:cs="宋体"/>
                <w:color w:val="auto"/>
                <w:sz w:val="21"/>
                <w:szCs w:val="21"/>
                <w:highlight w:val="none"/>
                <w:u w:val="single"/>
              </w:rPr>
              <w:t>经济标有效性审查</w:t>
            </w:r>
            <w:r>
              <w:rPr>
                <w:rFonts w:hint="eastAsia" w:ascii="宋体" w:hAnsi="宋体" w:eastAsia="宋体" w:cs="宋体"/>
                <w:color w:val="auto"/>
                <w:sz w:val="21"/>
                <w:szCs w:val="21"/>
                <w:highlight w:val="none"/>
                <w:u w:val="single"/>
                <w:lang w:eastAsia="zh-CN"/>
              </w:rPr>
              <w:t>的投标人直接推荐为中标候选人</w:t>
            </w:r>
            <w:r>
              <w:rPr>
                <w:rFonts w:hint="eastAsia" w:ascii="宋体" w:hAnsi="宋体" w:eastAsia="宋体" w:cs="宋体"/>
                <w:color w:val="auto"/>
                <w:sz w:val="21"/>
                <w:szCs w:val="21"/>
                <w:highlight w:val="none"/>
                <w:u w:val="single"/>
              </w:rPr>
              <w:t>）。</w:t>
            </w:r>
          </w:p>
          <w:p>
            <w:pPr>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2</w:t>
            </w:r>
            <w:r>
              <w:rPr>
                <w:rFonts w:hint="eastAsia" w:ascii="宋体" w:hAnsi="宋体" w:eastAsia="宋体" w:cs="宋体"/>
                <w:b/>
                <w:bCs/>
                <w:color w:val="auto"/>
                <w:sz w:val="21"/>
                <w:szCs w:val="21"/>
                <w:highlight w:val="none"/>
                <w:u w:val="single"/>
                <w:lang w:eastAsia="zh-CN"/>
              </w:rPr>
              <w:t>）对于</w:t>
            </w:r>
            <w:r>
              <w:rPr>
                <w:rFonts w:hint="eastAsia" w:ascii="宋体" w:hAnsi="宋体" w:eastAsia="宋体" w:cs="宋体"/>
                <w:b/>
                <w:bCs/>
                <w:color w:val="auto"/>
                <w:sz w:val="21"/>
                <w:szCs w:val="21"/>
                <w:highlight w:val="none"/>
                <w:u w:val="single"/>
              </w:rPr>
              <w:t>投标报价不低于成本警示价的投标人推荐方式：</w:t>
            </w:r>
          </w:p>
          <w:p>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eastAsia="zh-CN"/>
              </w:rPr>
              <w:t>需参加技术标、经济标详细评审。评标委员会根据第二阶段</w:t>
            </w:r>
            <w:r>
              <w:rPr>
                <w:rFonts w:hint="eastAsia" w:ascii="宋体" w:hAnsi="宋体" w:eastAsia="宋体" w:cs="宋体"/>
                <w:color w:val="auto"/>
                <w:sz w:val="21"/>
                <w:szCs w:val="21"/>
                <w:highlight w:val="none"/>
                <w:u w:val="single"/>
                <w:lang w:val="en-US" w:eastAsia="zh-CN"/>
              </w:rPr>
              <w:t>详细评审得分排序，推荐</w:t>
            </w:r>
            <w:r>
              <w:rPr>
                <w:rFonts w:hint="eastAsia" w:ascii="宋体" w:hAnsi="宋体" w:eastAsia="宋体" w:cs="宋体"/>
                <w:b/>
                <w:bCs/>
                <w:color w:val="auto"/>
                <w:sz w:val="21"/>
                <w:szCs w:val="21"/>
                <w:highlight w:val="none"/>
                <w:u w:val="single"/>
                <w:lang w:eastAsia="zh-CN"/>
              </w:rPr>
              <w:t>前</w:t>
            </w:r>
            <w:r>
              <w:rPr>
                <w:rFonts w:hint="eastAsia" w:ascii="宋体" w:hAnsi="宋体" w:eastAsia="宋体" w:cs="宋体"/>
                <w:b/>
                <w:bCs/>
                <w:color w:val="auto"/>
                <w:sz w:val="21"/>
                <w:szCs w:val="21"/>
                <w:highlight w:val="none"/>
                <w:u w:val="single"/>
                <w:lang w:val="en-US" w:eastAsia="zh-CN"/>
              </w:rPr>
              <w:t>5名</w:t>
            </w:r>
            <w:r>
              <w:rPr>
                <w:rFonts w:hint="eastAsia" w:ascii="宋体" w:hAnsi="宋体" w:eastAsia="宋体" w:cs="宋体"/>
                <w:color w:val="auto"/>
                <w:sz w:val="21"/>
                <w:szCs w:val="21"/>
                <w:highlight w:val="none"/>
                <w:u w:val="single"/>
              </w:rPr>
              <w:t>投标人为合格中标候选人进入定标阶段</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若</w:t>
            </w:r>
            <w:r>
              <w:rPr>
                <w:rFonts w:hint="eastAsia" w:ascii="宋体" w:hAnsi="宋体" w:eastAsia="宋体" w:cs="宋体"/>
                <w:color w:val="auto"/>
                <w:sz w:val="21"/>
                <w:szCs w:val="21"/>
                <w:highlight w:val="none"/>
                <w:u w:val="single"/>
              </w:rPr>
              <w:t>通过</w:t>
            </w:r>
            <w:r>
              <w:rPr>
                <w:rFonts w:hint="eastAsia" w:ascii="宋体" w:hAnsi="宋体" w:eastAsia="宋体" w:cs="宋体"/>
                <w:color w:val="auto"/>
                <w:sz w:val="21"/>
                <w:szCs w:val="21"/>
                <w:highlight w:val="none"/>
                <w:u w:val="single"/>
                <w:lang w:eastAsia="zh-CN"/>
              </w:rPr>
              <w:t>详细评审的</w:t>
            </w:r>
            <w:r>
              <w:rPr>
                <w:rFonts w:hint="eastAsia" w:ascii="宋体" w:hAnsi="宋体" w:eastAsia="宋体" w:cs="宋体"/>
                <w:color w:val="auto"/>
                <w:sz w:val="21"/>
                <w:szCs w:val="21"/>
                <w:highlight w:val="none"/>
                <w:u w:val="single"/>
              </w:rPr>
              <w:t>投标人</w:t>
            </w:r>
            <w:r>
              <w:rPr>
                <w:rFonts w:hint="eastAsia" w:ascii="宋体" w:hAnsi="宋体" w:eastAsia="宋体" w:cs="宋体"/>
                <w:color w:val="auto"/>
                <w:sz w:val="21"/>
                <w:szCs w:val="21"/>
                <w:highlight w:val="none"/>
                <w:u w:val="single"/>
                <w:lang w:eastAsia="zh-CN"/>
              </w:rPr>
              <w:t>不足</w:t>
            </w:r>
            <w:r>
              <w:rPr>
                <w:rFonts w:hint="eastAsia" w:ascii="宋体" w:hAnsi="宋体" w:eastAsia="宋体" w:cs="宋体"/>
                <w:color w:val="auto"/>
                <w:sz w:val="21"/>
                <w:szCs w:val="21"/>
                <w:highlight w:val="none"/>
                <w:u w:val="single"/>
                <w:lang w:val="en-US" w:eastAsia="zh-CN"/>
              </w:rPr>
              <w:t>5名，则通过</w:t>
            </w:r>
            <w:r>
              <w:rPr>
                <w:rFonts w:hint="eastAsia" w:ascii="宋体" w:hAnsi="宋体" w:eastAsia="宋体" w:cs="宋体"/>
                <w:color w:val="auto"/>
                <w:sz w:val="21"/>
                <w:szCs w:val="21"/>
                <w:highlight w:val="none"/>
                <w:u w:val="single"/>
                <w:lang w:eastAsia="zh-CN"/>
              </w:rPr>
              <w:t>详细评审的</w:t>
            </w:r>
            <w:r>
              <w:rPr>
                <w:rFonts w:hint="eastAsia" w:ascii="宋体" w:hAnsi="宋体" w:eastAsia="宋体" w:cs="宋体"/>
                <w:color w:val="auto"/>
                <w:sz w:val="21"/>
                <w:szCs w:val="21"/>
                <w:highlight w:val="none"/>
                <w:u w:val="single"/>
              </w:rPr>
              <w:t>投标人</w:t>
            </w:r>
            <w:r>
              <w:rPr>
                <w:rFonts w:hint="eastAsia" w:ascii="宋体" w:hAnsi="宋体" w:eastAsia="宋体" w:cs="宋体"/>
                <w:color w:val="auto"/>
                <w:sz w:val="21"/>
                <w:szCs w:val="21"/>
                <w:highlight w:val="none"/>
                <w:u w:val="single"/>
                <w:lang w:eastAsia="zh-CN"/>
              </w:rPr>
              <w:t>投标人直接推荐为中标候选人</w:t>
            </w:r>
            <w:r>
              <w:rPr>
                <w:rFonts w:hint="eastAsia" w:ascii="宋体" w:hAnsi="宋体" w:eastAsia="宋体" w:cs="宋体"/>
                <w:color w:val="auto"/>
                <w:sz w:val="21"/>
                <w:szCs w:val="21"/>
                <w:highlight w:val="none"/>
                <w:u w:val="single"/>
              </w:rPr>
              <w:t>）。</w:t>
            </w:r>
          </w:p>
          <w:p>
            <w:pPr>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lang w:val="en-US" w:eastAsia="zh-CN"/>
              </w:rPr>
              <w:t>2.</w:t>
            </w:r>
            <w:r>
              <w:rPr>
                <w:rFonts w:hint="eastAsia" w:ascii="宋体" w:hAnsi="宋体" w:eastAsia="宋体" w:cs="宋体"/>
                <w:b/>
                <w:bCs/>
                <w:color w:val="auto"/>
                <w:sz w:val="21"/>
                <w:szCs w:val="21"/>
                <w:highlight w:val="none"/>
                <w:u w:val="single"/>
              </w:rPr>
              <w:t>当合格中标候选人小于3名时，招标人应重新招标。</w:t>
            </w:r>
          </w:p>
          <w:p>
            <w:pPr>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rPr>
              <w:t>【合格中标候选人不排序，按统一社会信用代码后4位（除校验码外）大小排位，如统一社会信用代码后4位出现字母情况的，字母以“0”进行代替大小排位；如出现后4位（除校验码外）大小一致的，则随机排位</w:t>
            </w:r>
            <w:r>
              <w:rPr>
                <w:rFonts w:hint="eastAsia" w:ascii="宋体" w:hAnsi="宋体" w:eastAsia="宋体" w:cs="宋体"/>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如联合体投标的，以主办方为准。</w:t>
            </w:r>
            <w:r>
              <w:rPr>
                <w:rFonts w:hint="eastAsia" w:ascii="宋体" w:hAnsi="宋体" w:eastAsia="宋体" w:cs="宋体"/>
                <w:color w:val="auto"/>
                <w:sz w:val="21"/>
                <w:szCs w:val="21"/>
                <w:highlight w:val="none"/>
                <w:u w:val="single"/>
              </w:rPr>
              <w:t>】</w:t>
            </w:r>
          </w:p>
          <w:p>
            <w:pPr>
              <w:spacing w:line="240" w:lineRule="auto"/>
              <w:rPr>
                <w:rFonts w:hint="eastAsia" w:ascii="宋体" w:hAnsi="宋体" w:eastAsia="宋体" w:cs="宋体"/>
                <w:b w:val="0"/>
                <w:bCs/>
                <w:color w:val="auto"/>
                <w:sz w:val="21"/>
                <w:szCs w:val="21"/>
                <w:highlight w:val="none"/>
                <w:u w:val="single"/>
                <w:lang w:eastAsia="zh-CN"/>
              </w:rPr>
            </w:pP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.定标采用评分法，定标委员会从评标委员会推荐的合格中标候选人中，依据评分法选出得分最高的候选人，确定为中标人。</w:t>
            </w:r>
            <w:r>
              <w:rPr>
                <w:rFonts w:hint="eastAsia" w:ascii="宋体" w:hAnsi="宋体" w:eastAsia="宋体" w:cs="宋体"/>
                <w:b w:val="0"/>
                <w:bCs/>
                <w:color w:val="auto"/>
                <w:sz w:val="21"/>
                <w:szCs w:val="21"/>
                <w:highlight w:val="none"/>
                <w:u w:val="single"/>
              </w:rPr>
              <w:t>定标采用“方案因素+价格因素评定法”，总得分（100分）=方案因素得分（100分）×方案因素权重（70%）+价格因素得分（100分）×价格因素权重（30%）</w:t>
            </w:r>
            <w:r>
              <w:rPr>
                <w:rFonts w:hint="eastAsia" w:ascii="宋体" w:hAnsi="宋体" w:eastAsia="宋体" w:cs="宋体"/>
                <w:b w:val="0"/>
                <w:bCs/>
                <w:color w:val="auto"/>
                <w:sz w:val="21"/>
                <w:szCs w:val="21"/>
                <w:highlight w:val="none"/>
                <w:u w:val="single"/>
                <w:lang w:eastAsia="zh-CN"/>
              </w:rPr>
              <w:t>。</w:t>
            </w:r>
          </w:p>
          <w:p>
            <w:pPr>
              <w:spacing w:line="240" w:lineRule="auto"/>
              <w:rPr>
                <w:rFonts w:hint="eastAsia" w:ascii="宋体" w:hAnsi="宋体" w:eastAsia="宋体" w:cs="宋体"/>
                <w:b w:val="0"/>
                <w:bCs/>
                <w:color w:val="auto"/>
                <w:sz w:val="21"/>
                <w:szCs w:val="21"/>
                <w:highlight w:val="none"/>
                <w:u w:val="single"/>
              </w:rPr>
            </w:pPr>
            <w:r>
              <w:rPr>
                <w:rFonts w:hint="eastAsia" w:ascii="宋体" w:hAnsi="宋体" w:eastAsia="宋体" w:cs="宋体"/>
                <w:b/>
                <w:bCs w:val="0"/>
                <w:color w:val="auto"/>
                <w:sz w:val="21"/>
                <w:szCs w:val="21"/>
                <w:highlight w:val="none"/>
                <w:u w:val="single"/>
              </w:rPr>
              <w:t>定标因素为：</w:t>
            </w:r>
            <w:r>
              <w:rPr>
                <w:rFonts w:hint="eastAsia" w:ascii="宋体" w:hAnsi="宋体" w:eastAsia="宋体" w:cs="宋体"/>
                <w:bCs/>
                <w:color w:val="auto"/>
                <w:szCs w:val="21"/>
                <w:highlight w:val="none"/>
                <w:u w:val="single"/>
              </w:rPr>
              <w:t>（1）方案因素：对合格中标候选人</w:t>
            </w:r>
            <w:r>
              <w:rPr>
                <w:rFonts w:hint="eastAsia" w:ascii="宋体" w:hAnsi="宋体" w:eastAsia="宋体" w:cs="宋体"/>
                <w:bCs/>
                <w:color w:val="auto"/>
                <w:szCs w:val="21"/>
                <w:highlight w:val="none"/>
                <w:u w:val="single"/>
                <w:lang w:val="en-US" w:eastAsia="zh-CN"/>
              </w:rPr>
              <w:t>定标</w:t>
            </w:r>
            <w:r>
              <w:rPr>
                <w:rFonts w:hint="eastAsia" w:ascii="宋体" w:hAnsi="宋体" w:eastAsia="宋体" w:cs="宋体"/>
                <w:bCs/>
                <w:color w:val="auto"/>
                <w:szCs w:val="21"/>
                <w:highlight w:val="none"/>
                <w:u w:val="single"/>
              </w:rPr>
              <w:t>方案进行评审：①团队配置</w:t>
            </w:r>
            <w:r>
              <w:rPr>
                <w:rFonts w:hint="eastAsia" w:ascii="宋体" w:hAnsi="宋体" w:eastAsia="宋体" w:cs="宋体"/>
                <w:bCs/>
                <w:color w:val="auto"/>
                <w:szCs w:val="21"/>
                <w:highlight w:val="none"/>
                <w:u w:val="single"/>
                <w:lang w:eastAsia="zh-CN"/>
              </w:rPr>
              <w:t>、</w:t>
            </w:r>
            <w:r>
              <w:rPr>
                <w:rFonts w:hint="eastAsia" w:ascii="宋体" w:hAnsi="宋体" w:eastAsia="宋体" w:cs="宋体"/>
                <w:bCs/>
                <w:color w:val="auto"/>
                <w:szCs w:val="21"/>
                <w:highlight w:val="none"/>
                <w:u w:val="single"/>
              </w:rPr>
              <w:t>②施工管理措施</w:t>
            </w:r>
            <w:r>
              <w:rPr>
                <w:rFonts w:hint="eastAsia" w:ascii="宋体" w:hAnsi="宋体" w:eastAsia="宋体" w:cs="宋体"/>
                <w:bCs/>
                <w:color w:val="auto"/>
                <w:szCs w:val="21"/>
                <w:highlight w:val="none"/>
                <w:u w:val="single"/>
                <w:lang w:eastAsia="zh-CN"/>
              </w:rPr>
              <w:t>、</w:t>
            </w:r>
            <w:r>
              <w:rPr>
                <w:rFonts w:hint="eastAsia" w:ascii="宋体" w:hAnsi="宋体" w:eastAsia="宋体" w:cs="宋体"/>
                <w:bCs/>
                <w:color w:val="auto"/>
                <w:szCs w:val="21"/>
                <w:highlight w:val="none"/>
                <w:u w:val="single"/>
                <w:lang w:val="en-US" w:eastAsia="zh-CN"/>
              </w:rPr>
              <w:t>③成本控制措施、④资金管理措施。</w:t>
            </w:r>
            <w:r>
              <w:rPr>
                <w:rFonts w:hint="eastAsia" w:ascii="宋体" w:hAnsi="宋体" w:eastAsia="宋体" w:cs="宋体"/>
                <w:bCs/>
                <w:color w:val="auto"/>
                <w:szCs w:val="21"/>
                <w:highlight w:val="none"/>
                <w:u w:val="single"/>
              </w:rPr>
              <w:t>（2）价格因素：定标委员会对合格的中标候选人投标报价进行打分</w:t>
            </w:r>
            <w:r>
              <w:rPr>
                <w:rFonts w:hint="eastAsia" w:ascii="宋体" w:hAnsi="宋体" w:eastAsia="宋体" w:cs="宋体"/>
                <w:b w:val="0"/>
                <w:bCs/>
                <w:color w:val="auto"/>
                <w:szCs w:val="21"/>
                <w:highlight w:val="none"/>
                <w:u w:val="single"/>
                <w:lang w:eastAsia="zh-CN"/>
              </w:rPr>
              <w:t>，</w:t>
            </w:r>
            <w:r>
              <w:rPr>
                <w:rFonts w:hint="eastAsia" w:ascii="宋体" w:hAnsi="宋体" w:eastAsia="宋体" w:cs="宋体"/>
                <w:b/>
                <w:bCs/>
                <w:color w:val="auto"/>
                <w:szCs w:val="21"/>
                <w:highlight w:val="none"/>
                <w:u w:val="single"/>
              </w:rPr>
              <w:t>以合格中标候选人中投标报价高于成本警示价的最低投标报价为定标基准价</w:t>
            </w:r>
            <w:r>
              <w:rPr>
                <w:rFonts w:hint="eastAsia" w:ascii="宋体" w:hAnsi="宋体" w:eastAsia="宋体" w:cs="宋体"/>
                <w:b/>
                <w:bCs/>
                <w:color w:val="auto"/>
                <w:highlight w:val="none"/>
                <w:u w:val="single"/>
              </w:rPr>
              <w:t>，</w:t>
            </w:r>
            <w:r>
              <w:rPr>
                <w:rFonts w:hint="eastAsia" w:ascii="宋体" w:hAnsi="宋体" w:eastAsia="宋体" w:cs="宋体"/>
                <w:b/>
                <w:bCs/>
                <w:color w:val="auto"/>
                <w:szCs w:val="21"/>
                <w:highlight w:val="none"/>
                <w:u w:val="single"/>
              </w:rPr>
              <w:t>投标报价等于定标基准价时得100分</w:t>
            </w:r>
            <w:r>
              <w:rPr>
                <w:rFonts w:hint="eastAsia" w:ascii="宋体" w:hAnsi="宋体" w:eastAsia="宋体" w:cs="宋体"/>
                <w:color w:val="auto"/>
                <w:highlight w:val="none"/>
              </w:rPr>
              <w:t>。</w:t>
            </w:r>
            <w:r>
              <w:rPr>
                <w:rFonts w:hint="eastAsia" w:ascii="宋体" w:hAnsi="宋体" w:eastAsia="宋体" w:cs="宋体"/>
                <w:bCs/>
                <w:color w:val="auto"/>
                <w:szCs w:val="21"/>
                <w:highlight w:val="none"/>
                <w:u w:val="single"/>
              </w:rPr>
              <w:t>投标报价比</w:t>
            </w:r>
            <w:r>
              <w:rPr>
                <w:rFonts w:hint="eastAsia" w:ascii="宋体" w:hAnsi="宋体" w:eastAsia="宋体" w:cs="宋体"/>
                <w:bCs/>
                <w:color w:val="auto"/>
                <w:szCs w:val="21"/>
                <w:highlight w:val="none"/>
                <w:u w:val="single"/>
                <w:lang w:eastAsia="zh-CN"/>
              </w:rPr>
              <w:t>定</w:t>
            </w:r>
            <w:r>
              <w:rPr>
                <w:rFonts w:hint="eastAsia" w:ascii="宋体" w:hAnsi="宋体" w:eastAsia="宋体" w:cs="宋体"/>
                <w:bCs/>
                <w:color w:val="auto"/>
                <w:szCs w:val="21"/>
                <w:highlight w:val="none"/>
                <w:u w:val="single"/>
              </w:rPr>
              <w:t>标基准价每高1%扣1.5分；每低1%扣1.0分，扣至0分为止。</w:t>
            </w:r>
          </w:p>
          <w:p>
            <w:pPr>
              <w:shd w:val="clear" w:color="auto" w:fill="auto"/>
              <w:spacing w:line="240" w:lineRule="auto"/>
              <w:ind w:firstLine="0" w:firstLineChars="0"/>
              <w:rPr>
                <w:rFonts w:hint="eastAsia" w:ascii="宋体" w:hAnsi="宋体"/>
                <w:color w:val="auto"/>
                <w:highlight w:val="none"/>
              </w:rPr>
            </w:pPr>
            <w:r>
              <w:rPr>
                <w:rFonts w:hint="eastAsia" w:ascii="宋体" w:hAnsi="宋体" w:eastAsia="宋体" w:cs="宋体"/>
                <w:b w:val="0"/>
                <w:bCs/>
                <w:color w:val="auto"/>
                <w:sz w:val="21"/>
                <w:szCs w:val="21"/>
                <w:highlight w:val="none"/>
                <w:u w:val="single"/>
              </w:rPr>
              <w:t>注：若合格中标候选人总得分相同且影响定标排序的，以方案因素得分高的排前；若方案因素得分仍相同的，以</w:t>
            </w:r>
            <w:r>
              <w:rPr>
                <w:rFonts w:hint="eastAsia" w:ascii="宋体" w:hAnsi="宋体" w:cs="宋体"/>
                <w:b w:val="0"/>
                <w:bCs/>
                <w:color w:val="auto"/>
                <w:sz w:val="21"/>
                <w:szCs w:val="21"/>
                <w:highlight w:val="none"/>
                <w:u w:val="single"/>
                <w:lang w:eastAsia="zh-CN"/>
              </w:rPr>
              <w:t>报价低</w:t>
            </w:r>
            <w:r>
              <w:rPr>
                <w:rFonts w:hint="eastAsia" w:ascii="宋体" w:hAnsi="宋体" w:eastAsia="宋体" w:cs="宋体"/>
                <w:b w:val="0"/>
                <w:bCs/>
                <w:color w:val="auto"/>
                <w:sz w:val="21"/>
                <w:szCs w:val="21"/>
                <w:highlight w:val="none"/>
                <w:u w:val="single"/>
              </w:rPr>
              <w:t>的排前，若</w:t>
            </w:r>
            <w:r>
              <w:rPr>
                <w:rFonts w:hint="eastAsia" w:ascii="宋体" w:hAnsi="宋体" w:cs="宋体"/>
                <w:b w:val="0"/>
                <w:bCs/>
                <w:color w:val="auto"/>
                <w:sz w:val="21"/>
                <w:szCs w:val="21"/>
                <w:highlight w:val="none"/>
                <w:u w:val="single"/>
                <w:lang w:eastAsia="zh-CN"/>
              </w:rPr>
              <w:t>报价</w:t>
            </w:r>
            <w:r>
              <w:rPr>
                <w:rFonts w:hint="eastAsia" w:ascii="宋体" w:hAnsi="宋体" w:eastAsia="宋体" w:cs="宋体"/>
                <w:b w:val="0"/>
                <w:bCs/>
                <w:color w:val="auto"/>
                <w:sz w:val="21"/>
                <w:szCs w:val="21"/>
                <w:highlight w:val="none"/>
                <w:u w:val="single"/>
              </w:rPr>
              <w:t>仍相同的，由定标委员会投票确定排序。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2</w:t>
            </w:r>
            <w:r>
              <w:rPr>
                <w:rFonts w:hint="eastAsia"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pStyle w:val="16"/>
              <w:rPr>
                <w:rFonts w:hint="eastAsia"/>
                <w:color w:val="auto"/>
                <w:sz w:val="21"/>
                <w:szCs w:val="21"/>
                <w:highlight w:val="none"/>
                <w:lang w:eastAsia="zh-CN"/>
              </w:rPr>
            </w:pPr>
            <w:r>
              <w:rPr>
                <w:rFonts w:hint="eastAsia"/>
                <w:color w:val="auto"/>
                <w:sz w:val="21"/>
                <w:szCs w:val="21"/>
                <w:highlight w:val="none"/>
                <w:lang w:eastAsia="zh-CN"/>
              </w:rPr>
              <w:t>☑要求：</w:t>
            </w:r>
          </w:p>
          <w:p>
            <w:pPr>
              <w:shd w:val="clear" w:color="auto" w:fill="auto"/>
              <w:spacing w:line="276" w:lineRule="auto"/>
              <w:rPr>
                <w:rFonts w:hint="eastAsia"/>
                <w:color w:val="auto"/>
                <w:szCs w:val="21"/>
                <w:highlight w:val="none"/>
                <w:lang w:eastAsia="zh-CN"/>
              </w:rPr>
            </w:pPr>
            <w:r>
              <w:rPr>
                <w:rFonts w:hint="eastAsia"/>
                <w:color w:val="auto"/>
                <w:szCs w:val="21"/>
                <w:highlight w:val="none"/>
                <w:lang w:eastAsia="zh-CN"/>
              </w:rPr>
              <w:t>履约保证金的金额：</w:t>
            </w:r>
          </w:p>
          <w:p>
            <w:pPr>
              <w:rPr>
                <w:rFonts w:ascii="宋体" w:hAnsi="宋体"/>
                <w:color w:val="auto"/>
                <w:highlight w:val="none"/>
              </w:rPr>
            </w:pPr>
            <w:r>
              <w:rPr>
                <w:rFonts w:hint="eastAsia" w:ascii="宋体" w:hAnsi="宋体"/>
                <w:color w:val="auto"/>
                <w:highlight w:val="none"/>
              </w:rPr>
              <w:t>方式一：中标人提供的履约保证金为中标价款的10%。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2</w:t>
            </w:r>
            <w:r>
              <w:rPr>
                <w:rFonts w:hint="eastAsia"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本项目最高投标限价为人民币</w:t>
            </w:r>
            <w:r>
              <w:rPr>
                <w:rFonts w:hint="eastAsia" w:ascii="宋体" w:hAnsi="宋体" w:cs="宋体"/>
                <w:color w:val="auto"/>
                <w:szCs w:val="21"/>
                <w:highlight w:val="none"/>
                <w:u w:val="single"/>
              </w:rPr>
              <w:t>24241439.17</w:t>
            </w:r>
            <w:r>
              <w:rPr>
                <w:rFonts w:hint="eastAsia" w:ascii="宋体" w:hAnsi="宋体" w:cs="宋体"/>
                <w:color w:val="auto"/>
                <w:szCs w:val="21"/>
                <w:highlight w:val="none"/>
              </w:rPr>
              <w:t>元。</w:t>
            </w:r>
            <w:r>
              <w:rPr>
                <w:rFonts w:hint="eastAsia" w:ascii="宋体" w:hAnsi="宋体" w:cs="宋体"/>
                <w:color w:val="auto"/>
                <w:szCs w:val="21"/>
                <w:highlight w:val="none"/>
                <w:u w:val="single"/>
              </w:rPr>
              <w:t>详见招标人最终发出的《最高投标限价公布函》，投标总报价超过最高投标限价的投标文件将被拒绝。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本项目</w:t>
            </w:r>
            <w:r>
              <w:rPr>
                <w:rFonts w:hint="eastAsia" w:ascii="宋体" w:hAnsi="宋体" w:eastAsia="宋体" w:cs="Times New Roman"/>
                <w:color w:val="auto"/>
                <w:highlight w:val="none"/>
              </w:rPr>
              <w:t>绿色施工安全防护措施</w:t>
            </w:r>
            <w:r>
              <w:rPr>
                <w:rFonts w:hint="eastAsia" w:ascii="宋体" w:hAnsi="宋体"/>
                <w:color w:val="auto"/>
                <w:szCs w:val="21"/>
                <w:highlight w:val="none"/>
                <w:u w:val="single"/>
              </w:rPr>
              <w:t>费</w:t>
            </w:r>
            <w:r>
              <w:rPr>
                <w:rFonts w:hint="eastAsia" w:ascii="宋体" w:hAnsi="宋体"/>
                <w:color w:val="auto"/>
                <w:szCs w:val="21"/>
                <w:highlight w:val="none"/>
              </w:rPr>
              <w:t>为</w:t>
            </w:r>
            <w:r>
              <w:rPr>
                <w:rFonts w:hint="eastAsia" w:ascii="宋体" w:hAnsi="宋体"/>
                <w:color w:val="auto"/>
                <w:szCs w:val="21"/>
                <w:highlight w:val="none"/>
                <w:u w:val="single"/>
                <w:lang w:val="en-US" w:eastAsia="zh-CN"/>
              </w:rPr>
              <w:t>911455.43</w:t>
            </w:r>
            <w:r>
              <w:rPr>
                <w:rFonts w:hint="eastAsia" w:ascii="宋体" w:hAnsi="宋体"/>
                <w:color w:val="auto"/>
                <w:szCs w:val="21"/>
                <w:highlight w:val="none"/>
              </w:rPr>
              <w:t>元</w:t>
            </w:r>
            <w:r>
              <w:rPr>
                <w:rFonts w:hint="eastAsia" w:ascii="宋体" w:hAnsi="宋体" w:eastAsia="宋体" w:cs="宋体"/>
                <w:color w:val="auto"/>
                <w:szCs w:val="21"/>
                <w:highlight w:val="none"/>
              </w:rPr>
              <w:t>（扬尘污染防治费用、使用封闭式外脚手架金属防护网费用和绿色施工围蔽费用等纳入绿色施工安全防护措施费）</w:t>
            </w:r>
            <w:r>
              <w:rPr>
                <w:rFonts w:hint="eastAsia" w:ascii="宋体" w:hAnsi="宋体"/>
                <w:color w:val="auto"/>
                <w:szCs w:val="21"/>
                <w:highlight w:val="none"/>
              </w:rPr>
              <w:t>，暂列金额为</w:t>
            </w:r>
            <w:r>
              <w:rPr>
                <w:rFonts w:hint="eastAsia" w:ascii="宋体" w:hAnsi="宋体"/>
                <w:color w:val="auto"/>
                <w:szCs w:val="21"/>
                <w:highlight w:val="none"/>
                <w:u w:val="single"/>
              </w:rPr>
              <w:t>1889050.00</w:t>
            </w:r>
            <w:r>
              <w:rPr>
                <w:rFonts w:hint="eastAsia" w:ascii="宋体" w:hAnsi="宋体"/>
                <w:color w:val="auto"/>
                <w:szCs w:val="21"/>
                <w:highlight w:val="none"/>
              </w:rPr>
              <w:t>元，暂估价为</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2</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28"/>
              <w:ind w:firstLine="0"/>
              <w:rPr>
                <w:rFonts w:ascii="宋体" w:hAnsi="宋体"/>
                <w:color w:val="auto"/>
                <w:szCs w:val="21"/>
                <w:highlight w:val="none"/>
              </w:rPr>
            </w:pPr>
            <w:r>
              <w:rPr>
                <w:rFonts w:hint="eastAsia" w:ascii="宋体" w:hAnsi="宋体"/>
                <w:color w:val="auto"/>
                <w:sz w:val="21"/>
                <w:szCs w:val="21"/>
                <w:highlight w:val="none"/>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按照《建设工程质量管理条例》和《工程质量保修书》规定。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strike/>
                <w:color w:val="auto"/>
                <w:kern w:val="2"/>
                <w:sz w:val="21"/>
                <w:szCs w:val="21"/>
                <w:highlight w:val="none"/>
                <w:lang w:val="en-US" w:eastAsia="zh-CN" w:bidi="ar-SA"/>
              </w:rPr>
            </w:pPr>
            <w:r>
              <w:rPr>
                <w:rFonts w:hint="eastAsia" w:ascii="宋体" w:hAnsi="宋体"/>
                <w:strike/>
                <w:color w:val="auto"/>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计算评标参考价的等分点值</w:t>
            </w:r>
            <w:r>
              <w:rPr>
                <w:rFonts w:ascii="宋体" w:hAnsi="宋体"/>
                <w:strike/>
                <w:color w:val="auto"/>
                <w:szCs w:val="21"/>
                <w:highlight w:val="none"/>
              </w:rPr>
              <w:t>X</w:t>
            </w:r>
            <w:r>
              <w:rPr>
                <w:rFonts w:hint="eastAsia" w:ascii="宋体" w:hAnsi="宋体" w:cs="宋体"/>
                <w:strike/>
                <w:color w:val="auto"/>
                <w:szCs w:val="21"/>
                <w:highlight w:val="none"/>
                <w:u w:val="single"/>
              </w:rPr>
              <w:t>采用广州交易集团有限公司（广州公共资源交易中心）交易平台在线系统</w:t>
            </w:r>
            <w:r>
              <w:rPr>
                <w:rFonts w:hint="eastAsia" w:ascii="宋体" w:hAnsi="宋体"/>
                <w:strike/>
                <w:color w:val="auto"/>
                <w:szCs w:val="21"/>
                <w:highlight w:val="none"/>
              </w:rPr>
              <w:t>在开标前从[0,100]</w:t>
            </w:r>
            <w:r>
              <w:rPr>
                <w:rFonts w:hint="eastAsia" w:ascii="宋体" w:hAnsi="宋体"/>
                <w:strike/>
                <w:color w:val="auto"/>
                <w:highlight w:val="none"/>
              </w:rPr>
              <w:t xml:space="preserve"> </w:t>
            </w:r>
            <w:r>
              <w:rPr>
                <w:rFonts w:hint="eastAsia" w:ascii="宋体" w:hAnsi="宋体"/>
                <w:strike/>
                <w:color w:val="auto"/>
                <w:szCs w:val="21"/>
                <w:highlight w:val="none"/>
              </w:rPr>
              <w:t>的整数中随机抽取。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numPr>
                <w:ilvl w:val="0"/>
                <w:numId w:val="1"/>
              </w:num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投标报价低于成本警示价的投标人按如下规定：</w:t>
            </w:r>
          </w:p>
          <w:p>
            <w:pPr>
              <w:numPr>
                <w:ilvl w:val="0"/>
                <w:numId w:val="0"/>
              </w:num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通过技术有效性审查且报价低于成本警示价的投标人</w:t>
            </w:r>
            <w:r>
              <w:rPr>
                <w:rFonts w:hint="eastAsia" w:ascii="宋体" w:hAnsi="宋体" w:eastAsia="宋体" w:cs="宋体"/>
                <w:color w:val="auto"/>
                <w:sz w:val="21"/>
                <w:szCs w:val="21"/>
                <w:highlight w:val="none"/>
              </w:rPr>
              <w:t>按照</w:t>
            </w:r>
            <w:r>
              <w:rPr>
                <w:rFonts w:hint="eastAsia" w:ascii="宋体" w:hAnsi="宋体" w:eastAsia="宋体" w:cs="宋体"/>
                <w:b/>
                <w:bCs/>
                <w:strike w:val="0"/>
                <w:color w:val="auto"/>
                <w:sz w:val="21"/>
                <w:szCs w:val="21"/>
                <w:highlight w:val="none"/>
                <w:u w:val="single"/>
                <w:lang w:val="en-US" w:eastAsia="zh-CN"/>
              </w:rPr>
              <w:t>第一阶段得分</w:t>
            </w:r>
            <w:r>
              <w:rPr>
                <w:rFonts w:hint="eastAsia" w:ascii="宋体" w:hAnsi="宋体" w:eastAsia="宋体" w:cs="宋体"/>
                <w:color w:val="auto"/>
                <w:sz w:val="21"/>
                <w:szCs w:val="21"/>
                <w:highlight w:val="none"/>
              </w:rPr>
              <w:t>从高到低排列先后次序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全部直接进入第二阶段评审，不参加经济标的</w:t>
            </w:r>
            <w:r>
              <w:rPr>
                <w:rFonts w:hint="eastAsia" w:ascii="宋体" w:hAnsi="宋体" w:eastAsia="宋体" w:cs="宋体"/>
                <w:color w:val="auto"/>
                <w:szCs w:val="21"/>
                <w:highlight w:val="none"/>
              </w:rPr>
              <w:t>详细评审</w:t>
            </w:r>
            <w:r>
              <w:rPr>
                <w:rFonts w:hint="eastAsia" w:ascii="宋体" w:hAnsi="宋体" w:eastAsia="宋体" w:cs="宋体"/>
                <w:color w:val="auto"/>
                <w:sz w:val="21"/>
                <w:szCs w:val="21"/>
                <w:highlight w:val="none"/>
                <w:lang w:val="en-US" w:eastAsia="zh-CN"/>
              </w:rPr>
              <w:t>。</w:t>
            </w:r>
          </w:p>
          <w:p>
            <w:pPr>
              <w:numPr>
                <w:ilvl w:val="0"/>
                <w:numId w:val="0"/>
              </w:num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2、投标报价不低于成本警示价的投标人按如下规定：</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①通过技术有效性审查且报价不低于成本警示价的投标人均进入第二阶段（适用于通过技术有效性审查不低于成本警示价家数在[1,20]中的）。</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②通过技术有效性审查且报价不低于成本警示价的投标人，评标委员会按照</w:t>
            </w:r>
            <w:r>
              <w:rPr>
                <w:rFonts w:hint="eastAsia" w:ascii="宋体" w:hAnsi="宋体" w:eastAsia="宋体" w:cs="宋体"/>
                <w:b/>
                <w:bCs/>
                <w:strike w:val="0"/>
                <w:color w:val="auto"/>
                <w:sz w:val="21"/>
                <w:szCs w:val="21"/>
                <w:highlight w:val="none"/>
                <w:u w:val="single"/>
                <w:lang w:val="en-US" w:eastAsia="zh-CN"/>
              </w:rPr>
              <w:t>第一阶段得分</w:t>
            </w:r>
            <w:r>
              <w:rPr>
                <w:rFonts w:hint="eastAsia" w:ascii="宋体" w:hAnsi="宋体" w:eastAsia="宋体" w:cs="宋体"/>
                <w:color w:val="auto"/>
                <w:sz w:val="21"/>
                <w:szCs w:val="21"/>
                <w:highlight w:val="none"/>
              </w:rPr>
              <w:t>从高到低排列先后次序</w:t>
            </w:r>
            <w:r>
              <w:rPr>
                <w:rFonts w:hint="eastAsia" w:ascii="宋体" w:hAnsi="宋体" w:eastAsia="宋体" w:cs="宋体"/>
                <w:color w:val="auto"/>
                <w:szCs w:val="21"/>
                <w:highlight w:val="none"/>
              </w:rPr>
              <w:t>，前20名投标人进入第二阶段评审（适用于通过技术有效性审查不低于成本警示价家数大于20家的，</w:t>
            </w:r>
            <w:r>
              <w:rPr>
                <w:rFonts w:hint="eastAsia" w:ascii="宋体" w:hAnsi="宋体" w:eastAsia="宋体" w:cs="宋体"/>
                <w:b/>
                <w:bCs/>
                <w:strike w:val="0"/>
                <w:color w:val="auto"/>
                <w:sz w:val="21"/>
                <w:szCs w:val="21"/>
                <w:highlight w:val="none"/>
                <w:u w:val="single"/>
                <w:lang w:val="en-US" w:eastAsia="zh-CN"/>
              </w:rPr>
              <w:t>第一阶段得分</w:t>
            </w:r>
            <w:r>
              <w:rPr>
                <w:rFonts w:hint="eastAsia" w:ascii="宋体" w:hAnsi="宋体" w:eastAsia="宋体" w:cs="宋体"/>
                <w:color w:val="auto"/>
                <w:sz w:val="21"/>
                <w:szCs w:val="21"/>
                <w:highlight w:val="none"/>
              </w:rPr>
              <w:t>从高到低排列先后次序</w:t>
            </w:r>
            <w:r>
              <w:rPr>
                <w:rFonts w:hint="eastAsia" w:ascii="宋体" w:hAnsi="宋体" w:eastAsia="宋体" w:cs="宋体"/>
                <w:color w:val="auto"/>
                <w:szCs w:val="21"/>
                <w:highlight w:val="none"/>
              </w:rPr>
              <w:t>，若投标人第一阶段得分相同的，以投标总报价较低的排前；</w:t>
            </w:r>
            <w:r>
              <w:rPr>
                <w:rFonts w:hint="eastAsia" w:ascii="宋体" w:hAnsi="宋体" w:eastAsia="宋体" w:cs="宋体"/>
                <w:b w:val="0"/>
                <w:bCs w:val="0"/>
                <w:color w:val="auto"/>
                <w:szCs w:val="21"/>
                <w:highlight w:val="none"/>
              </w:rPr>
              <w:t>若第一阶段得分与投标总报价均相同的，</w:t>
            </w:r>
            <w:r>
              <w:rPr>
                <w:rFonts w:hint="eastAsia" w:ascii="宋体" w:hAnsi="宋体" w:eastAsia="宋体" w:cs="宋体"/>
                <w:color w:val="auto"/>
                <w:szCs w:val="21"/>
                <w:highlight w:val="none"/>
              </w:rPr>
              <w:t>则对具有相同情况的投标人，由评标委员会采用记名投票方式，确定前20家进入第二阶段）。</w:t>
            </w:r>
          </w:p>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u w:val="single"/>
              </w:rPr>
              <w:t>记名投票方式确定排序的具体操作步骤为：由评标委员会对出现该情况的投标人采取记名投票的方式确定，按得票数从高到低排列先后次序，以得票数高的排前，根据得票数高低确定排序。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工程成本警</w:t>
            </w:r>
            <w:r>
              <w:rPr>
                <w:rFonts w:hint="eastAsia" w:ascii="宋体" w:hAnsi="宋体"/>
                <w:color w:val="auto"/>
                <w:szCs w:val="21"/>
                <w:highlight w:val="none"/>
                <w:lang w:eastAsia="zh-CN"/>
              </w:rPr>
              <w:t>示</w:t>
            </w:r>
            <w:r>
              <w:rPr>
                <w:rFonts w:hint="eastAsia" w:ascii="宋体" w:hAnsi="宋体"/>
                <w:color w:val="auto"/>
                <w:szCs w:val="21"/>
                <w:highlight w:val="none"/>
              </w:rPr>
              <w:t>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工程成本警</w:t>
            </w:r>
            <w:r>
              <w:rPr>
                <w:rFonts w:hint="eastAsia" w:ascii="宋体" w:hAnsi="宋体"/>
                <w:color w:val="auto"/>
                <w:szCs w:val="21"/>
                <w:highlight w:val="none"/>
                <w:lang w:eastAsia="zh-CN"/>
              </w:rPr>
              <w:t>示</w:t>
            </w:r>
            <w:r>
              <w:rPr>
                <w:rFonts w:hint="eastAsia" w:ascii="宋体" w:hAnsi="宋体"/>
                <w:color w:val="auto"/>
                <w:szCs w:val="21"/>
                <w:highlight w:val="none"/>
              </w:rPr>
              <w:t>价为</w:t>
            </w:r>
            <w:r>
              <w:rPr>
                <w:rFonts w:hint="eastAsia" w:ascii="宋体" w:hAnsi="宋体"/>
                <w:color w:val="auto"/>
                <w:szCs w:val="21"/>
                <w:highlight w:val="none"/>
                <w:u w:val="single"/>
                <w:lang w:val="en-US" w:eastAsia="zh-CN"/>
              </w:rPr>
              <w:t>20605223.29</w:t>
            </w:r>
            <w:r>
              <w:rPr>
                <w:rFonts w:hint="eastAsia" w:ascii="宋体" w:hAnsi="宋体"/>
                <w:color w:val="auto"/>
                <w:szCs w:val="21"/>
                <w:highlight w:val="none"/>
              </w:rPr>
              <w:t>元。对低于该警</w:t>
            </w:r>
            <w:r>
              <w:rPr>
                <w:rFonts w:hint="eastAsia" w:ascii="宋体" w:hAnsi="宋体"/>
                <w:color w:val="auto"/>
                <w:szCs w:val="21"/>
                <w:highlight w:val="none"/>
                <w:lang w:eastAsia="zh-CN"/>
              </w:rPr>
              <w:t>示</w:t>
            </w:r>
            <w:r>
              <w:rPr>
                <w:rFonts w:hint="eastAsia" w:ascii="宋体" w:hAnsi="宋体"/>
                <w:color w:val="auto"/>
                <w:szCs w:val="21"/>
                <w:highlight w:val="none"/>
              </w:rPr>
              <w:t>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w:t>
            </w:r>
            <w:r>
              <w:rPr>
                <w:rFonts w:hint="eastAsia" w:ascii="宋体" w:hAnsi="宋体"/>
                <w:color w:val="auto"/>
                <w:szCs w:val="21"/>
                <w:highlight w:val="none"/>
                <w:lang w:eastAsia="zh-CN"/>
              </w:rPr>
              <w:t>示</w:t>
            </w:r>
            <w:r>
              <w:rPr>
                <w:rFonts w:hint="eastAsia" w:ascii="宋体" w:hAnsi="宋体"/>
                <w:color w:val="auto"/>
                <w:szCs w:val="21"/>
                <w:highlight w:val="none"/>
              </w:rPr>
              <w:t>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color w:val="auto"/>
                <w:szCs w:val="21"/>
                <w:highlight w:val="none"/>
                <w:u w:val="single"/>
              </w:rPr>
            </w:pPr>
            <w:r>
              <w:rPr>
                <w:rFonts w:hint="eastAsia" w:ascii="宋体" w:hAnsi="宋体"/>
                <w:color w:val="auto"/>
                <w:szCs w:val="21"/>
                <w:highlight w:val="none"/>
              </w:rPr>
              <w:t>注：为充分体现招标人意愿及落实项目招标人负责制，警</w:t>
            </w:r>
            <w:r>
              <w:rPr>
                <w:rFonts w:hint="eastAsia" w:ascii="宋体" w:hAnsi="宋体"/>
                <w:color w:val="auto"/>
                <w:szCs w:val="21"/>
                <w:highlight w:val="none"/>
                <w:lang w:eastAsia="zh-CN"/>
              </w:rPr>
              <w:t>示</w:t>
            </w:r>
            <w:r>
              <w:rPr>
                <w:rFonts w:hint="eastAsia" w:ascii="宋体" w:hAnsi="宋体"/>
                <w:color w:val="auto"/>
                <w:szCs w:val="21"/>
                <w:highlight w:val="none"/>
              </w:rPr>
              <w:t>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Cs w:val="21"/>
                <w:highlight w:val="none"/>
                <w:u w:val="single"/>
              </w:rPr>
            </w:pPr>
            <w:r>
              <w:rPr>
                <w:rFonts w:hint="eastAsia" w:ascii="宋体" w:hAnsi="宋体" w:cs="宋体"/>
                <w:color w:val="auto"/>
                <w:szCs w:val="21"/>
                <w:highlight w:val="none"/>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rPr>
              <w:t>技术分权重为</w:t>
            </w:r>
            <w:r>
              <w:rPr>
                <w:rFonts w:hint="eastAsia" w:ascii="宋体" w:hAnsi="宋体" w:cs="宋体"/>
                <w:color w:val="auto"/>
                <w:szCs w:val="21"/>
                <w:highlight w:val="none"/>
                <w:u w:val="single"/>
              </w:rPr>
              <w:t>100</w:t>
            </w:r>
            <w:r>
              <w:rPr>
                <w:rFonts w:hint="eastAsia" w:ascii="宋体" w:hAnsi="宋体" w:cs="宋体"/>
                <w:color w:val="auto"/>
                <w:szCs w:val="21"/>
                <w:highlight w:val="none"/>
              </w:rPr>
              <w:t>%，</w:t>
            </w:r>
            <w:r>
              <w:rPr>
                <w:rFonts w:hint="eastAsia" w:ascii="宋体" w:hAnsi="宋体"/>
                <w:color w:val="auto"/>
                <w:szCs w:val="21"/>
                <w:highlight w:val="none"/>
              </w:rPr>
              <w:t>综合诚信评价分数权重为</w:t>
            </w:r>
            <w:r>
              <w:rPr>
                <w:rFonts w:hint="eastAsia" w:ascii="宋体" w:hAnsi="宋体"/>
                <w:color w:val="auto"/>
                <w:szCs w:val="21"/>
                <w:highlight w:val="none"/>
                <w:u w:val="single"/>
              </w:rPr>
              <w:t xml:space="preserve"> 0 </w:t>
            </w:r>
            <w:r>
              <w:rPr>
                <w:rFonts w:hint="eastAsia" w:ascii="宋体" w:hAnsi="宋体"/>
                <w:color w:val="auto"/>
                <w:szCs w:val="21"/>
                <w:highlight w:val="none"/>
              </w:rPr>
              <w:t>%。</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适用于</w:t>
            </w:r>
            <w:r>
              <w:rPr>
                <w:rFonts w:hint="eastAsia" w:ascii="宋体" w:hAnsi="宋体" w:eastAsia="宋体" w:cs="宋体"/>
                <w:color w:val="auto"/>
                <w:sz w:val="21"/>
                <w:szCs w:val="21"/>
                <w:highlight w:val="none"/>
                <w:u w:val="single"/>
              </w:rPr>
              <w:t>投标报价低于成本警示价的投标人</w:t>
            </w:r>
            <w:r>
              <w:rPr>
                <w:rFonts w:hint="eastAsia" w:ascii="宋体" w:hAnsi="宋体" w:eastAsia="宋体" w:cs="宋体"/>
                <w:color w:val="auto"/>
                <w:sz w:val="21"/>
                <w:szCs w:val="21"/>
                <w:highlight w:val="none"/>
                <w:u w:val="single"/>
                <w:lang w:val="en-US" w:eastAsia="zh-CN"/>
              </w:rPr>
              <w:t>及</w:t>
            </w:r>
            <w:r>
              <w:rPr>
                <w:rFonts w:hint="eastAsia" w:ascii="宋体" w:hAnsi="宋体" w:eastAsia="宋体" w:cs="宋体"/>
                <w:color w:val="auto"/>
                <w:sz w:val="21"/>
                <w:szCs w:val="21"/>
                <w:highlight w:val="none"/>
                <w:u w:val="single"/>
              </w:rPr>
              <w:t>投标报价不低于成本警示价的投标人</w:t>
            </w:r>
            <w:r>
              <w:rPr>
                <w:rFonts w:hint="eastAsia" w:ascii="宋体" w:hAnsi="宋体" w:eastAsia="宋体" w:cs="宋体"/>
                <w:color w:val="auto"/>
                <w:sz w:val="21"/>
                <w:szCs w:val="21"/>
                <w:highlight w:val="none"/>
                <w:u w:val="single"/>
                <w:lang w:eastAsia="zh-CN"/>
              </w:rPr>
              <w:t>）</w:t>
            </w:r>
          </w:p>
          <w:p>
            <w:pPr>
              <w:pStyle w:val="11"/>
              <w:ind w:firstLine="0"/>
              <w:rPr>
                <w:color w:val="auto"/>
                <w:highlight w:val="none"/>
              </w:rPr>
            </w:pPr>
            <w:r>
              <w:rPr>
                <w:rFonts w:hint="eastAsia" w:ascii="宋体" w:hAnsi="宋体"/>
                <w:color w:val="auto"/>
                <w:szCs w:val="21"/>
                <w:highlight w:val="none"/>
              </w:rPr>
              <w:t>注：</w:t>
            </w:r>
            <w:r>
              <w:rPr>
                <w:rFonts w:hint="eastAsia" w:ascii="宋体" w:hAnsi="宋体" w:cs="宋体"/>
                <w:color w:val="auto"/>
                <w:szCs w:val="21"/>
                <w:highlight w:val="none"/>
                <w:u w:val="single"/>
              </w:rPr>
              <w:t>本工程不设综合诚信评价得分。</w:t>
            </w:r>
          </w:p>
          <w:p>
            <w:pPr>
              <w:rPr>
                <w:rFonts w:ascii="宋体" w:hAnsi="宋体" w:cs="宋体"/>
                <w:color w:val="auto"/>
                <w:szCs w:val="21"/>
                <w:highlight w:val="none"/>
                <w:u w:val="single"/>
              </w:rPr>
            </w:pPr>
            <w:r>
              <w:rPr>
                <w:rFonts w:hint="eastAsia" w:ascii="宋体" w:hAnsi="宋体" w:cs="宋体"/>
                <w:color w:val="auto"/>
                <w:szCs w:val="21"/>
                <w:highlight w:val="none"/>
                <w:u w:val="single"/>
              </w:rPr>
              <w:t>按照“第一阶段总得分（满分100分）=技术分（满分100分）×技术分权重（100%）”的公式，计算各有效投标文件的第一阶段总得分，并按照第一阶段总得分从高到低排列先后次序。第一阶段总得分相同的投标文件，以投标总报价较低的排前。如仍存在相同情况，则对具有相同情况的投标人，由评标委员会采用记名投票方式，确定投标人第一阶段名次的排序。</w:t>
            </w:r>
          </w:p>
          <w:p>
            <w:pPr>
              <w:rPr>
                <w:rFonts w:ascii="宋体" w:hAnsi="宋体" w:cs="宋体"/>
                <w:color w:val="auto"/>
                <w:szCs w:val="21"/>
                <w:highlight w:val="none"/>
              </w:rPr>
            </w:pPr>
            <w:r>
              <w:rPr>
                <w:rFonts w:hint="eastAsia" w:ascii="宋体" w:hAnsi="宋体" w:cs="宋体"/>
                <w:color w:val="auto"/>
                <w:szCs w:val="21"/>
                <w:highlight w:val="none"/>
                <w:u w:val="single"/>
              </w:rPr>
              <w:t>记名投票方式确定排序的具体操作步骤为：由评标委员会对出现该情况的投标人采取记名投票的方式确定，按得票数从高到低排列先后次序，以得票数高的排前，根据得票数高低确定中标候选人排序。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eastAsia="宋体" w:cs="宋体"/>
                <w:color w:val="auto"/>
                <w:szCs w:val="21"/>
                <w:highlight w:val="none"/>
              </w:rPr>
              <w:t>评标委员会由招标人依法组建。</w:t>
            </w:r>
            <w:r>
              <w:rPr>
                <w:rFonts w:hint="eastAsia" w:ascii="宋体" w:hAnsi="宋体" w:eastAsia="宋体" w:cs="宋体"/>
                <w:color w:val="auto"/>
                <w:sz w:val="21"/>
                <w:szCs w:val="21"/>
                <w:highlight w:val="none"/>
              </w:rPr>
              <w:t>招标代理机构应严格按照《</w:t>
            </w:r>
            <w:r>
              <w:rPr>
                <w:rFonts w:hint="eastAsia" w:ascii="宋体" w:hAnsi="宋体" w:eastAsia="宋体" w:cs="宋体"/>
                <w:color w:val="auto"/>
                <w:szCs w:val="21"/>
                <w:highlight w:val="none"/>
              </w:rPr>
              <w:t>广东省政务服务和数据管理局关于印发广东省综合评标评审专家库评标专家劳务报酬管理办法的通知</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粤政数〔2025〕11号</w:t>
            </w:r>
            <w:r>
              <w:rPr>
                <w:rFonts w:hint="eastAsia" w:ascii="宋体" w:hAnsi="宋体" w:eastAsia="宋体" w:cs="宋体"/>
                <w:color w:val="auto"/>
                <w:sz w:val="21"/>
                <w:szCs w:val="21"/>
                <w:highlight w:val="none"/>
              </w:rPr>
              <w:t>）的规定向评标专家支付酬金，不得额外支付费用。评标专家对符合《</w:t>
            </w:r>
            <w:r>
              <w:rPr>
                <w:rFonts w:hint="eastAsia" w:ascii="宋体" w:hAnsi="宋体" w:eastAsia="宋体" w:cs="宋体"/>
                <w:color w:val="auto"/>
                <w:szCs w:val="21"/>
                <w:highlight w:val="none"/>
              </w:rPr>
              <w:t>广东省政务服务和数据管理局关于印发广东省综合评标评审专家库评标专家劳务报酬管理办法的通知</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粤政数〔2025〕11号</w:t>
            </w:r>
            <w:r>
              <w:rPr>
                <w:rFonts w:hint="eastAsia" w:ascii="宋体" w:hAnsi="宋体" w:eastAsia="宋体" w:cs="宋体"/>
                <w:color w:val="auto"/>
                <w:sz w:val="21"/>
                <w:szCs w:val="21"/>
                <w:highlight w:val="none"/>
              </w:rPr>
              <w:t>）的规定计取的专家报酬不得有异议。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如有最新规定按新规执行</w:t>
            </w:r>
            <w:r>
              <w:rPr>
                <w:rFonts w:hint="eastAsia" w:ascii="宋体" w:hAnsi="宋体" w:eastAsia="宋体" w:cs="宋体"/>
                <w:color w:val="auto"/>
                <w:sz w:val="21"/>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u w:val="single"/>
              </w:rPr>
              <w:t>本工程不设综合诚信评价得分。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u w:val="singl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u w:val="singl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33</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第二阶段投标人名次的排序方法</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4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（1）确定投标报价低于成本警示价的投标人的排序：</w:t>
            </w:r>
          </w:p>
          <w:p>
            <w:pPr>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①对于投标报价低于成本警示价的投标人</w:t>
            </w:r>
            <w:r>
              <w:rPr>
                <w:rFonts w:hint="eastAsia" w:ascii="宋体" w:hAnsi="宋体" w:eastAsia="宋体" w:cs="宋体"/>
                <w:color w:val="auto"/>
                <w:sz w:val="21"/>
                <w:szCs w:val="21"/>
                <w:highlight w:val="none"/>
                <w:lang w:val="en-US" w:eastAsia="zh-CN"/>
              </w:rPr>
              <w:t>，不参加经济标的</w:t>
            </w:r>
            <w:r>
              <w:rPr>
                <w:rFonts w:hint="eastAsia" w:ascii="宋体" w:hAnsi="宋体" w:eastAsia="宋体" w:cs="宋体"/>
                <w:color w:val="auto"/>
                <w:szCs w:val="21"/>
                <w:highlight w:val="none"/>
              </w:rPr>
              <w:t>详细评审</w:t>
            </w:r>
            <w:r>
              <w:rPr>
                <w:rFonts w:hint="eastAsia" w:ascii="宋体" w:hAnsi="宋体" w:eastAsia="宋体" w:cs="宋体"/>
                <w:color w:val="auto"/>
                <w:sz w:val="21"/>
                <w:szCs w:val="21"/>
                <w:highlight w:val="none"/>
                <w:lang w:val="en-US" w:eastAsia="zh-CN"/>
              </w:rPr>
              <w:t>，但需参加技术标的详细评审</w:t>
            </w:r>
            <w:r>
              <w:rPr>
                <w:rFonts w:hint="eastAsia" w:ascii="宋体" w:hAnsi="宋体" w:eastAsia="宋体" w:cs="宋体"/>
                <w:color w:val="auto"/>
                <w:szCs w:val="21"/>
                <w:highlight w:val="none"/>
              </w:rPr>
              <w:t>并排序</w:t>
            </w:r>
            <w:r>
              <w:rPr>
                <w:rFonts w:hint="eastAsia" w:ascii="宋体" w:hAnsi="宋体" w:eastAsia="宋体" w:cs="宋体"/>
                <w:color w:val="auto"/>
                <w:sz w:val="21"/>
                <w:szCs w:val="21"/>
                <w:highlight w:val="none"/>
                <w:lang w:val="en-US" w:eastAsia="zh-CN"/>
              </w:rPr>
              <w:t>、经济标有效性审查。</w:t>
            </w:r>
          </w:p>
          <w:p>
            <w:pPr>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②投标报价低于成本警示价的投标人，</w:t>
            </w:r>
            <w:r>
              <w:rPr>
                <w:rFonts w:hint="eastAsia" w:ascii="宋体" w:hAnsi="宋体" w:eastAsia="宋体" w:cs="宋体"/>
                <w:color w:val="auto"/>
                <w:szCs w:val="21"/>
                <w:highlight w:val="none"/>
              </w:rPr>
              <w:t>按照“总得分=第一阶段得分”的公式，计算各有效投标文件的总得分，并按照总得分从高到低排序。总得分相同的投标文件，以投标总报价较低的排前；总得分与</w:t>
            </w:r>
            <w:r>
              <w:rPr>
                <w:rFonts w:hint="eastAsia"/>
                <w:color w:val="auto"/>
                <w:highlight w:val="none"/>
              </w:rPr>
              <w:t>投标总报价</w:t>
            </w:r>
            <w:r>
              <w:rPr>
                <w:rFonts w:hint="eastAsia" w:ascii="宋体" w:hAnsi="宋体" w:eastAsia="宋体" w:cs="宋体"/>
                <w:color w:val="auto"/>
                <w:szCs w:val="21"/>
                <w:highlight w:val="none"/>
              </w:rPr>
              <w:t>均相同的投标文件，以技术分较高的排前；</w:t>
            </w:r>
            <w:r>
              <w:rPr>
                <w:rFonts w:hint="eastAsia"/>
                <w:color w:val="auto"/>
                <w:highlight w:val="none"/>
              </w:rPr>
              <w:t>总得分、投标总报价与技术分均相同</w:t>
            </w:r>
            <w:r>
              <w:rPr>
                <w:rFonts w:hint="eastAsia" w:ascii="宋体" w:hAnsi="宋体" w:eastAsia="宋体" w:cs="宋体"/>
                <w:color w:val="auto"/>
                <w:szCs w:val="21"/>
                <w:highlight w:val="none"/>
              </w:rPr>
              <w:t>，则对具有相同情况的投标人，由评标委员会采用记名投票方式，确定</w:t>
            </w:r>
            <w:r>
              <w:rPr>
                <w:rFonts w:hint="eastAsia" w:ascii="宋体" w:hAnsi="宋体" w:eastAsia="宋体" w:cs="宋体"/>
                <w:color w:val="auto"/>
                <w:szCs w:val="21"/>
                <w:highlight w:val="none"/>
                <w:lang w:val="en-US" w:eastAsia="zh-CN"/>
              </w:rPr>
              <w:t>投标报价</w:t>
            </w:r>
            <w:r>
              <w:rPr>
                <w:rFonts w:hint="eastAsia" w:ascii="宋体" w:hAnsi="宋体" w:eastAsia="宋体" w:cs="宋体"/>
                <w:color w:val="auto"/>
                <w:szCs w:val="21"/>
                <w:highlight w:val="none"/>
              </w:rPr>
              <w:t>低</w:t>
            </w:r>
            <w:r>
              <w:rPr>
                <w:rFonts w:hint="eastAsia" w:ascii="宋体" w:hAnsi="宋体" w:eastAsia="宋体" w:cs="宋体"/>
                <w:color w:val="auto"/>
                <w:szCs w:val="21"/>
                <w:highlight w:val="none"/>
                <w:lang w:val="en-US" w:eastAsia="zh-CN"/>
              </w:rPr>
              <w:t>于</w:t>
            </w:r>
            <w:r>
              <w:rPr>
                <w:rFonts w:hint="eastAsia" w:ascii="宋体" w:hAnsi="宋体" w:eastAsia="宋体" w:cs="宋体"/>
                <w:color w:val="auto"/>
                <w:szCs w:val="21"/>
                <w:highlight w:val="none"/>
              </w:rPr>
              <w:t>成本警示价</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投标人排序。</w:t>
            </w:r>
          </w:p>
          <w:p>
            <w:pPr>
              <w:numPr>
                <w:ilvl w:val="0"/>
                <w:numId w:val="0"/>
              </w:numPr>
              <w:spacing w:line="24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（2）</w:t>
            </w:r>
            <w:r>
              <w:rPr>
                <w:rFonts w:hint="eastAsia" w:ascii="宋体" w:hAnsi="宋体" w:eastAsia="宋体" w:cs="宋体"/>
                <w:b/>
                <w:bCs/>
                <w:color w:val="auto"/>
                <w:szCs w:val="21"/>
                <w:highlight w:val="none"/>
                <w:lang w:val="en-US" w:eastAsia="zh-CN"/>
              </w:rPr>
              <w:t>确定投标报价</w:t>
            </w:r>
            <w:r>
              <w:rPr>
                <w:rFonts w:hint="eastAsia" w:ascii="宋体" w:hAnsi="宋体" w:eastAsia="宋体" w:cs="宋体"/>
                <w:b/>
                <w:bCs/>
                <w:color w:val="auto"/>
                <w:szCs w:val="21"/>
                <w:highlight w:val="none"/>
              </w:rPr>
              <w:t>不低于成本</w:t>
            </w:r>
            <w:r>
              <w:rPr>
                <w:rFonts w:hint="eastAsia" w:ascii="宋体" w:hAnsi="宋体" w:eastAsia="宋体" w:cs="宋体"/>
                <w:b/>
                <w:bCs/>
                <w:color w:val="auto"/>
                <w:szCs w:val="21"/>
                <w:highlight w:val="none"/>
                <w:lang w:eastAsia="zh-CN"/>
              </w:rPr>
              <w:t>警示</w:t>
            </w:r>
            <w:r>
              <w:rPr>
                <w:rFonts w:hint="eastAsia" w:ascii="宋体" w:hAnsi="宋体" w:eastAsia="宋体" w:cs="宋体"/>
                <w:b/>
                <w:bCs/>
                <w:color w:val="auto"/>
                <w:szCs w:val="21"/>
                <w:highlight w:val="none"/>
              </w:rPr>
              <w:t>价的投标人</w:t>
            </w:r>
            <w:r>
              <w:rPr>
                <w:rFonts w:hint="eastAsia" w:ascii="宋体" w:hAnsi="宋体" w:eastAsia="宋体" w:cs="宋体"/>
                <w:b/>
                <w:bCs/>
                <w:color w:val="auto"/>
                <w:szCs w:val="21"/>
                <w:highlight w:val="none"/>
                <w:lang w:val="en-US" w:eastAsia="zh-CN"/>
              </w:rPr>
              <w:t>排序：</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①</w:t>
            </w:r>
            <w:r>
              <w:rPr>
                <w:rFonts w:hint="eastAsia" w:ascii="宋体" w:hAnsi="宋体" w:eastAsia="宋体" w:cs="宋体"/>
                <w:color w:val="auto"/>
                <w:szCs w:val="21"/>
                <w:highlight w:val="none"/>
              </w:rPr>
              <w:t>对于</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报价不低于成本警示价的投标人，需要参加技术标、经济标的详细评审并排序。按照“总得分=技术分×技术分权重（20%）+经济分×经济分权重（80%）”的公式，计算各有效投标文件的总得分，并按照总得分从高到低排序。总得分相同的投标文件，以投标总报价较低的排前；总得分与</w:t>
            </w:r>
            <w:r>
              <w:rPr>
                <w:rFonts w:hint="eastAsia"/>
                <w:color w:val="auto"/>
                <w:highlight w:val="none"/>
              </w:rPr>
              <w:t>投标总报价</w:t>
            </w:r>
            <w:r>
              <w:rPr>
                <w:rFonts w:hint="eastAsia" w:ascii="宋体" w:hAnsi="宋体" w:eastAsia="宋体" w:cs="宋体"/>
                <w:color w:val="auto"/>
                <w:szCs w:val="21"/>
                <w:highlight w:val="none"/>
              </w:rPr>
              <w:t>均相同的投标文件，以技术分较高的排前；</w:t>
            </w:r>
            <w:r>
              <w:rPr>
                <w:rFonts w:hint="eastAsia"/>
                <w:color w:val="auto"/>
                <w:highlight w:val="none"/>
              </w:rPr>
              <w:t>总得分、投标总报价与技术分均相同</w:t>
            </w:r>
            <w:r>
              <w:rPr>
                <w:rFonts w:hint="eastAsia" w:ascii="宋体" w:hAnsi="宋体" w:eastAsia="宋体" w:cs="宋体"/>
                <w:color w:val="auto"/>
                <w:szCs w:val="21"/>
                <w:highlight w:val="none"/>
              </w:rPr>
              <w:t>，则对具有相同情况的投标人，由评标委员会采用记名投票方式，确定</w:t>
            </w:r>
            <w:r>
              <w:rPr>
                <w:rFonts w:hint="eastAsia" w:ascii="宋体" w:hAnsi="宋体" w:eastAsia="宋体" w:cs="宋体"/>
                <w:color w:val="auto"/>
                <w:szCs w:val="21"/>
                <w:highlight w:val="none"/>
                <w:lang w:val="en-US" w:eastAsia="zh-CN"/>
              </w:rPr>
              <w:t>投标报价不</w:t>
            </w:r>
            <w:r>
              <w:rPr>
                <w:rFonts w:hint="eastAsia" w:ascii="宋体" w:hAnsi="宋体" w:eastAsia="宋体" w:cs="宋体"/>
                <w:color w:val="auto"/>
                <w:szCs w:val="21"/>
                <w:highlight w:val="none"/>
              </w:rPr>
              <w:t>低</w:t>
            </w:r>
            <w:r>
              <w:rPr>
                <w:rFonts w:hint="eastAsia" w:ascii="宋体" w:hAnsi="宋体" w:eastAsia="宋体" w:cs="宋体"/>
                <w:color w:val="auto"/>
                <w:szCs w:val="21"/>
                <w:highlight w:val="none"/>
                <w:lang w:val="en-US" w:eastAsia="zh-CN"/>
              </w:rPr>
              <w:t>于</w:t>
            </w:r>
            <w:r>
              <w:rPr>
                <w:rFonts w:hint="eastAsia" w:ascii="宋体" w:hAnsi="宋体" w:eastAsia="宋体" w:cs="宋体"/>
                <w:color w:val="auto"/>
                <w:szCs w:val="21"/>
                <w:highlight w:val="none"/>
              </w:rPr>
              <w:t>成本警示价</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投标人排序。</w:t>
            </w:r>
          </w:p>
          <w:p>
            <w:pPr>
              <w:rPr>
                <w:rFonts w:ascii="宋体" w:hAnsi="宋体"/>
                <w:color w:val="auto"/>
                <w:szCs w:val="21"/>
                <w:highlight w:val="none"/>
              </w:rPr>
            </w:pPr>
            <w:r>
              <w:rPr>
                <w:rFonts w:hint="eastAsia" w:ascii="宋体" w:hAnsi="宋体" w:eastAsia="宋体" w:cs="宋体"/>
                <w:color w:val="auto"/>
                <w:sz w:val="21"/>
                <w:szCs w:val="21"/>
                <w:highlight w:val="none"/>
                <w:u w:val="single"/>
              </w:rPr>
              <w:t>注：记名投票方式确定排序的具体操作步骤为：由评标委员会对出现该情况的投标人采取记名投票的方式确定，按得票数从高到低排列先后次序，以得票数高的排前，根据得票数高低确定合格中标候选人排序。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3</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13.4</w:t>
            </w:r>
            <w:r>
              <w:rPr>
                <w:rFonts w:hint="eastAsia" w:ascii="宋体" w:hAnsi="宋体"/>
                <w:color w:val="auto"/>
                <w:szCs w:val="21"/>
                <w:highlight w:val="none"/>
              </w:rPr>
              <w:t>、</w:t>
            </w:r>
            <w:r>
              <w:rPr>
                <w:rFonts w:ascii="宋体" w:hAnsi="宋体"/>
                <w:color w:val="auto"/>
                <w:szCs w:val="21"/>
                <w:highlight w:val="none"/>
              </w:rPr>
              <w:t>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s="宋体"/>
                <w:color w:val="auto"/>
                <w:szCs w:val="21"/>
                <w:highlight w:val="none"/>
                <w:u w:val="single"/>
              </w:rPr>
              <w:t>详见招标文件及相关合同条款。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建设工程质量检测单位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36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□不允许分包；</w:t>
            </w:r>
          </w:p>
          <w:p>
            <w:pPr>
              <w:shd w:val="clear" w:color="auto" w:fill="auto"/>
              <w:spacing w:line="276" w:lineRule="auto"/>
              <w:ind w:firstLine="0" w:firstLineChars="0"/>
              <w:rPr>
                <w:rFonts w:ascii="宋体" w:hAnsi="宋体"/>
                <w:color w:val="auto"/>
                <w:kern w:val="0"/>
                <w:szCs w:val="21"/>
                <w:highlight w:val="none"/>
                <w:u w:val="single"/>
                <w:lang w:val="zh-CN"/>
              </w:rPr>
            </w:pPr>
            <w:r>
              <w:rPr>
                <w:rFonts w:hint="eastAsia" w:ascii="宋体" w:hAnsi="宋体" w:cs="宋体"/>
                <w:color w:val="auto"/>
                <w:highlight w:val="none"/>
              </w:rPr>
              <w:t>■</w:t>
            </w:r>
            <w:r>
              <w:rPr>
                <w:rFonts w:hint="eastAsia" w:ascii="宋体" w:hAnsi="宋体" w:cs="宋体"/>
                <w:color w:val="auto"/>
                <w:kern w:val="0"/>
                <w:szCs w:val="21"/>
                <w:highlight w:val="none"/>
                <w:lang w:val="zh-CN"/>
              </w:rPr>
              <w:t>允许：</w:t>
            </w:r>
            <w:r>
              <w:rPr>
                <w:rFonts w:hint="eastAsia" w:ascii="宋体" w:hAnsi="宋体"/>
                <w:color w:val="auto"/>
                <w:kern w:val="0"/>
                <w:szCs w:val="21"/>
                <w:highlight w:val="none"/>
                <w:lang w:val="zh-CN"/>
              </w:rPr>
              <w:t>分包内容要求：</w:t>
            </w:r>
            <w:r>
              <w:rPr>
                <w:rFonts w:hint="eastAsia" w:ascii="宋体" w:hAnsi="宋体" w:cs="宋体"/>
                <w:color w:val="auto"/>
                <w:sz w:val="21"/>
                <w:szCs w:val="21"/>
                <w:highlight w:val="none"/>
                <w:u w:val="single"/>
                <w:lang w:val="zh-CN"/>
              </w:rPr>
              <w:t>依法分包，具体按照合同约定并经招标人同意</w:t>
            </w:r>
            <w:r>
              <w:rPr>
                <w:rFonts w:hint="eastAsia" w:ascii="宋体" w:hAnsi="宋体" w:eastAsia="宋体" w:cs="宋体"/>
                <w:color w:val="auto"/>
                <w:szCs w:val="21"/>
                <w:highlight w:val="none"/>
                <w:u w:val="single"/>
              </w:rPr>
              <w:t>。</w:t>
            </w:r>
          </w:p>
          <w:p>
            <w:pPr>
              <w:shd w:val="clear" w:color="auto" w:fill="auto"/>
              <w:spacing w:line="276" w:lineRule="auto"/>
              <w:ind w:firstLine="840" w:firstLineChars="400"/>
              <w:rPr>
                <w:rFonts w:hint="eastAsia" w:ascii="宋体" w:hAnsi="宋体" w:eastAsia="宋体" w:cs="宋体"/>
                <w:color w:val="auto"/>
                <w:sz w:val="21"/>
                <w:szCs w:val="21"/>
                <w:highlight w:val="none"/>
                <w:u w:val="single"/>
              </w:rPr>
            </w:pPr>
            <w:r>
              <w:rPr>
                <w:rFonts w:hint="eastAsia" w:ascii="宋体" w:hAnsi="宋体"/>
                <w:color w:val="auto"/>
                <w:kern w:val="0"/>
                <w:szCs w:val="21"/>
                <w:highlight w:val="none"/>
                <w:lang w:val="zh-CN"/>
              </w:rPr>
              <w:t>分包金额要求：</w:t>
            </w:r>
            <w:r>
              <w:rPr>
                <w:rFonts w:hint="eastAsia" w:ascii="宋体" w:hAnsi="宋体" w:eastAsia="宋体" w:cs="宋体"/>
                <w:color w:val="auto"/>
                <w:sz w:val="21"/>
                <w:szCs w:val="21"/>
                <w:highlight w:val="none"/>
                <w:u w:val="single"/>
              </w:rPr>
              <w:t>按照合同约定并经招标人同意。</w:t>
            </w:r>
          </w:p>
          <w:p>
            <w:pPr>
              <w:shd w:val="clear" w:color="auto" w:fill="auto"/>
              <w:spacing w:line="276" w:lineRule="auto"/>
              <w:ind w:firstLine="840" w:firstLineChars="400"/>
              <w:rPr>
                <w:rFonts w:ascii="宋体" w:hAnsi="宋体"/>
                <w:color w:val="auto"/>
                <w:kern w:val="0"/>
                <w:szCs w:val="21"/>
                <w:highlight w:val="none"/>
                <w:lang w:val="zh-CN"/>
              </w:rPr>
            </w:pPr>
            <w:r>
              <w:rPr>
                <w:rFonts w:hint="eastAsia" w:ascii="宋体" w:hAnsi="宋体"/>
                <w:color w:val="auto"/>
                <w:kern w:val="0"/>
                <w:szCs w:val="21"/>
                <w:highlight w:val="none"/>
                <w:lang w:val="zh-CN"/>
              </w:rPr>
              <w:t>对分包人的资质要求：</w:t>
            </w:r>
            <w:r>
              <w:rPr>
                <w:rFonts w:hint="eastAsia" w:ascii="宋体" w:hAnsi="宋体" w:eastAsia="宋体" w:cs="宋体"/>
                <w:color w:val="auto"/>
                <w:szCs w:val="21"/>
                <w:highlight w:val="none"/>
                <w:u w:val="single"/>
              </w:rPr>
              <w:t>符合有关法律法规和文件规定，并不得再次分包。</w:t>
            </w:r>
          </w:p>
          <w:p>
            <w:pPr>
              <w:rPr>
                <w:rFonts w:ascii="宋体" w:hAnsi="宋体" w:cs="宋体"/>
                <w:color w:val="auto"/>
                <w:szCs w:val="21"/>
                <w:highlight w:val="none"/>
                <w:u w:val="single"/>
                <w:lang w:val="zh-CN"/>
              </w:rPr>
            </w:pPr>
            <w:r>
              <w:rPr>
                <w:rFonts w:hint="eastAsia" w:ascii="宋体" w:hAnsi="宋体"/>
                <w:color w:val="auto"/>
                <w:kern w:val="0"/>
                <w:szCs w:val="21"/>
                <w:highlight w:val="none"/>
                <w:lang w:val="zh-CN"/>
              </w:rPr>
              <w:t>对分包人的其他要求：</w:t>
            </w:r>
            <w:r>
              <w:rPr>
                <w:rFonts w:hint="eastAsia" w:ascii="宋体" w:hAnsi="宋体" w:eastAsia="宋体" w:cs="宋体"/>
                <w:color w:val="auto"/>
                <w:szCs w:val="21"/>
                <w:highlight w:val="none"/>
                <w:u w:val="single"/>
                <w:lang w:eastAsia="zh-CN"/>
              </w:rPr>
              <w:t>按合同约定。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highlight w:val="none"/>
              </w:rPr>
            </w:pPr>
            <w:r>
              <w:rPr>
                <w:rFonts w:hint="eastAsia" w:ascii="宋体" w:hAnsi="宋体"/>
                <w:color w:val="auto"/>
                <w:highlight w:val="none"/>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color w:val="auto"/>
                <w:szCs w:val="21"/>
                <w:highlight w:val="none"/>
              </w:rPr>
            </w:pPr>
            <w:r>
              <w:rPr>
                <w:rFonts w:hint="eastAsia" w:ascii="宋体" w:hAnsi="宋体" w:cs="Courier New"/>
                <w:color w:val="auto"/>
                <w:szCs w:val="21"/>
                <w:highlight w:val="none"/>
              </w:rPr>
              <w:t>1、按照</w:t>
            </w:r>
            <w:r>
              <w:rPr>
                <w:rFonts w:hint="eastAsia" w:ascii="宋体" w:hAnsi="宋体" w:cs="宋体"/>
                <w:color w:val="auto"/>
                <w:szCs w:val="21"/>
                <w:highlight w:val="none"/>
                <w:u w:val="single"/>
              </w:rPr>
              <w:t>广州交易集团有限公司（广州公共资源交易中心）</w:t>
            </w:r>
            <w:r>
              <w:rPr>
                <w:rFonts w:hint="eastAsia" w:ascii="宋体" w:hAnsi="宋体" w:cs="Courier New"/>
                <w:color w:val="auto"/>
                <w:szCs w:val="21"/>
                <w:highlight w:val="none"/>
              </w:rPr>
              <w:t>交易平台关于全流程电子化项目的相关指南进行操作。详见：</w:t>
            </w:r>
            <w:r>
              <w:rPr>
                <w:rFonts w:hint="eastAsia" w:ascii="宋体" w:hAnsi="宋体" w:cs="宋体"/>
                <w:color w:val="auto"/>
                <w:szCs w:val="21"/>
                <w:highlight w:val="none"/>
                <w:u w:val="single"/>
              </w:rPr>
              <w:t>广州交易集团有限公司（广州公共资源交易中心）网站最新指引</w:t>
            </w:r>
            <w:r>
              <w:rPr>
                <w:rFonts w:hint="eastAsia" w:ascii="宋体" w:hAnsi="宋体" w:cs="Courier New"/>
                <w:color w:val="auto"/>
                <w:szCs w:val="21"/>
                <w:highlight w:val="none"/>
              </w:rPr>
              <w:t xml:space="preserve">。  </w:t>
            </w:r>
          </w:p>
          <w:p>
            <w:pPr>
              <w:rPr>
                <w:rFonts w:ascii="宋体" w:hAnsi="宋体" w:cs="Courier New"/>
                <w:color w:val="auto"/>
                <w:szCs w:val="21"/>
                <w:highlight w:val="none"/>
              </w:rPr>
            </w:pPr>
            <w:r>
              <w:rPr>
                <w:rFonts w:hint="eastAsia" w:ascii="宋体" w:hAnsi="宋体" w:cs="Courier New"/>
                <w:color w:val="auto"/>
                <w:szCs w:val="21"/>
                <w:highlight w:val="none"/>
              </w:rPr>
              <w:t>2、提交投标文件光盘</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或U盘）</w:t>
            </w:r>
            <w:r>
              <w:rPr>
                <w:rFonts w:hint="eastAsia" w:ascii="宋体" w:hAnsi="宋体" w:cs="Courier New"/>
                <w:color w:val="auto"/>
                <w:szCs w:val="21"/>
                <w:highlight w:val="none"/>
              </w:rPr>
              <w:t>备用</w:t>
            </w:r>
          </w:p>
          <w:p>
            <w:pPr>
              <w:rPr>
                <w:rFonts w:ascii="宋体" w:hAnsi="宋体" w:cs="Courier New"/>
                <w:color w:val="auto"/>
                <w:szCs w:val="21"/>
                <w:highlight w:val="none"/>
              </w:rPr>
            </w:pPr>
            <w:r>
              <w:rPr>
                <w:rFonts w:hint="eastAsia" w:ascii="宋体" w:hAnsi="宋体" w:cs="Courier New"/>
                <w:color w:val="auto"/>
                <w:szCs w:val="21"/>
                <w:highlight w:val="none"/>
              </w:rPr>
              <w:t>投标人可制作非加密</w:t>
            </w:r>
            <w:r>
              <w:rPr>
                <w:rFonts w:hint="eastAsia" w:ascii="宋体" w:hAnsi="宋体" w:cs="宋体"/>
                <w:color w:val="auto"/>
                <w:szCs w:val="21"/>
                <w:highlight w:val="none"/>
                <w:u w:val="single"/>
              </w:rPr>
              <w:t>盖章签字后</w:t>
            </w:r>
            <w:r>
              <w:rPr>
                <w:rFonts w:hint="eastAsia" w:ascii="宋体" w:hAnsi="宋体" w:cs="Courier New"/>
                <w:color w:val="auto"/>
                <w:szCs w:val="21"/>
                <w:highlight w:val="none"/>
              </w:rPr>
              <w:t>的电子投标文件（PDF格式）刻入光盘</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或U盘）</w:t>
            </w:r>
            <w:r>
              <w:rPr>
                <w:rFonts w:hint="eastAsia" w:ascii="宋体" w:hAnsi="宋体" w:cs="Courier New"/>
                <w:color w:val="auto"/>
                <w:szCs w:val="21"/>
                <w:highlight w:val="none"/>
              </w:rPr>
              <w:t>（1份），在投标须知前附表第18项规定的时间、地点提交备用。刻录好的投标文件光盘</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或U盘）</w:t>
            </w:r>
            <w:r>
              <w:rPr>
                <w:rFonts w:hint="eastAsia" w:ascii="宋体" w:hAnsi="宋体" w:cs="Courier New"/>
                <w:color w:val="auto"/>
                <w:szCs w:val="21"/>
                <w:highlight w:val="none"/>
              </w:rPr>
              <w:t>密封在密封袋中，并在封口处加盖投标人单位公章。密封袋上应写明项目名称和招标人名称。递交的光盘</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或U盘）</w:t>
            </w:r>
            <w:r>
              <w:rPr>
                <w:rFonts w:hint="eastAsia" w:ascii="宋体" w:hAnsi="宋体" w:cs="Courier New"/>
                <w:color w:val="auto"/>
                <w:szCs w:val="21"/>
                <w:highlight w:val="none"/>
              </w:rPr>
              <w:t>不得加密。光盘</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或U盘）</w:t>
            </w:r>
            <w:r>
              <w:rPr>
                <w:rFonts w:hint="eastAsia" w:ascii="宋体" w:hAnsi="宋体" w:cs="Courier New"/>
                <w:color w:val="auto"/>
                <w:szCs w:val="21"/>
                <w:highlight w:val="none"/>
              </w:rPr>
              <w:t>无法读取或导入的，则视为未提交备用投标文件光盘</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或U盘）</w:t>
            </w:r>
            <w:r>
              <w:rPr>
                <w:rFonts w:hint="eastAsia" w:ascii="宋体" w:hAnsi="宋体" w:cs="Courier New"/>
                <w:color w:val="auto"/>
                <w:szCs w:val="21"/>
                <w:highlight w:val="none"/>
              </w:rPr>
              <w:t>。如果投标人没有按规定通过交易平台网上递交电子投标文件的，不再读取提交的光盘</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或U盘）</w:t>
            </w:r>
            <w:r>
              <w:rPr>
                <w:rFonts w:hint="eastAsia" w:ascii="宋体" w:hAnsi="宋体" w:cs="Courier New"/>
                <w:color w:val="auto"/>
                <w:szCs w:val="21"/>
                <w:highlight w:val="none"/>
              </w:rPr>
              <w:t>。投标人也可不提交备用光盘</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或U盘）</w:t>
            </w:r>
            <w:r>
              <w:rPr>
                <w:rFonts w:hint="eastAsia" w:ascii="宋体" w:hAnsi="宋体" w:cs="Courier New"/>
                <w:color w:val="auto"/>
                <w:szCs w:val="21"/>
                <w:highlight w:val="none"/>
              </w:rPr>
              <w:t>。</w:t>
            </w:r>
          </w:p>
          <w:p>
            <w:pPr>
              <w:rPr>
                <w:rFonts w:ascii="宋体" w:hAnsi="宋体" w:cs="Courier New"/>
                <w:color w:val="auto"/>
                <w:szCs w:val="21"/>
                <w:highlight w:val="none"/>
              </w:rPr>
            </w:pPr>
            <w:r>
              <w:rPr>
                <w:rFonts w:hint="eastAsia" w:ascii="宋体" w:hAnsi="宋体" w:cs="Courier New"/>
                <w:color w:val="auto"/>
                <w:szCs w:val="21"/>
                <w:highlight w:val="none"/>
              </w:rPr>
              <w:t>3、补救方案</w:t>
            </w:r>
          </w:p>
          <w:p>
            <w:pPr>
              <w:rPr>
                <w:rFonts w:ascii="宋体" w:hAnsi="宋体" w:cs="Courier New"/>
                <w:color w:val="auto"/>
                <w:szCs w:val="21"/>
                <w:highlight w:val="none"/>
              </w:rPr>
            </w:pPr>
            <w:r>
              <w:rPr>
                <w:rFonts w:hint="eastAsia" w:ascii="宋体" w:hAnsi="宋体" w:cs="Courier New"/>
                <w:color w:val="auto"/>
                <w:szCs w:val="21"/>
                <w:highlight w:val="none"/>
              </w:rPr>
              <w:t>（1）投标文件解密失败的补救方案：</w:t>
            </w:r>
          </w:p>
          <w:p>
            <w:pPr>
              <w:rPr>
                <w:rFonts w:ascii="宋体" w:hAnsi="宋体" w:cs="Courier New"/>
                <w:color w:val="auto"/>
                <w:szCs w:val="21"/>
                <w:highlight w:val="none"/>
              </w:rPr>
            </w:pPr>
            <w:r>
              <w:rPr>
                <w:rFonts w:hint="eastAsia" w:ascii="宋体" w:hAnsi="宋体" w:cs="Courier New"/>
                <w:color w:val="auto"/>
                <w:szCs w:val="21"/>
                <w:highlight w:val="none"/>
              </w:rPr>
              <w:t>在规定时间内，因投标人之外原因(指网络瘫痪、服务器损坏、交易系统故障短期无法恢复)导致的电子投标文件解密失败，在开标现场读取光盘</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或U盘）</w:t>
            </w:r>
            <w:r>
              <w:rPr>
                <w:rFonts w:hint="eastAsia" w:ascii="宋体" w:hAnsi="宋体" w:cs="Courier New"/>
                <w:color w:val="auto"/>
                <w:szCs w:val="21"/>
                <w:highlight w:val="none"/>
              </w:rPr>
              <w:t>内容，继续开标程序。评标委员会对其投标文件的评审以光盘</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或U盘）</w:t>
            </w:r>
            <w:r>
              <w:rPr>
                <w:rFonts w:hint="eastAsia" w:ascii="宋体" w:hAnsi="宋体" w:cs="Courier New"/>
                <w:color w:val="auto"/>
                <w:szCs w:val="21"/>
                <w:highlight w:val="none"/>
              </w:rPr>
              <w:t>内容为准。因投标人之外原因解密失败且未递交电子光盘</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或U盘）</w:t>
            </w:r>
            <w:r>
              <w:rPr>
                <w:rFonts w:hint="eastAsia" w:ascii="宋体" w:hAnsi="宋体" w:cs="Courier New"/>
                <w:color w:val="auto"/>
                <w:szCs w:val="21"/>
                <w:highlight w:val="none"/>
              </w:rPr>
              <w:t>的，视为撤回投标文件。</w:t>
            </w:r>
          </w:p>
          <w:p>
            <w:pPr>
              <w:rPr>
                <w:rFonts w:ascii="宋体" w:hAnsi="宋体" w:cs="Courier New"/>
                <w:color w:val="auto"/>
                <w:szCs w:val="21"/>
                <w:highlight w:val="none"/>
              </w:rPr>
            </w:pPr>
            <w:r>
              <w:rPr>
                <w:rFonts w:hint="eastAsia" w:ascii="宋体" w:hAnsi="宋体" w:cs="Courier New"/>
                <w:color w:val="auto"/>
                <w:szCs w:val="21"/>
                <w:highlight w:val="none"/>
              </w:rPr>
              <w:t>（2）评标时突发情况的补救方案</w:t>
            </w:r>
          </w:p>
          <w:p>
            <w:pPr>
              <w:rPr>
                <w:rFonts w:ascii="宋体" w:hAnsi="宋体" w:cs="Courier New"/>
                <w:color w:val="auto"/>
                <w:szCs w:val="21"/>
                <w:highlight w:val="none"/>
              </w:rPr>
            </w:pPr>
            <w:r>
              <w:rPr>
                <w:rFonts w:hint="eastAsia" w:ascii="宋体" w:hAnsi="宋体" w:cs="Courier New"/>
                <w:color w:val="auto"/>
                <w:szCs w:val="21"/>
                <w:highlight w:val="none"/>
              </w:rPr>
              <w:t>若遇不可抗力发生（指网络瘫痪、服务器损坏、交易系统故障短期无法恢复等因素），由评标委员会开启投标人递交的全部投标文件光盘</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或U盘）</w:t>
            </w:r>
            <w:r>
              <w:rPr>
                <w:rFonts w:hint="eastAsia" w:ascii="宋体" w:hAnsi="宋体" w:cs="Courier New"/>
                <w:color w:val="auto"/>
                <w:szCs w:val="21"/>
                <w:highlight w:val="none"/>
              </w:rPr>
              <w:t>，并按光盘</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或U盘）</w:t>
            </w:r>
            <w:r>
              <w:rPr>
                <w:rFonts w:hint="eastAsia" w:ascii="宋体" w:hAnsi="宋体" w:cs="Courier New"/>
                <w:color w:val="auto"/>
                <w:szCs w:val="21"/>
                <w:highlight w:val="none"/>
              </w:rPr>
              <w:t>内容进行评审。</w:t>
            </w:r>
          </w:p>
          <w:p>
            <w:pPr>
              <w:rPr>
                <w:rFonts w:ascii="宋体" w:hAnsi="宋体" w:cs="宋体"/>
                <w:color w:val="auto"/>
                <w:szCs w:val="21"/>
                <w:highlight w:val="none"/>
              </w:rPr>
            </w:pPr>
            <w:r>
              <w:rPr>
                <w:rFonts w:hint="eastAsia" w:ascii="宋体" w:hAnsi="宋体" w:cs="Courier New"/>
                <w:color w:val="auto"/>
                <w:szCs w:val="21"/>
                <w:highlight w:val="none"/>
              </w:rPr>
              <w:t>（3）除发生上述情况外，开标评标均以投标人通过</w:t>
            </w:r>
            <w:r>
              <w:rPr>
                <w:rFonts w:hint="eastAsia" w:ascii="宋体" w:hAnsi="宋体" w:cs="宋体"/>
                <w:color w:val="auto"/>
                <w:szCs w:val="21"/>
                <w:highlight w:val="none"/>
                <w:u w:val="single"/>
              </w:rPr>
              <w:t>广州交易集团有限公司（广州公共资源交易中心）</w:t>
            </w:r>
            <w:r>
              <w:rPr>
                <w:rFonts w:hint="eastAsia" w:ascii="宋体" w:hAnsi="宋体" w:cs="Courier New"/>
                <w:color w:val="auto"/>
                <w:szCs w:val="21"/>
                <w:highlight w:val="none"/>
              </w:rPr>
              <w:t>交易平台网上递交的电子投标文件（含电子定标文件）为准。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u w:val="single"/>
                <w:lang w:val="en-US" w:eastAsia="zh-CN" w:bidi="ar-SA"/>
              </w:rPr>
            </w:pPr>
            <w:r>
              <w:rPr>
                <w:rFonts w:hint="eastAsia" w:ascii="宋体" w:hAnsi="宋体"/>
                <w:color w:val="auto"/>
                <w:szCs w:val="21"/>
                <w:highlight w:val="none"/>
                <w:u w:val="single"/>
              </w:rPr>
              <w:t>38</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s="宋体"/>
                <w:color w:val="auto"/>
                <w:szCs w:val="21"/>
                <w:highlight w:val="none"/>
              </w:rPr>
              <w:t>招标人对中标人参与“百千万工程”的具体要求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color w:val="auto"/>
                <w:szCs w:val="21"/>
                <w:highlight w:val="none"/>
              </w:rPr>
            </w:pPr>
            <w:r>
              <w:rPr>
                <w:rFonts w:hint="eastAsia" w:ascii="宋体" w:hAnsi="宋体" w:cs="Courier New"/>
                <w:color w:val="auto"/>
                <w:szCs w:val="21"/>
                <w:highlight w:val="none"/>
              </w:rPr>
              <w:t>说明与要求：</w:t>
            </w:r>
          </w:p>
          <w:p>
            <w:pPr>
              <w:rPr>
                <w:rFonts w:ascii="宋体" w:hAnsi="宋体" w:cs="宋体"/>
                <w:color w:val="auto"/>
                <w:szCs w:val="21"/>
                <w:highlight w:val="none"/>
              </w:rPr>
            </w:pPr>
            <w:r>
              <w:rPr>
                <w:rFonts w:hint="eastAsia" w:ascii="宋体" w:hAnsi="宋体" w:cs="宋体"/>
                <w:color w:val="auto"/>
                <w:kern w:val="0"/>
                <w:szCs w:val="21"/>
                <w:highlight w:val="none"/>
                <w:lang w:val="zh-CN"/>
              </w:rPr>
              <w:t>☑</w:t>
            </w:r>
            <w:r>
              <w:rPr>
                <w:rFonts w:hint="eastAsia" w:ascii="宋体" w:hAnsi="宋体" w:cs="Courier New"/>
                <w:color w:val="auto"/>
                <w:szCs w:val="21"/>
                <w:highlight w:val="none"/>
              </w:rPr>
              <w:t>具体要求在中标后按照投标承诺和招标人的要求执行。</w:t>
            </w:r>
            <w:r>
              <w:rPr>
                <w:rFonts w:hint="eastAsia" w:ascii="宋体" w:hAnsi="宋体" w:cs="Courier New"/>
                <w:color w:val="auto"/>
                <w:szCs w:val="21"/>
                <w:highlight w:val="none"/>
                <w:u w:val="single"/>
              </w:rPr>
              <w:t>如政府部门有“百千万工程”相关要求，中标人须无条件配合。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u w:val="single"/>
                <w:lang w:val="en-US" w:eastAsia="zh-CN" w:bidi="ar-SA"/>
              </w:rPr>
            </w:pPr>
            <w:r>
              <w:rPr>
                <w:rFonts w:hint="eastAsia" w:ascii="宋体" w:hAnsi="宋体"/>
                <w:color w:val="auto"/>
                <w:szCs w:val="21"/>
                <w:highlight w:val="none"/>
                <w:u w:val="single"/>
              </w:rPr>
              <w:t>39</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highlight w:val="none"/>
              </w:rPr>
            </w:pPr>
            <w:r>
              <w:rPr>
                <w:rFonts w:hint="eastAsia" w:ascii="宋体" w:hAnsi="宋体" w:cs="宋体"/>
                <w:color w:val="auto"/>
                <w:szCs w:val="21"/>
                <w:highlight w:val="none"/>
                <w:u w:val="single"/>
              </w:rPr>
              <w:t>招标人拒绝接收投标文件备用光盘的情况</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u w:val="single"/>
              </w:rPr>
            </w:pPr>
            <w:r>
              <w:rPr>
                <w:rFonts w:hint="eastAsia" w:ascii="宋体" w:hAnsi="宋体" w:cs="宋体"/>
                <w:color w:val="auto"/>
                <w:szCs w:val="21"/>
                <w:highlight w:val="none"/>
                <w:u w:val="single"/>
              </w:rPr>
              <w:t>1、在投标截止期后逾期或未在指定地点递交投标文件备用光盘</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或U盘）</w:t>
            </w:r>
            <w:r>
              <w:rPr>
                <w:rFonts w:hint="eastAsia" w:ascii="宋体" w:hAnsi="宋体" w:cs="宋体"/>
                <w:color w:val="auto"/>
                <w:szCs w:val="21"/>
                <w:highlight w:val="none"/>
                <w:u w:val="single"/>
              </w:rPr>
              <w:t>的；</w:t>
            </w:r>
          </w:p>
          <w:p>
            <w:pPr>
              <w:rPr>
                <w:rFonts w:ascii="宋体" w:hAnsi="宋体" w:cs="宋体"/>
                <w:color w:val="auto"/>
                <w:szCs w:val="21"/>
                <w:highlight w:val="none"/>
                <w:u w:val="single"/>
              </w:rPr>
            </w:pPr>
            <w:r>
              <w:rPr>
                <w:rFonts w:hint="eastAsia" w:ascii="宋体" w:hAnsi="宋体" w:cs="宋体"/>
                <w:color w:val="auto"/>
                <w:szCs w:val="21"/>
                <w:highlight w:val="none"/>
                <w:u w:val="single"/>
              </w:rPr>
              <w:t>2、投标文件备用光盘</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或U盘）</w:t>
            </w:r>
            <w:r>
              <w:rPr>
                <w:rFonts w:hint="eastAsia" w:ascii="宋体" w:hAnsi="宋体" w:cs="宋体"/>
                <w:color w:val="auto"/>
                <w:szCs w:val="21"/>
                <w:highlight w:val="none"/>
                <w:u w:val="single"/>
              </w:rPr>
              <w:t>未按招标文件要求密封或未在密封处盖章的；</w:t>
            </w:r>
          </w:p>
          <w:p>
            <w:pPr>
              <w:rPr>
                <w:rFonts w:ascii="宋体" w:hAnsi="宋体" w:cs="宋体"/>
                <w:color w:val="auto"/>
                <w:szCs w:val="21"/>
                <w:highlight w:val="none"/>
                <w:u w:val="single"/>
              </w:rPr>
            </w:pPr>
            <w:r>
              <w:rPr>
                <w:rFonts w:hint="eastAsia" w:ascii="宋体" w:hAnsi="宋体" w:cs="宋体"/>
                <w:color w:val="auto"/>
                <w:szCs w:val="21"/>
                <w:highlight w:val="none"/>
                <w:u w:val="single"/>
              </w:rPr>
              <w:t>3、投标人代表未凭法定代表人证明书（原件）、授权委托书原件（仅限于非法定代表人）、本人身份证原件及授权委托人</w:t>
            </w:r>
            <w:r>
              <w:rPr>
                <w:rFonts w:hint="eastAsia" w:ascii="宋体" w:hAnsi="宋体" w:cs="宋体"/>
                <w:color w:val="auto"/>
                <w:szCs w:val="21"/>
                <w:highlight w:val="none"/>
                <w:u w:val="single"/>
                <w:lang w:eastAsia="zh-CN"/>
              </w:rPr>
              <w:t>离</w:t>
            </w:r>
            <w:r>
              <w:rPr>
                <w:rFonts w:hint="eastAsia" w:ascii="宋体" w:hAnsi="宋体" w:cs="宋体"/>
                <w:color w:val="auto"/>
                <w:szCs w:val="21"/>
                <w:highlight w:val="none"/>
                <w:u w:val="single"/>
              </w:rPr>
              <w:t>投标截止时间</w:t>
            </w:r>
            <w:r>
              <w:rPr>
                <w:rFonts w:hint="eastAsia" w:ascii="宋体" w:hAnsi="宋体" w:cs="宋体"/>
                <w:color w:val="auto"/>
                <w:szCs w:val="21"/>
                <w:highlight w:val="none"/>
                <w:u w:val="single"/>
                <w:lang w:eastAsia="zh-CN"/>
              </w:rPr>
              <w:t>最</w:t>
            </w:r>
            <w:r>
              <w:rPr>
                <w:rFonts w:hint="eastAsia" w:ascii="宋体" w:hAnsi="宋体" w:cs="宋体"/>
                <w:color w:val="auto"/>
                <w:szCs w:val="21"/>
                <w:highlight w:val="none"/>
                <w:u w:val="single"/>
              </w:rPr>
              <w:t>近</w:t>
            </w:r>
            <w:r>
              <w:rPr>
                <w:rFonts w:hint="eastAsia" w:ascii="宋体" w:hAnsi="宋体" w:cs="宋体"/>
                <w:color w:val="auto"/>
                <w:szCs w:val="21"/>
                <w:highlight w:val="none"/>
                <w:u w:val="single"/>
                <w:lang w:eastAsia="zh-CN"/>
              </w:rPr>
              <w:t>的至少</w:t>
            </w:r>
            <w:r>
              <w:rPr>
                <w:rFonts w:hint="eastAsia" w:ascii="宋体" w:hAnsi="宋体" w:cs="宋体"/>
                <w:color w:val="auto"/>
                <w:szCs w:val="21"/>
                <w:highlight w:val="none"/>
                <w:u w:val="single"/>
              </w:rPr>
              <w:t>一个月（2025年</w:t>
            </w:r>
            <w:r>
              <w:rPr>
                <w:rFonts w:hint="eastAsia" w:ascii="宋体" w:hAnsi="宋体" w:cs="宋体"/>
                <w:color w:val="auto"/>
                <w:szCs w:val="21"/>
                <w:highlight w:val="none"/>
                <w:u w:val="single"/>
                <w:lang w:val="en-US" w:eastAsia="zh-CN"/>
              </w:rPr>
              <w:t>7</w:t>
            </w:r>
            <w:r>
              <w:rPr>
                <w:rFonts w:ascii="宋体" w:hAnsi="宋体" w:cs="宋体"/>
                <w:color w:val="auto"/>
                <w:szCs w:val="21"/>
                <w:highlight w:val="none"/>
                <w:u w:val="single"/>
              </w:rPr>
              <w:t>月或</w:t>
            </w:r>
            <w:r>
              <w:rPr>
                <w:rFonts w:hint="eastAsia" w:ascii="宋体" w:hAnsi="宋体" w:cs="宋体"/>
                <w:color w:val="auto"/>
                <w:szCs w:val="21"/>
                <w:highlight w:val="none"/>
                <w:u w:val="single"/>
                <w:lang w:val="en-US" w:eastAsia="zh-CN"/>
              </w:rPr>
              <w:t>8</w:t>
            </w:r>
            <w:r>
              <w:rPr>
                <w:rFonts w:ascii="宋体" w:hAnsi="宋体" w:cs="宋体"/>
                <w:color w:val="auto"/>
                <w:szCs w:val="21"/>
                <w:highlight w:val="none"/>
                <w:u w:val="single"/>
              </w:rPr>
              <w:t>月</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eastAsia="zh-CN"/>
              </w:rPr>
              <w:t>在本单位缴纳</w:t>
            </w:r>
            <w:r>
              <w:rPr>
                <w:rFonts w:hint="eastAsia" w:ascii="宋体" w:hAnsi="宋体" w:cs="宋体"/>
                <w:color w:val="auto"/>
                <w:szCs w:val="21"/>
                <w:highlight w:val="none"/>
                <w:u w:val="single"/>
              </w:rPr>
              <w:t>的</w:t>
            </w:r>
            <w:bookmarkStart w:id="2" w:name="OLE_LINK5"/>
            <w:r>
              <w:rPr>
                <w:rFonts w:hint="eastAsia" w:ascii="宋体" w:hAnsi="宋体" w:cs="宋体"/>
                <w:color w:val="auto"/>
                <w:szCs w:val="21"/>
                <w:highlight w:val="none"/>
                <w:u w:val="single"/>
              </w:rPr>
              <w:t>社保证明</w:t>
            </w:r>
            <w:bookmarkEnd w:id="2"/>
            <w:r>
              <w:rPr>
                <w:rFonts w:hint="eastAsia" w:ascii="宋体" w:hAnsi="宋体" w:cs="宋体"/>
                <w:color w:val="auto"/>
                <w:szCs w:val="21"/>
                <w:highlight w:val="none"/>
                <w:u w:val="single"/>
                <w:lang w:eastAsia="zh-CN"/>
              </w:rPr>
              <w:t>文件</w:t>
            </w:r>
            <w:r>
              <w:rPr>
                <w:rFonts w:hint="eastAsia" w:ascii="宋体" w:hAnsi="宋体" w:cs="宋体"/>
                <w:color w:val="auto"/>
                <w:szCs w:val="21"/>
                <w:highlight w:val="none"/>
                <w:u w:val="single"/>
              </w:rPr>
              <w:t>递交投标文件备用光盘</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或U盘）</w:t>
            </w:r>
            <w:r>
              <w:rPr>
                <w:rFonts w:hint="eastAsia" w:ascii="宋体" w:hAnsi="宋体" w:cs="宋体"/>
                <w:color w:val="auto"/>
                <w:szCs w:val="21"/>
                <w:highlight w:val="none"/>
                <w:u w:val="single"/>
              </w:rPr>
              <w:t>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default" w:ascii="宋体" w:hAnsi="宋体" w:eastAsia="宋体"/>
                <w:color w:val="auto"/>
                <w:szCs w:val="21"/>
                <w:highlight w:val="none"/>
                <w:u w:val="single"/>
                <w:lang w:val="en-US" w:eastAsia="zh-CN"/>
              </w:rPr>
            </w:pPr>
            <w:r>
              <w:rPr>
                <w:rFonts w:hint="eastAsia" w:ascii="宋体" w:hAnsi="宋体"/>
                <w:color w:val="auto"/>
                <w:szCs w:val="21"/>
                <w:highlight w:val="none"/>
                <w:u w:val="single"/>
                <w:lang w:val="en-US" w:eastAsia="zh-CN"/>
              </w:rPr>
              <w:t>40</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highlight w:val="none"/>
              </w:rPr>
            </w:pPr>
            <w:r>
              <w:rPr>
                <w:rFonts w:hint="eastAsia" w:ascii="宋体" w:hAnsi="宋体" w:cs="宋体"/>
                <w:color w:val="auto"/>
                <w:szCs w:val="21"/>
                <w:highlight w:val="none"/>
                <w:u w:val="single"/>
              </w:rPr>
              <w:t>中标公示后中标单位提交投标文件要求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u w:val="single"/>
              </w:rPr>
            </w:pPr>
            <w:r>
              <w:rPr>
                <w:rFonts w:hint="eastAsia" w:ascii="宋体" w:hAnsi="宋体" w:cs="宋体"/>
                <w:color w:val="auto"/>
                <w:szCs w:val="21"/>
                <w:highlight w:val="none"/>
                <w:u w:val="single"/>
              </w:rPr>
              <w:t>中标人在签订合同前需向招标人另行提供与投标递交的电子标书一致且加盖单位公章的纸质投标文件（含投标须知11.3列表明细包含的所有工程量清单报价表）4份及电子文件1份（不用生成投标书；包括用Microsoft Excel 软件或广州交易集团有限公司（广州公共资源交易中心）提供的投标书制作软件制作的工程量清单报价表和单价分析表，用 Microsoft Word 软件或广州交易集团有限公司（广州公共资源交易中心）提供的投标书制作软件制作的经济投标文件其他部分。电子文件介质使用CD-R光盘</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或U盘）</w:t>
            </w:r>
            <w:r>
              <w:rPr>
                <w:rFonts w:hint="eastAsia" w:ascii="宋体" w:hAnsi="宋体" w:cs="宋体"/>
                <w:color w:val="auto"/>
                <w:szCs w:val="21"/>
                <w:highlight w:val="none"/>
                <w:u w:val="single"/>
              </w:rPr>
              <w:t>，所有电子文件不能采用压缩处理</w:t>
            </w:r>
            <w:r>
              <w:rPr>
                <w:rFonts w:hint="eastAsia" w:ascii="宋体" w:hAnsi="宋体" w:cs="宋体"/>
                <w:color w:val="auto"/>
                <w:szCs w:val="21"/>
                <w:highlight w:val="none"/>
                <w:u w:val="single"/>
                <w:lang w:eastAsia="zh-CN"/>
              </w:rPr>
              <w:t>、无密码、无病毒</w:t>
            </w:r>
            <w:r>
              <w:rPr>
                <w:rFonts w:hint="eastAsia" w:ascii="宋体" w:hAnsi="宋体" w:cs="宋体"/>
                <w:color w:val="auto"/>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u w:val="single"/>
                <w:lang w:val="en-US" w:eastAsia="zh-CN" w:bidi="ar-SA"/>
              </w:rPr>
            </w:pPr>
            <w:r>
              <w:rPr>
                <w:rFonts w:hint="eastAsia" w:ascii="宋体" w:hAnsi="宋体"/>
                <w:color w:val="auto"/>
                <w:szCs w:val="21"/>
                <w:highlight w:val="none"/>
                <w:u w:val="single"/>
              </w:rPr>
              <w:t>41</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highlight w:val="none"/>
              </w:rPr>
            </w:pPr>
            <w:r>
              <w:rPr>
                <w:rFonts w:hint="eastAsia" w:ascii="宋体" w:hAnsi="宋体"/>
                <w:color w:val="auto"/>
                <w:szCs w:val="21"/>
                <w:highlight w:val="none"/>
                <w:u w:val="single"/>
              </w:rPr>
              <w:t>安全生产责任保险及绿色发展理念</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u w:val="single"/>
              </w:rPr>
            </w:pPr>
            <w:r>
              <w:rPr>
                <w:rFonts w:hint="eastAsia" w:ascii="宋体" w:hAnsi="宋体" w:cs="宋体"/>
                <w:color w:val="auto"/>
                <w:szCs w:val="21"/>
                <w:highlight w:val="none"/>
                <w:u w:val="single"/>
              </w:rPr>
              <w:t>1、开工前中标人应当投保安全生产责任保险，且该保险保障场所应包含中标项目。投标人的投标报价视为包含该项费用。中标人未按规定购买安全生产责任保险，招标人可视严重程度拒绝该单位一定时期内参与后续工程投标，在招标公告和合同专用条款中予以明确，并在后续工程招标时随招标公告发布拒绝投标名单（注明拒绝理由）。</w:t>
            </w:r>
          </w:p>
          <w:p>
            <w:pPr>
              <w:rPr>
                <w:rFonts w:ascii="宋体" w:hAnsi="宋体" w:cs="宋体"/>
                <w:color w:val="auto"/>
                <w:kern w:val="0"/>
                <w:szCs w:val="21"/>
                <w:highlight w:val="none"/>
                <w:u w:val="single"/>
                <w:lang w:val="zh-CN"/>
              </w:rPr>
            </w:pPr>
            <w:r>
              <w:rPr>
                <w:rFonts w:hint="eastAsia" w:ascii="宋体" w:hAnsi="宋体" w:cs="宋体"/>
                <w:color w:val="auto"/>
                <w:szCs w:val="21"/>
                <w:highlight w:val="none"/>
                <w:u w:val="single"/>
              </w:rPr>
              <w:t>2、为贯彻绿色发展理念，本项目应积极使用燃料电池汽车等新能源工程车，要求投标人投入的新能源工程车占投入的建筑垃圾自卸车（渣土车）总数比例不低于</w:t>
            </w:r>
            <w:r>
              <w:rPr>
                <w:rFonts w:hint="eastAsia" w:ascii="宋体" w:hAnsi="宋体" w:cs="宋体"/>
                <w:b/>
                <w:bCs/>
                <w:color w:val="auto"/>
                <w:szCs w:val="21"/>
                <w:highlight w:val="none"/>
                <w:u w:val="single"/>
              </w:rPr>
              <w:t>40%</w:t>
            </w:r>
            <w:r>
              <w:rPr>
                <w:rFonts w:hint="eastAsia" w:ascii="宋体" w:hAnsi="宋体" w:cs="宋体"/>
                <w:color w:val="auto"/>
                <w:szCs w:val="21"/>
                <w:highlight w:val="none"/>
                <w:u w:val="single"/>
              </w:rPr>
              <w:t>。一旦中标，必须全部到位，否则按合同违约处理。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u w:val="single"/>
                <w:lang w:val="en-US" w:eastAsia="zh-CN" w:bidi="ar-SA"/>
              </w:rPr>
            </w:pPr>
            <w:r>
              <w:rPr>
                <w:rFonts w:hint="eastAsia" w:ascii="宋体" w:hAnsi="宋体"/>
                <w:color w:val="auto"/>
                <w:szCs w:val="21"/>
                <w:highlight w:val="none"/>
                <w:u w:val="single"/>
              </w:rPr>
              <w:t>42</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highlight w:val="none"/>
              </w:rPr>
            </w:pPr>
            <w:r>
              <w:rPr>
                <w:rFonts w:hint="eastAsia" w:ascii="宋体" w:hAnsi="宋体"/>
                <w:color w:val="auto"/>
                <w:szCs w:val="21"/>
                <w:highlight w:val="none"/>
                <w:u w:val="single"/>
              </w:rPr>
              <w:t>是否授权评标委员会确定中标人</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color w:val="auto"/>
                <w:szCs w:val="21"/>
                <w:highlight w:val="none"/>
              </w:rPr>
            </w:pPr>
            <w:r>
              <w:rPr>
                <w:rFonts w:hint="eastAsia" w:ascii="宋体" w:hAnsi="宋体" w:cs="宋体"/>
                <w:color w:val="auto"/>
                <w:szCs w:val="21"/>
                <w:highlight w:val="none"/>
                <w:u w:val="single"/>
              </w:rPr>
              <w:t>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default" w:ascii="宋体" w:hAnsi="宋体" w:eastAsia="宋体"/>
                <w:color w:val="auto"/>
                <w:szCs w:val="21"/>
                <w:highlight w:val="none"/>
                <w:u w:val="single"/>
                <w:lang w:val="en-US" w:eastAsia="zh-CN"/>
              </w:rPr>
            </w:pPr>
            <w:r>
              <w:rPr>
                <w:rFonts w:hint="eastAsia" w:ascii="宋体" w:hAnsi="宋体"/>
                <w:color w:val="auto"/>
                <w:szCs w:val="21"/>
                <w:highlight w:val="none"/>
                <w:u w:val="single"/>
                <w:lang w:val="en-US" w:eastAsia="zh-CN"/>
              </w:rPr>
              <w:t>43</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highlight w:val="none"/>
              </w:rPr>
            </w:pPr>
            <w:r>
              <w:rPr>
                <w:rFonts w:hint="eastAsia" w:ascii="宋体" w:hAnsi="宋体"/>
                <w:color w:val="auto"/>
                <w:szCs w:val="21"/>
                <w:highlight w:val="none"/>
                <w:u w:val="single"/>
              </w:rPr>
              <w:t>经济标评审优惠政策</w:t>
            </w:r>
          </w:p>
        </w:tc>
        <w:tc>
          <w:tcPr>
            <w:tcW w:w="5857" w:type="dxa"/>
            <w:tcBorders>
              <w:top w:val="single" w:color="auto" w:sz="4" w:space="0"/>
              <w:left w:val="single" w:color="auto" w:sz="4" w:space="0"/>
              <w:bottom w:val="single" w:color="auto" w:sz="4" w:space="0"/>
              <w:right w:val="double" w:color="auto" w:sz="4" w:space="0"/>
            </w:tcBorders>
            <w:vAlign w:val="center"/>
          </w:tcPr>
          <w:p>
            <w:pPr>
              <w:shd w:val="clear" w:color="auto" w:fill="auto"/>
              <w:spacing w:line="360" w:lineRule="exact"/>
              <w:rPr>
                <w:rFonts w:hint="eastAsia" w:ascii="宋体" w:hAnsi="宋体"/>
                <w:color w:val="auto"/>
                <w:szCs w:val="21"/>
                <w:highlight w:val="none"/>
                <w:u w:val="single"/>
              </w:rPr>
            </w:pPr>
            <w:r>
              <w:rPr>
                <w:rFonts w:hint="eastAsia" w:ascii="宋体" w:hAnsi="宋体"/>
                <w:color w:val="auto"/>
                <w:szCs w:val="21"/>
                <w:highlight w:val="none"/>
                <w:u w:val="single"/>
              </w:rPr>
              <w:t>1.根据《广东省政府采购促进中小企业发展实施细则(试行)》要求，对符合《政府采购促进中小企业发展管理办法》的投标人，给予相应的价格评审优惠。</w:t>
            </w:r>
          </w:p>
          <w:p>
            <w:pPr>
              <w:shd w:val="clear" w:color="auto" w:fill="auto"/>
              <w:spacing w:line="360" w:lineRule="exact"/>
              <w:rPr>
                <w:rFonts w:hint="eastAsia" w:ascii="宋体" w:hAnsi="宋体"/>
                <w:color w:val="auto"/>
                <w:szCs w:val="21"/>
                <w:highlight w:val="none"/>
                <w:u w:val="single"/>
              </w:rPr>
            </w:pPr>
            <w:r>
              <w:rPr>
                <w:rFonts w:hint="eastAsia" w:ascii="宋体" w:hAnsi="宋体"/>
                <w:color w:val="auto"/>
                <w:szCs w:val="21"/>
                <w:highlight w:val="none"/>
                <w:u w:val="single"/>
              </w:rPr>
              <w:t>2.本招标项目评标计算价格分时</w:t>
            </w:r>
            <w:r>
              <w:rPr>
                <w:rFonts w:hint="eastAsia" w:ascii="宋体" w:hAnsi="宋体" w:cs="宋体"/>
                <w:b/>
                <w:bCs/>
                <w:color w:val="auto"/>
                <w:sz w:val="21"/>
                <w:szCs w:val="21"/>
                <w:highlight w:val="none"/>
                <w:u w:val="single"/>
                <w:lang w:val="en-US" w:eastAsia="zh-CN"/>
              </w:rPr>
              <w:t>（投标报价低于成本警示价的投标单位除外）</w:t>
            </w:r>
            <w:r>
              <w:rPr>
                <w:rFonts w:hint="eastAsia" w:ascii="宋体" w:hAnsi="宋体"/>
                <w:color w:val="auto"/>
                <w:szCs w:val="21"/>
                <w:highlight w:val="none"/>
                <w:u w:val="single"/>
              </w:rPr>
              <w:t>，对小微企业投标的，在采用原报价进行评分的基础上增加其价格得分的5%作为其价格分</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对大中型企业与小微企业组成联合体或者允许大中型企业向一家或者多家小微企业分包(联合协议或者</w:t>
            </w:r>
            <w:r>
              <w:rPr>
                <w:rFonts w:hint="eastAsia" w:ascii="宋体" w:hAnsi="宋体"/>
                <w:color w:val="auto"/>
                <w:szCs w:val="21"/>
                <w:highlight w:val="none"/>
                <w:u w:val="single"/>
                <w:lang w:eastAsia="zh-CN"/>
              </w:rPr>
              <w:t>分包意向协议书</w:t>
            </w:r>
            <w:r>
              <w:rPr>
                <w:rFonts w:hint="eastAsia" w:ascii="宋体" w:hAnsi="宋体"/>
                <w:color w:val="auto"/>
                <w:szCs w:val="21"/>
                <w:highlight w:val="none"/>
                <w:u w:val="single"/>
              </w:rPr>
              <w:t>约定小微企业的合同份额占到合同总金额30%</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含</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以上)的，在采用原报价进行评分的基础上增加其价格得分的2%作为其价格分。若原报价己满分，仍可突破满分上限继续享受加分优惠，以实际计算结果作为最终价格分。</w:t>
            </w:r>
          </w:p>
          <w:p>
            <w:pPr>
              <w:shd w:val="clear" w:color="auto" w:fill="auto"/>
              <w:spacing w:line="360" w:lineRule="exact"/>
              <w:rPr>
                <w:rFonts w:hint="eastAsia" w:ascii="宋体" w:hAnsi="宋体"/>
                <w:color w:val="auto"/>
                <w:szCs w:val="21"/>
                <w:highlight w:val="none"/>
                <w:u w:val="single"/>
              </w:rPr>
            </w:pPr>
            <w:r>
              <w:rPr>
                <w:rFonts w:hint="eastAsia" w:ascii="宋体" w:hAnsi="宋体"/>
                <w:color w:val="auto"/>
                <w:szCs w:val="21"/>
                <w:highlight w:val="none"/>
                <w:u w:val="single"/>
              </w:rPr>
              <w:t>3.投标人应按《政府采购促进中小企业发展管理办法》规定出具《中小企业声明函》(格式详见第四章投标文件格式)，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pPr>
              <w:shd w:val="clear" w:color="auto" w:fill="auto"/>
              <w:spacing w:line="360" w:lineRule="exact"/>
              <w:rPr>
                <w:rFonts w:ascii="宋体" w:hAnsi="宋体"/>
                <w:color w:val="auto"/>
                <w:szCs w:val="21"/>
                <w:highlight w:val="none"/>
                <w:u w:val="single"/>
              </w:rPr>
            </w:pPr>
            <w:r>
              <w:rPr>
                <w:rFonts w:hint="eastAsia" w:ascii="宋体" w:hAnsi="宋体"/>
                <w:color w:val="auto"/>
                <w:szCs w:val="21"/>
                <w:highlight w:val="none"/>
                <w:u w:val="single"/>
              </w:rPr>
              <w:t>4,小微企业划分标准按照《工业和信息化部 国家统计局 国家发展和改革委员会 财政部关于印发中小企业划型标准规定的通知》(工信部联企业(2011)300号)执行。本招标项目属于建筑业，营业收入 80000 万元以下或资产总额 80000 万元以下的为中小微型企业。其中，营业收入 6000 万元及以上，且资产总额5000 万元及以上的为中型企业;营业收入300万元及以上，且资产总额 300 万元及以上的为小型企业:营业收入 300 万元以下或资产总额 300 万元以下的为微型企业。</w:t>
            </w:r>
          </w:p>
          <w:p>
            <w:pPr>
              <w:shd w:val="clear" w:color="auto" w:fill="auto"/>
              <w:spacing w:line="360" w:lineRule="exact"/>
              <w:rPr>
                <w:rFonts w:hint="eastAsia" w:ascii="宋体" w:hAnsi="宋体"/>
                <w:color w:val="auto"/>
                <w:szCs w:val="21"/>
                <w:highlight w:val="none"/>
                <w:u w:val="single"/>
              </w:rPr>
            </w:pPr>
            <w:r>
              <w:rPr>
                <w:rFonts w:hint="eastAsia" w:ascii="宋体" w:hAnsi="宋体"/>
                <w:color w:val="auto"/>
                <w:szCs w:val="21"/>
                <w:highlight w:val="none"/>
                <w:u w:val="single"/>
              </w:rPr>
              <w:t>注:(1)小微企业，是指在中华人民共和国境内依法设立，依据国务院批准的中小企业划分标准确定的小型企业和微型企业，但与大企业的负责人为同一人，或者与大企业存在直接控股、管理关系的除外。以联合体形式参与投标的，联合体各方均为小微企业的，联合体视同小微企业。</w:t>
            </w:r>
          </w:p>
          <w:p>
            <w:pPr>
              <w:shd w:val="clear" w:color="auto" w:fill="auto"/>
              <w:spacing w:line="360" w:lineRule="exact"/>
              <w:rPr>
                <w:rFonts w:hint="eastAsia" w:ascii="宋体" w:hAnsi="宋体"/>
                <w:color w:val="auto"/>
                <w:szCs w:val="21"/>
                <w:highlight w:val="none"/>
                <w:u w:val="single"/>
              </w:rPr>
            </w:pPr>
            <w:r>
              <w:rPr>
                <w:rFonts w:hint="eastAsia" w:ascii="宋体" w:hAnsi="宋体"/>
                <w:color w:val="auto"/>
                <w:szCs w:val="21"/>
                <w:highlight w:val="none"/>
                <w:u w:val="single"/>
              </w:rPr>
              <w:t>(2)组成联合体或者接受分包合同的小微企业与联合体内其他企业、分包企业之间存在直接控股、管理关系的，不享受价格评分优惠。</w:t>
            </w:r>
          </w:p>
          <w:p>
            <w:pPr>
              <w:rPr>
                <w:rFonts w:ascii="宋体" w:hAnsi="宋体" w:cs="宋体"/>
                <w:color w:val="auto"/>
                <w:szCs w:val="21"/>
                <w:highlight w:val="none"/>
                <w:u w:val="single"/>
              </w:rPr>
            </w:pPr>
            <w:r>
              <w:rPr>
                <w:rFonts w:hint="eastAsia" w:ascii="宋体" w:hAnsi="宋体"/>
                <w:color w:val="auto"/>
                <w:szCs w:val="21"/>
                <w:highlight w:val="none"/>
                <w:u w:val="single"/>
              </w:rPr>
              <w:t>(3)公示期间如有异议、投诉的，被异议、投诉单位需提供注册登记所在地的县级以上人民政府中小企业主管部门认定</w:t>
            </w:r>
            <w:r>
              <w:rPr>
                <w:rFonts w:hint="eastAsia" w:ascii="宋体" w:hAnsi="宋体"/>
                <w:color w:val="auto"/>
                <w:szCs w:val="21"/>
                <w:highlight w:val="none"/>
                <w:u w:val="single"/>
                <w:lang w:eastAsia="zh-CN"/>
              </w:rPr>
              <w:t>材料或联系方式</w:t>
            </w:r>
            <w:r>
              <w:rPr>
                <w:rFonts w:hint="eastAsia" w:ascii="宋体" w:hAnsi="宋体"/>
                <w:color w:val="auto"/>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702" w:type="dxa"/>
            <w:tcBorders>
              <w:top w:val="single" w:color="auto" w:sz="4" w:space="0"/>
              <w:left w:val="double" w:color="auto" w:sz="4" w:space="0"/>
              <w:bottom w:val="double" w:color="auto" w:sz="4" w:space="0"/>
              <w:right w:val="single" w:color="auto" w:sz="4" w:space="0"/>
            </w:tcBorders>
            <w:vAlign w:val="center"/>
          </w:tcPr>
          <w:p>
            <w:pPr>
              <w:shd w:val="clear" w:color="auto" w:fill="auto"/>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44</w:t>
            </w:r>
          </w:p>
        </w:tc>
        <w:tc>
          <w:tcPr>
            <w:tcW w:w="981" w:type="dxa"/>
            <w:tcBorders>
              <w:top w:val="single" w:color="auto" w:sz="4" w:space="0"/>
              <w:left w:val="single" w:color="auto" w:sz="4" w:space="0"/>
              <w:bottom w:val="double" w:color="auto" w:sz="4" w:space="0"/>
              <w:right w:val="single" w:color="auto" w:sz="4" w:space="0"/>
            </w:tcBorders>
            <w:vAlign w:val="center"/>
          </w:tcPr>
          <w:p>
            <w:pPr>
              <w:shd w:val="clear" w:color="auto" w:fill="auto"/>
              <w:spacing w:line="276" w:lineRule="auto"/>
              <w:rPr>
                <w:rFonts w:hint="eastAsia" w:ascii="宋体" w:hAnsi="宋体" w:eastAsia="宋体" w:cs="宋体"/>
                <w:color w:val="auto"/>
                <w:kern w:val="2"/>
                <w:sz w:val="21"/>
                <w:szCs w:val="21"/>
                <w:highlight w:val="none"/>
                <w:u w:val="single"/>
                <w:lang w:val="en-US" w:eastAsia="zh-CN" w:bidi="ar-SA"/>
              </w:rPr>
            </w:pPr>
          </w:p>
        </w:tc>
        <w:tc>
          <w:tcPr>
            <w:tcW w:w="1810" w:type="dxa"/>
            <w:tcBorders>
              <w:top w:val="single" w:color="auto" w:sz="4" w:space="0"/>
              <w:left w:val="single" w:color="auto" w:sz="4" w:space="0"/>
              <w:bottom w:val="double" w:color="auto" w:sz="4" w:space="0"/>
              <w:right w:val="single" w:color="auto" w:sz="4" w:space="0"/>
            </w:tcBorders>
            <w:vAlign w:val="center"/>
          </w:tcPr>
          <w:p>
            <w:pPr>
              <w:shd w:val="clear" w:color="auto" w:fill="auto"/>
              <w:spacing w:line="276" w:lineRule="auto"/>
              <w:rPr>
                <w:rFonts w:hint="eastAsia" w:ascii="宋体" w:hAnsi="宋体"/>
                <w:color w:val="auto"/>
                <w:szCs w:val="21"/>
                <w:highlight w:val="none"/>
                <w:u w:val="single"/>
                <w:lang w:val="en-US" w:eastAsia="zh-CN"/>
              </w:rPr>
            </w:pPr>
            <w:r>
              <w:rPr>
                <w:rFonts w:hint="eastAsia" w:ascii="宋体" w:hAnsi="宋体"/>
                <w:color w:val="auto"/>
                <w:szCs w:val="21"/>
                <w:highlight w:val="none"/>
                <w:u w:val="single"/>
                <w:lang w:val="en-US" w:eastAsia="zh-CN"/>
              </w:rPr>
              <w:t>项目负责人</w:t>
            </w:r>
          </w:p>
          <w:p>
            <w:pPr>
              <w:shd w:val="clear" w:color="auto" w:fill="auto"/>
              <w:spacing w:line="276" w:lineRule="auto"/>
              <w:rPr>
                <w:rFonts w:hint="eastAsia" w:ascii="宋体" w:hAnsi="宋体" w:eastAsia="宋体" w:cs="Times New Roman"/>
                <w:color w:val="auto"/>
                <w:kern w:val="2"/>
                <w:sz w:val="21"/>
                <w:szCs w:val="21"/>
                <w:highlight w:val="none"/>
                <w:u w:val="single"/>
                <w:lang w:val="en-US" w:eastAsia="zh-CN" w:bidi="ar-SA"/>
              </w:rPr>
            </w:pPr>
            <w:r>
              <w:rPr>
                <w:rFonts w:hint="eastAsia" w:ascii="宋体" w:hAnsi="宋体"/>
                <w:color w:val="auto"/>
                <w:szCs w:val="21"/>
                <w:highlight w:val="none"/>
                <w:u w:val="single"/>
                <w:lang w:val="en-US" w:eastAsia="zh-CN"/>
              </w:rPr>
              <w:t>管理</w:t>
            </w:r>
          </w:p>
        </w:tc>
        <w:tc>
          <w:tcPr>
            <w:tcW w:w="5857" w:type="dxa"/>
            <w:tcBorders>
              <w:top w:val="single" w:color="auto" w:sz="4" w:space="0"/>
              <w:left w:val="single" w:color="auto" w:sz="4" w:space="0"/>
              <w:bottom w:val="double" w:color="auto" w:sz="4" w:space="0"/>
              <w:right w:val="double" w:color="auto" w:sz="4" w:space="0"/>
            </w:tcBorders>
            <w:vAlign w:val="center"/>
          </w:tcPr>
          <w:p>
            <w:pPr>
              <w:shd w:val="clear" w:color="auto" w:fill="auto"/>
              <w:spacing w:line="360" w:lineRule="exact"/>
              <w:rPr>
                <w:rFonts w:hint="eastAsia" w:ascii="宋体" w:hAnsi="宋体" w:eastAsia="宋体" w:cs="Times New Roman"/>
                <w:color w:val="auto"/>
                <w:kern w:val="2"/>
                <w:sz w:val="21"/>
                <w:szCs w:val="21"/>
                <w:highlight w:val="none"/>
                <w:u w:val="single"/>
                <w:lang w:val="en-US" w:eastAsia="zh-CN" w:bidi="ar-SA"/>
              </w:rPr>
            </w:pPr>
            <w:r>
              <w:rPr>
                <w:rFonts w:hint="eastAsia" w:ascii="宋体" w:hAnsi="宋体"/>
                <w:color w:val="auto"/>
                <w:szCs w:val="21"/>
                <w:highlight w:val="none"/>
                <w:u w:val="single"/>
                <w:lang w:eastAsia="zh-CN"/>
              </w:rPr>
              <w:t>本工程的项</w:t>
            </w:r>
            <w:r>
              <w:rPr>
                <w:rFonts w:hint="eastAsia" w:ascii="宋体" w:hAnsi="宋体" w:eastAsia="宋体" w:cs="Times New Roman"/>
                <w:color w:val="auto"/>
                <w:szCs w:val="21"/>
                <w:highlight w:val="none"/>
                <w:u w:val="single"/>
                <w:lang w:eastAsia="zh-CN"/>
              </w:rPr>
              <w:t>目负责人管理执行《广州市住房和城乡建设局关于加强建筑工程项目负责人管理的通知》（穗建规字〔2025〕9 号</w:t>
            </w:r>
            <w:r>
              <w:rPr>
                <w:rFonts w:hint="eastAsia" w:ascii="宋体" w:hAnsi="宋体"/>
                <w:color w:val="auto"/>
                <w:szCs w:val="21"/>
                <w:highlight w:val="none"/>
                <w:u w:val="single"/>
                <w:lang w:eastAsia="zh-CN"/>
              </w:rPr>
              <w:t>）相关规定。</w:t>
            </w:r>
          </w:p>
        </w:tc>
      </w:tr>
    </w:tbl>
    <w:p>
      <w:pPr>
        <w:snapToGrid w:val="0"/>
        <w:spacing w:line="360" w:lineRule="auto"/>
        <w:rPr>
          <w:rFonts w:ascii="宋体" w:hAnsi="宋体" w:cs="宋体"/>
          <w:strike/>
          <w:color w:val="auto"/>
          <w:szCs w:val="21"/>
          <w:highlight w:val="none"/>
        </w:rPr>
      </w:pPr>
      <w:r>
        <w:rPr>
          <w:rFonts w:hint="eastAsia" w:ascii="宋体" w:hAnsi="宋体" w:cs="宋体"/>
          <w:strike/>
          <w:color w:val="auto"/>
          <w:sz w:val="24"/>
          <w:highlight w:val="none"/>
        </w:rPr>
        <w:t>注：企业综合诚信评价得分即企业综合诚信评价60日诚信分，以下同。</w:t>
      </w:r>
    </w:p>
    <w:p>
      <w:pPr>
        <w:pStyle w:val="3"/>
        <w:snapToGrid w:val="0"/>
        <w:spacing w:before="0" w:after="0" w:line="360" w:lineRule="auto"/>
        <w:ind w:left="0"/>
        <w:rPr>
          <w:rFonts w:ascii="宋体" w:hAnsi="宋体" w:cs="宋体"/>
          <w:color w:val="auto"/>
          <w:highlight w:val="none"/>
        </w:rPr>
      </w:pPr>
      <w:r>
        <w:rPr>
          <w:rFonts w:hint="eastAsia" w:ascii="宋体" w:hAnsi="宋体" w:cs="宋体"/>
          <w:strike/>
          <w:color w:val="auto"/>
          <w:highlight w:val="none"/>
        </w:rPr>
        <w:br w:type="page"/>
      </w:r>
      <w:bookmarkStart w:id="3" w:name="_Toc194090340"/>
      <w:r>
        <w:rPr>
          <w:rFonts w:hint="eastAsia" w:ascii="宋体" w:hAnsi="宋体" w:cs="宋体"/>
          <w:color w:val="auto"/>
          <w:highlight w:val="none"/>
        </w:rPr>
        <w:t>二、投标须知修改表</w:t>
      </w:r>
      <w:bookmarkEnd w:id="3"/>
    </w:p>
    <w:p>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color w:val="auto"/>
          <w:highlight w:val="none"/>
        </w:rPr>
        <w:fldChar w:fldCharType="begin"/>
      </w:r>
      <w:r>
        <w:rPr>
          <w:color w:val="auto"/>
          <w:highlight w:val="none"/>
        </w:rPr>
        <w:instrText xml:space="preserve"> HYPERLINK "http://zfcj.gz.gov.cn/）下载查阅。" </w:instrText>
      </w:r>
      <w:r>
        <w:rPr>
          <w:color w:val="auto"/>
          <w:highlight w:val="none"/>
        </w:rPr>
        <w:fldChar w:fldCharType="separate"/>
      </w:r>
      <w:r>
        <w:rPr>
          <w:rStyle w:val="35"/>
          <w:rFonts w:hint="eastAsia" w:ascii="宋体" w:hAnsi="宋体" w:cs="宋体"/>
          <w:b/>
          <w:color w:val="auto"/>
          <w:szCs w:val="21"/>
          <w:highlight w:val="none"/>
          <w:u w:val="none"/>
        </w:rPr>
        <w:t>http://zfcj.gz.gov.cn/）下载查阅。</w:t>
      </w:r>
      <w:r>
        <w:rPr>
          <w:rStyle w:val="35"/>
          <w:rFonts w:hint="eastAsia" w:ascii="宋体" w:hAnsi="宋体" w:cs="宋体"/>
          <w:b/>
          <w:color w:val="auto"/>
          <w:szCs w:val="21"/>
          <w:highlight w:val="none"/>
          <w:u w:val="none"/>
        </w:rPr>
        <w:fldChar w:fldCharType="end"/>
      </w:r>
    </w:p>
    <w:p>
      <w:pPr>
        <w:keepNext w:val="0"/>
        <w:keepLines w:val="0"/>
        <w:pageBreakBefore w:val="0"/>
        <w:widowControl w:val="0"/>
        <w:wordWrap/>
        <w:topLinePunct w:val="0"/>
        <w:autoSpaceDE/>
        <w:autoSpaceDN/>
        <w:bidi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条款号：2.5                         修改类型：增加</w:t>
      </w:r>
    </w:p>
    <w:p>
      <w:pPr>
        <w:keepNext w:val="0"/>
        <w:keepLines w:val="0"/>
        <w:pageBreakBefore w:val="0"/>
        <w:widowControl w:val="0"/>
        <w:pBdr>
          <w:bottom w:val="single" w:color="auto" w:sz="6" w:space="1"/>
        </w:pBdr>
        <w:wordWrap/>
        <w:topLinePunct w:val="0"/>
        <w:autoSpaceDE/>
        <w:autoSpaceDN/>
        <w:bidi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2.5</w:t>
      </w:r>
      <w:r>
        <w:rPr>
          <w:rFonts w:hint="eastAsia" w:ascii="宋体" w:hAnsi="宋体" w:cs="宋体"/>
          <w:b/>
          <w:bCs/>
          <w:color w:val="auto"/>
          <w:kern w:val="0"/>
          <w:szCs w:val="21"/>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keepNext w:val="0"/>
        <w:keepLines w:val="0"/>
        <w:pageBreakBefore w:val="0"/>
        <w:widowControl w:val="0"/>
        <w:wordWrap/>
        <w:topLinePunct w:val="0"/>
        <w:autoSpaceDE/>
        <w:autoSpaceDN/>
        <w:bidi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条款号：5.1                         修改类型：修改</w:t>
      </w:r>
    </w:p>
    <w:p>
      <w:pPr>
        <w:keepNext w:val="0"/>
        <w:keepLines w:val="0"/>
        <w:pageBreakBefore w:val="0"/>
        <w:widowControl w:val="0"/>
        <w:pBdr>
          <w:bottom w:val="single" w:color="auto" w:sz="6" w:space="1"/>
        </w:pBdr>
        <w:wordWrap/>
        <w:topLinePunct w:val="0"/>
        <w:autoSpaceDE/>
        <w:autoSpaceDN/>
        <w:bidi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keepNext w:val="0"/>
        <w:keepLines w:val="0"/>
        <w:pageBreakBefore w:val="0"/>
        <w:widowControl w:val="0"/>
        <w:pBdr>
          <w:bottom w:val="single" w:color="auto" w:sz="6" w:space="1"/>
        </w:pBdr>
        <w:wordWrap/>
        <w:topLinePunct w:val="0"/>
        <w:autoSpaceDE/>
        <w:autoSpaceDN/>
        <w:bidi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5.1投标人应按本投标须知前附表第</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b/>
          <w:bCs/>
          <w:color w:val="auto"/>
          <w:szCs w:val="21"/>
          <w:highlight w:val="none"/>
          <w:u w:val="single"/>
        </w:rPr>
        <w:t>，投标人不进行踏勘的，视为已熟知现场条件，自行承担相关风险</w:t>
      </w:r>
      <w:r>
        <w:rPr>
          <w:rFonts w:hint="eastAsia" w:ascii="宋体" w:hAnsi="宋体" w:cs="宋体"/>
          <w:b/>
          <w:bCs/>
          <w:color w:val="auto"/>
          <w:szCs w:val="21"/>
          <w:highlight w:val="none"/>
        </w:rPr>
        <w:t>。</w:t>
      </w:r>
      <w:r>
        <w:rPr>
          <w:rFonts w:hint="eastAsia" w:ascii="宋体" w:hAnsi="宋体" w:cs="宋体"/>
          <w:color w:val="auto"/>
          <w:szCs w:val="21"/>
          <w:highlight w:val="none"/>
        </w:rPr>
        <w:t>一旦中标，这种考察即被认为其结果已在中标文件中得到充分反映。</w:t>
      </w:r>
      <w:r>
        <w:rPr>
          <w:rFonts w:hint="eastAsia" w:ascii="宋体" w:hAnsi="宋体" w:cs="宋体"/>
          <w:b/>
          <w:bCs/>
          <w:color w:val="auto"/>
          <w:szCs w:val="21"/>
          <w:highlight w:val="none"/>
          <w:u w:val="single"/>
        </w:rPr>
        <w:t>招标人不受理因投标人缺乏对现场条件的了解或掌握而提出的任何索赔。</w:t>
      </w:r>
      <w:r>
        <w:rPr>
          <w:rFonts w:hint="eastAsia" w:ascii="宋体" w:hAnsi="宋体" w:cs="宋体"/>
          <w:b w:val="0"/>
          <w:bCs w:val="0"/>
          <w:color w:val="auto"/>
          <w:szCs w:val="21"/>
          <w:highlight w:val="none"/>
          <w:u w:val="none"/>
        </w:rPr>
        <w:t>考察现场的费用由投标人自己承担。</w:t>
      </w:r>
    </w:p>
    <w:p>
      <w:pPr>
        <w:keepNext w:val="0"/>
        <w:keepLines w:val="0"/>
        <w:pageBreakBefore w:val="0"/>
        <w:widowControl w:val="0"/>
        <w:wordWrap/>
        <w:topLinePunct w:val="0"/>
        <w:autoSpaceDE/>
        <w:autoSpaceDN/>
        <w:bidi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条款号：8.1                         修改类型：修改</w:t>
      </w:r>
    </w:p>
    <w:p>
      <w:pPr>
        <w:pStyle w:val="28"/>
        <w:keepNext w:val="0"/>
        <w:keepLines w:val="0"/>
        <w:pageBreakBefore w:val="0"/>
        <w:widowControl w:val="0"/>
        <w:pBdr>
          <w:bottom w:val="single" w:color="auto" w:sz="6" w:space="1"/>
        </w:pBdr>
        <w:wordWrap/>
        <w:topLinePunct w:val="0"/>
        <w:autoSpaceDE/>
        <w:autoSpaceDN/>
        <w:bidi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8.1</w:t>
      </w:r>
      <w:r>
        <w:rPr>
          <w:rFonts w:hint="eastAsia" w:ascii="宋体" w:hAnsi="宋体"/>
          <w:color w:val="auto"/>
          <w:sz w:val="21"/>
          <w:szCs w:val="21"/>
          <w:highlight w:val="none"/>
        </w:rPr>
        <w:t>投标人若对招标文件（包括招标图纸）中有疑问，可以书面形式</w:t>
      </w:r>
      <w:r>
        <w:rPr>
          <w:rFonts w:hint="eastAsia"/>
          <w:color w:val="auto"/>
          <w:sz w:val="21"/>
          <w:szCs w:val="21"/>
          <w:highlight w:val="none"/>
        </w:rPr>
        <w:t>通过</w:t>
      </w:r>
      <w:r>
        <w:rPr>
          <w:color w:val="auto"/>
          <w:sz w:val="21"/>
          <w:szCs w:val="21"/>
          <w:highlight w:val="none"/>
          <w:u w:val="single"/>
        </w:rPr>
        <w:t xml:space="preserve">        </w:t>
      </w:r>
      <w:r>
        <w:rPr>
          <w:rFonts w:hint="eastAsia" w:ascii="宋体" w:hAnsi="宋体"/>
          <w:color w:val="auto"/>
          <w:sz w:val="21"/>
          <w:szCs w:val="21"/>
          <w:highlight w:val="none"/>
        </w:rPr>
        <w:t>交易平台</w:t>
      </w:r>
      <w:r>
        <w:rPr>
          <w:rFonts w:hint="eastAsia"/>
          <w:color w:val="auto"/>
          <w:sz w:val="21"/>
          <w:szCs w:val="21"/>
          <w:highlight w:val="none"/>
        </w:rPr>
        <w:t>提交</w:t>
      </w:r>
      <w:r>
        <w:rPr>
          <w:rFonts w:hint="eastAsia" w:ascii="宋体" w:hAnsi="宋体"/>
          <w:color w:val="auto"/>
          <w:sz w:val="21"/>
          <w:szCs w:val="21"/>
          <w:highlight w:val="none"/>
        </w:rPr>
        <w:t>给招标人或招标代理人，提交形式见本须知前附表第</w:t>
      </w:r>
      <w:r>
        <w:rPr>
          <w:rFonts w:ascii="宋体" w:hAnsi="宋体"/>
          <w:color w:val="auto"/>
          <w:sz w:val="21"/>
          <w:szCs w:val="21"/>
          <w:highlight w:val="none"/>
        </w:rPr>
        <w:t>16</w:t>
      </w:r>
      <w:r>
        <w:rPr>
          <w:rFonts w:hint="eastAsia" w:ascii="宋体" w:hAnsi="宋体"/>
          <w:color w:val="auto"/>
          <w:sz w:val="21"/>
          <w:szCs w:val="21"/>
          <w:highlight w:val="none"/>
        </w:rPr>
        <w:t>项。</w:t>
      </w:r>
    </w:p>
    <w:p>
      <w:pPr>
        <w:pStyle w:val="28"/>
        <w:keepNext w:val="0"/>
        <w:keepLines w:val="0"/>
        <w:pageBreakBefore w:val="0"/>
        <w:widowControl w:val="0"/>
        <w:pBdr>
          <w:bottom w:val="single" w:color="auto" w:sz="6" w:space="1"/>
        </w:pBdr>
        <w:shd w:val="clear" w:color="auto" w:fill="auto"/>
        <w:wordWrap/>
        <w:topLinePunct w:val="0"/>
        <w:autoSpaceDE/>
        <w:autoSpaceDN/>
        <w:bidi w:val="0"/>
        <w:snapToGrid w:val="0"/>
        <w:spacing w:after="0" w:line="360" w:lineRule="auto"/>
        <w:ind w:firstLine="422" w:firstLineChars="200"/>
        <w:rPr>
          <w:rFonts w:hint="eastAsia" w:eastAsia="宋体"/>
          <w:color w:val="auto"/>
          <w:highlight w:val="none"/>
          <w:lang w:eastAsia="zh-CN"/>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8.1</w:t>
      </w:r>
      <w:r>
        <w:rPr>
          <w:rFonts w:hint="eastAsia" w:ascii="宋体" w:hAnsi="宋体" w:eastAsia="宋体" w:cs="宋体"/>
          <w:bCs/>
          <w:color w:val="auto"/>
          <w:sz w:val="21"/>
          <w:szCs w:val="21"/>
          <w:highlight w:val="none"/>
          <w:u w:val="single"/>
        </w:rPr>
        <w:t>投标人若对招标文件（包括招标图纸</w:t>
      </w:r>
      <w:r>
        <w:rPr>
          <w:rFonts w:hint="eastAsia" w:ascii="宋体" w:hAnsi="宋体" w:eastAsia="宋体" w:cs="宋体"/>
          <w:b/>
          <w:bCs w:val="0"/>
          <w:color w:val="auto"/>
          <w:sz w:val="21"/>
          <w:szCs w:val="21"/>
          <w:highlight w:val="none"/>
          <w:u w:val="single"/>
        </w:rPr>
        <w:t>、清单、最高投标限价</w:t>
      </w:r>
      <w:r>
        <w:rPr>
          <w:rFonts w:hint="eastAsia" w:ascii="宋体" w:hAnsi="宋体" w:eastAsia="宋体" w:cs="宋体"/>
          <w:b/>
          <w:bCs w:val="0"/>
          <w:color w:val="auto"/>
          <w:sz w:val="21"/>
          <w:szCs w:val="21"/>
          <w:highlight w:val="none"/>
          <w:u w:val="single"/>
          <w:lang w:eastAsia="zh-CN"/>
        </w:rPr>
        <w:t>、</w:t>
      </w:r>
      <w:r>
        <w:rPr>
          <w:rFonts w:hint="eastAsia" w:ascii="宋体" w:hAnsi="宋体" w:eastAsia="宋体" w:cs="宋体"/>
          <w:b/>
          <w:bCs w:val="0"/>
          <w:color w:val="auto"/>
          <w:sz w:val="21"/>
          <w:szCs w:val="21"/>
          <w:highlight w:val="none"/>
          <w:u w:val="single"/>
          <w:lang w:val="en-US" w:eastAsia="zh-CN"/>
        </w:rPr>
        <w:t>合同条款</w:t>
      </w:r>
      <w:r>
        <w:rPr>
          <w:rFonts w:hint="eastAsia" w:ascii="宋体" w:hAnsi="宋体" w:eastAsia="宋体" w:cs="宋体"/>
          <w:bCs/>
          <w:color w:val="auto"/>
          <w:sz w:val="21"/>
          <w:szCs w:val="21"/>
          <w:highlight w:val="none"/>
          <w:u w:val="single"/>
        </w:rPr>
        <w:t>）中有疑问，</w:t>
      </w:r>
      <w:r>
        <w:rPr>
          <w:rFonts w:hint="eastAsia" w:ascii="宋体" w:hAnsi="宋体" w:eastAsia="宋体" w:cs="宋体"/>
          <w:bCs/>
          <w:color w:val="auto"/>
          <w:sz w:val="21"/>
          <w:szCs w:val="21"/>
          <w:highlight w:val="none"/>
          <w:u w:val="none"/>
        </w:rPr>
        <w:t>可以</w:t>
      </w:r>
      <w:r>
        <w:rPr>
          <w:rFonts w:hint="eastAsia" w:ascii="宋体" w:hAnsi="宋体" w:eastAsia="宋体" w:cs="宋体"/>
          <w:b/>
          <w:bCs w:val="0"/>
          <w:color w:val="auto"/>
          <w:sz w:val="21"/>
          <w:szCs w:val="21"/>
          <w:highlight w:val="none"/>
          <w:u w:val="single"/>
        </w:rPr>
        <w:t>网上答疑方式</w:t>
      </w:r>
      <w:r>
        <w:rPr>
          <w:rFonts w:hint="eastAsia" w:ascii="宋体" w:hAnsi="宋体" w:cs="宋体"/>
          <w:b w:val="0"/>
          <w:bCs/>
          <w:color w:val="auto"/>
          <w:sz w:val="21"/>
          <w:szCs w:val="21"/>
          <w:highlight w:val="none"/>
          <w:u w:val="none"/>
          <w:lang w:val="en-US" w:eastAsia="zh-CN"/>
        </w:rPr>
        <w:t>通过</w:t>
      </w:r>
      <w:r>
        <w:rPr>
          <w:rFonts w:hint="eastAsia" w:ascii="宋体" w:hAnsi="宋体" w:cs="宋体"/>
          <w:b/>
          <w:bCs w:val="0"/>
          <w:color w:val="auto"/>
          <w:sz w:val="21"/>
          <w:szCs w:val="21"/>
          <w:highlight w:val="none"/>
          <w:u w:val="single"/>
          <w:lang w:val="en-US" w:eastAsia="zh-CN"/>
        </w:rPr>
        <w:t>广州交易集团有限公司（广州公共资源交易中心）</w:t>
      </w:r>
      <w:r>
        <w:rPr>
          <w:rFonts w:hint="eastAsia" w:ascii="宋体" w:hAnsi="宋体"/>
          <w:color w:val="auto"/>
          <w:sz w:val="21"/>
          <w:szCs w:val="21"/>
          <w:highlight w:val="none"/>
        </w:rPr>
        <w:t>交易平台</w:t>
      </w:r>
      <w:r>
        <w:rPr>
          <w:rFonts w:hint="eastAsia"/>
          <w:color w:val="auto"/>
          <w:sz w:val="21"/>
          <w:szCs w:val="21"/>
          <w:highlight w:val="none"/>
        </w:rPr>
        <w:t>提交</w:t>
      </w:r>
      <w:r>
        <w:rPr>
          <w:rFonts w:hint="eastAsia" w:ascii="宋体" w:hAnsi="宋体"/>
          <w:color w:val="auto"/>
          <w:sz w:val="21"/>
          <w:szCs w:val="16"/>
          <w:highlight w:val="none"/>
        </w:rPr>
        <w:t>给招标人或招标代理人</w:t>
      </w:r>
      <w:r>
        <w:rPr>
          <w:rFonts w:hint="eastAsia" w:ascii="宋体" w:hAnsi="宋体"/>
          <w:color w:val="auto"/>
          <w:sz w:val="21"/>
          <w:szCs w:val="16"/>
          <w:highlight w:val="none"/>
          <w:lang w:eastAsia="zh-CN"/>
        </w:rPr>
        <w:t>，</w:t>
      </w:r>
      <w:r>
        <w:rPr>
          <w:rFonts w:hint="eastAsia" w:ascii="宋体" w:hAnsi="宋体" w:eastAsia="宋体" w:cs="宋体"/>
          <w:bCs/>
          <w:color w:val="auto"/>
          <w:sz w:val="21"/>
          <w:szCs w:val="21"/>
          <w:highlight w:val="none"/>
          <w:u w:val="single"/>
        </w:rPr>
        <w:t>详见本须知前附表第1</w:t>
      </w:r>
      <w:r>
        <w:rPr>
          <w:rFonts w:hint="eastAsia" w:ascii="宋体" w:hAnsi="宋体" w:eastAsia="宋体" w:cs="宋体"/>
          <w:bCs/>
          <w:color w:val="auto"/>
          <w:sz w:val="21"/>
          <w:szCs w:val="21"/>
          <w:highlight w:val="none"/>
          <w:u w:val="single"/>
          <w:lang w:val="en-US" w:eastAsia="zh-CN"/>
        </w:rPr>
        <w:t>3</w:t>
      </w:r>
      <w:r>
        <w:rPr>
          <w:rFonts w:hint="eastAsia" w:ascii="宋体" w:hAnsi="宋体" w:eastAsia="宋体" w:cs="宋体"/>
          <w:bCs/>
          <w:color w:val="auto"/>
          <w:sz w:val="21"/>
          <w:szCs w:val="21"/>
          <w:highlight w:val="none"/>
          <w:u w:val="single"/>
        </w:rPr>
        <w:t>项。</w:t>
      </w:r>
      <w:r>
        <w:rPr>
          <w:rFonts w:hint="eastAsia" w:ascii="宋体" w:hAnsi="宋体" w:eastAsia="宋体" w:cs="宋体"/>
          <w:b/>
          <w:bCs w:val="0"/>
          <w:color w:val="auto"/>
          <w:sz w:val="21"/>
          <w:szCs w:val="21"/>
          <w:highlight w:val="none"/>
          <w:u w:val="single"/>
        </w:rPr>
        <w:t>招标人或招标代理人将于本须知前附表第1</w:t>
      </w:r>
      <w:r>
        <w:rPr>
          <w:rFonts w:hint="eastAsia" w:ascii="宋体" w:hAnsi="宋体" w:eastAsia="宋体" w:cs="宋体"/>
          <w:b/>
          <w:bCs w:val="0"/>
          <w:color w:val="auto"/>
          <w:sz w:val="21"/>
          <w:szCs w:val="21"/>
          <w:highlight w:val="none"/>
          <w:u w:val="single"/>
          <w:lang w:val="en-US" w:eastAsia="zh-CN"/>
        </w:rPr>
        <w:t>3</w:t>
      </w:r>
      <w:r>
        <w:rPr>
          <w:rFonts w:hint="eastAsia" w:ascii="宋体" w:hAnsi="宋体" w:eastAsia="宋体" w:cs="宋体"/>
          <w:b/>
          <w:bCs w:val="0"/>
          <w:color w:val="auto"/>
          <w:sz w:val="21"/>
          <w:szCs w:val="21"/>
          <w:highlight w:val="none"/>
          <w:u w:val="single"/>
        </w:rPr>
        <w:t>项指定的地点（交易平台）和时间对疑问进行答复</w:t>
      </w:r>
      <w:r>
        <w:rPr>
          <w:rFonts w:hint="eastAsia" w:ascii="宋体" w:hAnsi="宋体" w:eastAsia="宋体" w:cs="宋体"/>
          <w:b/>
          <w:bCs w:val="0"/>
          <w:color w:val="auto"/>
          <w:sz w:val="21"/>
          <w:szCs w:val="21"/>
          <w:highlight w:val="none"/>
          <w:u w:val="single"/>
          <w:lang w:eastAsia="zh-CN"/>
        </w:rPr>
        <w:t>。</w:t>
      </w:r>
    </w:p>
    <w:p>
      <w:pPr>
        <w:keepNext w:val="0"/>
        <w:keepLines w:val="0"/>
        <w:pageBreakBefore w:val="0"/>
        <w:widowControl w:val="0"/>
        <w:wordWrap/>
        <w:topLinePunct w:val="0"/>
        <w:autoSpaceDE/>
        <w:autoSpaceDN/>
        <w:bidi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条款号：8.2                         修改类型：修改</w:t>
      </w:r>
    </w:p>
    <w:p>
      <w:pPr>
        <w:pStyle w:val="28"/>
        <w:keepNext w:val="0"/>
        <w:keepLines w:val="0"/>
        <w:pageBreakBefore w:val="0"/>
        <w:widowControl w:val="0"/>
        <w:wordWrap/>
        <w:topLinePunct w:val="0"/>
        <w:autoSpaceDE/>
        <w:autoSpaceDN/>
        <w:bidi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8.2招标答疑会会议纪要将在提交投标文件截止时间15日前在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 “项目答疑纪要”专区公开发布。答疑纪要一经在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交易平台发布，视作已发放给所有投标人。</w:t>
      </w:r>
    </w:p>
    <w:p>
      <w:pPr>
        <w:pStyle w:val="28"/>
        <w:keepNext w:val="0"/>
        <w:keepLines w:val="0"/>
        <w:pageBreakBefore w:val="0"/>
        <w:widowControl w:val="0"/>
        <w:pBdr>
          <w:bottom w:val="single" w:color="auto" w:sz="4" w:space="1"/>
        </w:pBdr>
        <w:wordWrap/>
        <w:topLinePunct w:val="0"/>
        <w:autoSpaceDE/>
        <w:autoSpaceDN/>
        <w:bidi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8.2招标答疑会会议纪要将在提交投标文件截止时间15日前在</w:t>
      </w:r>
      <w:r>
        <w:rPr>
          <w:rFonts w:hint="eastAsia" w:ascii="宋体" w:hAnsi="宋体" w:cs="宋体"/>
          <w:b/>
          <w:bCs/>
          <w:color w:val="auto"/>
          <w:sz w:val="21"/>
          <w:szCs w:val="21"/>
          <w:highlight w:val="none"/>
          <w:u w:val="single"/>
        </w:rPr>
        <w:t>广州交易集团有限公司（广州公共资源交易中心）</w:t>
      </w:r>
      <w:r>
        <w:rPr>
          <w:rFonts w:hint="eastAsia" w:ascii="宋体" w:hAnsi="宋体" w:cs="宋体"/>
          <w:color w:val="auto"/>
          <w:sz w:val="21"/>
          <w:szCs w:val="21"/>
          <w:highlight w:val="none"/>
        </w:rPr>
        <w:t>交易平台</w:t>
      </w:r>
      <w:r>
        <w:rPr>
          <w:rFonts w:hint="eastAsia" w:ascii="宋体" w:hAnsi="宋体" w:cs="宋体"/>
          <w:b/>
          <w:bCs/>
          <w:color w:val="auto"/>
          <w:sz w:val="21"/>
          <w:szCs w:val="21"/>
          <w:highlight w:val="none"/>
        </w:rPr>
        <w:t>“</w:t>
      </w:r>
      <w:r>
        <w:rPr>
          <w:rFonts w:hint="eastAsia" w:ascii="宋体" w:hAnsi="宋体" w:cs="宋体"/>
          <w:b/>
          <w:bCs/>
          <w:color w:val="auto"/>
          <w:sz w:val="21"/>
          <w:szCs w:val="21"/>
          <w:highlight w:val="none"/>
          <w:u w:val="single"/>
        </w:rPr>
        <w:t>项目查询</w:t>
      </w:r>
      <w:r>
        <w:rPr>
          <w:rFonts w:hint="eastAsia" w:ascii="宋体" w:hAnsi="宋体" w:cs="宋体"/>
          <w:b/>
          <w:bCs/>
          <w:color w:val="auto"/>
          <w:sz w:val="21"/>
          <w:szCs w:val="21"/>
          <w:highlight w:val="none"/>
          <w:u w:val="single"/>
          <w:lang w:eastAsia="zh-CN"/>
        </w:rPr>
        <w:t>（</w:t>
      </w:r>
      <w:r>
        <w:rPr>
          <w:rFonts w:hint="eastAsia" w:ascii="宋体" w:hAnsi="宋体" w:cs="宋体"/>
          <w:b/>
          <w:bCs/>
          <w:color w:val="auto"/>
          <w:sz w:val="21"/>
          <w:szCs w:val="21"/>
          <w:highlight w:val="none"/>
          <w:u w:val="single"/>
        </w:rPr>
        <w:t>日程安排、答疑纪要</w:t>
      </w:r>
      <w:r>
        <w:rPr>
          <w:rFonts w:hint="eastAsia" w:ascii="宋体" w:hAnsi="宋体" w:cs="宋体"/>
          <w:b/>
          <w:bCs/>
          <w:color w:val="auto"/>
          <w:sz w:val="21"/>
          <w:szCs w:val="21"/>
          <w:highlight w:val="none"/>
          <w:u w:val="single"/>
          <w:lang w:eastAsia="zh-CN"/>
        </w:rPr>
        <w:t>）</w:t>
      </w:r>
      <w:r>
        <w:rPr>
          <w:rFonts w:hint="eastAsia" w:ascii="宋体" w:hAnsi="宋体" w:cs="宋体"/>
          <w:b/>
          <w:bCs/>
          <w:color w:val="auto"/>
          <w:sz w:val="21"/>
          <w:szCs w:val="21"/>
          <w:highlight w:val="none"/>
        </w:rPr>
        <w:t>”</w:t>
      </w:r>
      <w:r>
        <w:rPr>
          <w:rFonts w:hint="eastAsia" w:ascii="宋体" w:hAnsi="宋体" w:cs="宋体"/>
          <w:color w:val="auto"/>
          <w:sz w:val="21"/>
          <w:szCs w:val="21"/>
          <w:highlight w:val="none"/>
        </w:rPr>
        <w:t>专区公开发布。答疑纪要一经在</w:t>
      </w:r>
      <w:r>
        <w:rPr>
          <w:rFonts w:hint="eastAsia" w:ascii="宋体" w:hAnsi="宋体" w:cs="宋体"/>
          <w:b/>
          <w:bCs/>
          <w:color w:val="auto"/>
          <w:sz w:val="21"/>
          <w:szCs w:val="21"/>
          <w:highlight w:val="none"/>
          <w:u w:val="single"/>
        </w:rPr>
        <w:t>广州交易集团有限公司（广州公共资源交易中心）</w:t>
      </w:r>
      <w:r>
        <w:rPr>
          <w:rFonts w:hint="eastAsia" w:ascii="宋体" w:hAnsi="宋体" w:cs="宋体"/>
          <w:color w:val="auto"/>
          <w:sz w:val="21"/>
          <w:szCs w:val="21"/>
          <w:highlight w:val="none"/>
        </w:rPr>
        <w:t>交易平台发布，视作已发放给所有投标人。</w:t>
      </w:r>
    </w:p>
    <w:p>
      <w:pPr>
        <w:keepNext w:val="0"/>
        <w:keepLines w:val="0"/>
        <w:pageBreakBefore w:val="0"/>
        <w:widowControl w:val="0"/>
        <w:wordWrap/>
        <w:topLinePunct w:val="0"/>
        <w:autoSpaceDE/>
        <w:autoSpaceDN/>
        <w:bidi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条款号：8.4                         修改类型：修改</w:t>
      </w:r>
    </w:p>
    <w:p>
      <w:pPr>
        <w:keepNext w:val="0"/>
        <w:keepLines w:val="0"/>
        <w:pageBreakBefore w:val="0"/>
        <w:widowControl w:val="0"/>
        <w:wordWrap/>
        <w:topLinePunct w:val="0"/>
        <w:autoSpaceDE/>
        <w:autoSpaceDN/>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color w:val="auto"/>
          <w:kern w:val="0"/>
          <w:szCs w:val="21"/>
          <w:highlight w:val="none"/>
        </w:rPr>
        <w:t>原文：</w:t>
      </w:r>
      <w:r>
        <w:rPr>
          <w:rFonts w:hint="eastAsia" w:ascii="宋体" w:hAnsi="宋体" w:cs="宋体"/>
          <w:color w:val="auto"/>
          <w:kern w:val="0"/>
          <w:szCs w:val="21"/>
          <w:highlight w:val="none"/>
        </w:rPr>
        <w:t>8.4若招标答疑会会议纪要与招标文件有矛盾，以答疑会议纪要最后发出的书面形式的文件为准。</w:t>
      </w:r>
    </w:p>
    <w:p>
      <w:pPr>
        <w:keepNext w:val="0"/>
        <w:keepLines w:val="0"/>
        <w:pageBreakBefore w:val="0"/>
        <w:widowControl/>
        <w:pBdr>
          <w:bottom w:val="single" w:color="auto" w:sz="4" w:space="1"/>
        </w:pBdr>
        <w:kinsoku/>
        <w:wordWrap/>
        <w:overflowPunct/>
        <w:topLinePunct w:val="0"/>
        <w:autoSpaceDE/>
        <w:autoSpaceDN/>
        <w:bidi w:val="0"/>
        <w:adjustRightInd/>
        <w:snapToGrid w:val="0"/>
        <w:spacing w:line="360" w:lineRule="auto"/>
        <w:ind w:firstLine="422" w:firstLineChars="200"/>
        <w:textAlignment w:val="auto"/>
        <w:rPr>
          <w:rFonts w:ascii="宋体" w:hAnsi="宋体" w:cs="宋体"/>
          <w:color w:val="auto"/>
          <w:kern w:val="0"/>
          <w:szCs w:val="21"/>
          <w:highlight w:val="none"/>
        </w:rPr>
      </w:pPr>
      <w:r>
        <w:rPr>
          <w:rFonts w:hint="eastAsia" w:ascii="宋体" w:hAnsi="宋体" w:cs="宋体"/>
          <w:b/>
          <w:color w:val="auto"/>
          <w:kern w:val="0"/>
          <w:szCs w:val="21"/>
          <w:highlight w:val="none"/>
        </w:rPr>
        <w:t>现文：</w:t>
      </w:r>
      <w:r>
        <w:rPr>
          <w:rFonts w:hint="eastAsia" w:ascii="宋体" w:hAnsi="宋体" w:cs="宋体"/>
          <w:color w:val="auto"/>
          <w:kern w:val="0"/>
          <w:szCs w:val="21"/>
          <w:highlight w:val="none"/>
        </w:rPr>
        <w:t>8.4若</w:t>
      </w:r>
      <w:r>
        <w:rPr>
          <w:rFonts w:hint="eastAsia" w:ascii="宋体" w:hAnsi="宋体" w:cs="宋体"/>
          <w:b/>
          <w:bCs/>
          <w:color w:val="auto"/>
          <w:kern w:val="0"/>
          <w:szCs w:val="21"/>
          <w:highlight w:val="none"/>
          <w:u w:val="single"/>
        </w:rPr>
        <w:t>招标答疑纪要</w:t>
      </w:r>
      <w:r>
        <w:rPr>
          <w:rFonts w:hint="eastAsia" w:ascii="宋体" w:hAnsi="宋体" w:cs="宋体"/>
          <w:color w:val="auto"/>
          <w:kern w:val="0"/>
          <w:szCs w:val="21"/>
          <w:highlight w:val="none"/>
        </w:rPr>
        <w:t>与招标文件有矛盾，以</w:t>
      </w:r>
      <w:r>
        <w:rPr>
          <w:rFonts w:hint="eastAsia" w:ascii="宋体" w:hAnsi="宋体" w:cs="宋体"/>
          <w:b/>
          <w:bCs/>
          <w:color w:val="auto"/>
          <w:kern w:val="0"/>
          <w:szCs w:val="21"/>
          <w:highlight w:val="none"/>
          <w:u w:val="single"/>
        </w:rPr>
        <w:t>广州交易集团有限公司（广州公共资源交易中心）</w:t>
      </w:r>
      <w:r>
        <w:rPr>
          <w:rFonts w:hint="eastAsia" w:ascii="宋体" w:hAnsi="宋体" w:cs="宋体"/>
          <w:color w:val="auto"/>
          <w:kern w:val="0"/>
          <w:szCs w:val="21"/>
          <w:highlight w:val="none"/>
          <w:u w:val="none"/>
        </w:rPr>
        <w:t>网站最后发布的</w:t>
      </w:r>
      <w:r>
        <w:rPr>
          <w:rFonts w:hint="eastAsia" w:ascii="宋体" w:hAnsi="宋体" w:cs="宋体"/>
          <w:b/>
          <w:bCs/>
          <w:color w:val="auto"/>
          <w:kern w:val="0"/>
          <w:szCs w:val="21"/>
          <w:highlight w:val="none"/>
          <w:u w:val="single"/>
        </w:rPr>
        <w:t>招标答疑纪要</w:t>
      </w:r>
      <w:r>
        <w:rPr>
          <w:rFonts w:hint="eastAsia" w:ascii="宋体" w:hAnsi="宋体" w:cs="宋体"/>
          <w:color w:val="auto"/>
          <w:kern w:val="0"/>
          <w:szCs w:val="21"/>
          <w:highlight w:val="none"/>
        </w:rPr>
        <w:t>为准。</w:t>
      </w:r>
    </w:p>
    <w:p>
      <w:pPr>
        <w:keepNext w:val="0"/>
        <w:keepLines w:val="0"/>
        <w:pageBreakBefore w:val="0"/>
        <w:widowControl w:val="0"/>
        <w:wordWrap/>
        <w:topLinePunct w:val="0"/>
        <w:autoSpaceDE/>
        <w:autoSpaceDN/>
        <w:bidi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条款号：9.2                         修改类型：修改</w:t>
      </w:r>
    </w:p>
    <w:p>
      <w:pPr>
        <w:keepNext w:val="0"/>
        <w:keepLines w:val="0"/>
        <w:pageBreakBefore w:val="0"/>
        <w:widowControl w:val="0"/>
        <w:pBdr>
          <w:bottom w:val="single" w:color="auto" w:sz="6" w:space="1"/>
        </w:pBdr>
        <w:wordWrap/>
        <w:topLinePunct w:val="0"/>
        <w:autoSpaceDE/>
        <w:autoSpaceDN/>
        <w:bidi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9.2招标文件的澄清或修改将在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交易平台“项目答疑纪要”专区公开发布。答疑纪要一经在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交易平台上网发布时间作为送达时间。</w:t>
      </w:r>
    </w:p>
    <w:p>
      <w:pPr>
        <w:keepNext w:val="0"/>
        <w:keepLines w:val="0"/>
        <w:pageBreakBefore w:val="0"/>
        <w:widowControl w:val="0"/>
        <w:pBdr>
          <w:bottom w:val="single" w:color="auto" w:sz="6" w:space="1"/>
        </w:pBdr>
        <w:wordWrap/>
        <w:topLinePunct w:val="0"/>
        <w:autoSpaceDE/>
        <w:autoSpaceDN/>
        <w:bidi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9.2招标文件的澄清或修改</w:t>
      </w:r>
      <w:r>
        <w:rPr>
          <w:rFonts w:hint="eastAsia" w:ascii="宋体" w:hAnsi="宋体" w:cs="宋体"/>
          <w:color w:val="auto"/>
          <w:szCs w:val="21"/>
          <w:highlight w:val="none"/>
          <w:u w:val="none"/>
        </w:rPr>
        <w:t>在</w:t>
      </w:r>
      <w:r>
        <w:rPr>
          <w:rFonts w:hint="eastAsia" w:ascii="宋体" w:hAnsi="宋体" w:cs="宋体"/>
          <w:b/>
          <w:bCs/>
          <w:color w:val="auto"/>
          <w:szCs w:val="21"/>
          <w:highlight w:val="none"/>
          <w:u w:val="single"/>
        </w:rPr>
        <w:t>广州交易集团有限公司（广州公共资源交易中心）</w:t>
      </w:r>
      <w:r>
        <w:rPr>
          <w:rFonts w:hint="eastAsia" w:ascii="宋体" w:hAnsi="宋体" w:cs="宋体"/>
          <w:color w:val="auto"/>
          <w:szCs w:val="21"/>
          <w:highlight w:val="none"/>
        </w:rPr>
        <w:t>交易平台“</w:t>
      </w:r>
      <w:r>
        <w:rPr>
          <w:rFonts w:hint="eastAsia" w:ascii="宋体" w:hAnsi="宋体" w:cs="宋体"/>
          <w:b/>
          <w:bCs/>
          <w:color w:val="auto"/>
          <w:szCs w:val="21"/>
          <w:highlight w:val="none"/>
          <w:u w:val="single"/>
        </w:rPr>
        <w:t>项目查询</w:t>
      </w: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rPr>
        <w:t>日程安排、答疑纪要</w:t>
      </w:r>
      <w:r>
        <w:rPr>
          <w:rFonts w:hint="eastAsia" w:ascii="宋体" w:hAnsi="宋体" w:cs="宋体"/>
          <w:b/>
          <w:bCs/>
          <w:color w:val="auto"/>
          <w:szCs w:val="21"/>
          <w:highlight w:val="none"/>
          <w:u w:val="single"/>
          <w:lang w:eastAsia="zh-CN"/>
        </w:rPr>
        <w:t>）</w:t>
      </w:r>
      <w:r>
        <w:rPr>
          <w:rFonts w:hint="eastAsia" w:ascii="宋体" w:hAnsi="宋体" w:cs="宋体"/>
          <w:color w:val="auto"/>
          <w:szCs w:val="21"/>
          <w:highlight w:val="none"/>
        </w:rPr>
        <w:t>”专区公开发布。答疑纪要一经在</w:t>
      </w:r>
      <w:r>
        <w:rPr>
          <w:rFonts w:hint="eastAsia" w:ascii="宋体" w:hAnsi="宋体" w:cs="宋体"/>
          <w:b/>
          <w:bCs/>
          <w:color w:val="auto"/>
          <w:szCs w:val="21"/>
          <w:highlight w:val="none"/>
          <w:u w:val="single"/>
        </w:rPr>
        <w:t>广州交易集团有限公司（广州公共资源交易中心）</w:t>
      </w:r>
      <w:r>
        <w:rPr>
          <w:rFonts w:hint="eastAsia" w:ascii="宋体" w:hAnsi="宋体" w:cs="宋体"/>
          <w:color w:val="auto"/>
          <w:szCs w:val="21"/>
          <w:highlight w:val="none"/>
        </w:rPr>
        <w:t>交易平台发布，视作已发放给所有投标人，以</w:t>
      </w:r>
      <w:r>
        <w:rPr>
          <w:rFonts w:hint="eastAsia" w:ascii="宋体" w:hAnsi="宋体" w:cs="宋体"/>
          <w:b/>
          <w:bCs/>
          <w:color w:val="auto"/>
          <w:szCs w:val="21"/>
          <w:highlight w:val="none"/>
          <w:u w:val="single"/>
        </w:rPr>
        <w:t>广州交易集团有限公司（广州公共资源交易中心）</w:t>
      </w:r>
      <w:r>
        <w:rPr>
          <w:rFonts w:hint="eastAsia" w:ascii="宋体" w:hAnsi="宋体" w:cs="宋体"/>
          <w:color w:val="auto"/>
          <w:szCs w:val="21"/>
          <w:highlight w:val="none"/>
        </w:rPr>
        <w:t>交易平台上网发布时间作为送达时间。</w:t>
      </w:r>
    </w:p>
    <w:p>
      <w:pPr>
        <w:keepNext w:val="0"/>
        <w:keepLines w:val="0"/>
        <w:pageBreakBefore w:val="0"/>
        <w:widowControl w:val="0"/>
        <w:wordWrap/>
        <w:topLinePunct w:val="0"/>
        <w:autoSpaceDE/>
        <w:autoSpaceDN/>
        <w:bidi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条款号：9.4                         修改类型：修改</w:t>
      </w:r>
    </w:p>
    <w:p>
      <w:pPr>
        <w:pStyle w:val="28"/>
        <w:keepNext w:val="0"/>
        <w:keepLines w:val="0"/>
        <w:pageBreakBefore w:val="0"/>
        <w:widowControl w:val="0"/>
        <w:wordWrap/>
        <w:topLinePunct w:val="0"/>
        <w:autoSpaceDE/>
        <w:autoSpaceDN/>
        <w:bidi w:val="0"/>
        <w:snapToGrid w:val="0"/>
        <w:spacing w:after="0" w:line="360" w:lineRule="auto"/>
        <w:ind w:firstLine="413" w:firstLineChars="196"/>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9.4招标文件的澄清或修改均以书面形式明确的内容为准。当招标文件的澄清、修改、补充等在同一内容的表述不一致时，以最后发出的书面形式的文件为准。</w:t>
      </w:r>
    </w:p>
    <w:p>
      <w:pPr>
        <w:keepNext w:val="0"/>
        <w:keepLines w:val="0"/>
        <w:pageBreakBefore w:val="0"/>
        <w:widowControl w:val="0"/>
        <w:pBdr>
          <w:bottom w:val="single" w:color="auto" w:sz="6" w:space="1"/>
        </w:pBdr>
        <w:wordWrap/>
        <w:topLinePunct w:val="0"/>
        <w:autoSpaceDE/>
        <w:autoSpaceDN/>
        <w:bidi w:val="0"/>
        <w:snapToGrid w:val="0"/>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9.4</w:t>
      </w:r>
      <w:r>
        <w:rPr>
          <w:rFonts w:hint="eastAsia" w:ascii="宋体" w:hAnsi="宋体" w:eastAsia="宋体" w:cs="宋体"/>
          <w:color w:val="auto"/>
          <w:szCs w:val="21"/>
          <w:highlight w:val="none"/>
        </w:rPr>
        <w:t>招标文件的澄清或修改均</w:t>
      </w:r>
      <w:r>
        <w:rPr>
          <w:rFonts w:hint="eastAsia" w:ascii="宋体" w:hAnsi="宋体" w:eastAsia="宋体" w:cs="宋体"/>
          <w:color w:val="auto"/>
          <w:sz w:val="21"/>
          <w:szCs w:val="21"/>
          <w:highlight w:val="none"/>
        </w:rPr>
        <w:t>以</w:t>
      </w:r>
      <w:r>
        <w:rPr>
          <w:rFonts w:hint="eastAsia" w:ascii="宋体" w:hAnsi="宋体" w:eastAsia="宋体" w:cs="宋体"/>
          <w:b/>
          <w:bCs w:val="0"/>
          <w:color w:val="auto"/>
          <w:szCs w:val="21"/>
          <w:highlight w:val="none"/>
          <w:u w:val="single"/>
        </w:rPr>
        <w:t>广州交易集团有限公司（广州公共资源交易中心）网站“网上答疑”专区公开发布</w:t>
      </w:r>
      <w:r>
        <w:rPr>
          <w:rFonts w:hint="eastAsia" w:ascii="宋体" w:hAnsi="宋体" w:eastAsia="宋体" w:cs="宋体"/>
          <w:b/>
          <w:color w:val="auto"/>
          <w:szCs w:val="21"/>
          <w:highlight w:val="none"/>
          <w:u w:val="single"/>
        </w:rPr>
        <w:t>答疑内容为准</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当招标文件的澄清、修改、补充等在同一内容的表述不一致时，以</w:t>
      </w:r>
      <w:r>
        <w:rPr>
          <w:rFonts w:hint="eastAsia" w:ascii="宋体" w:hAnsi="宋体" w:eastAsia="宋体" w:cs="宋体"/>
          <w:b/>
          <w:bCs/>
          <w:color w:val="auto"/>
          <w:szCs w:val="21"/>
          <w:highlight w:val="none"/>
          <w:u w:val="single"/>
        </w:rPr>
        <w:t>广州交易集团有限公司（广州公共资源交易中心）网站</w:t>
      </w:r>
      <w:r>
        <w:rPr>
          <w:rFonts w:hint="eastAsia" w:ascii="宋体" w:hAnsi="宋体" w:eastAsia="宋体" w:cs="宋体"/>
          <w:color w:val="auto"/>
          <w:szCs w:val="21"/>
          <w:highlight w:val="none"/>
        </w:rPr>
        <w:t>最后发出的文件为准。</w:t>
      </w:r>
    </w:p>
    <w:p>
      <w:pPr>
        <w:keepNext w:val="0"/>
        <w:keepLines w:val="0"/>
        <w:pageBreakBefore w:val="0"/>
        <w:widowControl w:val="0"/>
        <w:wordWrap/>
        <w:topLinePunct w:val="0"/>
        <w:autoSpaceDE/>
        <w:autoSpaceDN/>
        <w:bidi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条款号：11.2                        修改类型：修改</w:t>
      </w:r>
    </w:p>
    <w:p>
      <w:pPr>
        <w:keepNext w:val="0"/>
        <w:keepLines w:val="0"/>
        <w:pageBreakBefore w:val="0"/>
        <w:widowControl w:val="0"/>
        <w:wordWrap/>
        <w:topLinePunct w:val="0"/>
        <w:autoSpaceDE/>
        <w:autoSpaceDN/>
        <w:bidi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p>
    <w:p>
      <w:pPr>
        <w:keepNext w:val="0"/>
        <w:keepLines w:val="0"/>
        <w:pageBreakBefore w:val="0"/>
        <w:widowControl w:val="0"/>
        <w:wordWrap/>
        <w:topLinePunct w:val="0"/>
        <w:autoSpaceDE/>
        <w:autoSpaceDN/>
        <w:bidi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11.2投标文件技术标部分主要包括下列内容：</w:t>
      </w:r>
    </w:p>
    <w:p>
      <w:pPr>
        <w:keepNext w:val="0"/>
        <w:keepLines w:val="0"/>
        <w:pageBreakBefore w:val="0"/>
        <w:widowControl w:val="0"/>
        <w:wordWrap/>
        <w:topLinePunct w:val="0"/>
        <w:autoSpaceDE/>
        <w:autoSpaceDN/>
        <w:bidi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11.2.1 技术投标文件</w:t>
      </w:r>
      <w:r>
        <w:rPr>
          <w:rFonts w:hint="eastAsia" w:ascii="宋体" w:hAnsi="宋体" w:cs="宋体"/>
          <w:color w:val="auto"/>
          <w:szCs w:val="21"/>
          <w:highlight w:val="none"/>
        </w:rPr>
        <w:t>(按招标文件的要求填写)</w:t>
      </w:r>
      <w:r>
        <w:rPr>
          <w:rFonts w:hint="eastAsia" w:ascii="宋体" w:hAnsi="宋体" w:cs="宋体"/>
          <w:bCs/>
          <w:color w:val="auto"/>
          <w:szCs w:val="21"/>
          <w:highlight w:val="none"/>
        </w:rPr>
        <w:t>；</w:t>
      </w:r>
    </w:p>
    <w:p>
      <w:pPr>
        <w:keepNext w:val="0"/>
        <w:keepLines w:val="0"/>
        <w:pageBreakBefore w:val="0"/>
        <w:widowControl w:val="0"/>
        <w:wordWrap/>
        <w:topLinePunct w:val="0"/>
        <w:autoSpaceDE/>
        <w:autoSpaceDN/>
        <w:bidi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11.2.2 资格审查文件：</w:t>
      </w:r>
    </w:p>
    <w:p>
      <w:pPr>
        <w:keepNext w:val="0"/>
        <w:keepLines w:val="0"/>
        <w:pageBreakBefore w:val="0"/>
        <w:widowControl w:val="0"/>
        <w:wordWrap/>
        <w:topLinePunct w:val="0"/>
        <w:autoSpaceDE/>
        <w:autoSpaceDN/>
        <w:bidi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（1）投标人声明； </w:t>
      </w:r>
    </w:p>
    <w:p>
      <w:pPr>
        <w:keepNext w:val="0"/>
        <w:keepLines w:val="0"/>
        <w:pageBreakBefore w:val="0"/>
        <w:widowControl w:val="0"/>
        <w:wordWrap/>
        <w:topLinePunct w:val="0"/>
        <w:autoSpaceDE/>
        <w:autoSpaceDN/>
        <w:bidi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pPr>
        <w:keepNext w:val="0"/>
        <w:keepLines w:val="0"/>
        <w:pageBreakBefore w:val="0"/>
        <w:widowControl w:val="0"/>
        <w:wordWrap/>
        <w:topLinePunct w:val="0"/>
        <w:autoSpaceDE/>
        <w:autoSpaceDN/>
        <w:bidi w:val="0"/>
        <w:snapToGrid w:val="0"/>
        <w:spacing w:line="360" w:lineRule="auto"/>
        <w:ind w:firstLine="468" w:firstLineChars="223"/>
        <w:rPr>
          <w:rFonts w:ascii="宋体" w:hAnsi="宋体" w:cs="宋体"/>
          <w:bCs/>
          <w:color w:val="auto"/>
          <w:szCs w:val="21"/>
          <w:highlight w:val="none"/>
        </w:rPr>
      </w:pPr>
      <w:r>
        <w:rPr>
          <w:rFonts w:hint="eastAsia" w:ascii="宋体" w:hAnsi="宋体" w:cs="宋体"/>
          <w:bCs/>
          <w:color w:val="auto"/>
          <w:szCs w:val="21"/>
          <w:highlight w:val="none"/>
        </w:rPr>
        <w:t>（3）企业营业执照扫描件或电子证照；</w:t>
      </w:r>
    </w:p>
    <w:p>
      <w:pPr>
        <w:keepNext w:val="0"/>
        <w:keepLines w:val="0"/>
        <w:pageBreakBefore w:val="0"/>
        <w:widowControl w:val="0"/>
        <w:wordWrap/>
        <w:topLinePunct w:val="0"/>
        <w:autoSpaceDE/>
        <w:autoSpaceDN/>
        <w:bidi w:val="0"/>
        <w:snapToGrid w:val="0"/>
        <w:spacing w:line="360" w:lineRule="auto"/>
        <w:ind w:firstLine="468" w:firstLineChars="223"/>
        <w:rPr>
          <w:rFonts w:ascii="宋体" w:hAnsi="宋体" w:cs="宋体"/>
          <w:bCs/>
          <w:color w:val="auto"/>
          <w:szCs w:val="21"/>
          <w:highlight w:val="none"/>
        </w:rPr>
      </w:pPr>
      <w:r>
        <w:rPr>
          <w:rFonts w:hint="eastAsia" w:ascii="宋体" w:hAnsi="宋体" w:cs="宋体"/>
          <w:bCs/>
          <w:color w:val="auto"/>
          <w:szCs w:val="21"/>
          <w:highlight w:val="none"/>
        </w:rPr>
        <w:t>（4）企业资质证书扫描件或电子证照；</w:t>
      </w:r>
    </w:p>
    <w:p>
      <w:pPr>
        <w:keepNext w:val="0"/>
        <w:keepLines w:val="0"/>
        <w:pageBreakBefore w:val="0"/>
        <w:widowControl w:val="0"/>
        <w:wordWrap/>
        <w:topLinePunct w:val="0"/>
        <w:autoSpaceDE/>
        <w:autoSpaceDN/>
        <w:bidi w:val="0"/>
        <w:snapToGrid w:val="0"/>
        <w:spacing w:line="360" w:lineRule="auto"/>
        <w:ind w:firstLine="468" w:firstLineChars="223"/>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（5）建筑施工企业安全生产许可证扫描件或电子证照；</w:t>
      </w:r>
    </w:p>
    <w:p>
      <w:pPr>
        <w:keepNext w:val="0"/>
        <w:keepLines w:val="0"/>
        <w:pageBreakBefore w:val="0"/>
        <w:widowControl w:val="0"/>
        <w:wordWrap/>
        <w:topLinePunct w:val="0"/>
        <w:autoSpaceDE/>
        <w:autoSpaceDN/>
        <w:bidi w:val="0"/>
        <w:snapToGrid w:val="0"/>
        <w:spacing w:line="360" w:lineRule="auto"/>
        <w:ind w:firstLine="468" w:firstLineChars="223"/>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（6）项目负责人（按网上投标登记时选择拟投入本项目的项目负责人）</w:t>
      </w:r>
    </w:p>
    <w:p>
      <w:pPr>
        <w:keepNext w:val="0"/>
        <w:keepLines w:val="0"/>
        <w:pageBreakBefore w:val="0"/>
        <w:widowControl w:val="0"/>
        <w:wordWrap/>
        <w:topLinePunct w:val="0"/>
        <w:autoSpaceDE/>
        <w:autoSpaceDN/>
        <w:bidi w:val="0"/>
        <w:snapToGrid w:val="0"/>
        <w:spacing w:line="360" w:lineRule="auto"/>
        <w:ind w:firstLine="468" w:firstLineChars="223"/>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（7）专职安全员（按网上投标登记时选择拟投入本项目的专职安全员）</w:t>
      </w:r>
    </w:p>
    <w:p>
      <w:pPr>
        <w:keepNext w:val="0"/>
        <w:keepLines w:val="0"/>
        <w:pageBreakBefore w:val="0"/>
        <w:widowControl w:val="0"/>
        <w:wordWrap/>
        <w:topLinePunct w:val="0"/>
        <w:autoSpaceDE/>
        <w:autoSpaceDN/>
        <w:bidi w:val="0"/>
        <w:snapToGrid w:val="0"/>
        <w:spacing w:line="360" w:lineRule="auto"/>
        <w:ind w:firstLine="468" w:firstLineChars="223"/>
        <w:rPr>
          <w:rFonts w:ascii="宋体" w:hAnsi="宋体" w:cs="宋体"/>
          <w:bCs/>
          <w:color w:val="auto"/>
          <w:szCs w:val="21"/>
          <w:highlight w:val="none"/>
        </w:rPr>
      </w:pPr>
      <w:r>
        <w:rPr>
          <w:rFonts w:hint="eastAsia" w:ascii="宋体" w:hAnsi="宋体" w:cs="宋体"/>
          <w:bCs/>
          <w:color w:val="auto"/>
          <w:szCs w:val="21"/>
          <w:highlight w:val="none"/>
        </w:rPr>
        <w:t>（8）拟委托技术负责人的相关证书、资料（具体要求由招标人明确）</w:t>
      </w:r>
    </w:p>
    <w:p>
      <w:pPr>
        <w:keepNext w:val="0"/>
        <w:keepLines w:val="0"/>
        <w:pageBreakBefore w:val="0"/>
        <w:widowControl w:val="0"/>
        <w:wordWrap/>
        <w:topLinePunct w:val="0"/>
        <w:autoSpaceDE/>
        <w:autoSpaceDN/>
        <w:bidi w:val="0"/>
        <w:snapToGrid w:val="0"/>
        <w:spacing w:line="360" w:lineRule="auto"/>
        <w:ind w:firstLine="468" w:firstLineChars="223"/>
        <w:rPr>
          <w:rFonts w:ascii="宋体" w:hAnsi="宋体" w:cs="宋体"/>
          <w:bCs/>
          <w:color w:val="auto"/>
          <w:szCs w:val="21"/>
          <w:highlight w:val="none"/>
        </w:rPr>
      </w:pPr>
      <w:r>
        <w:rPr>
          <w:rFonts w:hint="eastAsia" w:ascii="宋体" w:hAnsi="宋体" w:cs="宋体"/>
          <w:bCs/>
          <w:color w:val="auto"/>
          <w:szCs w:val="21"/>
          <w:highlight w:val="none"/>
        </w:rPr>
        <w:t xml:space="preserve">（9）拟委派项目负责人的有效期内的建造师注册证书扫描件或电子证书；  </w:t>
      </w:r>
    </w:p>
    <w:p>
      <w:pPr>
        <w:keepNext w:val="0"/>
        <w:keepLines w:val="0"/>
        <w:pageBreakBefore w:val="0"/>
        <w:widowControl w:val="0"/>
        <w:wordWrap/>
        <w:topLinePunct w:val="0"/>
        <w:autoSpaceDE/>
        <w:autoSpaceDN/>
        <w:bidi w:val="0"/>
        <w:snapToGrid w:val="0"/>
        <w:spacing w:line="360" w:lineRule="auto"/>
        <w:ind w:firstLine="468" w:firstLineChars="223"/>
        <w:rPr>
          <w:rFonts w:ascii="宋体" w:hAnsi="宋体" w:cs="宋体"/>
          <w:bCs/>
          <w:color w:val="auto"/>
          <w:szCs w:val="21"/>
          <w:highlight w:val="none"/>
        </w:rPr>
      </w:pPr>
      <w:r>
        <w:rPr>
          <w:rFonts w:hint="eastAsia" w:ascii="宋体" w:hAnsi="宋体" w:cs="宋体"/>
          <w:bCs/>
          <w:color w:val="auto"/>
          <w:szCs w:val="21"/>
          <w:highlight w:val="none"/>
        </w:rPr>
        <w:t>（10）项目负责人在有效期内的安全考核合格证书（B类）或建筑施工企业项目负责人安全生产考核合格证书扫描件或电子证书；</w:t>
      </w:r>
    </w:p>
    <w:p>
      <w:pPr>
        <w:keepNext w:val="0"/>
        <w:keepLines w:val="0"/>
        <w:pageBreakBefore w:val="0"/>
        <w:widowControl w:val="0"/>
        <w:wordWrap/>
        <w:topLinePunct w:val="0"/>
        <w:autoSpaceDE/>
        <w:autoSpaceDN/>
        <w:bidi w:val="0"/>
        <w:snapToGrid w:val="0"/>
        <w:spacing w:line="360" w:lineRule="auto"/>
        <w:ind w:firstLine="468" w:firstLineChars="223"/>
        <w:rPr>
          <w:rFonts w:ascii="宋体" w:hAnsi="宋体" w:cs="宋体"/>
          <w:bCs/>
          <w:color w:val="auto"/>
          <w:szCs w:val="21"/>
          <w:highlight w:val="none"/>
        </w:rPr>
      </w:pPr>
      <w:r>
        <w:rPr>
          <w:rFonts w:hint="eastAsia" w:ascii="宋体" w:hAnsi="宋体" w:cs="宋体"/>
          <w:bCs/>
          <w:color w:val="auto"/>
          <w:szCs w:val="21"/>
          <w:highlight w:val="none"/>
        </w:rPr>
        <w:t>（11）专职安全员须具有在有效期内的安全考核合格证书（C类）或建筑施工企业专职安全生产管理人员安全生产考核合格证书扫描件或电子证书；</w:t>
      </w:r>
    </w:p>
    <w:p>
      <w:pPr>
        <w:keepNext w:val="0"/>
        <w:keepLines w:val="0"/>
        <w:pageBreakBefore w:val="0"/>
        <w:widowControl w:val="0"/>
        <w:wordWrap/>
        <w:topLinePunct w:val="0"/>
        <w:autoSpaceDE/>
        <w:autoSpaceDN/>
        <w:bidi w:val="0"/>
        <w:snapToGrid w:val="0"/>
        <w:spacing w:line="360" w:lineRule="auto"/>
        <w:ind w:firstLine="468" w:firstLineChars="223"/>
        <w:rPr>
          <w:rFonts w:ascii="宋体" w:hAnsi="宋体" w:cs="宋体"/>
          <w:bCs/>
          <w:color w:val="auto"/>
          <w:szCs w:val="21"/>
          <w:highlight w:val="none"/>
        </w:rPr>
      </w:pPr>
      <w:r>
        <w:rPr>
          <w:rFonts w:hint="eastAsia" w:ascii="宋体" w:hAnsi="宋体" w:cs="宋体"/>
          <w:bCs/>
          <w:color w:val="auto"/>
          <w:szCs w:val="21"/>
          <w:highlight w:val="none"/>
        </w:rPr>
        <w:t>（12）用于资格审查的业绩（设置业绩要求时选择此项，投标人须提供类似工程业绩的项目名称及项目编号，具体格式由招标人自定）；</w:t>
      </w:r>
    </w:p>
    <w:p>
      <w:pPr>
        <w:keepNext w:val="0"/>
        <w:keepLines w:val="0"/>
        <w:pageBreakBefore w:val="0"/>
        <w:widowControl w:val="0"/>
        <w:wordWrap/>
        <w:topLinePunct w:val="0"/>
        <w:autoSpaceDE/>
        <w:autoSpaceDN/>
        <w:bidi w:val="0"/>
        <w:snapToGrid w:val="0"/>
        <w:spacing w:line="360" w:lineRule="auto"/>
        <w:ind w:firstLine="468" w:firstLineChars="223"/>
        <w:rPr>
          <w:rFonts w:ascii="宋体" w:hAnsi="宋体" w:cs="宋体"/>
          <w:bCs/>
          <w:color w:val="auto"/>
          <w:szCs w:val="21"/>
          <w:highlight w:val="none"/>
        </w:rPr>
      </w:pPr>
      <w:r>
        <w:rPr>
          <w:rFonts w:hint="eastAsia" w:ascii="宋体" w:hAnsi="宋体" w:cs="宋体"/>
          <w:bCs/>
          <w:color w:val="auto"/>
          <w:szCs w:val="21"/>
          <w:highlight w:val="none"/>
        </w:rPr>
        <w:t>（13）资格审查前，投标人须在广州市住房和城乡建设局建立企业信用档案，拟担任本工程项目负责人、专职安全员须是本企业信用档案中的在册人员。</w:t>
      </w:r>
    </w:p>
    <w:p>
      <w:pPr>
        <w:keepNext w:val="0"/>
        <w:keepLines w:val="0"/>
        <w:pageBreakBefore w:val="0"/>
        <w:widowControl w:val="0"/>
        <w:wordWrap/>
        <w:topLinePunct w:val="0"/>
        <w:autoSpaceDE/>
        <w:autoSpaceDN/>
        <w:bidi w:val="0"/>
        <w:snapToGrid w:val="0"/>
        <w:spacing w:line="360" w:lineRule="auto"/>
        <w:ind w:firstLine="468" w:firstLineChars="223"/>
        <w:rPr>
          <w:rFonts w:ascii="宋体" w:hAnsi="宋体" w:cs="宋体"/>
          <w:bCs/>
          <w:color w:val="auto"/>
          <w:szCs w:val="21"/>
          <w:highlight w:val="none"/>
        </w:rPr>
      </w:pPr>
      <w:r>
        <w:rPr>
          <w:rFonts w:hint="eastAsia" w:ascii="宋体" w:hAnsi="宋体" w:cs="宋体"/>
          <w:bCs/>
          <w:color w:val="auto"/>
          <w:szCs w:val="21"/>
          <w:highlight w:val="none"/>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keepNext w:val="0"/>
        <w:keepLines w:val="0"/>
        <w:pageBreakBefore w:val="0"/>
        <w:widowControl w:val="0"/>
        <w:wordWrap/>
        <w:topLinePunct w:val="0"/>
        <w:autoSpaceDE/>
        <w:autoSpaceDN/>
        <w:bidi w:val="0"/>
        <w:snapToGrid w:val="0"/>
        <w:spacing w:line="360" w:lineRule="auto"/>
        <w:ind w:firstLine="468" w:firstLineChars="223"/>
        <w:rPr>
          <w:rFonts w:ascii="宋体" w:hAnsi="宋体" w:cs="宋体"/>
          <w:bCs/>
          <w:color w:val="auto"/>
          <w:szCs w:val="21"/>
          <w:highlight w:val="none"/>
        </w:rPr>
      </w:pPr>
      <w:r>
        <w:rPr>
          <w:rFonts w:hint="eastAsia" w:ascii="宋体" w:hAnsi="宋体" w:cs="宋体"/>
          <w:bCs/>
          <w:color w:val="auto"/>
          <w:szCs w:val="21"/>
          <w:highlight w:val="none"/>
        </w:rPr>
        <w:t>注：1.相关电子证书按规定需打印后手写本人签名的，应按照规定手写本人签名后再扫描提交。</w:t>
      </w:r>
    </w:p>
    <w:p>
      <w:pPr>
        <w:keepNext w:val="0"/>
        <w:keepLines w:val="0"/>
        <w:pageBreakBefore w:val="0"/>
        <w:widowControl w:val="0"/>
        <w:wordWrap/>
        <w:topLinePunct w:val="0"/>
        <w:autoSpaceDE/>
        <w:autoSpaceDN/>
        <w:bidi w:val="0"/>
        <w:snapToGrid w:val="0"/>
        <w:spacing w:line="360" w:lineRule="auto"/>
        <w:ind w:firstLine="468" w:firstLineChars="223"/>
        <w:rPr>
          <w:rFonts w:ascii="宋体" w:hAnsi="宋体" w:cs="宋体"/>
          <w:bCs/>
          <w:color w:val="auto"/>
          <w:szCs w:val="21"/>
          <w:highlight w:val="none"/>
        </w:rPr>
      </w:pPr>
      <w:r>
        <w:rPr>
          <w:rFonts w:hint="eastAsia" w:ascii="宋体" w:hAnsi="宋体" w:cs="宋体"/>
          <w:bCs/>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pPr>
        <w:keepNext w:val="0"/>
        <w:keepLines w:val="0"/>
        <w:pageBreakBefore w:val="0"/>
        <w:widowControl w:val="0"/>
        <w:wordWrap/>
        <w:topLinePunct w:val="0"/>
        <w:autoSpaceDE/>
        <w:autoSpaceDN/>
        <w:bidi w:val="0"/>
        <w:snapToGrid w:val="0"/>
        <w:spacing w:line="360" w:lineRule="auto"/>
        <w:ind w:firstLine="468" w:firstLineChars="223"/>
        <w:rPr>
          <w:rFonts w:ascii="宋体" w:hAnsi="宋体" w:cs="宋体"/>
          <w:bCs/>
          <w:color w:val="auto"/>
          <w:szCs w:val="21"/>
          <w:highlight w:val="none"/>
        </w:rPr>
      </w:pPr>
      <w:r>
        <w:rPr>
          <w:rFonts w:hint="eastAsia" w:ascii="宋体" w:hAnsi="宋体" w:cs="宋体"/>
          <w:bCs/>
          <w:color w:val="auto"/>
          <w:szCs w:val="21"/>
          <w:highlight w:val="none"/>
        </w:rPr>
        <w:t>11.2.3项目管理机构配备。</w:t>
      </w:r>
    </w:p>
    <w:p>
      <w:pPr>
        <w:keepNext w:val="0"/>
        <w:keepLines w:val="0"/>
        <w:pageBreakBefore w:val="0"/>
        <w:widowControl w:val="0"/>
        <w:wordWrap/>
        <w:topLinePunct w:val="0"/>
        <w:autoSpaceDE/>
        <w:autoSpaceDN/>
        <w:bidi w:val="0"/>
        <w:snapToGrid w:val="0"/>
        <w:spacing w:line="360" w:lineRule="auto"/>
        <w:ind w:firstLine="468" w:firstLineChars="223"/>
        <w:rPr>
          <w:rFonts w:ascii="宋体" w:hAnsi="宋体" w:cs="宋体"/>
          <w:bCs/>
          <w:color w:val="auto"/>
          <w:szCs w:val="21"/>
          <w:highlight w:val="none"/>
        </w:rPr>
      </w:pPr>
      <w:r>
        <w:rPr>
          <w:rFonts w:hint="eastAsia" w:ascii="宋体" w:hAnsi="宋体" w:cs="宋体"/>
          <w:bCs/>
          <w:color w:val="auto"/>
          <w:szCs w:val="21"/>
          <w:highlight w:val="none"/>
        </w:rPr>
        <w:t>（1）投标人应列出该项目工程的施工组织机构构成和画出机构框架图及其负责人；</w:t>
      </w:r>
    </w:p>
    <w:p>
      <w:pPr>
        <w:keepNext w:val="0"/>
        <w:keepLines w:val="0"/>
        <w:pageBreakBefore w:val="0"/>
        <w:widowControl w:val="0"/>
        <w:wordWrap/>
        <w:topLinePunct w:val="0"/>
        <w:autoSpaceDE/>
        <w:autoSpaceDN/>
        <w:bidi w:val="0"/>
        <w:snapToGrid w:val="0"/>
        <w:spacing w:line="360" w:lineRule="auto"/>
        <w:ind w:firstLine="468" w:firstLineChars="223"/>
        <w:rPr>
          <w:rFonts w:ascii="宋体" w:hAnsi="宋体" w:cs="宋体"/>
          <w:bCs/>
          <w:color w:val="auto"/>
          <w:szCs w:val="21"/>
          <w:highlight w:val="none"/>
        </w:rPr>
      </w:pPr>
      <w:r>
        <w:rPr>
          <w:rFonts w:hint="eastAsia" w:ascii="宋体" w:hAnsi="宋体" w:cs="宋体"/>
          <w:bCs/>
          <w:color w:val="auto"/>
          <w:szCs w:val="21"/>
          <w:highlight w:val="none"/>
        </w:rPr>
        <w:t>（2）投标人应详细列出该施工组织机构中主要成员的名单、简历资料、职务职称和在本项目中拟担任的职务等资料，并附上有关证明材料扫描件；</w:t>
      </w:r>
    </w:p>
    <w:p>
      <w:pPr>
        <w:keepNext w:val="0"/>
        <w:keepLines w:val="0"/>
        <w:pageBreakBefore w:val="0"/>
        <w:widowControl w:val="0"/>
        <w:wordWrap/>
        <w:topLinePunct w:val="0"/>
        <w:autoSpaceDE/>
        <w:autoSpaceDN/>
        <w:bidi w:val="0"/>
        <w:snapToGrid w:val="0"/>
        <w:spacing w:line="360" w:lineRule="auto"/>
        <w:ind w:firstLine="468" w:firstLineChars="223"/>
        <w:rPr>
          <w:rFonts w:ascii="宋体" w:hAnsi="宋体" w:cs="宋体"/>
          <w:bCs/>
          <w:color w:val="auto"/>
          <w:szCs w:val="21"/>
          <w:highlight w:val="none"/>
        </w:rPr>
      </w:pPr>
      <w:r>
        <w:rPr>
          <w:rFonts w:hint="eastAsia" w:ascii="宋体" w:hAnsi="宋体" w:cs="宋体"/>
          <w:bCs/>
          <w:color w:val="auto"/>
          <w:szCs w:val="21"/>
          <w:highlight w:val="none"/>
        </w:rPr>
        <w:t>（3）其他辅助说明资料。</w:t>
      </w:r>
    </w:p>
    <w:p>
      <w:pPr>
        <w:keepNext w:val="0"/>
        <w:keepLines w:val="0"/>
        <w:pageBreakBefore w:val="0"/>
        <w:widowControl w:val="0"/>
        <w:wordWrap/>
        <w:topLinePunct w:val="0"/>
        <w:autoSpaceDE/>
        <w:autoSpaceDN/>
        <w:bidi w:val="0"/>
        <w:snapToGrid w:val="0"/>
        <w:spacing w:line="360" w:lineRule="auto"/>
        <w:ind w:firstLine="468" w:firstLineChars="223"/>
        <w:rPr>
          <w:rFonts w:ascii="宋体" w:hAnsi="宋体" w:cs="宋体"/>
          <w:bCs/>
          <w:color w:val="auto"/>
          <w:szCs w:val="21"/>
          <w:highlight w:val="none"/>
        </w:rPr>
      </w:pPr>
      <w:r>
        <w:rPr>
          <w:rFonts w:hint="eastAsia" w:ascii="宋体" w:hAnsi="宋体" w:cs="宋体"/>
          <w:bCs/>
          <w:color w:val="auto"/>
          <w:szCs w:val="21"/>
          <w:highlight w:val="none"/>
        </w:rPr>
        <w:t>11.2.4投标人在广州市可使用适合本工程的机械设备（附：机械设备为自有或租赁的说明；及承诺机械设备如属于租赁的，其租赁是不属于重复租赁）。</w:t>
      </w:r>
    </w:p>
    <w:p>
      <w:pPr>
        <w:keepNext w:val="0"/>
        <w:keepLines w:val="0"/>
        <w:pageBreakBefore w:val="0"/>
        <w:widowControl w:val="0"/>
        <w:wordWrap/>
        <w:topLinePunct w:val="0"/>
        <w:autoSpaceDE/>
        <w:autoSpaceDN/>
        <w:bidi w:val="0"/>
        <w:snapToGrid w:val="0"/>
        <w:spacing w:line="360" w:lineRule="auto"/>
        <w:ind w:firstLine="468" w:firstLineChars="223"/>
        <w:rPr>
          <w:rFonts w:ascii="宋体" w:hAnsi="宋体" w:cs="宋体"/>
          <w:bCs/>
          <w:color w:val="auto"/>
          <w:szCs w:val="21"/>
          <w:highlight w:val="none"/>
        </w:rPr>
      </w:pPr>
      <w:r>
        <w:rPr>
          <w:rFonts w:hint="eastAsia" w:ascii="宋体" w:hAnsi="宋体" w:cs="宋体"/>
          <w:bCs/>
          <w:color w:val="auto"/>
          <w:szCs w:val="21"/>
          <w:highlight w:val="none"/>
        </w:rPr>
        <w:t>11.2.5施工组织设计或施工方案。</w:t>
      </w:r>
    </w:p>
    <w:p>
      <w:pPr>
        <w:keepNext w:val="0"/>
        <w:keepLines w:val="0"/>
        <w:pageBreakBefore w:val="0"/>
        <w:widowControl w:val="0"/>
        <w:wordWrap/>
        <w:topLinePunct w:val="0"/>
        <w:autoSpaceDE/>
        <w:autoSpaceDN/>
        <w:bidi w:val="0"/>
        <w:snapToGrid w:val="0"/>
        <w:spacing w:line="360" w:lineRule="auto"/>
        <w:ind w:firstLine="468" w:firstLineChars="223"/>
        <w:rPr>
          <w:rFonts w:ascii="宋体" w:hAnsi="宋体" w:cs="宋体"/>
          <w:bCs/>
          <w:color w:val="auto"/>
          <w:szCs w:val="21"/>
          <w:highlight w:val="none"/>
        </w:rPr>
      </w:pPr>
      <w:r>
        <w:rPr>
          <w:rFonts w:hint="eastAsia" w:ascii="宋体" w:hAnsi="宋体" w:cs="宋体"/>
          <w:bCs/>
          <w:color w:val="auto"/>
          <w:szCs w:val="21"/>
          <w:highlight w:val="none"/>
        </w:rPr>
        <w:t>（1）投标人在编制施工组织设计或施工方案时应按照招标人提出的施工现场建筑垃圾源头减量的具体要求以及建筑垃圾综合利用产品的使用要求提供相应措施。</w:t>
      </w:r>
    </w:p>
    <w:p>
      <w:pPr>
        <w:keepNext w:val="0"/>
        <w:keepLines w:val="0"/>
        <w:pageBreakBefore w:val="0"/>
        <w:widowControl w:val="0"/>
        <w:wordWrap/>
        <w:topLinePunct w:val="0"/>
        <w:autoSpaceDE/>
        <w:autoSpaceDN/>
        <w:bidi w:val="0"/>
        <w:snapToGrid w:val="0"/>
        <w:spacing w:line="360" w:lineRule="auto"/>
        <w:ind w:firstLine="468" w:firstLineChars="223"/>
        <w:rPr>
          <w:rFonts w:ascii="宋体" w:hAnsi="宋体" w:cs="宋体"/>
          <w:bCs/>
          <w:color w:val="auto"/>
          <w:szCs w:val="21"/>
          <w:highlight w:val="none"/>
        </w:rPr>
      </w:pPr>
      <w:r>
        <w:rPr>
          <w:rFonts w:hint="eastAsia" w:ascii="宋体" w:hAnsi="宋体" w:cs="宋体"/>
          <w:bCs/>
          <w:color w:val="auto"/>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pPr>
        <w:keepNext w:val="0"/>
        <w:keepLines w:val="0"/>
        <w:pageBreakBefore w:val="0"/>
        <w:widowControl w:val="0"/>
        <w:wordWrap/>
        <w:topLinePunct w:val="0"/>
        <w:autoSpaceDE/>
        <w:autoSpaceDN/>
        <w:bidi w:val="0"/>
        <w:snapToGrid w:val="0"/>
        <w:spacing w:line="360" w:lineRule="auto"/>
        <w:ind w:firstLine="468" w:firstLineChars="223"/>
        <w:rPr>
          <w:rFonts w:ascii="宋体" w:hAnsi="宋体" w:cs="宋体"/>
          <w:bCs/>
          <w:color w:val="auto"/>
          <w:szCs w:val="21"/>
          <w:highlight w:val="none"/>
        </w:rPr>
      </w:pPr>
      <w:r>
        <w:rPr>
          <w:rFonts w:hint="eastAsia" w:ascii="宋体" w:hAnsi="宋体" w:cs="宋体"/>
          <w:bCs/>
          <w:color w:val="auto"/>
          <w:szCs w:val="21"/>
          <w:highlight w:val="none"/>
        </w:rPr>
        <w:t>11.2.6按照招标文件要求填写的《参与编制技术标投标文件人员名单》。</w:t>
      </w:r>
    </w:p>
    <w:p>
      <w:pPr>
        <w:keepNext w:val="0"/>
        <w:keepLines w:val="0"/>
        <w:pageBreakBefore w:val="0"/>
        <w:widowControl w:val="0"/>
        <w:wordWrap/>
        <w:topLinePunct w:val="0"/>
        <w:autoSpaceDE/>
        <w:autoSpaceDN/>
        <w:bidi w:val="0"/>
        <w:snapToGrid w:val="0"/>
        <w:spacing w:line="360" w:lineRule="auto"/>
        <w:ind w:firstLine="470" w:firstLineChars="223"/>
        <w:rPr>
          <w:rFonts w:ascii="宋体" w:hAnsi="宋体" w:cs="宋体"/>
          <w:b/>
          <w:color w:val="auto"/>
          <w:szCs w:val="21"/>
          <w:highlight w:val="none"/>
        </w:rPr>
      </w:pPr>
      <w:r>
        <w:rPr>
          <w:rFonts w:hint="eastAsia" w:ascii="宋体" w:hAnsi="宋体" w:cs="宋体"/>
          <w:b/>
          <w:color w:val="auto"/>
          <w:szCs w:val="21"/>
          <w:highlight w:val="none"/>
        </w:rPr>
        <w:t>现文：</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wordWrap/>
        <w:topLinePunct w:val="0"/>
        <w:autoSpaceDE/>
        <w:autoSpaceDN/>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11.2投标文件技术标部分</w:t>
      </w:r>
      <w:r>
        <w:rPr>
          <w:rFonts w:hint="eastAsia" w:ascii="宋体" w:hAnsi="宋体" w:cs="宋体"/>
          <w:b/>
          <w:bCs/>
          <w:color w:val="auto"/>
          <w:szCs w:val="21"/>
          <w:highlight w:val="none"/>
          <w:u w:val="single"/>
        </w:rPr>
        <w:t>（含资格审查文件）</w:t>
      </w:r>
      <w:r>
        <w:rPr>
          <w:rFonts w:hint="eastAsia" w:ascii="宋体" w:hAnsi="宋体" w:cs="宋体"/>
          <w:color w:val="auto"/>
          <w:szCs w:val="21"/>
          <w:highlight w:val="none"/>
        </w:rPr>
        <w:t>主要包括下列内容</w:t>
      </w:r>
      <w:r>
        <w:rPr>
          <w:rFonts w:hint="eastAsia" w:ascii="宋体" w:hAnsi="宋体" w:eastAsia="宋体" w:cs="宋体"/>
          <w:b/>
          <w:bCs/>
          <w:color w:val="auto"/>
          <w:szCs w:val="21"/>
          <w:highlight w:val="none"/>
          <w:u w:val="single"/>
        </w:rPr>
        <w:t>（除注明原件外，均为清晰扫描件（</w:t>
      </w:r>
      <w:r>
        <w:rPr>
          <w:rFonts w:hint="eastAsia" w:ascii="宋体" w:hAnsi="宋体" w:eastAsia="宋体" w:cs="宋体"/>
          <w:b/>
          <w:bCs/>
          <w:color w:val="auto"/>
          <w:szCs w:val="21"/>
          <w:highlight w:val="none"/>
          <w:u w:val="single"/>
          <w:lang w:val="en-US" w:eastAsia="zh-CN"/>
        </w:rPr>
        <w:t>或</w:t>
      </w:r>
      <w:r>
        <w:rPr>
          <w:rFonts w:hint="eastAsia" w:ascii="宋体" w:hAnsi="宋体" w:eastAsia="宋体" w:cs="宋体"/>
          <w:b/>
          <w:bCs/>
          <w:color w:val="auto"/>
          <w:szCs w:val="21"/>
          <w:highlight w:val="none"/>
          <w:u w:val="single"/>
        </w:rPr>
        <w:t>网页截图）即可）</w:t>
      </w:r>
      <w:r>
        <w:rPr>
          <w:rFonts w:hint="eastAsia" w:ascii="宋体" w:hAnsi="宋体" w:cs="宋体"/>
          <w:color w:val="auto"/>
          <w:szCs w:val="21"/>
          <w:highlight w:val="none"/>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wordWrap/>
        <w:topLinePunct w:val="0"/>
        <w:autoSpaceDE/>
        <w:autoSpaceDN/>
        <w:bidi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11.2.1广州建设工程施工招标投标书（技术标）</w:t>
      </w:r>
      <w:r>
        <w:rPr>
          <w:rFonts w:hint="eastAsia" w:ascii="宋体" w:hAnsi="宋体" w:cs="宋体"/>
          <w:bCs/>
          <w:color w:val="auto"/>
          <w:szCs w:val="21"/>
          <w:highlight w:val="none"/>
          <w:u w:val="single"/>
        </w:rPr>
        <w:t>（格式见招标文件第四章，具体格式以《广州建设工程施工招标投标书（技术标）》为准；电子投标管理软件编制的“广州建设工程施工招标投标书”不作为否决投标的条件)</w:t>
      </w:r>
      <w:r>
        <w:rPr>
          <w:rFonts w:hint="eastAsia" w:ascii="宋体" w:hAnsi="宋体" w:cs="宋体"/>
          <w:color w:val="auto"/>
          <w:szCs w:val="21"/>
          <w:highlight w:val="none"/>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wordWrap/>
        <w:topLinePunct w:val="0"/>
        <w:autoSpaceDE/>
        <w:autoSpaceDN/>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 资格审查文件：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wordWrap/>
        <w:topLinePunct w:val="0"/>
        <w:autoSpaceDE/>
        <w:autoSpaceDN/>
        <w:bidi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w:t>
      </w:r>
      <w:r>
        <w:rPr>
          <w:rFonts w:hint="eastAsia" w:ascii="宋体" w:hAnsi="宋体" w:eastAsia="宋体" w:cs="宋体"/>
          <w:bCs/>
          <w:color w:val="auto"/>
          <w:szCs w:val="21"/>
          <w:highlight w:val="none"/>
        </w:rPr>
        <w:t>《投标人声明（适用于独立投标或联合体主办方）》和《投标人声明（适用于联合体成员方）》（若为联合体投标，成员方需提供；若为独立投标人，无需提供）</w:t>
      </w:r>
      <w:r>
        <w:rPr>
          <w:rFonts w:hint="eastAsia" w:ascii="宋体" w:hAnsi="宋体" w:cs="宋体"/>
          <w:color w:val="auto"/>
          <w:szCs w:val="21"/>
          <w:highlight w:val="none"/>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wordWrap/>
        <w:topLinePunct w:val="0"/>
        <w:autoSpaceDE/>
        <w:autoSpaceDN/>
        <w:bidi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eastAsia="宋体" w:cs="宋体"/>
          <w:bCs/>
          <w:color w:val="auto"/>
          <w:szCs w:val="21"/>
          <w:highlight w:val="none"/>
        </w:rPr>
        <w:t>法定代表人证明书、法定代表人签字或盖章的本投标文件授权委托证明书</w:t>
      </w:r>
      <w:r>
        <w:rPr>
          <w:rFonts w:hint="eastAsia" w:ascii="宋体" w:hAnsi="宋体" w:eastAsia="宋体" w:cs="宋体"/>
          <w:b/>
          <w:bCs w:val="0"/>
          <w:color w:val="auto"/>
          <w:sz w:val="21"/>
          <w:szCs w:val="21"/>
          <w:highlight w:val="none"/>
          <w:u w:val="single"/>
        </w:rPr>
        <w:t>（若为联合体投标，由联合体主办方提供）</w:t>
      </w:r>
      <w:r>
        <w:rPr>
          <w:rFonts w:hint="eastAsia" w:ascii="宋体" w:hAnsi="宋体" w:cs="宋体"/>
          <w:bCs/>
          <w:color w:val="auto"/>
          <w:szCs w:val="21"/>
          <w:highlight w:val="none"/>
          <w:u w:val="single"/>
        </w:rPr>
        <w:t>扫描件</w:t>
      </w:r>
      <w:r>
        <w:rPr>
          <w:rFonts w:hint="eastAsia" w:ascii="宋体" w:hAnsi="宋体" w:eastAsia="宋体" w:cs="宋体"/>
          <w:b/>
          <w:bCs w:val="0"/>
          <w:color w:val="auto"/>
          <w:sz w:val="21"/>
          <w:szCs w:val="21"/>
          <w:highlight w:val="none"/>
          <w:u w:val="single"/>
        </w:rPr>
        <w:t>；</w:t>
      </w:r>
      <w:r>
        <w:rPr>
          <w:rFonts w:hint="eastAsia" w:ascii="宋体" w:hAnsi="宋体" w:eastAsia="宋体" w:cs="宋体"/>
          <w:b w:val="0"/>
          <w:bCs/>
          <w:color w:val="auto"/>
          <w:sz w:val="21"/>
          <w:szCs w:val="21"/>
          <w:highlight w:val="none"/>
          <w:u w:val="single"/>
        </w:rPr>
        <w:t>委托投标的还应提供法人授权委托证明书扫描件及有效的被授权人身份证扫描件（若为联合体投标，由联合体主办方提供）及被授权人离投标截止时间最近的至少</w:t>
      </w:r>
      <w:r>
        <w:rPr>
          <w:rFonts w:hint="eastAsia" w:ascii="宋体" w:hAnsi="宋体" w:cs="宋体"/>
          <w:b w:val="0"/>
          <w:bCs/>
          <w:color w:val="auto"/>
          <w:sz w:val="21"/>
          <w:szCs w:val="21"/>
          <w:highlight w:val="none"/>
          <w:u w:val="single"/>
          <w:lang w:val="en-US" w:eastAsia="zh-CN"/>
        </w:rPr>
        <w:t>一</w:t>
      </w:r>
      <w:r>
        <w:rPr>
          <w:rFonts w:hint="eastAsia" w:ascii="宋体" w:hAnsi="宋体" w:eastAsia="宋体" w:cs="宋体"/>
          <w:b w:val="0"/>
          <w:bCs/>
          <w:color w:val="auto"/>
          <w:sz w:val="21"/>
          <w:szCs w:val="21"/>
          <w:highlight w:val="none"/>
          <w:u w:val="single"/>
        </w:rPr>
        <w:t>个月（2025年7月或8月）在本单位缴纳的社保证明文件</w:t>
      </w:r>
      <w:r>
        <w:rPr>
          <w:rFonts w:hint="eastAsia" w:ascii="宋体" w:hAnsi="宋体" w:cs="宋体"/>
          <w:color w:val="auto"/>
          <w:szCs w:val="21"/>
          <w:highlight w:val="none"/>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wordWrap/>
        <w:topLinePunct w:val="0"/>
        <w:autoSpaceDE/>
        <w:autoSpaceDN/>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u w:val="single"/>
        </w:rPr>
        <w:t>在有效期内的</w:t>
      </w:r>
      <w:r>
        <w:rPr>
          <w:rFonts w:hint="eastAsia" w:ascii="宋体" w:hAnsi="宋体" w:cs="宋体"/>
          <w:color w:val="auto"/>
          <w:szCs w:val="21"/>
          <w:highlight w:val="none"/>
        </w:rPr>
        <w:t>企业营业执照扫描件或电子证照</w:t>
      </w:r>
      <w:r>
        <w:rPr>
          <w:rFonts w:hint="eastAsia" w:ascii="宋体" w:hAnsi="宋体" w:eastAsia="宋体" w:cs="宋体"/>
          <w:b/>
          <w:bCs w:val="0"/>
          <w:color w:val="auto"/>
          <w:szCs w:val="21"/>
          <w:highlight w:val="none"/>
          <w:u w:val="single"/>
        </w:rPr>
        <w:t>（</w:t>
      </w:r>
      <w:r>
        <w:rPr>
          <w:rFonts w:hint="eastAsia" w:ascii="宋体" w:hAnsi="宋体" w:eastAsia="宋体" w:cs="宋体"/>
          <w:b/>
          <w:bCs w:val="0"/>
          <w:color w:val="auto"/>
          <w:sz w:val="21"/>
          <w:szCs w:val="21"/>
          <w:highlight w:val="none"/>
          <w:u w:val="single"/>
        </w:rPr>
        <w:t>若为联合体投标，由联合</w:t>
      </w:r>
      <w:r>
        <w:rPr>
          <w:rFonts w:hint="eastAsia" w:ascii="宋体" w:hAnsi="宋体" w:eastAsia="宋体" w:cs="宋体"/>
          <w:b/>
          <w:bCs w:val="0"/>
          <w:color w:val="auto"/>
          <w:sz w:val="21"/>
          <w:szCs w:val="21"/>
          <w:highlight w:val="none"/>
          <w:u w:val="single"/>
          <w:lang w:val="en-US" w:eastAsia="zh-CN"/>
        </w:rPr>
        <w:t>体各方</w:t>
      </w:r>
      <w:r>
        <w:rPr>
          <w:rFonts w:hint="eastAsia" w:ascii="宋体" w:hAnsi="宋体" w:eastAsia="宋体" w:cs="宋体"/>
          <w:b/>
          <w:bCs w:val="0"/>
          <w:color w:val="auto"/>
          <w:sz w:val="21"/>
          <w:szCs w:val="21"/>
          <w:highlight w:val="none"/>
          <w:u w:val="single"/>
        </w:rPr>
        <w:t>提供</w:t>
      </w:r>
      <w:r>
        <w:rPr>
          <w:rFonts w:hint="eastAsia" w:ascii="宋体" w:hAnsi="宋体" w:eastAsia="宋体" w:cs="宋体"/>
          <w:b/>
          <w:bCs w:val="0"/>
          <w:color w:val="auto"/>
          <w:szCs w:val="21"/>
          <w:highlight w:val="none"/>
          <w:u w:val="single"/>
        </w:rPr>
        <w:t>）</w:t>
      </w:r>
      <w:r>
        <w:rPr>
          <w:rFonts w:hint="eastAsia" w:ascii="宋体" w:hAnsi="宋体" w:cs="宋体"/>
          <w:color w:val="auto"/>
          <w:szCs w:val="21"/>
          <w:highlight w:val="none"/>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wordWrap/>
        <w:topLinePunct w:val="0"/>
        <w:autoSpaceDE/>
        <w:autoSpaceDN/>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（4）企业资质证书</w:t>
      </w:r>
      <w:r>
        <w:rPr>
          <w:rFonts w:hint="eastAsia" w:ascii="宋体" w:hAnsi="宋体" w:cs="宋体"/>
          <w:color w:val="auto"/>
          <w:szCs w:val="21"/>
          <w:highlight w:val="none"/>
          <w:lang w:val="en-US" w:eastAsia="zh-CN"/>
        </w:rPr>
        <w:t>及《承装（修、试）电力设施许可证》承装类资格证书</w:t>
      </w:r>
      <w:r>
        <w:rPr>
          <w:rFonts w:hint="eastAsia" w:ascii="宋体" w:hAnsi="宋体" w:cs="宋体"/>
          <w:color w:val="auto"/>
          <w:szCs w:val="21"/>
          <w:highlight w:val="none"/>
        </w:rPr>
        <w:t>扫描件或电子证照</w:t>
      </w:r>
      <w:r>
        <w:rPr>
          <w:rFonts w:hint="eastAsia" w:ascii="宋体" w:hAnsi="宋体" w:cs="宋体"/>
          <w:bCs/>
          <w:color w:val="auto"/>
          <w:kern w:val="0"/>
          <w:szCs w:val="21"/>
          <w:highlight w:val="none"/>
          <w:u w:val="single"/>
        </w:rPr>
        <w:t>或办理了资质延期的证明资料（如有，须符合招标公告第九条第4款注①的规定）</w:t>
      </w:r>
      <w:r>
        <w:rPr>
          <w:rFonts w:hint="eastAsia" w:ascii="宋体" w:hAnsi="宋体" w:eastAsia="宋体" w:cs="宋体"/>
          <w:b/>
          <w:bCs w:val="0"/>
          <w:color w:val="auto"/>
          <w:szCs w:val="21"/>
          <w:highlight w:val="none"/>
          <w:u w:val="single"/>
        </w:rPr>
        <w:t>（</w:t>
      </w:r>
      <w:r>
        <w:rPr>
          <w:rFonts w:hint="eastAsia" w:ascii="宋体" w:hAnsi="宋体" w:eastAsia="宋体" w:cs="宋体"/>
          <w:b/>
          <w:bCs w:val="0"/>
          <w:color w:val="auto"/>
          <w:sz w:val="21"/>
          <w:szCs w:val="21"/>
          <w:highlight w:val="none"/>
          <w:u w:val="single"/>
        </w:rPr>
        <w:t>若为联合体投标，由联合</w:t>
      </w:r>
      <w:r>
        <w:rPr>
          <w:rFonts w:hint="eastAsia" w:ascii="宋体" w:hAnsi="宋体" w:eastAsia="宋体" w:cs="宋体"/>
          <w:b/>
          <w:bCs w:val="0"/>
          <w:color w:val="auto"/>
          <w:sz w:val="21"/>
          <w:szCs w:val="21"/>
          <w:highlight w:val="none"/>
          <w:u w:val="single"/>
          <w:lang w:val="en-US" w:eastAsia="zh-CN"/>
        </w:rPr>
        <w:t>体各方</w:t>
      </w:r>
      <w:r>
        <w:rPr>
          <w:rFonts w:hint="eastAsia" w:ascii="宋体" w:hAnsi="宋体" w:eastAsia="宋体" w:cs="宋体"/>
          <w:b/>
          <w:bCs w:val="0"/>
          <w:color w:val="auto"/>
          <w:sz w:val="21"/>
          <w:szCs w:val="21"/>
          <w:highlight w:val="none"/>
          <w:u w:val="single"/>
        </w:rPr>
        <w:t>提供</w:t>
      </w:r>
      <w:r>
        <w:rPr>
          <w:rFonts w:hint="eastAsia" w:ascii="宋体" w:hAnsi="宋体" w:eastAsia="宋体" w:cs="宋体"/>
          <w:b/>
          <w:bCs w:val="0"/>
          <w:color w:val="auto"/>
          <w:szCs w:val="21"/>
          <w:highlight w:val="none"/>
          <w:u w:val="single"/>
        </w:rPr>
        <w:t>）</w:t>
      </w:r>
      <w:r>
        <w:rPr>
          <w:rFonts w:hint="eastAsia" w:ascii="宋体" w:hAnsi="宋体" w:cs="宋体"/>
          <w:color w:val="auto"/>
          <w:szCs w:val="21"/>
          <w:highlight w:val="none"/>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wordWrap/>
        <w:topLinePunct w:val="0"/>
        <w:autoSpaceDE/>
        <w:autoSpaceDN/>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（5）建筑施工企业安全生产许可证扫描件或电子证照</w:t>
      </w:r>
      <w:r>
        <w:rPr>
          <w:rFonts w:hint="eastAsia" w:ascii="宋体" w:hAnsi="宋体" w:eastAsia="宋体" w:cs="宋体"/>
          <w:b/>
          <w:bCs w:val="0"/>
          <w:color w:val="auto"/>
          <w:szCs w:val="21"/>
          <w:highlight w:val="none"/>
          <w:u w:val="single"/>
        </w:rPr>
        <w:t>（</w:t>
      </w:r>
      <w:r>
        <w:rPr>
          <w:rFonts w:hint="eastAsia" w:ascii="宋体" w:hAnsi="宋体" w:eastAsia="宋体" w:cs="宋体"/>
          <w:b/>
          <w:bCs w:val="0"/>
          <w:color w:val="auto"/>
          <w:sz w:val="21"/>
          <w:szCs w:val="21"/>
          <w:highlight w:val="none"/>
          <w:u w:val="single"/>
        </w:rPr>
        <w:t>若为联合体投标，由联合</w:t>
      </w:r>
      <w:r>
        <w:rPr>
          <w:rFonts w:hint="eastAsia" w:ascii="宋体" w:hAnsi="宋体" w:eastAsia="宋体" w:cs="宋体"/>
          <w:b/>
          <w:bCs w:val="0"/>
          <w:color w:val="auto"/>
          <w:sz w:val="21"/>
          <w:szCs w:val="21"/>
          <w:highlight w:val="none"/>
          <w:u w:val="single"/>
          <w:lang w:val="en-US" w:eastAsia="zh-CN"/>
        </w:rPr>
        <w:t>体各方</w:t>
      </w:r>
      <w:r>
        <w:rPr>
          <w:rFonts w:hint="eastAsia" w:ascii="宋体" w:hAnsi="宋体" w:eastAsia="宋体" w:cs="宋体"/>
          <w:b/>
          <w:bCs w:val="0"/>
          <w:color w:val="auto"/>
          <w:sz w:val="21"/>
          <w:szCs w:val="21"/>
          <w:highlight w:val="none"/>
          <w:u w:val="single"/>
        </w:rPr>
        <w:t>提供</w:t>
      </w:r>
      <w:r>
        <w:rPr>
          <w:rFonts w:hint="eastAsia" w:ascii="宋体" w:hAnsi="宋体" w:eastAsia="宋体" w:cs="宋体"/>
          <w:b/>
          <w:bCs w:val="0"/>
          <w:color w:val="auto"/>
          <w:szCs w:val="21"/>
          <w:highlight w:val="none"/>
          <w:u w:val="single"/>
        </w:rPr>
        <w:t>）</w:t>
      </w:r>
      <w:r>
        <w:rPr>
          <w:rFonts w:hint="eastAsia" w:ascii="宋体" w:hAnsi="宋体" w:cs="宋体"/>
          <w:color w:val="auto"/>
          <w:szCs w:val="21"/>
          <w:highlight w:val="none"/>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wordWrap/>
        <w:topLinePunct w:val="0"/>
        <w:autoSpaceDE/>
        <w:autoSpaceDN/>
        <w:bidi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（6）项目负责人（按网上投标登记时选择拟投标的项目负责人）</w:t>
      </w:r>
      <w:r>
        <w:rPr>
          <w:rFonts w:hint="eastAsia" w:ascii="宋体" w:hAnsi="宋体" w:eastAsia="宋体" w:cs="宋体"/>
          <w:bCs/>
          <w:color w:val="auto"/>
          <w:szCs w:val="21"/>
          <w:highlight w:val="none"/>
        </w:rPr>
        <w:t>。</w:t>
      </w:r>
      <w:r>
        <w:rPr>
          <w:rFonts w:hint="eastAsia" w:ascii="宋体" w:hAnsi="宋体" w:eastAsia="宋体" w:cs="宋体"/>
          <w:b/>
          <w:bCs w:val="0"/>
          <w:color w:val="auto"/>
          <w:szCs w:val="21"/>
          <w:highlight w:val="none"/>
          <w:u w:val="single"/>
        </w:rPr>
        <w:t>（若为联合体投标，由联合体主办方提供）</w:t>
      </w:r>
      <w:r>
        <w:rPr>
          <w:rFonts w:hint="eastAsia" w:ascii="宋体" w:hAnsi="宋体" w:eastAsia="宋体" w:cs="宋体"/>
          <w:b/>
          <w:bCs w:val="0"/>
          <w:color w:val="auto"/>
          <w:szCs w:val="21"/>
          <w:highlight w:val="none"/>
          <w:u w:val="single"/>
          <w:lang w:val="en-US" w:eastAsia="zh-CN"/>
        </w:rPr>
        <w:t>；</w:t>
      </w:r>
    </w:p>
    <w:p>
      <w:pPr>
        <w:keepNext w:val="0"/>
        <w:keepLines w:val="0"/>
        <w:pageBreakBefore w:val="0"/>
        <w:widowControl w:val="0"/>
        <w:pBdr>
          <w:bottom w:val="none" w:color="auto" w:sz="0" w:space="0"/>
        </w:pBdr>
        <w:shd w:val="clear" w:color="auto" w:fill="auto"/>
        <w:wordWrap/>
        <w:topLinePunct w:val="0"/>
        <w:autoSpaceDE/>
        <w:autoSpaceDN/>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（7）专职安全员（按网上投标登记时选择拟投标的专职安全员）</w:t>
      </w:r>
      <w:r>
        <w:rPr>
          <w:rFonts w:hint="eastAsia" w:ascii="宋体" w:hAnsi="宋体" w:eastAsia="宋体" w:cs="宋体"/>
          <w:bCs/>
          <w:color w:val="auto"/>
          <w:szCs w:val="21"/>
          <w:highlight w:val="none"/>
          <w:lang w:eastAsia="zh-CN"/>
        </w:rPr>
        <w:t>。</w:t>
      </w:r>
      <w:r>
        <w:rPr>
          <w:rFonts w:hint="eastAsia" w:ascii="宋体" w:hAnsi="宋体" w:eastAsia="宋体" w:cs="宋体"/>
          <w:b/>
          <w:bCs w:val="0"/>
          <w:color w:val="auto"/>
          <w:szCs w:val="21"/>
          <w:highlight w:val="none"/>
          <w:u w:val="single"/>
        </w:rPr>
        <w:t>（若为联合体投标，由联合体主办方提供）</w:t>
      </w:r>
      <w:r>
        <w:rPr>
          <w:rFonts w:hint="eastAsia" w:ascii="宋体" w:hAnsi="宋体" w:eastAsia="宋体" w:cs="宋体"/>
          <w:bCs/>
          <w:color w:val="auto"/>
          <w:szCs w:val="21"/>
          <w:highlight w:val="none"/>
          <w:u w:val="single"/>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wordWrap/>
        <w:topLinePunct w:val="0"/>
        <w:autoSpaceDE/>
        <w:autoSpaceDN/>
        <w:bidi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（8）拟委派技术负责人的</w:t>
      </w:r>
      <w:r>
        <w:rPr>
          <w:rFonts w:hint="eastAsia" w:ascii="宋体" w:hAnsi="宋体" w:cs="宋体"/>
          <w:color w:val="auto"/>
          <w:szCs w:val="21"/>
          <w:highlight w:val="none"/>
          <w:u w:val="single"/>
        </w:rPr>
        <w:t>职称证书扫描件或电子证</w:t>
      </w:r>
      <w:r>
        <w:rPr>
          <w:rFonts w:hint="eastAsia" w:ascii="宋体" w:hAnsi="宋体" w:cs="宋体"/>
          <w:color w:val="auto"/>
          <w:szCs w:val="21"/>
          <w:highlight w:val="none"/>
          <w:u w:val="single"/>
          <w:lang w:eastAsia="zh-CN"/>
        </w:rPr>
        <w:t>书</w:t>
      </w:r>
      <w:r>
        <w:rPr>
          <w:rFonts w:hint="eastAsia" w:ascii="宋体" w:hAnsi="宋体" w:eastAsia="宋体" w:cs="宋体"/>
          <w:bCs/>
          <w:color w:val="auto"/>
          <w:szCs w:val="21"/>
          <w:highlight w:val="none"/>
          <w:lang w:eastAsia="zh-CN"/>
        </w:rPr>
        <w:t>。</w:t>
      </w:r>
      <w:r>
        <w:rPr>
          <w:rFonts w:hint="eastAsia" w:ascii="宋体" w:hAnsi="宋体" w:eastAsia="宋体" w:cs="宋体"/>
          <w:b/>
          <w:bCs w:val="0"/>
          <w:color w:val="auto"/>
          <w:szCs w:val="21"/>
          <w:highlight w:val="none"/>
          <w:u w:val="single"/>
        </w:rPr>
        <w:t>（若为联合体投标，由联合体主办方提供）</w:t>
      </w:r>
      <w:r>
        <w:rPr>
          <w:rFonts w:hint="eastAsia" w:ascii="宋体" w:hAnsi="宋体" w:cs="宋体"/>
          <w:color w:val="auto"/>
          <w:szCs w:val="21"/>
          <w:highlight w:val="none"/>
          <w:u w:val="single"/>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wordWrap/>
        <w:topLinePunct w:val="0"/>
        <w:autoSpaceDE/>
        <w:autoSpaceDN/>
        <w:bidi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bCs/>
          <w:color w:val="auto"/>
          <w:szCs w:val="21"/>
          <w:highlight w:val="none"/>
        </w:rPr>
        <w:t>（9）拟委派项目负责人的有效期内的建造师注册证书扫描件或电子证书</w:t>
      </w:r>
      <w:r>
        <w:rPr>
          <w:rFonts w:hint="eastAsia" w:ascii="宋体" w:hAnsi="宋体" w:eastAsia="宋体" w:cs="宋体"/>
          <w:b/>
          <w:bCs w:val="0"/>
          <w:color w:val="auto"/>
          <w:szCs w:val="21"/>
          <w:highlight w:val="none"/>
          <w:u w:val="single"/>
        </w:rPr>
        <w:t>（若为联合体投标，由联合体主办方提供）</w:t>
      </w:r>
      <w:r>
        <w:rPr>
          <w:rFonts w:hint="eastAsia" w:ascii="宋体" w:hAnsi="宋体" w:cs="宋体"/>
          <w:bCs/>
          <w:color w:val="auto"/>
          <w:szCs w:val="21"/>
          <w:highlight w:val="none"/>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wordWrap/>
        <w:topLinePunct w:val="0"/>
        <w:autoSpaceDE/>
        <w:autoSpaceDN/>
        <w:bidi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bCs/>
          <w:color w:val="auto"/>
          <w:szCs w:val="21"/>
          <w:highlight w:val="none"/>
        </w:rPr>
        <w:t>（10）</w:t>
      </w:r>
      <w:r>
        <w:rPr>
          <w:rFonts w:hint="eastAsia" w:ascii="宋体" w:hAnsi="宋体" w:eastAsia="宋体" w:cs="宋体"/>
          <w:bCs/>
          <w:color w:val="auto"/>
          <w:szCs w:val="21"/>
          <w:highlight w:val="none"/>
          <w:u w:val="none"/>
        </w:rPr>
        <w:t>项目负责人安全生产考核合格证明或在有效期内的安全考核合格证书（B类）或建筑施工企业项目负责人安全生产考核合格证书扫描件或电子证书</w:t>
      </w:r>
      <w:r>
        <w:rPr>
          <w:rFonts w:hint="eastAsia" w:ascii="宋体" w:hAnsi="宋体" w:eastAsia="宋体" w:cs="宋体"/>
          <w:b/>
          <w:bCs w:val="0"/>
          <w:color w:val="auto"/>
          <w:szCs w:val="21"/>
          <w:highlight w:val="none"/>
          <w:u w:val="single"/>
        </w:rPr>
        <w:t>（若为联合体投标，由联合体主办方提供）</w:t>
      </w:r>
      <w:r>
        <w:rPr>
          <w:rFonts w:hint="eastAsia" w:ascii="宋体" w:hAnsi="宋体" w:eastAsia="宋体" w:cs="宋体"/>
          <w:bCs/>
          <w:color w:val="auto"/>
          <w:szCs w:val="21"/>
          <w:highlight w:val="none"/>
          <w:u w:val="none"/>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wordWrap/>
        <w:topLinePunct w:val="0"/>
        <w:autoSpaceDE/>
        <w:autoSpaceDN/>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（11）专职安全员须具有在有效期内的安全考核合格证书（C类）或建筑施工企业专职安全生产管理人员安全生产考核合格证书</w:t>
      </w:r>
      <w:r>
        <w:rPr>
          <w:rFonts w:hint="eastAsia" w:ascii="宋体" w:hAnsi="宋体" w:cs="宋体"/>
          <w:color w:val="auto"/>
          <w:szCs w:val="21"/>
          <w:highlight w:val="none"/>
          <w:u w:val="single"/>
        </w:rPr>
        <w:t>（C3）</w:t>
      </w:r>
      <w:r>
        <w:rPr>
          <w:rFonts w:hint="eastAsia" w:ascii="宋体" w:hAnsi="宋体" w:cs="宋体"/>
          <w:color w:val="auto"/>
          <w:szCs w:val="21"/>
          <w:highlight w:val="none"/>
        </w:rPr>
        <w:t>扫描件或电子证书</w:t>
      </w:r>
      <w:r>
        <w:rPr>
          <w:rFonts w:hint="eastAsia" w:ascii="宋体" w:hAnsi="宋体" w:eastAsia="宋体" w:cs="宋体"/>
          <w:b/>
          <w:bCs w:val="0"/>
          <w:color w:val="auto"/>
          <w:szCs w:val="21"/>
          <w:highlight w:val="none"/>
          <w:u w:val="single"/>
        </w:rPr>
        <w:t>（若为联合体投标，由联合体主办方提供）</w:t>
      </w:r>
      <w:r>
        <w:rPr>
          <w:rFonts w:hint="eastAsia" w:ascii="宋体" w:hAnsi="宋体" w:cs="宋体"/>
          <w:color w:val="auto"/>
          <w:szCs w:val="21"/>
          <w:highlight w:val="none"/>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wordWrap/>
        <w:topLinePunct w:val="0"/>
        <w:autoSpaceDE/>
        <w:autoSpaceDN/>
        <w:bidi w:val="0"/>
        <w:snapToGrid w:val="0"/>
        <w:spacing w:line="360" w:lineRule="auto"/>
        <w:ind w:firstLine="420" w:firstLineChars="200"/>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（12）列明主办单位的联合体工作协议（采用联合体投标时需递交，</w:t>
      </w:r>
      <w:r>
        <w:rPr>
          <w:rFonts w:hint="eastAsia" w:ascii="宋体" w:hAnsi="宋体" w:eastAsia="宋体" w:cs="宋体"/>
          <w:b/>
          <w:bCs w:val="0"/>
          <w:color w:val="auto"/>
          <w:szCs w:val="21"/>
          <w:highlight w:val="none"/>
          <w:u w:val="none"/>
        </w:rPr>
        <w:t>须明确联合体主办方，并按招标公告附件二签订联合体工作协议。投标人拟任本工程项目负责人、专职安全员应为联合体主办方信息登记中的在册人员，</w:t>
      </w:r>
      <w:r>
        <w:rPr>
          <w:rFonts w:hint="eastAsia" w:ascii="宋体" w:hAnsi="宋体" w:eastAsia="宋体" w:cs="宋体"/>
          <w:bCs/>
          <w:color w:val="auto"/>
          <w:szCs w:val="21"/>
          <w:highlight w:val="none"/>
          <w:u w:val="none"/>
        </w:rPr>
        <w:t>联合体工作协议应明确约定各方拟承担的工作和责任）；</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wordWrap/>
        <w:topLinePunct w:val="0"/>
        <w:autoSpaceDE/>
        <w:autoSpaceDN/>
        <w:bidi w:val="0"/>
        <w:snapToGrid w:val="0"/>
        <w:spacing w:line="360" w:lineRule="auto"/>
        <w:ind w:firstLine="420" w:firstLineChars="200"/>
        <w:rPr>
          <w:rFonts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（1</w:t>
      </w:r>
      <w:r>
        <w:rPr>
          <w:rFonts w:hint="eastAsia" w:ascii="宋体" w:hAnsi="宋体" w:cs="宋体"/>
          <w:b w:val="0"/>
          <w:bCs w:val="0"/>
          <w:color w:val="auto"/>
          <w:szCs w:val="21"/>
          <w:highlight w:val="none"/>
          <w:u w:val="single"/>
          <w:lang w:val="en-US" w:eastAsia="zh-CN"/>
        </w:rPr>
        <w:t>3</w:t>
      </w:r>
      <w:r>
        <w:rPr>
          <w:rFonts w:hint="eastAsia" w:ascii="宋体" w:hAnsi="宋体" w:cs="宋体"/>
          <w:b w:val="0"/>
          <w:bCs w:val="0"/>
          <w:color w:val="auto"/>
          <w:szCs w:val="21"/>
          <w:highlight w:val="none"/>
          <w:u w:val="single"/>
        </w:rPr>
        <w:t>）资格审查前，投标人（若为联合体投标，联合体各成员）须在广州市住房和城乡建设局建立企业信用档案，拟担任本工程项目负责人、专职安全员须是联合体主办方企业信用档案中的在册人员。</w:t>
      </w:r>
    </w:p>
    <w:p>
      <w:pPr>
        <w:keepNext w:val="0"/>
        <w:keepLines w:val="0"/>
        <w:pageBreakBefore w:val="0"/>
        <w:widowControl w:val="0"/>
        <w:shd w:val="clear" w:color="auto" w:fill="auto"/>
        <w:wordWrap/>
        <w:topLinePunct w:val="0"/>
        <w:autoSpaceDE/>
        <w:autoSpaceDN/>
        <w:bidi w:val="0"/>
        <w:snapToGrid w:val="0"/>
        <w:spacing w:line="360" w:lineRule="auto"/>
        <w:ind w:right="0" w:firstLine="420" w:firstLineChars="200"/>
        <w:rPr>
          <w:rFonts w:hint="eastAsia" w:ascii="宋体" w:hAnsi="宋体" w:eastAsia="宋体" w:cs="宋体"/>
          <w:b w:val="0"/>
          <w:bCs w:val="0"/>
          <w:color w:val="auto"/>
          <w:szCs w:val="21"/>
          <w:highlight w:val="none"/>
          <w:u w:val="single"/>
        </w:rPr>
      </w:pPr>
      <w:r>
        <w:rPr>
          <w:rFonts w:hint="eastAsia" w:ascii="宋体" w:hAnsi="宋体" w:eastAsia="宋体" w:cs="宋体"/>
          <w:b w:val="0"/>
          <w:bCs w:val="0"/>
          <w:color w:val="auto"/>
          <w:szCs w:val="21"/>
          <w:highlight w:val="none"/>
          <w:u w:val="single"/>
        </w:rPr>
        <w:t>（14）投标人（若为联合体投标，</w:t>
      </w:r>
      <w:r>
        <w:rPr>
          <w:rFonts w:hint="eastAsia" w:ascii="宋体" w:hAnsi="宋体" w:eastAsia="宋体" w:cs="宋体"/>
          <w:b w:val="0"/>
          <w:bCs w:val="0"/>
          <w:color w:val="auto"/>
          <w:sz w:val="21"/>
          <w:szCs w:val="21"/>
          <w:highlight w:val="none"/>
          <w:u w:val="single"/>
        </w:rPr>
        <w:t>由联合</w:t>
      </w:r>
      <w:r>
        <w:rPr>
          <w:rFonts w:hint="eastAsia" w:ascii="宋体" w:hAnsi="宋体" w:eastAsia="宋体" w:cs="宋体"/>
          <w:b w:val="0"/>
          <w:bCs w:val="0"/>
          <w:color w:val="auto"/>
          <w:sz w:val="21"/>
          <w:szCs w:val="21"/>
          <w:highlight w:val="none"/>
          <w:u w:val="single"/>
          <w:lang w:val="en-US" w:eastAsia="zh-CN"/>
        </w:rPr>
        <w:t>体各方</w:t>
      </w:r>
      <w:r>
        <w:rPr>
          <w:rFonts w:hint="eastAsia" w:ascii="宋体" w:hAnsi="宋体" w:eastAsia="宋体" w:cs="宋体"/>
          <w:b w:val="0"/>
          <w:bCs w:val="0"/>
          <w:color w:val="auto"/>
          <w:sz w:val="21"/>
          <w:szCs w:val="21"/>
          <w:highlight w:val="none"/>
          <w:u w:val="single"/>
        </w:rPr>
        <w:t>提供</w:t>
      </w:r>
      <w:r>
        <w:rPr>
          <w:rFonts w:hint="eastAsia" w:ascii="宋体" w:hAnsi="宋体" w:eastAsia="宋体" w:cs="宋体"/>
          <w:b w:val="0"/>
          <w:bCs w:val="0"/>
          <w:color w:val="auto"/>
          <w:szCs w:val="21"/>
          <w:highlight w:val="none"/>
          <w:u w:val="single"/>
        </w:rPr>
        <w:t>）未出现以下情形：与其它投标人的单位负责人为同一人或者存在控股、管理关系的[按投标人提供的《投标人声明（适用于独立投标或联合体主办方）》第</w:t>
      </w:r>
      <w:r>
        <w:rPr>
          <w:rFonts w:hint="eastAsia" w:ascii="宋体" w:hAnsi="宋体" w:cs="宋体"/>
          <w:b w:val="0"/>
          <w:bCs w:val="0"/>
          <w:color w:val="auto"/>
          <w:szCs w:val="21"/>
          <w:highlight w:val="none"/>
          <w:u w:val="single"/>
          <w:lang w:val="en-US" w:eastAsia="zh-CN"/>
        </w:rPr>
        <w:t>九</w:t>
      </w:r>
      <w:r>
        <w:rPr>
          <w:rFonts w:hint="eastAsia" w:ascii="宋体" w:hAnsi="宋体" w:eastAsia="宋体" w:cs="宋体"/>
          <w:b w:val="0"/>
          <w:bCs w:val="0"/>
          <w:color w:val="auto"/>
          <w:szCs w:val="21"/>
          <w:highlight w:val="none"/>
          <w:u w:val="single"/>
        </w:rPr>
        <w:t>条内容和《投标人声明（适用于联合体成员方）》第</w:t>
      </w:r>
      <w:r>
        <w:rPr>
          <w:rFonts w:hint="eastAsia" w:ascii="宋体" w:hAnsi="宋体" w:eastAsia="宋体" w:cs="宋体"/>
          <w:b w:val="0"/>
          <w:bCs w:val="0"/>
          <w:color w:val="auto"/>
          <w:szCs w:val="21"/>
          <w:highlight w:val="none"/>
          <w:u w:val="single"/>
          <w:lang w:eastAsia="zh-CN"/>
        </w:rPr>
        <w:t>七</w:t>
      </w:r>
      <w:r>
        <w:rPr>
          <w:rFonts w:hint="eastAsia" w:ascii="宋体" w:hAnsi="宋体" w:eastAsia="宋体" w:cs="宋体"/>
          <w:b w:val="0"/>
          <w:bCs w:val="0"/>
          <w:color w:val="auto"/>
          <w:szCs w:val="21"/>
          <w:highlight w:val="none"/>
          <w:u w:val="single"/>
        </w:rPr>
        <w:t>条内容（若为联合体投标，成员方需提供；若为独立投标人，无需提供）进行评审]。如不同投标申请人出现单位负责人为同一人或者存在控股、管理关系的情形，则均按不符合投标人合格条件处理。若投标人未列全符合相关条件的单位，但同时未列全的相关单位未参与本项目投标的，不视为该投标人违反了本条规定，不作为对其投标文件进行无效标处理的依据。</w:t>
      </w:r>
    </w:p>
    <w:p>
      <w:pPr>
        <w:keepNext w:val="0"/>
        <w:keepLines w:val="0"/>
        <w:pageBreakBefore w:val="0"/>
        <w:widowControl w:val="0"/>
        <w:shd w:val="clear" w:color="auto" w:fill="auto"/>
        <w:wordWrap/>
        <w:topLinePunct w:val="0"/>
        <w:autoSpaceDE/>
        <w:autoSpaceDN/>
        <w:bidi w:val="0"/>
        <w:snapToGrid w:val="0"/>
        <w:spacing w:line="360" w:lineRule="auto"/>
        <w:ind w:firstLine="420" w:firstLineChars="200"/>
        <w:rPr>
          <w:rFonts w:hint="eastAsia" w:ascii="宋体" w:hAnsi="宋体" w:eastAsia="宋体" w:cs="宋体"/>
          <w:b w:val="0"/>
          <w:bCs w:val="0"/>
          <w:color w:val="auto"/>
          <w:szCs w:val="21"/>
          <w:highlight w:val="none"/>
          <w:u w:val="single"/>
        </w:rPr>
      </w:pPr>
      <w:r>
        <w:rPr>
          <w:rFonts w:hint="eastAsia" w:ascii="宋体" w:hAnsi="宋体" w:eastAsia="宋体" w:cs="宋体"/>
          <w:b w:val="0"/>
          <w:bCs w:val="0"/>
          <w:color w:val="auto"/>
          <w:szCs w:val="21"/>
          <w:highlight w:val="none"/>
          <w:u w:val="single"/>
        </w:rPr>
        <w:t>（15）投标人（</w:t>
      </w:r>
      <w:r>
        <w:rPr>
          <w:rFonts w:hint="eastAsia" w:ascii="宋体" w:hAnsi="宋体" w:eastAsia="宋体" w:cs="宋体"/>
          <w:b w:val="0"/>
          <w:bCs w:val="0"/>
          <w:color w:val="auto"/>
          <w:sz w:val="21"/>
          <w:szCs w:val="21"/>
          <w:highlight w:val="none"/>
          <w:u w:val="single"/>
        </w:rPr>
        <w:t>若为联合体投标，由联合</w:t>
      </w:r>
      <w:r>
        <w:rPr>
          <w:rFonts w:hint="eastAsia" w:ascii="宋体" w:hAnsi="宋体" w:eastAsia="宋体" w:cs="宋体"/>
          <w:b w:val="0"/>
          <w:bCs w:val="0"/>
          <w:color w:val="auto"/>
          <w:sz w:val="21"/>
          <w:szCs w:val="21"/>
          <w:highlight w:val="none"/>
          <w:u w:val="single"/>
          <w:lang w:val="en-US" w:eastAsia="zh-CN"/>
        </w:rPr>
        <w:t>体各方</w:t>
      </w:r>
      <w:r>
        <w:rPr>
          <w:rFonts w:hint="eastAsia" w:ascii="宋体" w:hAnsi="宋体" w:eastAsia="宋体" w:cs="宋体"/>
          <w:b w:val="0"/>
          <w:bCs w:val="0"/>
          <w:color w:val="auto"/>
          <w:sz w:val="21"/>
          <w:szCs w:val="21"/>
          <w:highlight w:val="none"/>
          <w:u w:val="single"/>
        </w:rPr>
        <w:t>提供</w:t>
      </w:r>
      <w:r>
        <w:rPr>
          <w:rFonts w:hint="eastAsia" w:ascii="宋体" w:hAnsi="宋体" w:eastAsia="宋体" w:cs="宋体"/>
          <w:b w:val="0"/>
          <w:bCs w:val="0"/>
          <w:color w:val="auto"/>
          <w:szCs w:val="21"/>
          <w:highlight w:val="none"/>
          <w:u w:val="single"/>
        </w:rPr>
        <w:t>）未被列入拖欠农民工工资失信联合惩戒对象名单</w:t>
      </w:r>
      <w:r>
        <w:rPr>
          <w:rFonts w:hint="eastAsia" w:ascii="宋体" w:hAnsi="宋体" w:eastAsia="宋体" w:cs="宋体"/>
          <w:b w:val="0"/>
          <w:bCs w:val="0"/>
          <w:color w:val="auto"/>
          <w:szCs w:val="21"/>
          <w:highlight w:val="none"/>
          <w:u w:val="single"/>
          <w:lang w:val="en-US" w:eastAsia="zh-CN"/>
        </w:rPr>
        <w:t>和失信被执行人</w:t>
      </w:r>
      <w:r>
        <w:rPr>
          <w:rFonts w:hint="eastAsia" w:ascii="宋体" w:hAnsi="宋体" w:eastAsia="宋体" w:cs="宋体"/>
          <w:b w:val="0"/>
          <w:bCs w:val="0"/>
          <w:color w:val="auto"/>
          <w:szCs w:val="21"/>
          <w:highlight w:val="none"/>
          <w:u w:val="single"/>
        </w:rPr>
        <w:t>（投标人无需提供资料，按投标截止时间广州交易集团有限公司（广州公共资源交易中心）交易系统比对的结果进行评审）；</w:t>
      </w:r>
    </w:p>
    <w:p>
      <w:pPr>
        <w:keepNext w:val="0"/>
        <w:keepLines w:val="0"/>
        <w:pageBreakBefore w:val="0"/>
        <w:widowControl w:val="0"/>
        <w:shd w:val="clear" w:color="auto" w:fill="auto"/>
        <w:wordWrap/>
        <w:topLinePunct w:val="0"/>
        <w:autoSpaceDE/>
        <w:autoSpaceDN/>
        <w:bidi w:val="0"/>
        <w:snapToGrid w:val="0"/>
        <w:spacing w:line="360" w:lineRule="auto"/>
        <w:ind w:right="0" w:firstLine="420" w:firstLineChars="200"/>
        <w:rPr>
          <w:rFonts w:hint="eastAsia" w:ascii="宋体" w:hAnsi="宋体" w:eastAsia="宋体" w:cs="宋体"/>
          <w:b w:val="0"/>
          <w:bCs w:val="0"/>
          <w:color w:val="auto"/>
          <w:szCs w:val="21"/>
          <w:highlight w:val="none"/>
          <w:u w:val="single"/>
          <w:lang w:eastAsia="zh-CN"/>
        </w:rPr>
      </w:pPr>
      <w:r>
        <w:rPr>
          <w:rFonts w:hint="eastAsia" w:ascii="宋体" w:hAnsi="宋体" w:eastAsia="宋体" w:cs="宋体"/>
          <w:b w:val="0"/>
          <w:bCs w:val="0"/>
          <w:color w:val="auto"/>
          <w:szCs w:val="21"/>
          <w:highlight w:val="none"/>
          <w:u w:val="single"/>
          <w:lang w:eastAsia="zh-CN"/>
        </w:rPr>
        <w:t>（</w:t>
      </w:r>
      <w:r>
        <w:rPr>
          <w:rFonts w:hint="eastAsia" w:ascii="宋体" w:hAnsi="宋体" w:eastAsia="宋体" w:cs="宋体"/>
          <w:b w:val="0"/>
          <w:bCs w:val="0"/>
          <w:color w:val="auto"/>
          <w:szCs w:val="21"/>
          <w:highlight w:val="none"/>
          <w:u w:val="single"/>
          <w:lang w:val="en-US" w:eastAsia="zh-CN"/>
        </w:rPr>
        <w:t>16</w:t>
      </w:r>
      <w:r>
        <w:rPr>
          <w:rFonts w:hint="eastAsia" w:ascii="宋体" w:hAnsi="宋体" w:eastAsia="宋体" w:cs="宋体"/>
          <w:b w:val="0"/>
          <w:bCs w:val="0"/>
          <w:color w:val="auto"/>
          <w:szCs w:val="21"/>
          <w:highlight w:val="none"/>
          <w:u w:val="single"/>
          <w:lang w:eastAsia="zh-CN"/>
        </w:rPr>
        <w:t>）投标人（若为联合体投标，联合体各成员）未被列入本项目招标人书面拒绝投标的（投标人无需提供资料，资格审查时，按招标公告附件三《被招标人拒绝投标的企业名单》进行评审）。</w:t>
      </w:r>
    </w:p>
    <w:p>
      <w:pPr>
        <w:keepNext w:val="0"/>
        <w:keepLines w:val="0"/>
        <w:pageBreakBefore w:val="0"/>
        <w:widowControl w:val="0"/>
        <w:shd w:val="clear" w:color="auto" w:fill="auto"/>
        <w:wordWrap/>
        <w:topLinePunct w:val="0"/>
        <w:autoSpaceDE/>
        <w:autoSpaceDN/>
        <w:bidi w:val="0"/>
        <w:snapToGrid w:val="0"/>
        <w:spacing w:line="360" w:lineRule="auto"/>
        <w:ind w:right="0"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（1</w:t>
      </w:r>
      <w:r>
        <w:rPr>
          <w:rFonts w:hint="eastAsia" w:ascii="宋体" w:hAnsi="宋体" w:cs="宋体"/>
          <w:bCs/>
          <w:color w:val="auto"/>
          <w:szCs w:val="21"/>
          <w:highlight w:val="none"/>
          <w:u w:val="single"/>
          <w:lang w:val="en-US" w:eastAsia="zh-CN"/>
        </w:rPr>
        <w:t>7</w:t>
      </w:r>
      <w:r>
        <w:rPr>
          <w:rFonts w:hint="eastAsia" w:ascii="宋体" w:hAnsi="宋体" w:eastAsia="宋体" w:cs="宋体"/>
          <w:bCs/>
          <w:color w:val="auto"/>
          <w:szCs w:val="21"/>
          <w:highlight w:val="none"/>
          <w:u w:val="single"/>
        </w:rPr>
        <w:t>）投标人认为应提供的其他资料</w:t>
      </w:r>
      <w:r>
        <w:rPr>
          <w:rFonts w:hint="eastAsia" w:ascii="宋体" w:hAnsi="宋体" w:cs="宋体"/>
          <w:color w:val="auto"/>
          <w:szCs w:val="21"/>
          <w:highlight w:val="none"/>
          <w:u w:val="single"/>
        </w:rPr>
        <w:t>（如有）</w:t>
      </w:r>
      <w:r>
        <w:rPr>
          <w:rFonts w:hint="eastAsia" w:ascii="宋体" w:hAnsi="宋体" w:eastAsia="宋体" w:cs="宋体"/>
          <w:bCs/>
          <w:color w:val="auto"/>
          <w:szCs w:val="21"/>
          <w:highlight w:val="none"/>
          <w:u w:val="single"/>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wordWrap/>
        <w:topLinePunct w:val="0"/>
        <w:autoSpaceDE/>
        <w:autoSpaceDN/>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注：1.相关电子证书按规定需打印后手写本人签名的，应按照规定手写本人签名后再扫描提交。</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wordWrap/>
        <w:topLinePunct w:val="0"/>
        <w:autoSpaceDE/>
        <w:autoSpaceDN/>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wordWrap/>
        <w:topLinePunct w:val="0"/>
        <w:autoSpaceDE/>
        <w:autoSpaceDN/>
        <w:bidi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3.上述第11.2.</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（1）—（14）条没有要求提交的资料，不作为资格审查不合格的依据。上述第11.2.</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（15）条，投标人无需提供资料，按投标截止时间广州交易集团有限公司（广州公共资源交易中心）交易系统比对的结果进行评审。</w:t>
      </w:r>
      <w:r>
        <w:rPr>
          <w:rFonts w:hint="eastAsia" w:ascii="宋体" w:hAnsi="宋体" w:eastAsia="宋体" w:cs="宋体"/>
          <w:bCs/>
          <w:color w:val="auto"/>
          <w:sz w:val="21"/>
          <w:szCs w:val="21"/>
          <w:highlight w:val="none"/>
          <w:u w:val="single"/>
          <w:lang w:eastAsia="zh-CN"/>
        </w:rPr>
        <w:t>上述第11.2.</w:t>
      </w:r>
      <w:r>
        <w:rPr>
          <w:rFonts w:hint="eastAsia" w:ascii="宋体" w:hAnsi="宋体" w:cs="宋体"/>
          <w:bCs/>
          <w:color w:val="auto"/>
          <w:sz w:val="21"/>
          <w:szCs w:val="21"/>
          <w:highlight w:val="none"/>
          <w:u w:val="single"/>
          <w:lang w:val="en-US" w:eastAsia="zh-CN"/>
        </w:rPr>
        <w:t>2</w:t>
      </w:r>
      <w:r>
        <w:rPr>
          <w:rFonts w:hint="eastAsia" w:ascii="宋体" w:hAnsi="宋体" w:eastAsia="宋体" w:cs="宋体"/>
          <w:bCs/>
          <w:color w:val="auto"/>
          <w:sz w:val="21"/>
          <w:szCs w:val="21"/>
          <w:highlight w:val="none"/>
          <w:u w:val="single"/>
          <w:lang w:eastAsia="zh-CN"/>
        </w:rPr>
        <w:t>（1</w:t>
      </w:r>
      <w:r>
        <w:rPr>
          <w:rFonts w:hint="eastAsia" w:ascii="宋体" w:hAnsi="宋体" w:cs="宋体"/>
          <w:bCs/>
          <w:color w:val="auto"/>
          <w:sz w:val="21"/>
          <w:szCs w:val="21"/>
          <w:highlight w:val="none"/>
          <w:u w:val="single"/>
          <w:lang w:val="en-US" w:eastAsia="zh-CN"/>
        </w:rPr>
        <w:t>6</w:t>
      </w:r>
      <w:r>
        <w:rPr>
          <w:rFonts w:hint="eastAsia" w:ascii="宋体" w:hAnsi="宋体" w:eastAsia="宋体" w:cs="宋体"/>
          <w:bCs/>
          <w:color w:val="auto"/>
          <w:sz w:val="21"/>
          <w:szCs w:val="21"/>
          <w:highlight w:val="none"/>
          <w:u w:val="single"/>
          <w:lang w:eastAsia="zh-CN"/>
        </w:rPr>
        <w:t>）条，投标人无需提供资料，按招标公告附件三《被招标人拒绝投标的企业名单》进行评审。</w:t>
      </w:r>
    </w:p>
    <w:p>
      <w:pPr>
        <w:keepNext w:val="0"/>
        <w:keepLines w:val="0"/>
        <w:pageBreakBefore w:val="0"/>
        <w:widowControl w:val="0"/>
        <w:pBdr>
          <w:bottom w:val="single" w:color="auto" w:sz="4" w:space="0"/>
        </w:pBdr>
        <w:wordWrap/>
        <w:topLinePunct w:val="0"/>
        <w:autoSpaceDE/>
        <w:autoSpaceDN/>
        <w:bidi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11.2.3《投标函》、《标函承诺书》、《中小企业声明函》（如有）、《分包意向协议书》（如有）、《项目负责人驻场承诺书》、《投入项目负责人及专职安全员承诺书》（格式见招标文件第四章）。</w:t>
      </w:r>
    </w:p>
    <w:p>
      <w:pPr>
        <w:keepNext w:val="0"/>
        <w:keepLines w:val="0"/>
        <w:pageBreakBefore w:val="0"/>
        <w:widowControl w:val="0"/>
        <w:pBdr>
          <w:bottom w:val="single" w:color="auto" w:sz="4" w:space="0"/>
        </w:pBdr>
        <w:wordWrap/>
        <w:topLinePunct w:val="0"/>
        <w:autoSpaceDE/>
        <w:autoSpaceDN/>
        <w:bidi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11.2.4《施工项目管理团队人员信息表》、《主要人员简历表》（格式见招标文件第四章，投标人需按相应表格备注及《技术标详细审查评分表》要求提供相关资料）。</w:t>
      </w:r>
    </w:p>
    <w:p>
      <w:pPr>
        <w:keepNext w:val="0"/>
        <w:keepLines w:val="0"/>
        <w:pageBreakBefore w:val="0"/>
        <w:widowControl w:val="0"/>
        <w:pBdr>
          <w:bottom w:val="single" w:color="auto" w:sz="4" w:space="0"/>
        </w:pBdr>
        <w:wordWrap/>
        <w:topLinePunct w:val="0"/>
        <w:autoSpaceDE/>
        <w:autoSpaceDN/>
        <w:bidi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11.2.5企业资信的证明材料（按招标文件《技术标详细审查评分表》要求提交，包括但不限于《企业类似工程业绩汇总表》（格式见招标文件第四章）、《工法奖汇总表》（格式自拟）、《纳税信用情况汇总表》（格式自拟），招标文件有规定格式的，需按招标文件格式提供，无格式要求的，格式自拟）。</w:t>
      </w:r>
    </w:p>
    <w:p>
      <w:pPr>
        <w:keepNext w:val="0"/>
        <w:keepLines w:val="0"/>
        <w:pageBreakBefore w:val="0"/>
        <w:widowControl w:val="0"/>
        <w:pBdr>
          <w:bottom w:val="single" w:color="auto" w:sz="4" w:space="0"/>
        </w:pBdr>
        <w:wordWrap/>
        <w:topLinePunct w:val="0"/>
        <w:autoSpaceDE/>
        <w:autoSpaceDN/>
        <w:bidi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11.2.6施工组织设计。</w:t>
      </w:r>
    </w:p>
    <w:p>
      <w:pPr>
        <w:keepNext w:val="0"/>
        <w:keepLines w:val="0"/>
        <w:pageBreakBefore w:val="0"/>
        <w:widowControl w:val="0"/>
        <w:pBdr>
          <w:bottom w:val="single" w:color="auto" w:sz="4" w:space="0"/>
        </w:pBdr>
        <w:wordWrap/>
        <w:topLinePunct w:val="0"/>
        <w:autoSpaceDE/>
        <w:autoSpaceDN/>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（1）投标人在编制</w:t>
      </w:r>
      <w:r>
        <w:rPr>
          <w:rFonts w:hint="eastAsia" w:ascii="宋体" w:hAnsi="宋体" w:cs="宋体"/>
          <w:color w:val="auto"/>
          <w:szCs w:val="21"/>
          <w:highlight w:val="none"/>
          <w:u w:val="single"/>
        </w:rPr>
        <w:t>施工组织设计</w:t>
      </w:r>
      <w:r>
        <w:rPr>
          <w:rFonts w:hint="eastAsia" w:ascii="宋体" w:hAnsi="宋体" w:cs="宋体"/>
          <w:color w:val="auto"/>
          <w:szCs w:val="21"/>
          <w:highlight w:val="none"/>
        </w:rPr>
        <w:t>时应按照招标人提出的施工现场建筑垃圾源头减量的具体要求以及建筑垃圾综合利用产品的使用要求提供相应措施。</w:t>
      </w:r>
    </w:p>
    <w:p>
      <w:pPr>
        <w:keepNext w:val="0"/>
        <w:keepLines w:val="0"/>
        <w:pageBreakBefore w:val="0"/>
        <w:widowControl w:val="0"/>
        <w:pBdr>
          <w:bottom w:val="single" w:color="auto" w:sz="4" w:space="0"/>
        </w:pBdr>
        <w:wordWrap/>
        <w:topLinePunct w:val="0"/>
        <w:autoSpaceDE/>
        <w:autoSpaceDN/>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（2）投标人在编制</w:t>
      </w:r>
      <w:r>
        <w:rPr>
          <w:rFonts w:hint="eastAsia" w:ascii="宋体" w:hAnsi="宋体" w:cs="宋体"/>
          <w:color w:val="auto"/>
          <w:szCs w:val="21"/>
          <w:highlight w:val="none"/>
          <w:u w:val="single"/>
        </w:rPr>
        <w:t>施工组织设计</w:t>
      </w:r>
      <w:r>
        <w:rPr>
          <w:rFonts w:hint="eastAsia" w:ascii="宋体" w:hAnsi="宋体" w:cs="宋体"/>
          <w:color w:val="auto"/>
          <w:szCs w:val="21"/>
          <w:highlight w:val="none"/>
        </w:rPr>
        <w:t>时应按照招标文件要求，并针对本项目的关键技术、工艺、重点、难点以及拟在本项目采用的新工艺、新技术、新材料编制，应突出重点，标准、规范中已有的内容无需赘述，</w:t>
      </w:r>
      <w:r>
        <w:rPr>
          <w:rFonts w:hint="eastAsia" w:ascii="宋体" w:hAnsi="宋体" w:cs="宋体"/>
          <w:color w:val="auto"/>
          <w:szCs w:val="21"/>
          <w:highlight w:val="none"/>
          <w:u w:val="single"/>
        </w:rPr>
        <w:t>篇幅不宜超过150页。超过部分不予评审。</w:t>
      </w:r>
    </w:p>
    <w:p>
      <w:pPr>
        <w:keepNext w:val="0"/>
        <w:keepLines w:val="0"/>
        <w:pageBreakBefore w:val="0"/>
        <w:widowControl w:val="0"/>
        <w:pBdr>
          <w:bottom w:val="single" w:color="auto" w:sz="4" w:space="0"/>
        </w:pBdr>
        <w:wordWrap/>
        <w:topLinePunct w:val="0"/>
        <w:autoSpaceDE/>
        <w:autoSpaceDN/>
        <w:bidi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3）投标人在编制施工组织设计时应按照招标文件《技术标详细审查评分表》要求，包括但不限于《拟投入本工程施工的主要机械设备配备表》（格式见招标文件第四章）；招标文件有规定格式的，需按招标文件格式提供，无格式要求的，格式自拟。</w:t>
      </w:r>
    </w:p>
    <w:p>
      <w:pPr>
        <w:keepNext w:val="0"/>
        <w:keepLines w:val="0"/>
        <w:pageBreakBefore w:val="0"/>
        <w:widowControl w:val="0"/>
        <w:pBdr>
          <w:bottom w:val="single" w:color="auto" w:sz="4" w:space="0"/>
        </w:pBdr>
        <w:wordWrap/>
        <w:topLinePunct w:val="0"/>
        <w:autoSpaceDE/>
        <w:autoSpaceDN/>
        <w:bidi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11.2.7《危险性较大的分部分项工程安全管理措施》（格式见招标文件第四章）。</w:t>
      </w:r>
    </w:p>
    <w:p>
      <w:pPr>
        <w:keepNext w:val="0"/>
        <w:keepLines w:val="0"/>
        <w:pageBreakBefore w:val="0"/>
        <w:widowControl w:val="0"/>
        <w:pBdr>
          <w:bottom w:val="single" w:color="auto" w:sz="4" w:space="0"/>
        </w:pBdr>
        <w:wordWrap/>
        <w:topLinePunct w:val="0"/>
        <w:autoSpaceDE/>
        <w:autoSpaceDN/>
        <w:bidi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11.2.8《参与编制技术标投标文件人员名单》（格式见招标文件第四章）。</w:t>
      </w:r>
    </w:p>
    <w:p>
      <w:pPr>
        <w:keepNext w:val="0"/>
        <w:keepLines w:val="0"/>
        <w:pageBreakBefore w:val="0"/>
        <w:widowControl w:val="0"/>
        <w:pBdr>
          <w:bottom w:val="single" w:color="auto" w:sz="4" w:space="0"/>
        </w:pBdr>
        <w:wordWrap/>
        <w:topLinePunct w:val="0"/>
        <w:autoSpaceDE/>
        <w:autoSpaceDN/>
        <w:bidi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11.2.9投标人认为应提供的其他技术标资料（如有）。</w:t>
      </w:r>
    </w:p>
    <w:p>
      <w:pPr>
        <w:keepNext w:val="0"/>
        <w:keepLines w:val="0"/>
        <w:pageBreakBefore w:val="0"/>
        <w:widowControl w:val="0"/>
        <w:wordWrap/>
        <w:topLinePunct w:val="0"/>
        <w:autoSpaceDE/>
        <w:autoSpaceDN/>
        <w:bidi w:val="0"/>
        <w:adjustRightInd w:val="0"/>
        <w:snapToGrid w:val="0"/>
        <w:spacing w:before="313" w:beforeLines="100"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条款号：11.3                       修改类型：修改</w:t>
      </w:r>
    </w:p>
    <w:p>
      <w:pPr>
        <w:keepNext w:val="0"/>
        <w:keepLines w:val="0"/>
        <w:pageBreakBefore w:val="0"/>
        <w:widowControl w:val="0"/>
        <w:wordWrap/>
        <w:topLinePunct w:val="0"/>
        <w:autoSpaceDE/>
        <w:autoSpaceDN/>
        <w:bidi w:val="0"/>
        <w:adjustRightInd w:val="0"/>
        <w:snapToGrid w:val="0"/>
        <w:spacing w:line="360" w:lineRule="auto"/>
        <w:ind w:firstLine="472"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11.3 经济部分投标文件主要包括下列内容：</w:t>
      </w:r>
    </w:p>
    <w:p>
      <w:pPr>
        <w:keepNext w:val="0"/>
        <w:keepLines w:val="0"/>
        <w:pageBreakBefore w:val="0"/>
        <w:widowControl w:val="0"/>
        <w:wordWrap/>
        <w:topLinePunct w:val="0"/>
        <w:autoSpaceDE/>
        <w:autoSpaceDN/>
        <w:bidi w:val="0"/>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11.3.1 经济投标文件(按招标文件的要求填写)。</w:t>
      </w:r>
    </w:p>
    <w:p>
      <w:pPr>
        <w:keepNext w:val="0"/>
        <w:keepLines w:val="0"/>
        <w:pageBreakBefore w:val="0"/>
        <w:widowControl w:val="0"/>
        <w:wordWrap/>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keepNext w:val="0"/>
        <w:keepLines w:val="0"/>
        <w:pageBreakBefore w:val="0"/>
        <w:widowControl w:val="0"/>
        <w:wordWrap/>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（1）投标总价封面、扉页；</w:t>
      </w:r>
    </w:p>
    <w:p>
      <w:pPr>
        <w:keepNext w:val="0"/>
        <w:keepLines w:val="0"/>
        <w:pageBreakBefore w:val="0"/>
        <w:widowControl w:val="0"/>
        <w:wordWrap/>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（2）总说明；</w:t>
      </w:r>
    </w:p>
    <w:p>
      <w:pPr>
        <w:keepNext w:val="0"/>
        <w:keepLines w:val="0"/>
        <w:pageBreakBefore w:val="0"/>
        <w:widowControl w:val="0"/>
        <w:wordWrap/>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（3）工程项目投标报价汇总表；</w:t>
      </w:r>
    </w:p>
    <w:p>
      <w:pPr>
        <w:keepNext w:val="0"/>
        <w:keepLines w:val="0"/>
        <w:pageBreakBefore w:val="0"/>
        <w:widowControl w:val="0"/>
        <w:wordWrap/>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（4）单项工程投标报价汇总表；</w:t>
      </w:r>
    </w:p>
    <w:p>
      <w:pPr>
        <w:keepNext w:val="0"/>
        <w:keepLines w:val="0"/>
        <w:pageBreakBefore w:val="0"/>
        <w:widowControl w:val="0"/>
        <w:wordWrap/>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（5）单位工程投标报价汇总表；</w:t>
      </w:r>
    </w:p>
    <w:p>
      <w:pPr>
        <w:keepNext w:val="0"/>
        <w:keepLines w:val="0"/>
        <w:pageBreakBefore w:val="0"/>
        <w:widowControl w:val="0"/>
        <w:wordWrap/>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（6）分部分项工程清单与计价表；</w:t>
      </w:r>
    </w:p>
    <w:p>
      <w:pPr>
        <w:keepNext w:val="0"/>
        <w:keepLines w:val="0"/>
        <w:pageBreakBefore w:val="0"/>
        <w:widowControl w:val="0"/>
        <w:wordWrap/>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（7）单价措施项目清单与计价表；</w:t>
      </w:r>
    </w:p>
    <w:p>
      <w:pPr>
        <w:keepNext w:val="0"/>
        <w:keepLines w:val="0"/>
        <w:pageBreakBefore w:val="0"/>
        <w:widowControl w:val="0"/>
        <w:wordWrap/>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（8）总价措施项目清单与计价表；</w:t>
      </w:r>
    </w:p>
    <w:p>
      <w:pPr>
        <w:keepNext w:val="0"/>
        <w:keepLines w:val="0"/>
        <w:pageBreakBefore w:val="0"/>
        <w:widowControl w:val="0"/>
        <w:wordWrap/>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（9）综合单价分析表；</w:t>
      </w:r>
    </w:p>
    <w:p>
      <w:pPr>
        <w:keepNext w:val="0"/>
        <w:keepLines w:val="0"/>
        <w:pageBreakBefore w:val="0"/>
        <w:widowControl w:val="0"/>
        <w:wordWrap/>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（10）其他项目清单与计价汇总表；</w:t>
      </w:r>
    </w:p>
    <w:p>
      <w:pPr>
        <w:keepNext w:val="0"/>
        <w:keepLines w:val="0"/>
        <w:pageBreakBefore w:val="0"/>
        <w:widowControl w:val="0"/>
        <w:wordWrap/>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（11）暂列金额明细表；</w:t>
      </w:r>
    </w:p>
    <w:p>
      <w:pPr>
        <w:keepNext w:val="0"/>
        <w:keepLines w:val="0"/>
        <w:pageBreakBefore w:val="0"/>
        <w:widowControl w:val="0"/>
        <w:wordWrap/>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（12）材料（工程设备）暂估价明细表；</w:t>
      </w:r>
    </w:p>
    <w:p>
      <w:pPr>
        <w:keepNext w:val="0"/>
        <w:keepLines w:val="0"/>
        <w:pageBreakBefore w:val="0"/>
        <w:widowControl w:val="0"/>
        <w:wordWrap/>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（13）专业工程暂估价明细表；</w:t>
      </w:r>
    </w:p>
    <w:p>
      <w:pPr>
        <w:keepNext w:val="0"/>
        <w:keepLines w:val="0"/>
        <w:pageBreakBefore w:val="0"/>
        <w:widowControl w:val="0"/>
        <w:wordWrap/>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（14）计日工表；</w:t>
      </w:r>
    </w:p>
    <w:p>
      <w:pPr>
        <w:keepNext w:val="0"/>
        <w:keepLines w:val="0"/>
        <w:pageBreakBefore w:val="0"/>
        <w:widowControl w:val="0"/>
        <w:wordWrap/>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（15）总承包服务计价表；</w:t>
      </w:r>
    </w:p>
    <w:p>
      <w:pPr>
        <w:keepNext w:val="0"/>
        <w:keepLines w:val="0"/>
        <w:pageBreakBefore w:val="0"/>
        <w:widowControl w:val="0"/>
        <w:wordWrap/>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（16）规费和税金项目计价表；</w:t>
      </w:r>
    </w:p>
    <w:p>
      <w:pPr>
        <w:keepNext w:val="0"/>
        <w:keepLines w:val="0"/>
        <w:pageBreakBefore w:val="0"/>
        <w:widowControl w:val="0"/>
        <w:wordWrap/>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（17）人工、主要材料和设备一览表</w:t>
      </w:r>
    </w:p>
    <w:p>
      <w:pPr>
        <w:keepNext w:val="0"/>
        <w:keepLines w:val="0"/>
        <w:pageBreakBefore w:val="0"/>
        <w:widowControl w:val="0"/>
        <w:wordWrap/>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11.3.3按照招标文件要求填写的《参与编制经济标投标文件人员名单》。</w:t>
      </w:r>
    </w:p>
    <w:p>
      <w:pPr>
        <w:keepNext w:val="0"/>
        <w:keepLines w:val="0"/>
        <w:pageBreakBefore w:val="0"/>
        <w:widowControl w:val="0"/>
        <w:wordWrap/>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11.3.4若投标人的投标报价低于工程</w:t>
      </w:r>
      <w:r>
        <w:rPr>
          <w:rFonts w:hint="eastAsia" w:ascii="宋体" w:hAnsi="宋体" w:cs="宋体"/>
          <w:color w:val="auto"/>
          <w:szCs w:val="21"/>
          <w:highlight w:val="none"/>
          <w:lang w:eastAsia="zh-CN"/>
        </w:rPr>
        <w:t>成本警示价</w:t>
      </w:r>
      <w:r>
        <w:rPr>
          <w:rFonts w:hint="eastAsia" w:ascii="宋体" w:hAnsi="宋体" w:cs="宋体"/>
          <w:color w:val="auto"/>
          <w:szCs w:val="21"/>
          <w:highlight w:val="none"/>
        </w:rPr>
        <w:t>的，投标人还须提供详细的施工组织设计、单价、措施性费用、单价分析表、主要材料价格表、投标人成本分析供评标委员会评审。</w:t>
      </w:r>
    </w:p>
    <w:p>
      <w:pPr>
        <w:keepNext w:val="0"/>
        <w:keepLines w:val="0"/>
        <w:pageBreakBefore w:val="0"/>
        <w:widowControl w:val="0"/>
        <w:wordWrap/>
        <w:topLinePunct w:val="0"/>
        <w:autoSpaceDE/>
        <w:autoSpaceDN/>
        <w:bidi w:val="0"/>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11.3</w:t>
      </w:r>
      <w:r>
        <w:rPr>
          <w:rFonts w:hint="eastAsia" w:ascii="宋体" w:hAnsi="宋体" w:cs="宋体"/>
          <w:color w:val="auto"/>
          <w:szCs w:val="21"/>
          <w:highlight w:val="none"/>
          <w:u w:val="single"/>
        </w:rPr>
        <w:t>投标文件经济部分</w:t>
      </w:r>
      <w:r>
        <w:rPr>
          <w:rFonts w:hint="eastAsia" w:ascii="宋体" w:hAnsi="宋体" w:cs="宋体"/>
          <w:color w:val="auto"/>
          <w:szCs w:val="21"/>
          <w:highlight w:val="none"/>
        </w:rPr>
        <w:t>主要包括下列内容：</w:t>
      </w:r>
    </w:p>
    <w:p>
      <w:pPr>
        <w:keepNext w:val="0"/>
        <w:keepLines w:val="0"/>
        <w:pageBreakBefore w:val="0"/>
        <w:widowControl w:val="0"/>
        <w:wordWrap/>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11.3.1</w:t>
      </w:r>
      <w:r>
        <w:rPr>
          <w:rFonts w:hint="eastAsia" w:ascii="宋体" w:hAnsi="宋体" w:cs="宋体"/>
          <w:color w:val="auto"/>
          <w:szCs w:val="21"/>
          <w:highlight w:val="none"/>
          <w:u w:val="single"/>
        </w:rPr>
        <w:t>广州建设工程施工招标投标书（经济标）（格式见招标文件第四章，具体格式以《广州建设工程施工招标投标书（经济标）》为准；电子投标管理软件编制的“广州建设工程施工招标投标书”不作为否决投标的条件)。</w:t>
      </w:r>
    </w:p>
    <w:p>
      <w:pPr>
        <w:keepNext w:val="0"/>
        <w:keepLines w:val="0"/>
        <w:pageBreakBefore w:val="0"/>
        <w:widowControl w:val="0"/>
        <w:wordWrap/>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keepNext w:val="0"/>
        <w:keepLines w:val="0"/>
        <w:pageBreakBefore w:val="0"/>
        <w:widowControl w:val="0"/>
        <w:numPr>
          <w:ilvl w:val="0"/>
          <w:numId w:val="2"/>
        </w:numPr>
        <w:pBdr>
          <w:bottom w:val="single" w:color="auto" w:sz="6" w:space="1"/>
        </w:pBdr>
        <w:wordWrap/>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投标总价封面、扉页</w:t>
      </w:r>
    </w:p>
    <w:p>
      <w:pPr>
        <w:keepNext w:val="0"/>
        <w:keepLines w:val="0"/>
        <w:pageBreakBefore w:val="0"/>
        <w:widowControl w:val="0"/>
        <w:numPr>
          <w:ilvl w:val="0"/>
          <w:numId w:val="2"/>
        </w:numPr>
        <w:pBdr>
          <w:bottom w:val="single" w:color="auto" w:sz="6" w:space="1"/>
        </w:pBdr>
        <w:wordWrap/>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总说明；</w:t>
      </w:r>
    </w:p>
    <w:p>
      <w:pPr>
        <w:keepNext w:val="0"/>
        <w:keepLines w:val="0"/>
        <w:pageBreakBefore w:val="0"/>
        <w:widowControl w:val="0"/>
        <w:numPr>
          <w:ilvl w:val="0"/>
          <w:numId w:val="2"/>
        </w:numPr>
        <w:pBdr>
          <w:bottom w:val="single" w:color="auto" w:sz="6" w:space="1"/>
        </w:pBdr>
        <w:wordWrap/>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工程量清单报价表及综合单价分析表的相关内容及格式要求（相关表格的内容及格式要求以招标人发出的最新版电子招标文件中的相应内容及格式为准）</w:t>
      </w:r>
      <w:r>
        <w:rPr>
          <w:rFonts w:hint="eastAsia" w:ascii="宋体" w:hAnsi="宋体" w:cs="宋体"/>
          <w:color w:val="auto"/>
          <w:szCs w:val="21"/>
          <w:highlight w:val="none"/>
        </w:rPr>
        <w:t>；</w:t>
      </w:r>
    </w:p>
    <w:p>
      <w:pPr>
        <w:keepNext w:val="0"/>
        <w:keepLines w:val="0"/>
        <w:pageBreakBefore w:val="0"/>
        <w:widowControl w:val="0"/>
        <w:numPr>
          <w:ilvl w:val="0"/>
          <w:numId w:val="2"/>
        </w:numPr>
        <w:pBdr>
          <w:bottom w:val="single" w:color="auto" w:sz="6" w:space="1"/>
        </w:pBdr>
        <w:wordWrap/>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其它辅助说明资料（包括但不限于招标文件要求填写的《对投标文件编制的承诺》，格式见招标文件第四章）</w:t>
      </w:r>
      <w:r>
        <w:rPr>
          <w:rFonts w:hint="eastAsia" w:ascii="宋体" w:hAnsi="宋体" w:cs="宋体"/>
          <w:color w:val="auto"/>
          <w:szCs w:val="21"/>
          <w:highlight w:val="none"/>
        </w:rPr>
        <w:t>。</w:t>
      </w:r>
    </w:p>
    <w:p>
      <w:pPr>
        <w:keepNext w:val="0"/>
        <w:keepLines w:val="0"/>
        <w:pageBreakBefore w:val="0"/>
        <w:widowControl w:val="0"/>
        <w:pBdr>
          <w:bottom w:val="single" w:color="auto" w:sz="6" w:space="1"/>
        </w:pBdr>
        <w:wordWrap/>
        <w:topLinePunct w:val="0"/>
        <w:autoSpaceDE/>
        <w:autoSpaceDN/>
        <w:bidi w:val="0"/>
        <w:adjustRightInd w:val="0"/>
        <w:snapToGrid w:val="0"/>
        <w:spacing w:line="360" w:lineRule="auto"/>
        <w:ind w:firstLine="420" w:firstLineChars="200"/>
        <w:textAlignment w:val="baseline"/>
        <w:rPr>
          <w:rFonts w:ascii="宋体" w:hAnsi="宋体" w:cs="宋体"/>
          <w:color w:val="auto"/>
          <w:szCs w:val="21"/>
          <w:highlight w:val="none"/>
        </w:rPr>
      </w:pPr>
      <w:r>
        <w:rPr>
          <w:rFonts w:hint="eastAsia" w:ascii="宋体" w:hAnsi="宋体" w:cs="宋体"/>
          <w:color w:val="auto"/>
          <w:szCs w:val="21"/>
          <w:highlight w:val="none"/>
        </w:rPr>
        <w:t>11.3.3按照招标文件要求填写的《参与编制经济标投标文件人员名单》</w:t>
      </w:r>
      <w:r>
        <w:rPr>
          <w:rFonts w:hint="eastAsia" w:ascii="宋体" w:hAnsi="宋体" w:cs="宋体"/>
          <w:color w:val="auto"/>
          <w:szCs w:val="21"/>
          <w:highlight w:val="none"/>
          <w:u w:val="single"/>
        </w:rPr>
        <w:t>（格式见招标文件第四章）</w:t>
      </w:r>
      <w:r>
        <w:rPr>
          <w:rFonts w:hint="eastAsia" w:ascii="宋体" w:hAnsi="宋体" w:cs="宋体"/>
          <w:color w:val="auto"/>
          <w:szCs w:val="21"/>
          <w:highlight w:val="none"/>
        </w:rPr>
        <w:t>。</w:t>
      </w:r>
    </w:p>
    <w:p>
      <w:pPr>
        <w:keepNext w:val="0"/>
        <w:keepLines w:val="0"/>
        <w:pageBreakBefore w:val="0"/>
        <w:widowControl w:val="0"/>
        <w:pBdr>
          <w:bottom w:val="single" w:color="auto" w:sz="6" w:space="1"/>
        </w:pBdr>
        <w:wordWrap/>
        <w:topLinePunct w:val="0"/>
        <w:autoSpaceDE/>
        <w:autoSpaceDN/>
        <w:bidi w:val="0"/>
        <w:adjustRightInd w:val="0"/>
        <w:snapToGrid w:val="0"/>
        <w:spacing w:line="360" w:lineRule="auto"/>
        <w:ind w:firstLine="420" w:firstLineChars="200"/>
        <w:textAlignment w:val="baseline"/>
        <w:rPr>
          <w:rFonts w:ascii="宋体" w:hAnsi="宋体" w:cs="宋体"/>
          <w:color w:val="auto"/>
          <w:szCs w:val="21"/>
          <w:highlight w:val="none"/>
        </w:rPr>
      </w:pPr>
      <w:r>
        <w:rPr>
          <w:rFonts w:hint="eastAsia" w:ascii="宋体" w:hAnsi="宋体" w:cs="宋体"/>
          <w:color w:val="auto"/>
          <w:szCs w:val="21"/>
          <w:highlight w:val="none"/>
        </w:rPr>
        <w:t>11.3.4若投标人的投标报价低于工程</w:t>
      </w:r>
      <w:r>
        <w:rPr>
          <w:rFonts w:hint="eastAsia" w:ascii="宋体" w:hAnsi="宋体" w:cs="宋体"/>
          <w:color w:val="auto"/>
          <w:szCs w:val="21"/>
          <w:highlight w:val="none"/>
          <w:lang w:eastAsia="zh-CN"/>
        </w:rPr>
        <w:t>成本</w:t>
      </w:r>
      <w:r>
        <w:rPr>
          <w:rFonts w:hint="eastAsia" w:ascii="宋体" w:hAnsi="宋体" w:cs="宋体"/>
          <w:color w:val="auto"/>
          <w:szCs w:val="21"/>
          <w:highlight w:val="none"/>
          <w:u w:val="single"/>
          <w:lang w:eastAsia="zh-CN"/>
        </w:rPr>
        <w:t>警示价</w:t>
      </w:r>
      <w:r>
        <w:rPr>
          <w:rFonts w:hint="eastAsia" w:ascii="宋体" w:hAnsi="宋体" w:cs="宋体"/>
          <w:color w:val="auto"/>
          <w:szCs w:val="21"/>
          <w:highlight w:val="none"/>
        </w:rPr>
        <w:t>的，投标人还须提供详细的施工组织设计、单价、措施性费用、单价分析表、主要材料价格表、投标人成本分析供评标委员会评审。</w:t>
      </w:r>
    </w:p>
    <w:p>
      <w:pPr>
        <w:keepNext w:val="0"/>
        <w:keepLines w:val="0"/>
        <w:pageBreakBefore w:val="0"/>
        <w:widowControl w:val="0"/>
        <w:pBdr>
          <w:bottom w:val="single" w:color="auto" w:sz="6" w:space="1"/>
        </w:pBdr>
        <w:wordWrap/>
        <w:topLinePunct w:val="0"/>
        <w:autoSpaceDE/>
        <w:autoSpaceDN/>
        <w:bidi w:val="0"/>
        <w:adjustRightInd w:val="0"/>
        <w:snapToGrid w:val="0"/>
        <w:spacing w:line="360" w:lineRule="auto"/>
        <w:ind w:firstLine="420" w:firstLineChars="200"/>
        <w:textAlignment w:val="baseline"/>
        <w:rPr>
          <w:rFonts w:ascii="宋体" w:hAnsi="宋体" w:cs="宋体"/>
          <w:bCs/>
          <w:color w:val="auto"/>
          <w:szCs w:val="21"/>
          <w:highlight w:val="none"/>
          <w:u w:val="single"/>
        </w:rPr>
      </w:pPr>
      <w:r>
        <w:rPr>
          <w:rFonts w:hint="eastAsia" w:ascii="宋体" w:hAnsi="宋体" w:cs="宋体"/>
          <w:color w:val="auto"/>
          <w:szCs w:val="21"/>
          <w:highlight w:val="none"/>
        </w:rPr>
        <w:t>11.3.5</w:t>
      </w:r>
      <w:r>
        <w:rPr>
          <w:rFonts w:hint="eastAsia" w:ascii="宋体" w:hAnsi="宋体" w:cs="宋体"/>
          <w:color w:val="auto"/>
          <w:szCs w:val="21"/>
          <w:highlight w:val="none"/>
          <w:u w:val="single"/>
        </w:rPr>
        <w:t>投标人认为应提供的其他经济标资料（如有）。</w:t>
      </w:r>
    </w:p>
    <w:p>
      <w:pPr>
        <w:keepNext w:val="0"/>
        <w:keepLines w:val="0"/>
        <w:pageBreakBefore w:val="0"/>
        <w:widowControl w:val="0"/>
        <w:shd w:val="clear" w:color="auto" w:fill="auto"/>
        <w:wordWrap/>
        <w:topLinePunct w:val="0"/>
        <w:autoSpaceDE/>
        <w:autoSpaceDN/>
        <w:bidi w:val="0"/>
        <w:adjustRightInd w:val="0"/>
        <w:snapToGrid w:val="0"/>
        <w:spacing w:line="360" w:lineRule="auto"/>
        <w:ind w:firstLine="422" w:firstLineChars="200"/>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条款号：11.4                        修改类型：增加</w:t>
      </w:r>
    </w:p>
    <w:p>
      <w:pPr>
        <w:keepNext w:val="0"/>
        <w:keepLines w:val="0"/>
        <w:pageBreakBefore w:val="0"/>
        <w:widowControl w:val="0"/>
        <w:pBdr>
          <w:bottom w:val="single" w:color="auto" w:sz="6" w:space="1"/>
        </w:pBdr>
        <w:shd w:val="clear" w:color="auto" w:fill="auto"/>
        <w:wordWrap/>
        <w:topLinePunct w:val="0"/>
        <w:autoSpaceDE/>
        <w:autoSpaceDN/>
        <w:bidi w:val="0"/>
        <w:adjustRightInd w:val="0"/>
        <w:snapToGrid w:val="0"/>
        <w:spacing w:line="360" w:lineRule="auto"/>
        <w:ind w:firstLine="422" w:firstLineChars="200"/>
        <w:textAlignment w:val="baseline"/>
        <w:rPr>
          <w:rFonts w:hint="eastAsia" w:ascii="宋体" w:hAnsi="宋体" w:eastAsia="宋体" w:cs="宋体"/>
          <w:b w:val="0"/>
          <w:bCs w:val="0"/>
          <w:color w:val="auto"/>
          <w:sz w:val="21"/>
          <w:szCs w:val="21"/>
          <w:highlight w:val="none"/>
          <w:u w:val="single"/>
        </w:rPr>
      </w:pPr>
      <w:r>
        <w:rPr>
          <w:rFonts w:hint="eastAsia" w:ascii="宋体" w:hAnsi="宋体" w:eastAsia="宋体" w:cs="宋体"/>
          <w:b/>
          <w:color w:val="auto"/>
          <w:sz w:val="21"/>
          <w:szCs w:val="21"/>
          <w:highlight w:val="none"/>
        </w:rPr>
        <w:t>现文：</w:t>
      </w:r>
      <w:r>
        <w:rPr>
          <w:rFonts w:hint="eastAsia" w:ascii="宋体" w:hAnsi="宋体" w:eastAsia="宋体" w:cs="宋体"/>
          <w:b w:val="0"/>
          <w:bCs w:val="0"/>
          <w:color w:val="auto"/>
          <w:sz w:val="21"/>
          <w:szCs w:val="21"/>
          <w:highlight w:val="none"/>
          <w:u w:val="single"/>
        </w:rPr>
        <w:t>11.4定标文件主要包括下列内容：</w:t>
      </w:r>
    </w:p>
    <w:p>
      <w:pPr>
        <w:keepNext w:val="0"/>
        <w:keepLines w:val="0"/>
        <w:pageBreakBefore w:val="0"/>
        <w:widowControl w:val="0"/>
        <w:pBdr>
          <w:bottom w:val="single" w:color="auto" w:sz="6" w:space="1"/>
        </w:pBdr>
        <w:shd w:val="clear" w:color="auto" w:fill="auto"/>
        <w:wordWrap/>
        <w:topLinePunct w:val="0"/>
        <w:autoSpaceDE/>
        <w:autoSpaceDN/>
        <w:bidi w:val="0"/>
        <w:adjustRightInd w:val="0"/>
        <w:snapToGrid w:val="0"/>
        <w:spacing w:line="360" w:lineRule="auto"/>
        <w:ind w:firstLine="420" w:firstLineChars="200"/>
        <w:textAlignment w:val="baseline"/>
        <w:rPr>
          <w:rFonts w:hint="eastAsia" w:ascii="宋体" w:hAnsi="宋体" w:eastAsia="宋体" w:cs="宋体"/>
          <w:b w:val="0"/>
          <w:bCs w:val="0"/>
          <w:color w:val="auto"/>
          <w:sz w:val="21"/>
          <w:szCs w:val="21"/>
          <w:highlight w:val="none"/>
          <w:u w:val="single"/>
          <w:lang w:eastAsia="zh-CN"/>
        </w:rPr>
      </w:pPr>
      <w:r>
        <w:rPr>
          <w:rFonts w:hint="eastAsia" w:ascii="宋体" w:hAnsi="宋体" w:eastAsia="宋体" w:cs="宋体"/>
          <w:b w:val="0"/>
          <w:bCs w:val="0"/>
          <w:color w:val="auto"/>
          <w:sz w:val="21"/>
          <w:szCs w:val="21"/>
          <w:highlight w:val="none"/>
          <w:u w:val="single"/>
          <w:lang w:eastAsia="zh-CN"/>
        </w:rPr>
        <w:t>定标</w:t>
      </w:r>
      <w:r>
        <w:rPr>
          <w:rFonts w:hint="eastAsia" w:ascii="宋体" w:hAnsi="宋体" w:eastAsia="宋体" w:cs="宋体"/>
          <w:b w:val="0"/>
          <w:bCs w:val="0"/>
          <w:color w:val="auto"/>
          <w:sz w:val="21"/>
          <w:szCs w:val="21"/>
          <w:highlight w:val="none"/>
          <w:u w:val="single"/>
          <w:lang w:val="en-US" w:eastAsia="zh-CN"/>
        </w:rPr>
        <w:t>评审方</w:t>
      </w:r>
      <w:r>
        <w:rPr>
          <w:rFonts w:hint="eastAsia" w:ascii="宋体" w:hAnsi="宋体" w:eastAsia="宋体" w:cs="宋体"/>
          <w:b w:val="0"/>
          <w:bCs w:val="0"/>
          <w:color w:val="auto"/>
          <w:sz w:val="21"/>
          <w:szCs w:val="21"/>
          <w:highlight w:val="none"/>
          <w:u w:val="single"/>
          <w:lang w:eastAsia="zh-CN"/>
        </w:rPr>
        <w:t>案因素按投标人提交的</w:t>
      </w:r>
      <w:r>
        <w:rPr>
          <w:rFonts w:hint="eastAsia" w:ascii="宋体" w:hAnsi="宋体" w:eastAsia="宋体" w:cs="宋体"/>
          <w:b w:val="0"/>
          <w:bCs w:val="0"/>
          <w:strike w:val="0"/>
          <w:dstrike w:val="0"/>
          <w:color w:val="auto"/>
          <w:sz w:val="21"/>
          <w:szCs w:val="21"/>
          <w:highlight w:val="none"/>
          <w:u w:val="single"/>
          <w:lang w:val="en-US" w:eastAsia="zh-CN"/>
        </w:rPr>
        <w:t>定标方案进行评审方案因素包含</w:t>
      </w:r>
      <w:r>
        <w:rPr>
          <w:rFonts w:hint="eastAsia" w:ascii="宋体" w:hAnsi="宋体" w:eastAsia="宋体" w:cs="宋体"/>
          <w:b w:val="0"/>
          <w:bCs w:val="0"/>
          <w:color w:val="auto"/>
          <w:sz w:val="21"/>
          <w:szCs w:val="21"/>
          <w:highlight w:val="none"/>
          <w:u w:val="single"/>
        </w:rPr>
        <w:t>：</w:t>
      </w:r>
      <w:r>
        <w:rPr>
          <w:rFonts w:hint="eastAsia" w:ascii="宋体" w:hAnsi="宋体" w:eastAsia="宋体" w:cs="宋体"/>
          <w:b w:val="0"/>
          <w:bCs w:val="0"/>
          <w:color w:val="auto"/>
          <w:szCs w:val="21"/>
          <w:highlight w:val="none"/>
          <w:u w:val="single"/>
        </w:rPr>
        <w:t>①团队配置</w:t>
      </w:r>
      <w:r>
        <w:rPr>
          <w:rFonts w:hint="eastAsia" w:ascii="宋体" w:hAnsi="宋体" w:eastAsia="宋体" w:cs="宋体"/>
          <w:b w:val="0"/>
          <w:bCs w:val="0"/>
          <w:color w:val="auto"/>
          <w:szCs w:val="21"/>
          <w:highlight w:val="none"/>
          <w:u w:val="single"/>
          <w:lang w:eastAsia="zh-CN"/>
        </w:rPr>
        <w:t>、</w:t>
      </w:r>
      <w:r>
        <w:rPr>
          <w:rFonts w:hint="eastAsia" w:ascii="宋体" w:hAnsi="宋体" w:eastAsia="宋体" w:cs="宋体"/>
          <w:b w:val="0"/>
          <w:bCs w:val="0"/>
          <w:color w:val="auto"/>
          <w:szCs w:val="21"/>
          <w:highlight w:val="none"/>
          <w:u w:val="single"/>
        </w:rPr>
        <w:t>②施工管理措施</w:t>
      </w:r>
      <w:r>
        <w:rPr>
          <w:rFonts w:hint="eastAsia" w:ascii="宋体" w:hAnsi="宋体" w:eastAsia="宋体" w:cs="宋体"/>
          <w:b w:val="0"/>
          <w:bCs w:val="0"/>
          <w:color w:val="auto"/>
          <w:szCs w:val="21"/>
          <w:highlight w:val="none"/>
          <w:u w:val="single"/>
          <w:lang w:eastAsia="zh-CN"/>
        </w:rPr>
        <w:t>、</w:t>
      </w:r>
      <w:r>
        <w:rPr>
          <w:rFonts w:hint="eastAsia" w:ascii="宋体" w:hAnsi="宋体" w:eastAsia="宋体" w:cs="宋体"/>
          <w:b w:val="0"/>
          <w:bCs w:val="0"/>
          <w:color w:val="auto"/>
          <w:szCs w:val="21"/>
          <w:highlight w:val="none"/>
          <w:u w:val="single"/>
          <w:lang w:val="en-US" w:eastAsia="zh-CN"/>
        </w:rPr>
        <w:t>③成本控制措施、④资金管理措施。</w:t>
      </w:r>
      <w:r>
        <w:rPr>
          <w:rFonts w:hint="eastAsia" w:ascii="宋体" w:hAnsi="宋体" w:eastAsia="宋体" w:cs="宋体"/>
          <w:b w:val="0"/>
          <w:bCs w:val="0"/>
          <w:color w:val="auto"/>
          <w:sz w:val="21"/>
          <w:szCs w:val="21"/>
          <w:highlight w:val="none"/>
          <w:u w:val="single"/>
        </w:rPr>
        <w:t>定标评审价格因素按投标总价评审，不需要重复提交投标报价资料</w:t>
      </w:r>
      <w:r>
        <w:rPr>
          <w:rFonts w:hint="eastAsia" w:ascii="宋体" w:hAnsi="宋体" w:eastAsia="宋体" w:cs="宋体"/>
          <w:b w:val="0"/>
          <w:bCs w:val="0"/>
          <w:color w:val="auto"/>
          <w:sz w:val="21"/>
          <w:szCs w:val="21"/>
          <w:highlight w:val="none"/>
          <w:u w:val="single"/>
          <w:lang w:eastAsia="zh-CN"/>
        </w:rPr>
        <w:t>。</w:t>
      </w:r>
    </w:p>
    <w:p>
      <w:pPr>
        <w:keepNext w:val="0"/>
        <w:keepLines w:val="0"/>
        <w:pageBreakBefore w:val="0"/>
        <w:widowControl w:val="0"/>
        <w:shd w:val="clear" w:color="auto" w:fill="auto"/>
        <w:wordWrap/>
        <w:topLinePunct w:val="0"/>
        <w:autoSpaceDE/>
        <w:autoSpaceDN/>
        <w:bidi w:val="0"/>
        <w:adjustRightInd w:val="0"/>
        <w:snapToGrid w:val="0"/>
        <w:spacing w:line="360" w:lineRule="auto"/>
        <w:ind w:firstLine="422" w:firstLineChars="200"/>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条款号：11.</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 xml:space="preserve">                        修改类型：增加</w:t>
      </w:r>
    </w:p>
    <w:p>
      <w:pPr>
        <w:keepNext w:val="0"/>
        <w:keepLines w:val="0"/>
        <w:pageBreakBefore w:val="0"/>
        <w:widowControl w:val="0"/>
        <w:pBdr>
          <w:bottom w:val="single" w:color="auto" w:sz="6" w:space="1"/>
        </w:pBdr>
        <w:shd w:val="clear" w:color="auto" w:fill="auto"/>
        <w:wordWrap/>
        <w:topLinePunct w:val="0"/>
        <w:autoSpaceDE/>
        <w:autoSpaceDN/>
        <w:bidi w:val="0"/>
        <w:adjustRightInd w:val="0"/>
        <w:snapToGrid w:val="0"/>
        <w:spacing w:line="360" w:lineRule="auto"/>
        <w:ind w:firstLine="422"/>
        <w:textAlignment w:val="baseline"/>
        <w:rPr>
          <w:rFonts w:hint="eastAsia" w:ascii="宋体" w:hAnsi="宋体" w:eastAsia="宋体" w:cs="宋体"/>
          <w:b w:val="0"/>
          <w:bCs/>
          <w:color w:val="auto"/>
          <w:szCs w:val="21"/>
          <w:highlight w:val="none"/>
        </w:rPr>
      </w:pPr>
      <w:r>
        <w:rPr>
          <w:rFonts w:hint="eastAsia" w:ascii="宋体" w:hAnsi="宋体" w:eastAsia="宋体" w:cs="宋体"/>
          <w:b/>
          <w:bCs w:val="0"/>
          <w:color w:val="auto"/>
          <w:kern w:val="2"/>
          <w:sz w:val="21"/>
          <w:szCs w:val="21"/>
          <w:highlight w:val="none"/>
          <w:lang w:val="en-US" w:eastAsia="zh-CN" w:bidi="ar-SA"/>
        </w:rPr>
        <w:t>现文：</w:t>
      </w:r>
      <w:r>
        <w:rPr>
          <w:rFonts w:hint="eastAsia" w:ascii="宋体" w:hAnsi="宋体" w:eastAsia="宋体" w:cs="宋体"/>
          <w:b w:val="0"/>
          <w:bCs/>
          <w:color w:val="auto"/>
          <w:kern w:val="2"/>
          <w:sz w:val="21"/>
          <w:szCs w:val="21"/>
          <w:highlight w:val="none"/>
          <w:u w:val="single"/>
          <w:lang w:val="en-US" w:eastAsia="zh-CN" w:bidi="ar-SA"/>
        </w:rPr>
        <w:t>11.5请各投标单位在投标系统上传投标文件时，要把资审文件、技术文件、经济文件等内容，分别上传至投标系统内对应的文件夹中，不要上传到定标文件夹中。定标文件夹中只上传定标文件。</w:t>
      </w:r>
      <w:r>
        <w:rPr>
          <w:rFonts w:hint="eastAsia" w:ascii="宋体" w:hAnsi="宋体" w:eastAsia="宋体" w:cs="宋体"/>
          <w:b w:val="0"/>
          <w:bCs/>
          <w:color w:val="auto"/>
          <w:szCs w:val="21"/>
          <w:highlight w:val="none"/>
          <w:u w:val="single"/>
          <w:lang w:val="en-US" w:eastAsia="zh-CN"/>
        </w:rPr>
        <w:t>评标委员会不对定标文件进行评审，因投标人未按招标文件要求提供规定的资料，而未能通过资格审查（或技术标有效性审查或经济标有效性审查）或影响评分的后果由投标人自行承担。</w:t>
      </w:r>
    </w:p>
    <w:p>
      <w:pPr>
        <w:keepNext w:val="0"/>
        <w:keepLines w:val="0"/>
        <w:pageBreakBefore w:val="0"/>
        <w:widowControl w:val="0"/>
        <w:wordWrap/>
        <w:topLinePunct w:val="0"/>
        <w:autoSpaceDE/>
        <w:autoSpaceDN/>
        <w:bidi w:val="0"/>
        <w:snapToGrid w:val="0"/>
        <w:spacing w:line="360" w:lineRule="auto"/>
        <w:ind w:firstLine="472" w:firstLineChars="224"/>
        <w:textAlignment w:val="baseline"/>
        <w:rPr>
          <w:rFonts w:ascii="宋体" w:hAnsi="宋体" w:cs="宋体"/>
          <w:b/>
          <w:color w:val="auto"/>
          <w:szCs w:val="21"/>
          <w:highlight w:val="none"/>
        </w:rPr>
      </w:pPr>
      <w:r>
        <w:rPr>
          <w:rFonts w:hint="eastAsia" w:ascii="宋体" w:hAnsi="宋体" w:cs="宋体"/>
          <w:b/>
          <w:color w:val="auto"/>
          <w:szCs w:val="21"/>
          <w:highlight w:val="none"/>
        </w:rPr>
        <w:t>条款号：12.2                       修改类型：修改</w:t>
      </w:r>
    </w:p>
    <w:p>
      <w:pPr>
        <w:keepNext w:val="0"/>
        <w:keepLines w:val="0"/>
        <w:pageBreakBefore w:val="0"/>
        <w:widowControl w:val="0"/>
        <w:wordWrap/>
        <w:topLinePunct w:val="0"/>
        <w:autoSpaceDE/>
        <w:autoSpaceDN/>
        <w:bidi w:val="0"/>
        <w:snapToGrid w:val="0"/>
        <w:spacing w:line="360" w:lineRule="auto"/>
        <w:ind w:firstLine="472" w:firstLineChars="224"/>
        <w:textAlignment w:val="baseline"/>
        <w:rPr>
          <w:rFonts w:hint="eastAsia" w:ascii="宋体" w:hAnsi="宋体" w:cs="宋体"/>
          <w:bCs/>
          <w:color w:val="auto"/>
          <w:kern w:val="0"/>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12.2</w:t>
      </w:r>
      <w:r>
        <w:rPr>
          <w:rFonts w:hint="eastAsia" w:ascii="宋体" w:hAnsi="宋体" w:cs="宋体"/>
          <w:bCs/>
          <w:color w:val="auto"/>
          <w:kern w:val="0"/>
          <w:szCs w:val="21"/>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rPr>
        <w:t>。</w:t>
      </w:r>
    </w:p>
    <w:p>
      <w:pPr>
        <w:keepNext w:val="0"/>
        <w:keepLines w:val="0"/>
        <w:pageBreakBefore w:val="0"/>
        <w:widowControl w:val="0"/>
        <w:pBdr>
          <w:bottom w:val="single" w:color="auto" w:sz="6" w:space="1"/>
        </w:pBdr>
        <w:wordWrap/>
        <w:topLinePunct w:val="0"/>
        <w:autoSpaceDE/>
        <w:autoSpaceDN/>
        <w:bidi w:val="0"/>
        <w:adjustRightInd w:val="0"/>
        <w:snapToGrid w:val="0"/>
        <w:spacing w:line="360" w:lineRule="auto"/>
        <w:ind w:firstLine="525" w:firstLineChars="250"/>
        <w:textAlignment w:val="baseline"/>
        <w:rPr>
          <w:rFonts w:ascii="宋体" w:hAnsi="宋体" w:cs="宋体"/>
          <w:bCs/>
          <w:color w:val="auto"/>
          <w:szCs w:val="21"/>
          <w:highlight w:val="none"/>
        </w:rPr>
      </w:pPr>
      <w:r>
        <w:rPr>
          <w:rFonts w:hint="eastAsia" w:ascii="宋体" w:hAnsi="宋体" w:cs="宋体"/>
          <w:bCs/>
          <w:color w:val="auto"/>
          <w:szCs w:val="21"/>
          <w:highlight w:val="none"/>
        </w:rPr>
        <w:t>注释：投标文件电子文档需要投标人单位盖章的材料，投标人加盖电子印章即可，不得将投标人未对电子文档加盖实物印章作为否决投标的情形。</w:t>
      </w:r>
    </w:p>
    <w:p>
      <w:pPr>
        <w:keepNext w:val="0"/>
        <w:keepLines w:val="0"/>
        <w:pageBreakBefore w:val="0"/>
        <w:widowControl w:val="0"/>
        <w:pBdr>
          <w:bottom w:val="single" w:color="auto" w:sz="6" w:space="1"/>
        </w:pBdr>
        <w:shd w:val="clear" w:color="auto" w:fill="auto"/>
        <w:wordWrap/>
        <w:topLinePunct w:val="0"/>
        <w:autoSpaceDE/>
        <w:autoSpaceDN/>
        <w:bidi w:val="0"/>
        <w:adjustRightInd w:val="0"/>
        <w:snapToGrid w:val="0"/>
        <w:spacing w:line="360" w:lineRule="auto"/>
        <w:ind w:right="0" w:firstLine="422" w:firstLineChars="200"/>
        <w:textAlignment w:val="baseline"/>
        <w:rPr>
          <w:rFonts w:hint="eastAsia" w:ascii="宋体" w:hAnsi="宋体" w:eastAsia="宋体" w:cs="宋体"/>
          <w:b/>
          <w:color w:val="auto"/>
          <w:szCs w:val="21"/>
          <w:highlight w:val="none"/>
          <w:u w:val="single"/>
        </w:rPr>
      </w:pPr>
      <w:r>
        <w:rPr>
          <w:rFonts w:hint="eastAsia" w:ascii="宋体" w:hAnsi="宋体" w:cs="宋体"/>
          <w:b/>
          <w:color w:val="auto"/>
          <w:szCs w:val="21"/>
          <w:highlight w:val="none"/>
        </w:rPr>
        <w:t>现文：</w:t>
      </w:r>
      <w:r>
        <w:rPr>
          <w:rFonts w:hint="eastAsia" w:ascii="宋体" w:hAnsi="宋体" w:eastAsia="宋体" w:cs="宋体"/>
          <w:color w:val="auto"/>
          <w:szCs w:val="21"/>
          <w:highlight w:val="none"/>
        </w:rPr>
        <w:t>12.2</w:t>
      </w:r>
      <w:r>
        <w:rPr>
          <w:rFonts w:hint="eastAsia" w:ascii="宋体" w:hAnsi="宋体" w:cs="宋体"/>
          <w:b/>
          <w:bCs/>
          <w:color w:val="auto"/>
          <w:szCs w:val="21"/>
          <w:highlight w:val="none"/>
          <w:u w:val="single"/>
        </w:rPr>
        <w:t>投标人应仔细阅读招标文件第四章投标文件格式的相关规定和要求。</w:t>
      </w:r>
      <w:r>
        <w:rPr>
          <w:rFonts w:hint="eastAsia" w:ascii="宋体" w:hAnsi="宋体" w:eastAsia="宋体" w:cs="宋体"/>
          <w:bCs/>
          <w:color w:val="auto"/>
          <w:kern w:val="0"/>
          <w:szCs w:val="21"/>
          <w:highlight w:val="none"/>
        </w:rPr>
        <w:t>投标文件</w:t>
      </w:r>
      <w:r>
        <w:rPr>
          <w:rFonts w:hint="eastAsia" w:ascii="宋体" w:hAnsi="宋体" w:eastAsia="宋体" w:cs="宋体"/>
          <w:b/>
          <w:bCs/>
          <w:color w:val="auto"/>
          <w:szCs w:val="21"/>
          <w:highlight w:val="none"/>
          <w:u w:val="single"/>
        </w:rPr>
        <w:t>（含资格审查文件）</w:t>
      </w:r>
      <w:r>
        <w:rPr>
          <w:rFonts w:hint="eastAsia" w:ascii="宋体" w:hAnsi="宋体" w:eastAsia="宋体" w:cs="宋体"/>
          <w:bCs/>
          <w:color w:val="auto"/>
          <w:kern w:val="0"/>
          <w:szCs w:val="21"/>
          <w:highlight w:val="none"/>
        </w:rPr>
        <w:t>全部采用电子文档，投标文件</w:t>
      </w:r>
      <w:r>
        <w:rPr>
          <w:rFonts w:hint="eastAsia" w:ascii="宋体" w:hAnsi="宋体" w:eastAsia="宋体" w:cs="宋体"/>
          <w:b/>
          <w:bCs/>
          <w:color w:val="auto"/>
          <w:szCs w:val="21"/>
          <w:highlight w:val="none"/>
          <w:u w:val="single"/>
        </w:rPr>
        <w:t>（含资格审查文件）</w:t>
      </w:r>
      <w:r>
        <w:rPr>
          <w:rFonts w:hint="eastAsia" w:ascii="宋体" w:hAnsi="宋体" w:eastAsia="宋体" w:cs="宋体"/>
          <w:bCs/>
          <w:color w:val="auto"/>
          <w:kern w:val="0"/>
          <w:szCs w:val="21"/>
          <w:highlight w:val="none"/>
        </w:rPr>
        <w:t>所附证书证件均为扫描件，并采用单位数字证书，</w:t>
      </w:r>
      <w:r>
        <w:rPr>
          <w:rFonts w:hint="eastAsia" w:ascii="宋体" w:hAnsi="宋体" w:eastAsia="宋体" w:cs="宋体"/>
          <w:b/>
          <w:bCs w:val="0"/>
          <w:color w:val="auto"/>
          <w:kern w:val="0"/>
          <w:szCs w:val="21"/>
          <w:highlight w:val="none"/>
          <w:u w:val="single"/>
        </w:rPr>
        <w:t>对投标文件</w:t>
      </w:r>
      <w:r>
        <w:rPr>
          <w:rFonts w:hint="eastAsia" w:ascii="宋体" w:hAnsi="宋体" w:eastAsia="宋体" w:cs="宋体"/>
          <w:bCs/>
          <w:color w:val="auto"/>
          <w:kern w:val="0"/>
          <w:szCs w:val="21"/>
          <w:highlight w:val="none"/>
        </w:rPr>
        <w:t>加盖电子印章。投标文件</w:t>
      </w:r>
      <w:r>
        <w:rPr>
          <w:rFonts w:hint="eastAsia" w:ascii="宋体" w:hAnsi="宋体" w:eastAsia="宋体" w:cs="宋体"/>
          <w:b/>
          <w:bCs/>
          <w:color w:val="auto"/>
          <w:szCs w:val="21"/>
          <w:highlight w:val="none"/>
          <w:u w:val="single"/>
        </w:rPr>
        <w:t>（含资格审查文件）</w:t>
      </w:r>
      <w:r>
        <w:rPr>
          <w:rFonts w:hint="eastAsia" w:ascii="宋体" w:hAnsi="宋体" w:eastAsia="宋体" w:cs="宋体"/>
          <w:bCs/>
          <w:color w:val="auto"/>
          <w:kern w:val="0"/>
          <w:szCs w:val="21"/>
          <w:highlight w:val="none"/>
        </w:rPr>
        <w:t>中需个人签字或盖章的，</w:t>
      </w:r>
      <w:r>
        <w:rPr>
          <w:rFonts w:hint="eastAsia" w:ascii="宋体" w:hAnsi="宋体" w:eastAsia="宋体" w:cs="宋体"/>
          <w:color w:val="auto"/>
          <w:kern w:val="0"/>
          <w:szCs w:val="21"/>
          <w:highlight w:val="none"/>
        </w:rPr>
        <w:t>应加盖个人电子印章或在线下完成后</w:t>
      </w:r>
      <w:r>
        <w:rPr>
          <w:rFonts w:hint="eastAsia" w:ascii="宋体" w:hAnsi="宋体" w:eastAsia="宋体" w:cs="宋体"/>
          <w:color w:val="auto"/>
          <w:kern w:val="0"/>
          <w:szCs w:val="21"/>
          <w:highlight w:val="none"/>
          <w:u w:val="single"/>
        </w:rPr>
        <w:t>原件</w:t>
      </w:r>
      <w:r>
        <w:rPr>
          <w:rFonts w:hint="eastAsia" w:ascii="宋体" w:hAnsi="宋体" w:eastAsia="宋体" w:cs="宋体"/>
          <w:color w:val="auto"/>
          <w:kern w:val="0"/>
          <w:szCs w:val="21"/>
          <w:highlight w:val="none"/>
        </w:rPr>
        <w:t>扫描上传。</w:t>
      </w:r>
      <w:r>
        <w:rPr>
          <w:rFonts w:hint="eastAsia" w:ascii="宋体" w:hAnsi="宋体" w:eastAsia="宋体" w:cs="宋体"/>
          <w:color w:val="auto"/>
          <w:szCs w:val="21"/>
          <w:highlight w:val="none"/>
        </w:rPr>
        <w:t>按照</w:t>
      </w:r>
      <w:r>
        <w:rPr>
          <w:rFonts w:hint="eastAsia" w:ascii="宋体" w:hAnsi="宋体" w:eastAsia="宋体" w:cs="宋体"/>
          <w:b/>
          <w:bCs/>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交易平台关于全流程电子化项目的相关指南进行操作。详见：</w:t>
      </w:r>
      <w:r>
        <w:rPr>
          <w:rFonts w:hint="eastAsia" w:ascii="宋体" w:hAnsi="宋体" w:eastAsia="宋体" w:cs="宋体"/>
          <w:b/>
          <w:bCs/>
          <w:color w:val="auto"/>
          <w:szCs w:val="21"/>
          <w:highlight w:val="none"/>
          <w:u w:val="single"/>
        </w:rPr>
        <w:t>广州交易集团有限公司（广州公共资源交易中心）网站最新指引</w:t>
      </w:r>
      <w:r>
        <w:rPr>
          <w:rFonts w:hint="eastAsia" w:ascii="宋体" w:hAnsi="宋体" w:eastAsia="宋体" w:cs="宋体"/>
          <w:b/>
          <w:bCs/>
          <w:color w:val="auto"/>
          <w:szCs w:val="21"/>
          <w:highlight w:val="none"/>
        </w:rPr>
        <w:t>。</w:t>
      </w:r>
      <w:r>
        <w:rPr>
          <w:rFonts w:hint="eastAsia" w:ascii="宋体" w:hAnsi="宋体" w:eastAsia="宋体" w:cs="宋体"/>
          <w:b/>
          <w:color w:val="auto"/>
          <w:szCs w:val="21"/>
          <w:highlight w:val="none"/>
          <w:u w:val="single"/>
        </w:rPr>
        <w:t>如联合体投标，投标文件中的“投标人”、“投标单位”、“承诺企业”应填写联合体各成员的单位全称“（主）***公司（成）***公司”。除投标文件中的联合体工作协议、投标人声明需联合体各方按格式要求盖章或签字外，其他资料均由主办方盖章或签字即可。</w:t>
      </w:r>
    </w:p>
    <w:p>
      <w:pPr>
        <w:keepNext w:val="0"/>
        <w:keepLines w:val="0"/>
        <w:pageBreakBefore w:val="0"/>
        <w:widowControl w:val="0"/>
        <w:pBdr>
          <w:bottom w:val="single" w:color="auto" w:sz="6" w:space="1"/>
        </w:pBdr>
        <w:shd w:val="clear" w:color="auto" w:fill="auto"/>
        <w:wordWrap/>
        <w:topLinePunct w:val="0"/>
        <w:autoSpaceDE/>
        <w:autoSpaceDN/>
        <w:bidi w:val="0"/>
        <w:adjustRightInd w:val="0"/>
        <w:snapToGrid w:val="0"/>
        <w:spacing w:line="360" w:lineRule="auto"/>
        <w:ind w:firstLine="420" w:firstLineChars="200"/>
        <w:textAlignment w:val="baseline"/>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注释：投标文件电子文档需要投标人单位盖章的材料，投标人加盖电子印章即可，不得将投标人未对电子文档加盖实物印章作为否决投标的情形。</w:t>
      </w:r>
    </w:p>
    <w:p>
      <w:pPr>
        <w:keepNext w:val="0"/>
        <w:keepLines w:val="0"/>
        <w:pageBreakBefore w:val="0"/>
        <w:widowControl w:val="0"/>
        <w:wordWrap/>
        <w:topLinePunct w:val="0"/>
        <w:autoSpaceDE/>
        <w:autoSpaceDN/>
        <w:bidi w:val="0"/>
        <w:snapToGrid w:val="0"/>
        <w:spacing w:line="360" w:lineRule="auto"/>
        <w:ind w:firstLine="472" w:firstLineChars="224"/>
        <w:textAlignment w:val="baseline"/>
        <w:rPr>
          <w:rFonts w:ascii="宋体" w:hAnsi="宋体" w:cs="宋体"/>
          <w:b/>
          <w:color w:val="auto"/>
          <w:szCs w:val="21"/>
          <w:highlight w:val="none"/>
        </w:rPr>
      </w:pPr>
      <w:r>
        <w:rPr>
          <w:rFonts w:hint="eastAsia" w:ascii="宋体" w:hAnsi="宋体" w:cs="宋体"/>
          <w:b/>
          <w:color w:val="auto"/>
          <w:szCs w:val="21"/>
          <w:highlight w:val="none"/>
        </w:rPr>
        <w:t>条款号：12.3                       修改类型：修改</w:t>
      </w:r>
    </w:p>
    <w:p>
      <w:pPr>
        <w:keepNext w:val="0"/>
        <w:keepLines w:val="0"/>
        <w:pageBreakBefore w:val="0"/>
        <w:widowControl w:val="0"/>
        <w:wordWrap/>
        <w:topLinePunct w:val="0"/>
        <w:autoSpaceDE/>
        <w:autoSpaceDN/>
        <w:bidi w:val="0"/>
        <w:adjustRightInd w:val="0"/>
        <w:snapToGrid w:val="0"/>
        <w:spacing w:line="360" w:lineRule="auto"/>
        <w:ind w:firstLine="422" w:firstLineChars="200"/>
        <w:textAlignment w:val="baseline"/>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 xml:space="preserve">12.3 </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照交易平台关于全流程电子化项目的相关指南进行编制，详见：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keepNext w:val="0"/>
        <w:keepLines w:val="0"/>
        <w:pageBreakBefore w:val="0"/>
        <w:widowControl w:val="0"/>
        <w:wordWrap/>
        <w:topLinePunct w:val="0"/>
        <w:autoSpaceDE/>
        <w:autoSpaceDN/>
        <w:bidi w:val="0"/>
        <w:snapToGrid w:val="0"/>
        <w:spacing w:line="360" w:lineRule="auto"/>
        <w:ind w:firstLine="470" w:firstLineChars="224"/>
        <w:textAlignment w:val="baseline"/>
        <w:rPr>
          <w:rFonts w:ascii="宋体" w:hAnsi="宋体" w:cs="宋体"/>
          <w:b/>
          <w:color w:val="auto"/>
          <w:szCs w:val="21"/>
          <w:highlight w:val="none"/>
        </w:rPr>
      </w:pPr>
      <w:r>
        <w:rPr>
          <w:rFonts w:hint="eastAsia" w:hAnsi="宋体" w:cs="宋体"/>
          <w:bCs/>
          <w:color w:val="auto"/>
          <w:szCs w:val="21"/>
          <w:highlight w:val="none"/>
        </w:rPr>
        <w:t>如不按上述要求编制引起系统无法检索、读取相关信息的，其后果由投标人承担。</w:t>
      </w:r>
    </w:p>
    <w:p>
      <w:pPr>
        <w:keepNext w:val="0"/>
        <w:keepLines w:val="0"/>
        <w:pageBreakBefore w:val="0"/>
        <w:widowControl w:val="0"/>
        <w:pBdr>
          <w:bottom w:val="single" w:color="auto" w:sz="6" w:space="1"/>
        </w:pBdr>
        <w:wordWrap/>
        <w:topLinePunct w:val="0"/>
        <w:autoSpaceDE/>
        <w:autoSpaceDN/>
        <w:bidi w:val="0"/>
        <w:adjustRightInd w:val="0"/>
        <w:snapToGrid w:val="0"/>
        <w:spacing w:line="360" w:lineRule="auto"/>
        <w:ind w:firstLine="422" w:firstLineChars="200"/>
        <w:textAlignment w:val="baseline"/>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12.3</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w:t>
      </w:r>
      <w:r>
        <w:rPr>
          <w:rFonts w:hint="eastAsia" w:ascii="宋体" w:hAnsi="宋体" w:cs="宋体"/>
          <w:bCs/>
          <w:color w:val="auto"/>
          <w:szCs w:val="21"/>
          <w:highlight w:val="none"/>
          <w:u w:val="single"/>
        </w:rPr>
        <w:t>广州交易集团有限公司（广州公共资源交易中心）</w:t>
      </w:r>
      <w:r>
        <w:rPr>
          <w:rFonts w:hint="eastAsia" w:ascii="宋体" w:hAnsi="宋体" w:cs="宋体"/>
          <w:color w:val="auto"/>
          <w:szCs w:val="21"/>
          <w:highlight w:val="none"/>
        </w:rPr>
        <w:t>交易平台关于全流程电子化项目的相关指南进行编制，详见：</w:t>
      </w:r>
      <w:r>
        <w:rPr>
          <w:rFonts w:hint="eastAsia" w:ascii="宋体" w:hAnsi="宋体" w:cs="宋体"/>
          <w:bCs/>
          <w:color w:val="auto"/>
          <w:szCs w:val="21"/>
          <w:highlight w:val="none"/>
          <w:u w:val="single"/>
        </w:rPr>
        <w:t>广州交易集团有限公司（广州公共资源交易中心）网站最新指引</w:t>
      </w:r>
      <w:r>
        <w:rPr>
          <w:rFonts w:hint="eastAsia" w:ascii="宋体" w:hAnsi="宋体" w:cs="宋体"/>
          <w:color w:val="auto"/>
          <w:szCs w:val="21"/>
          <w:highlight w:val="none"/>
          <w:u w:val="single"/>
        </w:rPr>
        <w:t>。</w:t>
      </w:r>
    </w:p>
    <w:p>
      <w:pPr>
        <w:keepNext w:val="0"/>
        <w:keepLines w:val="0"/>
        <w:pageBreakBefore w:val="0"/>
        <w:widowControl w:val="0"/>
        <w:pBdr>
          <w:bottom w:val="single" w:color="auto" w:sz="6" w:space="1"/>
        </w:pBdr>
        <w:wordWrap/>
        <w:topLinePunct w:val="0"/>
        <w:autoSpaceDE/>
        <w:autoSpaceDN/>
        <w:bidi w:val="0"/>
        <w:adjustRightInd w:val="0"/>
        <w:snapToGrid w:val="0"/>
        <w:spacing w:line="360" w:lineRule="auto"/>
        <w:ind w:firstLine="420" w:firstLineChars="200"/>
        <w:textAlignment w:val="baseline"/>
        <w:rPr>
          <w:rFonts w:ascii="宋体" w:hAnsi="宋体" w:cs="宋体"/>
          <w:b/>
          <w:color w:val="auto"/>
          <w:szCs w:val="21"/>
          <w:highlight w:val="none"/>
        </w:rPr>
      </w:pPr>
      <w:r>
        <w:rPr>
          <w:rFonts w:hint="eastAsia" w:ascii="宋体" w:hAnsi="宋体" w:cs="宋体"/>
          <w:bCs/>
          <w:color w:val="auto"/>
          <w:szCs w:val="21"/>
          <w:highlight w:val="none"/>
        </w:rPr>
        <w:t>如不按上述要求编制引起系统无法检索、读取相关信息的，其后果由投标人承担</w:t>
      </w:r>
      <w:r>
        <w:rPr>
          <w:rFonts w:hint="eastAsia" w:ascii="宋体" w:hAnsi="宋体" w:cs="宋体"/>
          <w:color w:val="auto"/>
          <w:szCs w:val="21"/>
          <w:highlight w:val="none"/>
        </w:rPr>
        <w:t>。</w:t>
      </w:r>
    </w:p>
    <w:p>
      <w:pPr>
        <w:keepNext w:val="0"/>
        <w:keepLines w:val="0"/>
        <w:pageBreakBefore w:val="0"/>
        <w:widowControl w:val="0"/>
        <w:wordWrap/>
        <w:topLinePunct w:val="0"/>
        <w:autoSpaceDE/>
        <w:autoSpaceDN/>
        <w:bidi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条款号：13.1                        修改类型：修改</w:t>
      </w:r>
    </w:p>
    <w:p>
      <w:pPr>
        <w:keepNext w:val="0"/>
        <w:keepLines w:val="0"/>
        <w:pageBreakBefore w:val="0"/>
        <w:widowControl w:val="0"/>
        <w:pBdr>
          <w:bottom w:val="single" w:color="auto" w:sz="6" w:space="1"/>
        </w:pBdr>
        <w:wordWrap/>
        <w:topLinePunct w:val="0"/>
        <w:autoSpaceDE/>
        <w:autoSpaceDN/>
        <w:bidi w:val="0"/>
        <w:snapToGrid w:val="0"/>
        <w:spacing w:line="360" w:lineRule="auto"/>
        <w:ind w:firstLine="472" w:firstLineChars="224"/>
        <w:rPr>
          <w:rFonts w:ascii="宋体" w:hAnsi="宋体" w:cs="宋体"/>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13.1本工程的投标报价采用投标须知前附表第12项所规定的方式。投标报价（含单价及总价）精确到“分”。</w:t>
      </w:r>
    </w:p>
    <w:p>
      <w:pPr>
        <w:keepNext w:val="0"/>
        <w:keepLines w:val="0"/>
        <w:pageBreakBefore w:val="0"/>
        <w:widowControl w:val="0"/>
        <w:pBdr>
          <w:bottom w:val="single" w:color="auto" w:sz="6" w:space="1"/>
        </w:pBdr>
        <w:wordWrap/>
        <w:topLinePunct w:val="0"/>
        <w:autoSpaceDE/>
        <w:autoSpaceDN/>
        <w:bidi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13.1 本工程的投标报价采用投标须知前附表第</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项所规定的方式。</w:t>
      </w:r>
      <w:r>
        <w:rPr>
          <w:rFonts w:hint="eastAsia" w:ascii="宋体" w:hAnsi="宋体" w:cs="宋体"/>
          <w:b/>
          <w:bCs/>
          <w:color w:val="auto"/>
          <w:szCs w:val="21"/>
          <w:highlight w:val="none"/>
          <w:u w:val="single"/>
        </w:rPr>
        <w:t>投标文件中的大写金额和小写金额不一致的，以大写金额为准。</w:t>
      </w:r>
      <w:r>
        <w:rPr>
          <w:rFonts w:hint="eastAsia" w:ascii="宋体" w:hAnsi="宋体" w:cs="宋体"/>
          <w:color w:val="auto"/>
          <w:szCs w:val="21"/>
          <w:highlight w:val="none"/>
        </w:rPr>
        <w:t>投标报价（含单价及总价）精确到“分”。</w:t>
      </w:r>
    </w:p>
    <w:p>
      <w:pPr>
        <w:keepNext w:val="0"/>
        <w:keepLines w:val="0"/>
        <w:pageBreakBefore w:val="0"/>
        <w:widowControl w:val="0"/>
        <w:wordWrap/>
        <w:topLinePunct w:val="0"/>
        <w:autoSpaceDE/>
        <w:autoSpaceDN/>
        <w:bidi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条款号：13.3                        修改类型：修改</w:t>
      </w:r>
    </w:p>
    <w:p>
      <w:pPr>
        <w:keepNext w:val="0"/>
        <w:keepLines w:val="0"/>
        <w:pageBreakBefore w:val="0"/>
        <w:widowControl w:val="0"/>
        <w:wordWrap/>
        <w:topLinePunct w:val="0"/>
        <w:autoSpaceDE/>
        <w:autoSpaceDN/>
        <w:bidi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keepNext w:val="0"/>
        <w:keepLines w:val="0"/>
        <w:pageBreakBefore w:val="0"/>
        <w:widowControl w:val="0"/>
        <w:pBdr>
          <w:bottom w:val="single" w:color="auto" w:sz="6" w:space="1"/>
        </w:pBdr>
        <w:wordWrap/>
        <w:topLinePunct w:val="0"/>
        <w:autoSpaceDE/>
        <w:autoSpaceDN/>
        <w:bidi w:val="0"/>
        <w:snapToGrid w:val="0"/>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13.3投标人的投标报价，应是按照投标须知前附表第8项的工期要求，在投标须知前附表第3项的建设地点，完成投标须知前附表第7项的招标范围内已由招标人</w:t>
      </w:r>
      <w:r>
        <w:rPr>
          <w:rFonts w:hint="eastAsia" w:ascii="宋体" w:hAnsi="宋体" w:cs="宋体"/>
          <w:b/>
          <w:bCs/>
          <w:color w:val="auto"/>
          <w:szCs w:val="21"/>
          <w:highlight w:val="none"/>
          <w:u w:val="single"/>
        </w:rPr>
        <w:t>提供的招标图纸（包括有关于本项目招标的相关资料）</w:t>
      </w:r>
      <w:r>
        <w:rPr>
          <w:rFonts w:hint="eastAsia" w:ascii="宋体" w:hAnsi="宋体" w:cs="宋体"/>
          <w:color w:val="auto"/>
          <w:szCs w:val="21"/>
          <w:highlight w:val="none"/>
          <w:u w:val="single"/>
        </w:rPr>
        <w:t>及</w:t>
      </w:r>
      <w:r>
        <w:rPr>
          <w:rFonts w:hint="eastAsia" w:ascii="宋体" w:hAnsi="宋体" w:cs="宋体"/>
          <w:color w:val="auto"/>
          <w:szCs w:val="21"/>
          <w:highlight w:val="none"/>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w:t>
      </w:r>
      <w:r>
        <w:rPr>
          <w:rFonts w:hint="eastAsia" w:ascii="宋体" w:hAnsi="宋体" w:eastAsia="宋体" w:cs="宋体"/>
          <w:color w:val="auto"/>
          <w:szCs w:val="21"/>
          <w:highlight w:val="none"/>
        </w:rPr>
        <w:t>绿色施工安全防护措施费</w:t>
      </w:r>
      <w:r>
        <w:rPr>
          <w:rFonts w:hint="eastAsia" w:ascii="宋体" w:hAnsi="宋体" w:cs="宋体"/>
          <w:color w:val="auto"/>
          <w:szCs w:val="21"/>
          <w:highlight w:val="none"/>
        </w:rPr>
        <w:t>等非竞争性项目明列了单价或合价的金额的，投标人应按照明列的单价或合价的金额报价，未按照规定金额报价的，由评标委员会按照招标文件规定的金额进行修正。</w:t>
      </w:r>
    </w:p>
    <w:p>
      <w:pPr>
        <w:keepNext w:val="0"/>
        <w:keepLines w:val="0"/>
        <w:pageBreakBefore w:val="0"/>
        <w:widowControl w:val="0"/>
        <w:wordWrap/>
        <w:topLinePunct w:val="0"/>
        <w:autoSpaceDE/>
        <w:autoSpaceDN/>
        <w:bidi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条款号：13.4                         修改类型：修改</w:t>
      </w:r>
    </w:p>
    <w:p>
      <w:pPr>
        <w:pStyle w:val="28"/>
        <w:keepNext w:val="0"/>
        <w:keepLines w:val="0"/>
        <w:pageBreakBefore w:val="0"/>
        <w:widowControl w:val="0"/>
        <w:wordWrap/>
        <w:topLinePunct w:val="0"/>
        <w:autoSpaceDE/>
        <w:autoSpaceDN/>
        <w:bidi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keepNext w:val="0"/>
        <w:keepLines w:val="0"/>
        <w:pageBreakBefore w:val="0"/>
        <w:widowControl w:val="0"/>
        <w:pBdr>
          <w:bottom w:val="single" w:color="auto" w:sz="6" w:space="1"/>
        </w:pBdr>
        <w:wordWrap/>
        <w:topLinePunct w:val="0"/>
        <w:autoSpaceDE/>
        <w:autoSpaceDN/>
        <w:bidi w:val="0"/>
        <w:snapToGrid w:val="0"/>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13.4投标人一旦中标，投标人对招标人提供的招标工程量清单中列出的工程项目所报出的综合单价</w:t>
      </w:r>
      <w:r>
        <w:rPr>
          <w:rFonts w:hint="eastAsia" w:ascii="宋体" w:hAnsi="宋体" w:cs="宋体"/>
          <w:b/>
          <w:bCs/>
          <w:color w:val="auto"/>
          <w:szCs w:val="21"/>
          <w:highlight w:val="none"/>
          <w:u w:val="single"/>
        </w:rPr>
        <w:t>和措施项目费（措施项目费必须单列，没有单独列出的，视为已经包含在投标报价中），在工程结算时，按招标文件第三章合同条款相关约定调整。</w:t>
      </w:r>
    </w:p>
    <w:p>
      <w:pPr>
        <w:keepNext w:val="0"/>
        <w:keepLines w:val="0"/>
        <w:pageBreakBefore w:val="0"/>
        <w:widowControl w:val="0"/>
        <w:wordWrap/>
        <w:topLinePunct w:val="0"/>
        <w:autoSpaceDE/>
        <w:autoSpaceDN/>
        <w:bidi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条款号：13.5                         修改类型：修改</w:t>
      </w:r>
    </w:p>
    <w:p>
      <w:pPr>
        <w:pStyle w:val="28"/>
        <w:keepNext w:val="0"/>
        <w:keepLines w:val="0"/>
        <w:pageBreakBefore w:val="0"/>
        <w:widowControl w:val="0"/>
        <w:wordWrap/>
        <w:topLinePunct w:val="0"/>
        <w:autoSpaceDE/>
        <w:autoSpaceDN/>
        <w:bidi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pStyle w:val="28"/>
        <w:keepNext w:val="0"/>
        <w:keepLines w:val="0"/>
        <w:pageBreakBefore w:val="0"/>
        <w:widowControl w:val="0"/>
        <w:wordWrap/>
        <w:topLinePunct w:val="0"/>
        <w:autoSpaceDE/>
        <w:autoSpaceDN/>
        <w:bidi w:val="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13.5.1中标的投标文件工程量清单中已有相同项目的适用综合单价，则沿用；</w:t>
      </w:r>
    </w:p>
    <w:p>
      <w:pPr>
        <w:pStyle w:val="28"/>
        <w:keepNext w:val="0"/>
        <w:keepLines w:val="0"/>
        <w:pageBreakBefore w:val="0"/>
        <w:widowControl w:val="0"/>
        <w:wordWrap/>
        <w:topLinePunct w:val="0"/>
        <w:autoSpaceDE/>
        <w:autoSpaceDN/>
        <w:bidi w:val="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28"/>
        <w:keepNext w:val="0"/>
        <w:keepLines w:val="0"/>
        <w:pageBreakBefore w:val="0"/>
        <w:widowControl w:val="0"/>
        <w:wordWrap/>
        <w:topLinePunct w:val="0"/>
        <w:autoSpaceDE/>
        <w:autoSpaceDN/>
        <w:bidi w:val="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pPr>
        <w:keepNext w:val="0"/>
        <w:keepLines w:val="0"/>
        <w:pageBreakBefore w:val="0"/>
        <w:widowControl w:val="0"/>
        <w:wordWrap/>
        <w:topLinePunct w:val="0"/>
        <w:autoSpaceDE/>
        <w:autoSpaceDN/>
        <w:bidi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13.5.4 如相关定额没有相应子目的，其计价方式由招标人在本招标文件第三章中另行规定。未规定的，中标后双方协商约定。</w:t>
      </w:r>
    </w:p>
    <w:p>
      <w:pPr>
        <w:keepNext w:val="0"/>
        <w:keepLines w:val="0"/>
        <w:pageBreakBefore w:val="0"/>
        <w:widowControl w:val="0"/>
        <w:wordWrap/>
        <w:topLinePunct w:val="0"/>
        <w:autoSpaceDE/>
        <w:autoSpaceDN/>
        <w:bidi w:val="0"/>
        <w:snapToGrid w:val="0"/>
        <w:spacing w:line="360" w:lineRule="auto"/>
        <w:ind w:firstLine="413" w:firstLineChars="196"/>
        <w:rPr>
          <w:rFonts w:ascii="宋体" w:hAnsi="宋体" w:cs="宋体"/>
          <w:b/>
          <w:bCs/>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13.5</w:t>
      </w:r>
      <w:r>
        <w:rPr>
          <w:rFonts w:hint="eastAsia" w:ascii="宋体" w:hAnsi="宋体" w:cs="宋体"/>
          <w:b/>
          <w:bCs/>
          <w:color w:val="auto"/>
          <w:szCs w:val="21"/>
          <w:highlight w:val="none"/>
          <w:u w:val="single"/>
        </w:rPr>
        <w:t>工程项目实施期间和结算时，根据招标图纸及工程量清单计价规范在招标文件工程量清单中漏列而由监理单位和招标人现场签证确认的实体工程项目、原设计没有而由招标人批准设计变更产生的实体工程项目，视为新增项目，按合同专用条款相关约定确定价格。</w:t>
      </w:r>
    </w:p>
    <w:p>
      <w:pPr>
        <w:keepNext w:val="0"/>
        <w:keepLines w:val="0"/>
        <w:pageBreakBefore w:val="0"/>
        <w:widowControl w:val="0"/>
        <w:pBdr>
          <w:top w:val="single" w:color="auto" w:sz="4" w:space="1"/>
        </w:pBdr>
        <w:wordWrap/>
        <w:topLinePunct w:val="0"/>
        <w:autoSpaceDE/>
        <w:autoSpaceDN/>
        <w:bidi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条款号：13.6.2                      修改类型：修改</w:t>
      </w:r>
    </w:p>
    <w:p>
      <w:pPr>
        <w:keepNext w:val="0"/>
        <w:keepLines w:val="0"/>
        <w:pageBreakBefore w:val="0"/>
        <w:widowControl w:val="0"/>
        <w:wordWrap/>
        <w:topLinePunct w:val="0"/>
        <w:autoSpaceDE/>
        <w:autoSpaceDN/>
        <w:bidi w:val="0"/>
        <w:snapToGrid w:val="0"/>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keepNext w:val="0"/>
        <w:keepLines w:val="0"/>
        <w:pageBreakBefore w:val="0"/>
        <w:widowControl w:val="0"/>
        <w:pBdr>
          <w:bottom w:val="single" w:color="auto" w:sz="6" w:space="1"/>
        </w:pBdr>
        <w:wordWrap/>
        <w:topLinePunct w:val="0"/>
        <w:autoSpaceDE/>
        <w:autoSpaceDN/>
        <w:bidi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13.6.2在工程实施中，暂列金额、暂估价所包含的工作范围和图纸、标准深化固定后，按照工程专业、设备、材料类别等分类汇总的金额，达到法定招标范围标准的</w:t>
      </w:r>
      <w:r>
        <w:rPr>
          <w:rFonts w:hint="eastAsia" w:ascii="宋体" w:hAnsi="宋体" w:cs="宋体"/>
          <w:b/>
          <w:bCs/>
          <w:color w:val="auto"/>
          <w:szCs w:val="21"/>
          <w:highlight w:val="none"/>
          <w:u w:val="single"/>
        </w:rPr>
        <w:t>应由招标人招标确定承包人和承包价格。</w:t>
      </w:r>
    </w:p>
    <w:p>
      <w:pPr>
        <w:keepNext w:val="0"/>
        <w:keepLines w:val="0"/>
        <w:pageBreakBefore w:val="0"/>
        <w:widowControl w:val="0"/>
        <w:wordWrap/>
        <w:topLinePunct w:val="0"/>
        <w:autoSpaceDE/>
        <w:autoSpaceDN/>
        <w:bidi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条款号：13.6.4                      修改类型：修改</w:t>
      </w:r>
    </w:p>
    <w:p>
      <w:pPr>
        <w:keepNext w:val="0"/>
        <w:keepLines w:val="0"/>
        <w:pageBreakBefore w:val="0"/>
        <w:widowControl w:val="0"/>
        <w:wordWrap/>
        <w:topLinePunct w:val="0"/>
        <w:autoSpaceDE/>
        <w:autoSpaceDN/>
        <w:bidi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28"/>
        <w:keepNext w:val="0"/>
        <w:keepLines w:val="0"/>
        <w:pageBreakBefore w:val="0"/>
        <w:widowControl w:val="0"/>
        <w:pBdr>
          <w:bottom w:val="single" w:color="auto" w:sz="6" w:space="1"/>
        </w:pBdr>
        <w:wordWrap/>
        <w:topLinePunct w:val="0"/>
        <w:autoSpaceDE/>
        <w:autoSpaceDN/>
        <w:bidi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13.6.4在工程实施中，暂列金额、暂估价所包含的工作范围和图纸、标准深化固定后，按照工程专业、设备、材料类别等分类汇总的金额，未达到法定招标范围标准也不适用政府采购规定，</w:t>
      </w:r>
      <w:r>
        <w:rPr>
          <w:rFonts w:hint="eastAsia" w:ascii="宋体" w:hAnsi="宋体" w:cs="宋体"/>
          <w:b/>
          <w:bCs/>
          <w:color w:val="auto"/>
          <w:sz w:val="21"/>
          <w:szCs w:val="21"/>
          <w:highlight w:val="none"/>
          <w:u w:val="single"/>
        </w:rPr>
        <w:t>经发包人同意，</w:t>
      </w:r>
      <w:r>
        <w:rPr>
          <w:rFonts w:hint="eastAsia" w:ascii="宋体" w:hAnsi="宋体" w:cs="宋体"/>
          <w:color w:val="auto"/>
          <w:sz w:val="21"/>
          <w:szCs w:val="21"/>
          <w:highlight w:val="none"/>
        </w:rPr>
        <w:t>承包人有法定的承包资格的，由承包人承包，承包人无法定的承包资格但有法定的分包权的，由承包人分包，招标人同承包人结算的价格按本投标须知13.5款规定确定。</w:t>
      </w:r>
    </w:p>
    <w:p>
      <w:pPr>
        <w:keepNext w:val="0"/>
        <w:keepLines w:val="0"/>
        <w:pageBreakBefore w:val="0"/>
        <w:widowControl w:val="0"/>
        <w:wordWrap/>
        <w:topLinePunct w:val="0"/>
        <w:autoSpaceDE/>
        <w:autoSpaceDN/>
        <w:bidi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条款号：13.8                         修改类型：修改</w:t>
      </w:r>
    </w:p>
    <w:p>
      <w:pPr>
        <w:pStyle w:val="28"/>
        <w:keepNext w:val="0"/>
        <w:keepLines w:val="0"/>
        <w:pageBreakBefore w:val="0"/>
        <w:widowControl w:val="0"/>
        <w:wordWrap/>
        <w:topLinePunct w:val="0"/>
        <w:autoSpaceDE/>
        <w:autoSpaceDN/>
        <w:bidi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keepNext w:val="0"/>
        <w:keepLines w:val="0"/>
        <w:pageBreakBefore w:val="0"/>
        <w:widowControl w:val="0"/>
        <w:pBdr>
          <w:bottom w:val="single" w:color="auto" w:sz="4" w:space="0"/>
        </w:pBdr>
        <w:wordWrap/>
        <w:topLinePunct w:val="0"/>
        <w:autoSpaceDE/>
        <w:autoSpaceDN/>
        <w:bidi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13.8</w:t>
      </w:r>
      <w:r>
        <w:rPr>
          <w:rFonts w:hint="eastAsia" w:ascii="宋体" w:hAnsi="宋体" w:cs="宋体"/>
          <w:b/>
          <w:bCs/>
          <w:color w:val="auto"/>
          <w:szCs w:val="21"/>
          <w:highlight w:val="none"/>
          <w:u w:val="single"/>
        </w:rPr>
        <w:t>投标期间，投标人不需在投标文件中明确所选用主要材料、设备的品牌、厂家以及质量等级。实施期间，所有材料品牌选择均须报业主、监理工程师确认，所有材料及成品质量必须满足设计与规范要求，且经检验合格后方可使用。</w:t>
      </w:r>
    </w:p>
    <w:p>
      <w:pPr>
        <w:keepNext w:val="0"/>
        <w:keepLines w:val="0"/>
        <w:pageBreakBefore w:val="0"/>
        <w:widowControl w:val="0"/>
        <w:wordWrap/>
        <w:topLinePunct w:val="0"/>
        <w:autoSpaceDE/>
        <w:autoSpaceDN/>
        <w:bidi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条款号：13.10                        修改类型：增加</w:t>
      </w:r>
    </w:p>
    <w:p>
      <w:pPr>
        <w:keepNext w:val="0"/>
        <w:keepLines w:val="0"/>
        <w:pageBreakBefore w:val="0"/>
        <w:widowControl w:val="0"/>
        <w:wordWrap/>
        <w:topLinePunct w:val="0"/>
        <w:autoSpaceDE/>
        <w:autoSpaceDN/>
        <w:bidi w:val="0"/>
        <w:snapToGrid w:val="0"/>
        <w:spacing w:line="360" w:lineRule="auto"/>
        <w:ind w:firstLine="413" w:firstLineChars="196"/>
        <w:rPr>
          <w:rFonts w:ascii="宋体" w:hAnsi="宋体" w:cs="宋体"/>
          <w:b w:val="0"/>
          <w:bCs/>
          <w:color w:val="auto"/>
          <w:szCs w:val="21"/>
          <w:highlight w:val="none"/>
          <w:u w:val="single"/>
        </w:rPr>
      </w:pPr>
      <w:r>
        <w:rPr>
          <w:rFonts w:hint="eastAsia" w:ascii="宋体" w:hAnsi="宋体" w:cs="宋体"/>
          <w:b/>
          <w:color w:val="auto"/>
          <w:szCs w:val="21"/>
          <w:highlight w:val="none"/>
        </w:rPr>
        <w:t>现文：</w:t>
      </w:r>
      <w:r>
        <w:rPr>
          <w:rFonts w:hint="eastAsia" w:ascii="宋体" w:hAnsi="宋体" w:cs="宋体"/>
          <w:b w:val="0"/>
          <w:bCs/>
          <w:color w:val="auto"/>
          <w:szCs w:val="21"/>
          <w:highlight w:val="none"/>
          <w:u w:val="single"/>
        </w:rPr>
        <w:t>13.10工程量清单报价中有关问题的说明：</w:t>
      </w:r>
    </w:p>
    <w:p>
      <w:pPr>
        <w:keepNext w:val="0"/>
        <w:keepLines w:val="0"/>
        <w:pageBreakBefore w:val="0"/>
        <w:widowControl w:val="0"/>
        <w:wordWrap/>
        <w:topLinePunct w:val="0"/>
        <w:autoSpaceDE/>
        <w:autoSpaceDN/>
        <w:bidi w:val="0"/>
        <w:snapToGrid w:val="0"/>
        <w:spacing w:line="360" w:lineRule="auto"/>
        <w:ind w:firstLine="411" w:firstLineChars="196"/>
        <w:rPr>
          <w:rFonts w:ascii="宋体" w:hAnsi="宋体" w:cs="宋体"/>
          <w:b w:val="0"/>
          <w:bCs/>
          <w:color w:val="auto"/>
          <w:szCs w:val="21"/>
          <w:highlight w:val="none"/>
          <w:u w:val="single"/>
        </w:rPr>
      </w:pPr>
      <w:r>
        <w:rPr>
          <w:rFonts w:hint="eastAsia" w:ascii="宋体" w:hAnsi="宋体" w:cs="宋体"/>
          <w:b w:val="0"/>
          <w:bCs/>
          <w:color w:val="auto"/>
          <w:szCs w:val="21"/>
          <w:highlight w:val="none"/>
          <w:u w:val="single"/>
        </w:rPr>
        <w:t>（1）投标时，土方的弃运距离暂按15公里内考虑，超过15公里按15公里计算，结算时按招标人确认的实际运距计算,实际运距超过15公里时，按15公里包干。</w:t>
      </w:r>
    </w:p>
    <w:p>
      <w:pPr>
        <w:keepNext w:val="0"/>
        <w:keepLines w:val="0"/>
        <w:pageBreakBefore w:val="0"/>
        <w:widowControl w:val="0"/>
        <w:pBdr>
          <w:bottom w:val="single" w:color="auto" w:sz="4" w:space="0"/>
        </w:pBdr>
        <w:wordWrap/>
        <w:topLinePunct w:val="0"/>
        <w:autoSpaceDE/>
        <w:autoSpaceDN/>
        <w:bidi w:val="0"/>
        <w:snapToGrid w:val="0"/>
        <w:spacing w:line="360" w:lineRule="auto"/>
        <w:ind w:firstLine="470" w:firstLineChars="224"/>
        <w:rPr>
          <w:rFonts w:ascii="宋体" w:hAnsi="宋体" w:cs="宋体"/>
          <w:b w:val="0"/>
          <w:bCs/>
          <w:color w:val="auto"/>
          <w:szCs w:val="21"/>
          <w:highlight w:val="none"/>
        </w:rPr>
      </w:pPr>
      <w:r>
        <w:rPr>
          <w:rFonts w:hint="eastAsia" w:ascii="宋体" w:hAnsi="宋体" w:cs="宋体"/>
          <w:b w:val="0"/>
          <w:bCs/>
          <w:color w:val="auto"/>
          <w:szCs w:val="21"/>
          <w:highlight w:val="none"/>
          <w:u w:val="single"/>
        </w:rPr>
        <w:t>（2）工程量清单中措施项目清单费计价表中的安全文明施工费执行《广东省住房和城乡建设厅关于印发&lt;广东省建设工程计价依据（2018)&gt;的通知》（穗建市〔2019〕6号）文，安全文明施工费按业主公布的本工程招标控制价中的安全文明施工费计取，作为非竞争费用，在投标报价中单列，不参与投标竞价，该费用从工程施工中标价中提取，专款专用。</w:t>
      </w:r>
    </w:p>
    <w:p>
      <w:pPr>
        <w:keepNext w:val="0"/>
        <w:keepLines w:val="0"/>
        <w:pageBreakBefore w:val="0"/>
        <w:widowControl w:val="0"/>
        <w:wordWrap/>
        <w:topLinePunct w:val="0"/>
        <w:autoSpaceDE/>
        <w:autoSpaceDN/>
        <w:bidi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条款号：13.11                        修改类型：增加</w:t>
      </w:r>
    </w:p>
    <w:p>
      <w:pPr>
        <w:keepNext w:val="0"/>
        <w:keepLines w:val="0"/>
        <w:pageBreakBefore w:val="0"/>
        <w:widowControl w:val="0"/>
        <w:pBdr>
          <w:bottom w:val="single" w:color="auto" w:sz="6" w:space="1"/>
        </w:pBdr>
        <w:wordWrap/>
        <w:topLinePunct w:val="0"/>
        <w:autoSpaceDE/>
        <w:autoSpaceDN/>
        <w:bidi w:val="0"/>
        <w:snapToGrid w:val="0"/>
        <w:spacing w:line="360" w:lineRule="auto"/>
        <w:ind w:firstLine="422" w:firstLineChars="200"/>
        <w:rPr>
          <w:rFonts w:ascii="宋体" w:hAnsi="宋体" w:cs="宋体"/>
          <w:b w:val="0"/>
          <w:bCs w:val="0"/>
          <w:color w:val="auto"/>
          <w:szCs w:val="21"/>
          <w:highlight w:val="none"/>
        </w:rPr>
      </w:pPr>
      <w:r>
        <w:rPr>
          <w:rFonts w:hint="eastAsia" w:ascii="宋体" w:hAnsi="宋体" w:cs="宋体"/>
          <w:b/>
          <w:color w:val="auto"/>
          <w:szCs w:val="21"/>
          <w:highlight w:val="none"/>
        </w:rPr>
        <w:t>现文：</w:t>
      </w:r>
      <w:r>
        <w:rPr>
          <w:rFonts w:hint="eastAsia" w:ascii="宋体" w:hAnsi="宋体" w:cs="宋体"/>
          <w:b w:val="0"/>
          <w:bCs w:val="0"/>
          <w:color w:val="auto"/>
          <w:szCs w:val="21"/>
          <w:highlight w:val="none"/>
          <w:u w:val="single"/>
        </w:rPr>
        <w:t>13.11</w:t>
      </w:r>
      <w:r>
        <w:rPr>
          <w:rFonts w:hint="eastAsia" w:ascii="宋体" w:hAnsi="宋体" w:cs="宋体"/>
          <w:b w:val="0"/>
          <w:bCs w:val="0"/>
          <w:color w:val="auto"/>
          <w:szCs w:val="21"/>
          <w:highlight w:val="none"/>
          <w:u w:val="single"/>
          <w:lang w:val="en-US" w:eastAsia="zh-CN"/>
        </w:rPr>
        <w:t>中标</w:t>
      </w:r>
      <w:r>
        <w:rPr>
          <w:rFonts w:hint="eastAsia" w:ascii="宋体" w:hAnsi="宋体" w:cs="宋体"/>
          <w:b w:val="0"/>
          <w:bCs w:val="0"/>
          <w:color w:val="auto"/>
          <w:szCs w:val="21"/>
          <w:highlight w:val="none"/>
          <w:u w:val="single"/>
        </w:rPr>
        <w:t>人应对当地现有的交通道路状况进行充分调查，充分考虑该路段的交通疏导问题和文明施工，制定可行的交通疏导（包括场内和场外）方案，确保原有道路的交通畅通和施工临时排水的通畅，并符合施工环保要求。中标人应与交警及公路管理部门协商，取得同意和协助，并负责承担道路改线或改善和其他费用。相关费用包含在措施项目费中，结算时按业主批准的实施方案，再按合同约定结算。如果中标人不及时按要求设置，业主可以另行委托实施，业主按实际发生的费用在工程款中扣除，中标人不得有任何异议。</w:t>
      </w:r>
    </w:p>
    <w:p>
      <w:pPr>
        <w:keepNext w:val="0"/>
        <w:keepLines w:val="0"/>
        <w:pageBreakBefore w:val="0"/>
        <w:widowControl w:val="0"/>
        <w:wordWrap/>
        <w:topLinePunct w:val="0"/>
        <w:autoSpaceDE/>
        <w:autoSpaceDN/>
        <w:bidi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条款号：13.12                       修改类型：增加</w:t>
      </w:r>
    </w:p>
    <w:p>
      <w:pPr>
        <w:keepNext w:val="0"/>
        <w:keepLines w:val="0"/>
        <w:pageBreakBefore w:val="0"/>
        <w:widowControl w:val="0"/>
        <w:pBdr>
          <w:bottom w:val="single" w:color="auto" w:sz="4" w:space="0"/>
        </w:pBdr>
        <w:wordWrap/>
        <w:topLinePunct w:val="0"/>
        <w:autoSpaceDE/>
        <w:autoSpaceDN/>
        <w:bidi w:val="0"/>
        <w:snapToGrid w:val="0"/>
        <w:spacing w:line="360" w:lineRule="auto"/>
        <w:ind w:firstLine="422" w:firstLineChars="200"/>
        <w:rPr>
          <w:rFonts w:ascii="宋体" w:hAnsi="宋体" w:cs="宋体"/>
          <w:b w:val="0"/>
          <w:bCs w:val="0"/>
          <w:color w:val="auto"/>
          <w:szCs w:val="21"/>
          <w:highlight w:val="none"/>
          <w:u w:val="single"/>
        </w:rPr>
      </w:pPr>
      <w:r>
        <w:rPr>
          <w:rFonts w:hint="eastAsia" w:ascii="宋体" w:hAnsi="宋体" w:cs="宋体"/>
          <w:b/>
          <w:color w:val="auto"/>
          <w:szCs w:val="21"/>
          <w:highlight w:val="none"/>
        </w:rPr>
        <w:t>现文：</w:t>
      </w:r>
      <w:r>
        <w:rPr>
          <w:rFonts w:hint="eastAsia" w:ascii="宋体" w:hAnsi="宋体" w:cs="宋体"/>
          <w:b w:val="0"/>
          <w:bCs w:val="0"/>
          <w:color w:val="auto"/>
          <w:szCs w:val="21"/>
          <w:highlight w:val="none"/>
          <w:u w:val="single"/>
        </w:rPr>
        <w:t>13.12</w:t>
      </w:r>
      <w:r>
        <w:rPr>
          <w:rFonts w:hint="eastAsia" w:ascii="宋体" w:hAnsi="宋体" w:eastAsia="宋体" w:cs="宋体"/>
          <w:b/>
          <w:bCs/>
          <w:color w:val="auto"/>
          <w:szCs w:val="21"/>
          <w:highlight w:val="none"/>
          <w:u w:val="single"/>
          <w:lang w:eastAsia="zh-CN"/>
        </w:rPr>
        <w:t>中标</w:t>
      </w:r>
      <w:r>
        <w:rPr>
          <w:rFonts w:hint="eastAsia" w:ascii="宋体" w:hAnsi="宋体" w:eastAsia="宋体" w:cs="宋体"/>
          <w:b/>
          <w:bCs/>
          <w:color w:val="auto"/>
          <w:szCs w:val="21"/>
          <w:highlight w:val="none"/>
          <w:u w:val="single"/>
        </w:rPr>
        <w:t>人应加强周边学校、居民住宅的环境保护，制定绿色施工安全防护措施（包括防尘、防噪音、施工围蔽等），施工现场严格按照《广州市建设工程文明施工管理规定》（广州市人民政府令第62号、第158号）、《广州市建设工程现场文明施工管理办法》（穗建质〔2008〕937号）、《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规范建设工程施工现场围蔽的通知》（穗建质[2008]1008号）、《广州市建设工程绿色施工围蔽指导图集（V2.0版）》(穗建质〔2020〕1号）、《关于进一步落实我区市政建设项目施工围蔽提升工作的通知》（穗埔建[2019]123号）及《黄埔区住房和城乡建设局 广州开发区建设和交通局关于进一步规范全区建设工程施工围蔽标准的通知》（穗埔建﹝2020﹞183号）的相关文件要求的标准实施。以上文件要求不一致的，以后发布文件为准，若相关部门发布有关施工现场管理及施工围蔽新规定的，按新规定执行。实施相关费用已含在合同价中。如承包人未及时按要求做好围蔽等安全文明施工措施，建设业主可另行委托单位实施，建设业主按实际发生的费用在绿色施工安全防护措施费中扣除。</w:t>
      </w:r>
    </w:p>
    <w:p>
      <w:pPr>
        <w:keepNext w:val="0"/>
        <w:keepLines w:val="0"/>
        <w:pageBreakBefore w:val="0"/>
        <w:widowControl w:val="0"/>
        <w:wordWrap/>
        <w:topLinePunct w:val="0"/>
        <w:autoSpaceDE/>
        <w:autoSpaceDN/>
        <w:bidi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条款号：13.13                       修改类型：增加</w:t>
      </w:r>
    </w:p>
    <w:p>
      <w:pPr>
        <w:keepNext w:val="0"/>
        <w:keepLines w:val="0"/>
        <w:pageBreakBefore w:val="0"/>
        <w:widowControl w:val="0"/>
        <w:pBdr>
          <w:bottom w:val="single" w:color="auto" w:sz="4" w:space="0"/>
        </w:pBdr>
        <w:wordWrap/>
        <w:topLinePunct w:val="0"/>
        <w:autoSpaceDE/>
        <w:autoSpaceDN/>
        <w:bidi w:val="0"/>
        <w:snapToGrid w:val="0"/>
        <w:spacing w:line="360" w:lineRule="auto"/>
        <w:ind w:firstLine="422" w:firstLineChars="200"/>
        <w:rPr>
          <w:rFonts w:ascii="宋体" w:hAnsi="宋体" w:cs="宋体"/>
          <w:b w:val="0"/>
          <w:bCs w:val="0"/>
          <w:color w:val="auto"/>
          <w:szCs w:val="21"/>
          <w:highlight w:val="none"/>
        </w:rPr>
      </w:pPr>
      <w:r>
        <w:rPr>
          <w:rFonts w:hint="eastAsia" w:ascii="宋体" w:hAnsi="宋体" w:cs="宋体"/>
          <w:b/>
          <w:color w:val="auto"/>
          <w:szCs w:val="21"/>
          <w:highlight w:val="none"/>
        </w:rPr>
        <w:t>现文：</w:t>
      </w:r>
      <w:r>
        <w:rPr>
          <w:rFonts w:hint="eastAsia" w:ascii="宋体" w:hAnsi="宋体" w:cs="宋体"/>
          <w:b w:val="0"/>
          <w:bCs w:val="0"/>
          <w:color w:val="auto"/>
          <w:szCs w:val="21"/>
          <w:highlight w:val="none"/>
          <w:u w:val="single"/>
        </w:rPr>
        <w:t>13.13本工程中标人通过现场考察，提出具体施工方案，无论在工程施工期间或是在质量保修期内，若因施工而引起的一切索赔、赔偿、诉讼费用和其他开支，由中标人承担全部责任。该项费用在措施项目费中设有独立单项项目，该费用包干（施工围蔽费用除外）使用，且中标人不得以任何理由要求业主另行增加该部分费用（中标人要充分考虑最不利因素影响而采用的施工方案所需的费用）。</w:t>
      </w:r>
    </w:p>
    <w:p>
      <w:pPr>
        <w:keepNext w:val="0"/>
        <w:keepLines w:val="0"/>
        <w:pageBreakBefore w:val="0"/>
        <w:widowControl w:val="0"/>
        <w:pBdr>
          <w:top w:val="none" w:color="auto" w:sz="0" w:space="1"/>
          <w:left w:val="none" w:color="auto" w:sz="0" w:space="0"/>
          <w:bottom w:val="none" w:color="auto" w:sz="0" w:space="1"/>
          <w:right w:val="none" w:color="auto" w:sz="0" w:space="0"/>
          <w:between w:val="none" w:color="auto" w:sz="0" w:space="0"/>
        </w:pBdr>
        <w:wordWrap/>
        <w:topLinePunct w:val="0"/>
        <w:autoSpaceDE/>
        <w:autoSpaceDN/>
        <w:bidi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条款号：13.14                       修改类型：增加</w:t>
      </w:r>
    </w:p>
    <w:p>
      <w:pPr>
        <w:keepNext w:val="0"/>
        <w:keepLines w:val="0"/>
        <w:pageBreakBefore w:val="0"/>
        <w:widowControl w:val="0"/>
        <w:pBdr>
          <w:top w:val="single" w:color="auto" w:sz="4" w:space="1"/>
          <w:bottom w:val="single" w:color="auto" w:sz="6" w:space="1"/>
        </w:pBdr>
        <w:wordWrap/>
        <w:topLinePunct w:val="0"/>
        <w:autoSpaceDE/>
        <w:autoSpaceDN/>
        <w:bidi w:val="0"/>
        <w:snapToGrid w:val="0"/>
        <w:spacing w:line="360" w:lineRule="auto"/>
        <w:ind w:firstLine="422" w:firstLineChars="200"/>
        <w:rPr>
          <w:rFonts w:ascii="宋体" w:hAnsi="宋体" w:cs="宋体"/>
          <w:b w:val="0"/>
          <w:bCs w:val="0"/>
          <w:color w:val="auto"/>
          <w:szCs w:val="21"/>
          <w:highlight w:val="none"/>
          <w:u w:val="single"/>
        </w:rPr>
      </w:pPr>
      <w:r>
        <w:rPr>
          <w:rFonts w:hint="eastAsia" w:ascii="宋体" w:hAnsi="宋体" w:cs="宋体"/>
          <w:b/>
          <w:color w:val="auto"/>
          <w:szCs w:val="21"/>
          <w:highlight w:val="none"/>
        </w:rPr>
        <w:t>现文：</w:t>
      </w:r>
      <w:r>
        <w:rPr>
          <w:rFonts w:hint="eastAsia" w:ascii="宋体" w:hAnsi="宋体" w:cs="宋体"/>
          <w:b w:val="0"/>
          <w:bCs w:val="0"/>
          <w:color w:val="auto"/>
          <w:szCs w:val="21"/>
          <w:highlight w:val="none"/>
          <w:u w:val="single"/>
        </w:rPr>
        <w:t>13.14投标单位应结合本工程招标内容对现场进行充分的调查，充分考虑工程招标内容及施工组织方案，承包单位应与相关管理部门（如铁路管理部门）协商，取得同意协调，按要求完成工程招标内容，工程及相关费用包含在投标总价中，不另行计费。如果中标人不及时按要求完成，业主可以另行委托实施，业主按实际发生的费用在工程款中扣除，中标人不得有任何异议。</w:t>
      </w:r>
    </w:p>
    <w:p>
      <w:pPr>
        <w:keepNext w:val="0"/>
        <w:keepLines w:val="0"/>
        <w:pageBreakBefore w:val="0"/>
        <w:widowControl w:val="0"/>
        <w:wordWrap/>
        <w:topLinePunct w:val="0"/>
        <w:autoSpaceDE/>
        <w:autoSpaceDN/>
        <w:bidi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条款号：13.15                       修改类型：增加</w:t>
      </w:r>
    </w:p>
    <w:p>
      <w:pPr>
        <w:keepNext w:val="0"/>
        <w:keepLines w:val="0"/>
        <w:pageBreakBefore w:val="0"/>
        <w:widowControl w:val="0"/>
        <w:pBdr>
          <w:bottom w:val="single" w:color="auto" w:sz="6" w:space="1"/>
        </w:pBdr>
        <w:wordWrap/>
        <w:topLinePunct w:val="0"/>
        <w:autoSpaceDE/>
        <w:autoSpaceDN/>
        <w:bidi w:val="0"/>
        <w:snapToGrid w:val="0"/>
        <w:spacing w:line="360" w:lineRule="auto"/>
        <w:ind w:firstLine="422" w:firstLineChars="200"/>
        <w:rPr>
          <w:rFonts w:ascii="宋体" w:hAnsi="宋体" w:cs="宋体"/>
          <w:b w:val="0"/>
          <w:bCs w:val="0"/>
          <w:color w:val="auto"/>
          <w:szCs w:val="21"/>
          <w:highlight w:val="none"/>
          <w:u w:val="single"/>
        </w:rPr>
      </w:pPr>
      <w:r>
        <w:rPr>
          <w:rFonts w:hint="eastAsia" w:ascii="宋体" w:hAnsi="宋体" w:cs="宋体"/>
          <w:b/>
          <w:color w:val="auto"/>
          <w:szCs w:val="21"/>
          <w:highlight w:val="none"/>
        </w:rPr>
        <w:t>现文：</w:t>
      </w:r>
      <w:r>
        <w:rPr>
          <w:rFonts w:hint="eastAsia" w:ascii="宋体" w:hAnsi="宋体" w:cs="宋体"/>
          <w:b w:val="0"/>
          <w:bCs w:val="0"/>
          <w:color w:val="auto"/>
          <w:szCs w:val="21"/>
          <w:highlight w:val="none"/>
          <w:u w:val="single"/>
        </w:rPr>
        <w:t>13.15</w:t>
      </w:r>
      <w:r>
        <w:rPr>
          <w:rFonts w:hint="eastAsia" w:ascii="宋体" w:hAnsi="宋体" w:cs="宋体"/>
          <w:b w:val="0"/>
          <w:bCs w:val="0"/>
          <w:color w:val="auto"/>
          <w:szCs w:val="21"/>
          <w:highlight w:val="none"/>
          <w:u w:val="single"/>
          <w:lang w:eastAsia="zh-CN"/>
        </w:rPr>
        <w:t>中标人</w:t>
      </w:r>
      <w:r>
        <w:rPr>
          <w:rFonts w:hint="eastAsia" w:ascii="宋体" w:hAnsi="宋体" w:cs="宋体"/>
          <w:b w:val="0"/>
          <w:bCs w:val="0"/>
          <w:color w:val="auto"/>
          <w:szCs w:val="21"/>
          <w:highlight w:val="none"/>
          <w:u w:val="single"/>
        </w:rPr>
        <w:t>应根据区相关主管部门批复的水土保持实施方案及相关规定完成本工程的水土保持工作，承担防止水土流失职责，相关费用包含在投标总价中，不另行计费。如果中标人不及时按要求完成上述工作，业主可以另行委托实施，业主按实际发生的费用在工程款中扣除，中标人不得有任何异议。</w:t>
      </w:r>
    </w:p>
    <w:p>
      <w:pPr>
        <w:keepNext w:val="0"/>
        <w:keepLines w:val="0"/>
        <w:pageBreakBefore w:val="0"/>
        <w:widowControl w:val="0"/>
        <w:wordWrap/>
        <w:topLinePunct w:val="0"/>
        <w:autoSpaceDE/>
        <w:autoSpaceDN/>
        <w:bidi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条款号：13.16                       修改类型：增加</w:t>
      </w:r>
    </w:p>
    <w:p>
      <w:pPr>
        <w:keepNext w:val="0"/>
        <w:keepLines w:val="0"/>
        <w:pageBreakBefore w:val="0"/>
        <w:widowControl w:val="0"/>
        <w:pBdr>
          <w:bottom w:val="single" w:color="auto" w:sz="6" w:space="1"/>
        </w:pBdr>
        <w:wordWrap/>
        <w:topLinePunct w:val="0"/>
        <w:autoSpaceDE/>
        <w:autoSpaceDN/>
        <w:bidi w:val="0"/>
        <w:snapToGrid w:val="0"/>
        <w:spacing w:line="360" w:lineRule="auto"/>
        <w:ind w:firstLine="422" w:firstLineChars="200"/>
        <w:rPr>
          <w:rFonts w:ascii="宋体" w:hAnsi="宋体" w:cs="宋体"/>
          <w:b w:val="0"/>
          <w:bCs w:val="0"/>
          <w:color w:val="auto"/>
          <w:szCs w:val="21"/>
          <w:highlight w:val="none"/>
          <w:u w:val="single"/>
        </w:rPr>
      </w:pPr>
      <w:r>
        <w:rPr>
          <w:rFonts w:hint="eastAsia" w:ascii="宋体" w:hAnsi="宋体" w:cs="宋体"/>
          <w:b/>
          <w:color w:val="auto"/>
          <w:szCs w:val="21"/>
          <w:highlight w:val="none"/>
        </w:rPr>
        <w:t>现文：</w:t>
      </w:r>
      <w:r>
        <w:rPr>
          <w:rFonts w:hint="eastAsia" w:ascii="宋体" w:hAnsi="宋体" w:cs="宋体"/>
          <w:b w:val="0"/>
          <w:bCs w:val="0"/>
          <w:color w:val="auto"/>
          <w:szCs w:val="21"/>
          <w:highlight w:val="none"/>
          <w:u w:val="single"/>
        </w:rPr>
        <w:t>13.16中标人应使用绿色生产达标企业生产的混凝土，若不遵守承诺，自愿按不履行合同约定处理。</w:t>
      </w:r>
    </w:p>
    <w:p>
      <w:pPr>
        <w:keepNext w:val="0"/>
        <w:keepLines w:val="0"/>
        <w:pageBreakBefore w:val="0"/>
        <w:widowControl w:val="0"/>
        <w:wordWrap/>
        <w:topLinePunct w:val="0"/>
        <w:autoSpaceDE/>
        <w:autoSpaceDN/>
        <w:bidi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条款号：13.17                       修改类型：增加</w:t>
      </w:r>
    </w:p>
    <w:p>
      <w:pPr>
        <w:keepNext w:val="0"/>
        <w:keepLines w:val="0"/>
        <w:pageBreakBefore w:val="0"/>
        <w:widowControl w:val="0"/>
        <w:pBdr>
          <w:bottom w:val="single" w:color="auto" w:sz="6" w:space="1"/>
        </w:pBdr>
        <w:wordWrap/>
        <w:topLinePunct w:val="0"/>
        <w:autoSpaceDE/>
        <w:autoSpaceDN/>
        <w:bidi w:val="0"/>
        <w:snapToGrid w:val="0"/>
        <w:spacing w:line="360" w:lineRule="auto"/>
        <w:ind w:firstLine="472" w:firstLineChars="224"/>
        <w:rPr>
          <w:rFonts w:ascii="宋体" w:hAnsi="宋体" w:cs="宋体"/>
          <w:b w:val="0"/>
          <w:bCs w:val="0"/>
          <w:color w:val="auto"/>
          <w:szCs w:val="21"/>
          <w:highlight w:val="none"/>
        </w:rPr>
      </w:pPr>
      <w:r>
        <w:rPr>
          <w:rFonts w:hint="eastAsia" w:ascii="宋体" w:hAnsi="宋体" w:cs="宋体"/>
          <w:b/>
          <w:color w:val="auto"/>
          <w:szCs w:val="21"/>
          <w:highlight w:val="none"/>
        </w:rPr>
        <w:t>现文：</w:t>
      </w:r>
      <w:r>
        <w:rPr>
          <w:rFonts w:hint="eastAsia" w:ascii="宋体" w:hAnsi="宋体" w:cs="宋体"/>
          <w:b w:val="0"/>
          <w:bCs w:val="0"/>
          <w:color w:val="auto"/>
          <w:szCs w:val="21"/>
          <w:highlight w:val="none"/>
          <w:u w:val="single"/>
        </w:rPr>
        <w:t>13.17中标人应按有关规定协助建设业主完成公共排水设施竣工图纸备案工作。</w:t>
      </w:r>
    </w:p>
    <w:p>
      <w:pPr>
        <w:keepNext w:val="0"/>
        <w:keepLines w:val="0"/>
        <w:pageBreakBefore w:val="0"/>
        <w:widowControl w:val="0"/>
        <w:wordWrap/>
        <w:topLinePunct w:val="0"/>
        <w:autoSpaceDE/>
        <w:autoSpaceDN/>
        <w:bidi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条款号：15.2                        修改类型：修改</w:t>
      </w:r>
    </w:p>
    <w:p>
      <w:pPr>
        <w:keepNext w:val="0"/>
        <w:keepLines w:val="0"/>
        <w:pageBreakBefore w:val="0"/>
        <w:widowControl w:val="0"/>
        <w:pBdr>
          <w:bottom w:val="single" w:color="auto" w:sz="6" w:space="1"/>
        </w:pBdr>
        <w:wordWrap/>
        <w:topLinePunct w:val="0"/>
        <w:autoSpaceDE/>
        <w:autoSpaceDN/>
        <w:bidi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15.2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pPr>
        <w:keepNext w:val="0"/>
        <w:keepLines w:val="0"/>
        <w:pageBreakBefore w:val="0"/>
        <w:widowControl w:val="0"/>
        <w:pBdr>
          <w:bottom w:val="single" w:color="auto" w:sz="6" w:space="1"/>
        </w:pBdr>
        <w:wordWrap/>
        <w:topLinePunct w:val="0"/>
        <w:autoSpaceDE/>
        <w:autoSpaceDN/>
        <w:bidi w:val="0"/>
        <w:snapToGrid w:val="0"/>
        <w:spacing w:line="360" w:lineRule="auto"/>
        <w:ind w:firstLine="472" w:firstLineChars="224"/>
        <w:rPr>
          <w:rFonts w:ascii="宋体" w:hAnsi="宋体" w:cs="宋体"/>
          <w:b/>
          <w:bCs/>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15.2在特殊情况下，招标人在原定投标有效期内，可以根据需要以书面形式向投标人提出延长投标有效期的要求，对此要求投标人须以书面形式予以答复。</w:t>
      </w:r>
      <w:r>
        <w:rPr>
          <w:rFonts w:hint="eastAsia" w:ascii="宋体" w:hAnsi="宋体" w:cs="宋体"/>
          <w:b/>
          <w:bCs/>
          <w:color w:val="auto"/>
          <w:szCs w:val="21"/>
          <w:highlight w:val="none"/>
          <w:u w:val="single"/>
        </w:rPr>
        <w:t>投标人可以拒绝招标人这种要求。同意延长投标有效期的投标人既不能要求也不允许修改其投标文件。</w:t>
      </w:r>
    </w:p>
    <w:p>
      <w:pPr>
        <w:keepNext w:val="0"/>
        <w:keepLines w:val="0"/>
        <w:pageBreakBefore w:val="0"/>
        <w:widowControl w:val="0"/>
        <w:wordWrap/>
        <w:topLinePunct w:val="0"/>
        <w:autoSpaceDE/>
        <w:autoSpaceDN/>
        <w:bidi w:val="0"/>
        <w:snapToGrid w:val="0"/>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条款号：16             修改类型：修改</w:t>
      </w:r>
    </w:p>
    <w:p>
      <w:pPr>
        <w:keepNext w:val="0"/>
        <w:keepLines w:val="0"/>
        <w:pageBreakBefore w:val="0"/>
        <w:widowControl w:val="0"/>
        <w:wordWrap/>
        <w:topLinePunct w:val="0"/>
        <w:autoSpaceDE/>
        <w:autoSpaceDN/>
        <w:bidi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原文：16.投标保证金</w:t>
      </w:r>
    </w:p>
    <w:p>
      <w:pPr>
        <w:keepNext w:val="0"/>
        <w:keepLines w:val="0"/>
        <w:pageBreakBefore w:val="0"/>
        <w:widowControl w:val="0"/>
        <w:wordWrap/>
        <w:topLinePunct w:val="0"/>
        <w:autoSpaceDE/>
        <w:autoSpaceDN/>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16.1投标人应按投标须知前附表第14项所述金额和时间递交投标保证金。招标人应当允许投标人自主选择现金、银行保函、保证保险、专业工程担保公司担保等方式缴纳投标保证金。</w:t>
      </w:r>
    </w:p>
    <w:p>
      <w:pPr>
        <w:keepNext w:val="0"/>
        <w:keepLines w:val="0"/>
        <w:pageBreakBefore w:val="0"/>
        <w:widowControl w:val="0"/>
        <w:wordWrap/>
        <w:topLinePunct w:val="0"/>
        <w:autoSpaceDE/>
        <w:autoSpaceDN/>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16.1.1 采用现金或者支票形式提交的，投标保证金须从投标人的银行基本账户转出。</w:t>
      </w:r>
    </w:p>
    <w:p>
      <w:pPr>
        <w:keepNext w:val="0"/>
        <w:keepLines w:val="0"/>
        <w:pageBreakBefore w:val="0"/>
        <w:widowControl w:val="0"/>
        <w:wordWrap/>
        <w:topLinePunct w:val="0"/>
        <w:autoSpaceDE/>
        <w:autoSpaceDN/>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keepNext w:val="0"/>
        <w:keepLines w:val="0"/>
        <w:pageBreakBefore w:val="0"/>
        <w:widowControl w:val="0"/>
        <w:wordWrap/>
        <w:topLinePunct w:val="0"/>
        <w:autoSpaceDE/>
        <w:autoSpaceDN/>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16.1.3 采用电子形式的保函、担保或保证保险提交投标保证金的，应在招标文件中明确电子递交途径。</w:t>
      </w:r>
    </w:p>
    <w:p>
      <w:pPr>
        <w:keepNext w:val="0"/>
        <w:keepLines w:val="0"/>
        <w:pageBreakBefore w:val="0"/>
        <w:widowControl w:val="0"/>
        <w:wordWrap/>
        <w:topLinePunct w:val="0"/>
        <w:autoSpaceDE/>
        <w:autoSpaceDN/>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keepNext w:val="0"/>
        <w:keepLines w:val="0"/>
        <w:pageBreakBefore w:val="0"/>
        <w:widowControl w:val="0"/>
        <w:wordWrap/>
        <w:topLinePunct w:val="0"/>
        <w:autoSpaceDE/>
        <w:autoSpaceDN/>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16.3投标保证金应依据法律法规的相关规定退还。</w:t>
      </w:r>
    </w:p>
    <w:p>
      <w:pPr>
        <w:keepNext w:val="0"/>
        <w:keepLines w:val="0"/>
        <w:pageBreakBefore w:val="0"/>
        <w:widowControl w:val="0"/>
        <w:pBdr>
          <w:top w:val="none" w:color="auto" w:sz="0" w:space="0"/>
          <w:left w:val="none" w:color="auto" w:sz="0" w:space="0"/>
          <w:bottom w:val="none" w:color="auto" w:sz="0" w:space="1"/>
          <w:right w:val="none" w:color="auto" w:sz="0" w:space="0"/>
          <w:between w:val="none" w:color="auto" w:sz="0" w:space="0"/>
        </w:pBdr>
        <w:wordWrap/>
        <w:topLinePunct w:val="0"/>
        <w:autoSpaceDE/>
        <w:autoSpaceDN/>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16.4如有下列情况之一的，招标人可以不予退还投标保证金（是否退还投标保证金由招标人在招标文件中规定）：</w:t>
      </w:r>
    </w:p>
    <w:p>
      <w:pPr>
        <w:keepNext w:val="0"/>
        <w:keepLines w:val="0"/>
        <w:pageBreakBefore w:val="0"/>
        <w:widowControl w:val="0"/>
        <w:pBdr>
          <w:top w:val="none" w:color="auto" w:sz="0" w:space="0"/>
          <w:left w:val="none" w:color="auto" w:sz="0" w:space="0"/>
          <w:bottom w:val="none" w:color="auto" w:sz="0" w:space="1"/>
          <w:right w:val="none" w:color="auto" w:sz="0" w:space="0"/>
          <w:between w:val="none" w:color="auto" w:sz="0" w:space="0"/>
        </w:pBdr>
        <w:wordWrap/>
        <w:topLinePunct w:val="0"/>
        <w:autoSpaceDE/>
        <w:autoSpaceDN/>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16.4.1因投标人原因造成投标文件未解密的；</w:t>
      </w:r>
    </w:p>
    <w:p>
      <w:pPr>
        <w:keepNext w:val="0"/>
        <w:keepLines w:val="0"/>
        <w:pageBreakBefore w:val="0"/>
        <w:widowControl w:val="0"/>
        <w:pBdr>
          <w:top w:val="none" w:color="auto" w:sz="0" w:space="0"/>
          <w:left w:val="none" w:color="auto" w:sz="0" w:space="0"/>
          <w:bottom w:val="none" w:color="auto" w:sz="0" w:space="1"/>
          <w:right w:val="none" w:color="auto" w:sz="0" w:space="0"/>
          <w:between w:val="none" w:color="auto" w:sz="0" w:space="0"/>
        </w:pBdr>
        <w:wordWrap/>
        <w:topLinePunct w:val="0"/>
        <w:autoSpaceDE/>
        <w:autoSpaceDN/>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16.4.2投标人在投标有效期内撤销投标文件；</w:t>
      </w:r>
    </w:p>
    <w:p>
      <w:pPr>
        <w:keepNext w:val="0"/>
        <w:keepLines w:val="0"/>
        <w:pageBreakBefore w:val="0"/>
        <w:widowControl w:val="0"/>
        <w:pBdr>
          <w:top w:val="none" w:color="auto" w:sz="0" w:space="0"/>
          <w:left w:val="none" w:color="auto" w:sz="0" w:space="0"/>
          <w:bottom w:val="none" w:color="auto" w:sz="0" w:space="1"/>
          <w:right w:val="none" w:color="auto" w:sz="0" w:space="0"/>
          <w:between w:val="none" w:color="auto" w:sz="0" w:space="0"/>
        </w:pBdr>
        <w:wordWrap/>
        <w:topLinePunct w:val="0"/>
        <w:autoSpaceDE/>
        <w:autoSpaceDN/>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16.4.3中标人未能在规定期限内按要求提交履约担保；</w:t>
      </w:r>
    </w:p>
    <w:p>
      <w:pPr>
        <w:keepNext w:val="0"/>
        <w:keepLines w:val="0"/>
        <w:pageBreakBefore w:val="0"/>
        <w:widowControl w:val="0"/>
        <w:pBdr>
          <w:top w:val="none" w:color="auto" w:sz="0" w:space="0"/>
          <w:left w:val="none" w:color="auto" w:sz="0" w:space="0"/>
          <w:bottom w:val="none" w:color="auto" w:sz="0" w:space="1"/>
          <w:right w:val="none" w:color="auto" w:sz="0" w:space="0"/>
          <w:between w:val="none" w:color="auto" w:sz="0" w:space="0"/>
        </w:pBdr>
        <w:wordWrap/>
        <w:topLinePunct w:val="0"/>
        <w:autoSpaceDE/>
        <w:autoSpaceDN/>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16.4.4中标人未能在规定期限内签署合同协议。</w:t>
      </w:r>
    </w:p>
    <w:p>
      <w:pPr>
        <w:keepNext w:val="0"/>
        <w:keepLines w:val="0"/>
        <w:pageBreakBefore w:val="0"/>
        <w:widowControl w:val="0"/>
        <w:pBdr>
          <w:top w:val="none" w:color="auto" w:sz="0" w:space="0"/>
          <w:left w:val="none" w:color="auto" w:sz="0" w:space="0"/>
          <w:bottom w:val="none" w:color="auto" w:sz="0" w:space="1"/>
          <w:right w:val="none" w:color="auto" w:sz="0" w:space="0"/>
          <w:between w:val="none" w:color="auto" w:sz="0" w:space="0"/>
        </w:pBdr>
        <w:wordWrap/>
        <w:topLinePunct w:val="0"/>
        <w:autoSpaceDE/>
        <w:autoSpaceDN/>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16.5投标人如存在下列情况之一的，将被拒绝在一定时期内参与招标人后续工程投标（拒绝时限需在招标文件中明确）：</w:t>
      </w:r>
    </w:p>
    <w:p>
      <w:pPr>
        <w:keepNext w:val="0"/>
        <w:keepLines w:val="0"/>
        <w:pageBreakBefore w:val="0"/>
        <w:widowControl w:val="0"/>
        <w:pBdr>
          <w:top w:val="none" w:color="auto" w:sz="0" w:space="0"/>
          <w:left w:val="none" w:color="auto" w:sz="0" w:space="0"/>
          <w:bottom w:val="none" w:color="auto" w:sz="0" w:space="1"/>
          <w:right w:val="none" w:color="auto" w:sz="0" w:space="0"/>
          <w:between w:val="none" w:color="auto" w:sz="0" w:space="0"/>
        </w:pBdr>
        <w:wordWrap/>
        <w:topLinePunct w:val="0"/>
        <w:autoSpaceDE/>
        <w:autoSpaceDN/>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16.5.1投标人存在16.4条款所列情形且投标人提交的保函、担保或保证保险无法兑付的；</w:t>
      </w:r>
    </w:p>
    <w:p>
      <w:pPr>
        <w:keepNext w:val="0"/>
        <w:keepLines w:val="0"/>
        <w:pageBreakBefore w:val="0"/>
        <w:widowControl w:val="0"/>
        <w:pBdr>
          <w:top w:val="none" w:color="auto" w:sz="0" w:space="0"/>
          <w:left w:val="none" w:color="auto" w:sz="0" w:space="0"/>
          <w:bottom w:val="none" w:color="auto" w:sz="0" w:space="1"/>
          <w:right w:val="none" w:color="auto" w:sz="0" w:space="0"/>
          <w:between w:val="none" w:color="auto" w:sz="0" w:space="0"/>
        </w:pBdr>
        <w:wordWrap/>
        <w:topLinePunct w:val="0"/>
        <w:autoSpaceDE/>
        <w:autoSpaceDN/>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16.5.2采用非电子形式提交投标保证金的投标人存在16.4条款所列情形，且未按招标人要求补交银行保函、专业工程担保公司担保或保证保险原件的；</w:t>
      </w:r>
    </w:p>
    <w:p>
      <w:pPr>
        <w:keepNext w:val="0"/>
        <w:keepLines w:val="0"/>
        <w:pageBreakBefore w:val="0"/>
        <w:widowControl w:val="0"/>
        <w:pBdr>
          <w:top w:val="none" w:color="auto" w:sz="0" w:space="0"/>
          <w:left w:val="none" w:color="auto" w:sz="0" w:space="0"/>
          <w:bottom w:val="none" w:color="auto" w:sz="0" w:space="1"/>
          <w:right w:val="none" w:color="auto" w:sz="0" w:space="0"/>
          <w:between w:val="none" w:color="auto" w:sz="0" w:space="0"/>
        </w:pBdr>
        <w:wordWrap/>
        <w:topLinePunct w:val="0"/>
        <w:autoSpaceDE/>
        <w:autoSpaceDN/>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16.5.3按招标文件要求免于提供投标保证金的投标人存在16.4条款所列情形，且未按招标人要求补交投标保证金的；</w:t>
      </w:r>
    </w:p>
    <w:p>
      <w:pPr>
        <w:keepNext w:val="0"/>
        <w:keepLines w:val="0"/>
        <w:pageBreakBefore w:val="0"/>
        <w:widowControl w:val="0"/>
        <w:pBdr>
          <w:top w:val="none" w:color="auto" w:sz="0" w:space="0"/>
          <w:left w:val="none" w:color="auto" w:sz="0" w:space="0"/>
          <w:bottom w:val="none" w:color="auto" w:sz="0" w:space="1"/>
          <w:right w:val="none" w:color="auto" w:sz="0" w:space="0"/>
          <w:between w:val="none" w:color="auto" w:sz="0" w:space="0"/>
        </w:pBdr>
        <w:wordWrap/>
        <w:topLinePunct w:val="0"/>
        <w:autoSpaceDE/>
        <w:autoSpaceDN/>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16.5.3按招标文件要求免于提供投标保证金的投标人存在16.4条款所列情形的。</w:t>
      </w:r>
    </w:p>
    <w:p>
      <w:pPr>
        <w:keepNext w:val="0"/>
        <w:keepLines w:val="0"/>
        <w:pageBreakBefore w:val="0"/>
        <w:widowControl w:val="0"/>
        <w:pBdr>
          <w:top w:val="none" w:color="auto" w:sz="0" w:space="0"/>
          <w:left w:val="none" w:color="auto" w:sz="0" w:space="0"/>
          <w:bottom w:val="none" w:color="auto" w:sz="0" w:space="1"/>
          <w:right w:val="none" w:color="auto" w:sz="0" w:space="0"/>
          <w:between w:val="none" w:color="auto" w:sz="0" w:space="0"/>
        </w:pBdr>
        <w:wordWrap/>
        <w:topLinePunct w:val="0"/>
        <w:autoSpaceDE/>
        <w:autoSpaceDN/>
        <w:bidi w:val="0"/>
        <w:snapToGrid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注：16.5.3款由招标人二选一，需在招标文件中明确。</w:t>
      </w:r>
    </w:p>
    <w:p>
      <w:pPr>
        <w:keepNext w:val="0"/>
        <w:keepLines w:val="0"/>
        <w:pageBreakBefore w:val="0"/>
        <w:widowControl w:val="0"/>
        <w:pBdr>
          <w:top w:val="none" w:color="auto" w:sz="0" w:space="0"/>
          <w:left w:val="none" w:color="auto" w:sz="0" w:space="0"/>
          <w:bottom w:val="none" w:color="auto" w:sz="0" w:space="1"/>
          <w:right w:val="none" w:color="auto" w:sz="0" w:space="0"/>
          <w:between w:val="none" w:color="auto" w:sz="0" w:space="0"/>
        </w:pBdr>
        <w:wordWrap/>
        <w:topLinePunct w:val="0"/>
        <w:autoSpaceDE/>
        <w:autoSpaceDN/>
        <w:bidi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现文：16.投标保证金</w:t>
      </w:r>
    </w:p>
    <w:p>
      <w:pPr>
        <w:keepNext w:val="0"/>
        <w:keepLines w:val="0"/>
        <w:pageBreakBefore w:val="0"/>
        <w:widowControl w:val="0"/>
        <w:pBdr>
          <w:top w:val="none" w:color="auto" w:sz="0" w:space="0"/>
          <w:left w:val="none" w:color="auto" w:sz="0" w:space="0"/>
          <w:bottom w:val="single" w:color="auto" w:sz="4" w:space="1"/>
          <w:right w:val="none" w:color="auto" w:sz="0" w:space="0"/>
          <w:between w:val="none" w:color="auto" w:sz="0" w:space="0"/>
        </w:pBdr>
        <w:wordWrap/>
        <w:topLinePunct w:val="0"/>
        <w:autoSpaceDE/>
        <w:autoSpaceDN/>
        <w:bidi w:val="0"/>
        <w:snapToGrid w:val="0"/>
        <w:spacing w:line="360" w:lineRule="auto"/>
        <w:ind w:firstLine="420" w:firstLineChars="200"/>
        <w:rPr>
          <w:rFonts w:hint="eastAsia" w:ascii="宋体" w:hAnsi="宋体" w:cs="宋体"/>
          <w:b/>
          <w:bCs/>
          <w:color w:val="auto"/>
          <w:szCs w:val="21"/>
          <w:highlight w:val="none"/>
          <w:u w:val="single"/>
        </w:rPr>
      </w:pPr>
      <w:r>
        <w:rPr>
          <w:rFonts w:hint="eastAsia" w:ascii="宋体" w:hAnsi="宋体" w:cs="宋体"/>
          <w:color w:val="auto"/>
          <w:szCs w:val="21"/>
          <w:highlight w:val="none"/>
        </w:rPr>
        <w:t>16.1</w:t>
      </w:r>
      <w:r>
        <w:rPr>
          <w:rFonts w:hint="eastAsia" w:ascii="宋体" w:hAnsi="宋体" w:cs="宋体"/>
          <w:b/>
          <w:bCs/>
          <w:color w:val="auto"/>
          <w:szCs w:val="21"/>
          <w:highlight w:val="none"/>
          <w:u w:val="single"/>
        </w:rPr>
        <w:t>本项目不</w:t>
      </w:r>
      <w:r>
        <w:rPr>
          <w:rFonts w:hint="eastAsia" w:ascii="宋体" w:hAnsi="宋体" w:cs="宋体"/>
          <w:b/>
          <w:bCs/>
          <w:color w:val="auto"/>
          <w:szCs w:val="21"/>
          <w:highlight w:val="none"/>
          <w:u w:val="single"/>
          <w:lang w:val="en-US" w:eastAsia="zh-CN"/>
        </w:rPr>
        <w:t>收</w:t>
      </w:r>
      <w:r>
        <w:rPr>
          <w:rFonts w:hint="eastAsia" w:ascii="宋体" w:hAnsi="宋体" w:cs="宋体"/>
          <w:b/>
          <w:bCs/>
          <w:color w:val="auto"/>
          <w:szCs w:val="21"/>
          <w:highlight w:val="none"/>
          <w:u w:val="single"/>
        </w:rPr>
        <w:t>投标保证金。</w:t>
      </w:r>
    </w:p>
    <w:p>
      <w:pPr>
        <w:pStyle w:val="28"/>
        <w:keepNext w:val="0"/>
        <w:keepLines w:val="0"/>
        <w:pageBreakBefore w:val="0"/>
        <w:widowControl w:val="0"/>
        <w:wordWrap/>
        <w:topLinePunct w:val="0"/>
        <w:autoSpaceDE/>
        <w:autoSpaceDN/>
        <w:bidi w:val="0"/>
        <w:snapToGrid w:val="0"/>
        <w:spacing w:after="0" w:line="360" w:lineRule="auto"/>
        <w:ind w:firstLine="422" w:firstLineChars="200"/>
        <w:rPr>
          <w:rFonts w:ascii="宋体" w:hAnsi="宋体" w:cs="宋体"/>
          <w:b/>
          <w:color w:val="auto"/>
          <w:sz w:val="21"/>
          <w:szCs w:val="21"/>
          <w:highlight w:val="none"/>
        </w:rPr>
      </w:pPr>
      <w:r>
        <w:rPr>
          <w:rFonts w:hint="eastAsia" w:ascii="宋体" w:hAnsi="宋体" w:cs="宋体"/>
          <w:b/>
          <w:color w:val="auto"/>
          <w:sz w:val="21"/>
          <w:szCs w:val="21"/>
          <w:highlight w:val="none"/>
        </w:rPr>
        <w:t>条款号：</w:t>
      </w:r>
      <w:r>
        <w:rPr>
          <w:rFonts w:hint="eastAsia" w:ascii="宋体" w:hAnsi="宋体" w:cs="宋体"/>
          <w:b/>
          <w:bCs/>
          <w:color w:val="auto"/>
          <w:sz w:val="21"/>
          <w:szCs w:val="21"/>
          <w:highlight w:val="none"/>
        </w:rPr>
        <w:t>17</w:t>
      </w:r>
      <w:r>
        <w:rPr>
          <w:rFonts w:hint="eastAsia" w:ascii="宋体" w:hAnsi="宋体" w:cs="宋体"/>
          <w:b/>
          <w:color w:val="auto"/>
          <w:sz w:val="21"/>
          <w:szCs w:val="21"/>
          <w:highlight w:val="none"/>
        </w:rPr>
        <w:t xml:space="preserve">                          修改类型：修改</w:t>
      </w:r>
    </w:p>
    <w:p>
      <w:pPr>
        <w:keepNext w:val="0"/>
        <w:keepLines w:val="0"/>
        <w:pageBreakBefore w:val="0"/>
        <w:widowControl w:val="0"/>
        <w:wordWrap/>
        <w:topLinePunct w:val="0"/>
        <w:autoSpaceDE/>
        <w:autoSpaceDN/>
        <w:bidi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Cs w:val="21"/>
          <w:highlight w:val="none"/>
        </w:rPr>
        <w:t>17．</w:t>
      </w:r>
      <w:r>
        <w:rPr>
          <w:rFonts w:hint="eastAsia" w:ascii="宋体" w:hAnsi="宋体" w:cs="宋体"/>
          <w:b/>
          <w:color w:val="auto"/>
          <w:szCs w:val="21"/>
          <w:highlight w:val="none"/>
        </w:rPr>
        <w:t xml:space="preserve">投标文件的签署   </w:t>
      </w:r>
    </w:p>
    <w:p>
      <w:pPr>
        <w:keepNext w:val="0"/>
        <w:keepLines w:val="0"/>
        <w:pageBreakBefore w:val="0"/>
        <w:widowControl w:val="0"/>
        <w:wordWrap/>
        <w:topLinePunct w:val="0"/>
        <w:autoSpaceDE/>
        <w:autoSpaceDN/>
        <w:bidi w:val="0"/>
        <w:snapToGrid w:val="0"/>
        <w:spacing w:line="360" w:lineRule="auto"/>
        <w:ind w:firstLine="420" w:firstLineChars="200"/>
        <w:rPr>
          <w:rFonts w:ascii="宋体" w:hAnsi="宋体" w:cs="宋体"/>
          <w:bCs/>
          <w:color w:val="auto"/>
          <w:kern w:val="0"/>
          <w:szCs w:val="21"/>
          <w:highlight w:val="none"/>
        </w:rPr>
      </w:pPr>
      <w:r>
        <w:rPr>
          <w:rFonts w:hint="eastAsia" w:ascii="宋体" w:hAnsi="宋体" w:cs="宋体"/>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keepNext w:val="0"/>
        <w:keepLines w:val="0"/>
        <w:pageBreakBefore w:val="0"/>
        <w:widowControl w:val="0"/>
        <w:wordWrap/>
        <w:topLinePunct w:val="0"/>
        <w:autoSpaceDE/>
        <w:autoSpaceDN/>
        <w:bidi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现文：17．投标文件的签署</w:t>
      </w:r>
      <w:r>
        <w:rPr>
          <w:rFonts w:hint="eastAsia" w:ascii="宋体" w:hAnsi="宋体" w:cs="宋体"/>
          <w:b/>
          <w:color w:val="auto"/>
          <w:szCs w:val="21"/>
          <w:highlight w:val="none"/>
          <w:u w:val="single"/>
        </w:rPr>
        <w:t>及份数</w:t>
      </w:r>
    </w:p>
    <w:p>
      <w:pPr>
        <w:keepNext w:val="0"/>
        <w:keepLines w:val="0"/>
        <w:pageBreakBefore w:val="0"/>
        <w:widowControl w:val="0"/>
        <w:wordWrap/>
        <w:topLinePunct w:val="0"/>
        <w:autoSpaceDE/>
        <w:autoSpaceDN/>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17.1</w:t>
      </w:r>
      <w:r>
        <w:rPr>
          <w:rFonts w:hint="eastAsia" w:ascii="宋体" w:hAnsi="宋体" w:eastAsia="宋体" w:cs="宋体"/>
          <w:color w:val="auto"/>
          <w:szCs w:val="21"/>
          <w:highlight w:val="none"/>
        </w:rPr>
        <w:t>投标人应采用单位数字证书，</w:t>
      </w:r>
      <w:r>
        <w:rPr>
          <w:rFonts w:hint="eastAsia" w:ascii="宋体" w:hAnsi="宋体" w:eastAsia="宋体" w:cs="宋体"/>
          <w:b/>
          <w:bCs/>
          <w:color w:val="auto"/>
          <w:szCs w:val="21"/>
          <w:highlight w:val="none"/>
          <w:u w:val="single"/>
        </w:rPr>
        <w:t>对投标文件</w:t>
      </w:r>
      <w:r>
        <w:rPr>
          <w:rFonts w:hint="eastAsia" w:ascii="宋体" w:hAnsi="宋体" w:eastAsia="宋体" w:cs="宋体"/>
          <w:color w:val="auto"/>
          <w:szCs w:val="21"/>
          <w:highlight w:val="none"/>
        </w:rPr>
        <w:t>加盖电子印章。投标文件</w:t>
      </w:r>
      <w:r>
        <w:rPr>
          <w:rFonts w:hint="eastAsia" w:ascii="宋体" w:hAnsi="宋体" w:eastAsia="宋体" w:cs="宋体"/>
          <w:b/>
          <w:bCs/>
          <w:color w:val="auto"/>
          <w:szCs w:val="21"/>
          <w:highlight w:val="none"/>
          <w:u w:val="single"/>
        </w:rPr>
        <w:t>（含资格审查文件）</w:t>
      </w:r>
      <w:r>
        <w:rPr>
          <w:rFonts w:hint="eastAsia" w:ascii="宋体" w:hAnsi="宋体" w:eastAsia="宋体" w:cs="宋体"/>
          <w:color w:val="auto"/>
          <w:szCs w:val="21"/>
          <w:highlight w:val="none"/>
        </w:rPr>
        <w:t>中需个人签字或盖章的，应加盖个人电子印章或在线下完成后</w:t>
      </w:r>
      <w:r>
        <w:rPr>
          <w:rFonts w:hint="eastAsia" w:ascii="宋体" w:hAnsi="宋体" w:eastAsia="宋体" w:cs="宋体"/>
          <w:b/>
          <w:bCs/>
          <w:color w:val="auto"/>
          <w:szCs w:val="21"/>
          <w:highlight w:val="none"/>
          <w:u w:val="single"/>
        </w:rPr>
        <w:t>原件</w:t>
      </w:r>
      <w:r>
        <w:rPr>
          <w:rFonts w:hint="eastAsia" w:ascii="宋体" w:hAnsi="宋体" w:eastAsia="宋体" w:cs="宋体"/>
          <w:color w:val="auto"/>
          <w:szCs w:val="21"/>
          <w:highlight w:val="none"/>
        </w:rPr>
        <w:t>扫描上传。按照</w:t>
      </w:r>
      <w:r>
        <w:rPr>
          <w:rFonts w:hint="eastAsia" w:ascii="宋体" w:hAnsi="宋体" w:eastAsia="宋体" w:cs="宋体"/>
          <w:b/>
          <w:bCs/>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交易平台关于全流程电子化项目的相关指南进行操作。详见：</w:t>
      </w:r>
      <w:r>
        <w:rPr>
          <w:rFonts w:hint="eastAsia" w:ascii="宋体" w:hAnsi="宋体" w:eastAsia="宋体" w:cs="宋体"/>
          <w:b/>
          <w:bCs/>
          <w:color w:val="auto"/>
          <w:szCs w:val="21"/>
          <w:highlight w:val="none"/>
          <w:u w:val="single"/>
        </w:rPr>
        <w:t>广州交易集团有限公司（广州公共资源交易中心）网站最新指引。</w:t>
      </w:r>
    </w:p>
    <w:p>
      <w:pPr>
        <w:keepNext w:val="0"/>
        <w:keepLines w:val="0"/>
        <w:pageBreakBefore w:val="0"/>
        <w:widowControl w:val="0"/>
        <w:pBdr>
          <w:bottom w:val="single" w:color="auto" w:sz="4" w:space="0"/>
        </w:pBdr>
        <w:wordWrap/>
        <w:topLinePunct w:val="0"/>
        <w:autoSpaceDE/>
        <w:autoSpaceDN/>
        <w:bidi w:val="0"/>
        <w:snapToGrid w:val="0"/>
        <w:spacing w:line="360" w:lineRule="auto"/>
        <w:ind w:firstLine="422" w:firstLineChars="200"/>
        <w:rPr>
          <w:rFonts w:ascii="宋体" w:hAnsi="宋体" w:cs="宋体"/>
          <w:b/>
          <w:color w:val="auto"/>
          <w:szCs w:val="21"/>
          <w:highlight w:val="none"/>
        </w:rPr>
      </w:pPr>
      <w:r>
        <w:rPr>
          <w:rFonts w:hint="eastAsia" w:ascii="宋体" w:hAnsi="宋体" w:eastAsia="宋体" w:cs="宋体"/>
          <w:b/>
          <w:bCs/>
          <w:color w:val="auto"/>
          <w:szCs w:val="21"/>
          <w:highlight w:val="none"/>
          <w:u w:val="single"/>
        </w:rPr>
        <w:t>17.2投标文件份数为含电子印章的加密电子投标文件1套。中标人在签订合同前需向招标人另行提供与投标递交的电子标书一致且加盖单位公章的纸质投标文件（含投标人须知11.3列表明细包含的所有工程量清单报价表）4份及电子文件1份（不用生成投标书；包括用Microsoft Excel 软件或广州交易集团有限公司（广州公共资源交易中心）提供的投标书制作软件制作的工程量清单报价表和单价分析表，用 Microsoft Word 软件或广州交易集团有限公司（广州公共资源交易中心）提供的投标书制作软件制作的经济投标文件其他部分。电子文件介质使用CD-R光盘</w:t>
      </w:r>
      <w:r>
        <w:rPr>
          <w:rFonts w:hint="eastAsia" w:ascii="宋体" w:hAnsi="宋体" w:cs="宋体"/>
          <w:b/>
          <w:bCs w:val="0"/>
          <w:color w:val="auto"/>
          <w:kern w:val="0"/>
          <w:szCs w:val="21"/>
          <w:highlight w:val="none"/>
          <w:u w:val="single"/>
          <w:lang w:val="en-US" w:eastAsia="zh-CN"/>
        </w:rPr>
        <w:t>（或U盘）</w:t>
      </w:r>
      <w:r>
        <w:rPr>
          <w:rFonts w:hint="eastAsia" w:ascii="宋体" w:hAnsi="宋体" w:eastAsia="宋体" w:cs="宋体"/>
          <w:b/>
          <w:bCs/>
          <w:color w:val="auto"/>
          <w:szCs w:val="21"/>
          <w:highlight w:val="none"/>
          <w:u w:val="single"/>
        </w:rPr>
        <w:t>，所有电子文件不能采用压缩处理）。</w:t>
      </w:r>
    </w:p>
    <w:p>
      <w:pPr>
        <w:keepNext w:val="0"/>
        <w:keepLines w:val="0"/>
        <w:pageBreakBefore w:val="0"/>
        <w:widowControl w:val="0"/>
        <w:wordWrap/>
        <w:topLinePunct w:val="0"/>
        <w:autoSpaceDE/>
        <w:autoSpaceDN/>
        <w:bidi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bCs/>
          <w:color w:val="auto"/>
          <w:szCs w:val="21"/>
          <w:highlight w:val="none"/>
        </w:rPr>
        <w:t>18.</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pPr>
        <w:keepNext w:val="0"/>
        <w:keepLines w:val="0"/>
        <w:pageBreakBefore w:val="0"/>
        <w:widowControl w:val="0"/>
        <w:wordWrap/>
        <w:topLinePunct w:val="0"/>
        <w:autoSpaceDE/>
        <w:autoSpaceDN/>
        <w:bidi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原文：18．投标文件的密封和标记</w:t>
      </w:r>
    </w:p>
    <w:p>
      <w:pPr>
        <w:keepNext w:val="0"/>
        <w:keepLines w:val="0"/>
        <w:pageBreakBefore w:val="0"/>
        <w:widowControl w:val="0"/>
        <w:wordWrap/>
        <w:topLinePunct w:val="0"/>
        <w:autoSpaceDE/>
        <w:autoSpaceDN/>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18.1递交的电子投标文件（不含备用光盘）必须进行加密。按照交易平台关于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keepNext w:val="0"/>
        <w:keepLines w:val="0"/>
        <w:pageBreakBefore w:val="0"/>
        <w:widowControl w:val="0"/>
        <w:wordWrap/>
        <w:topLinePunct w:val="0"/>
        <w:autoSpaceDE/>
        <w:autoSpaceDN/>
        <w:bidi w:val="0"/>
        <w:snapToGrid w:val="0"/>
        <w:spacing w:line="360" w:lineRule="auto"/>
        <w:ind w:firstLine="411" w:firstLineChars="196"/>
        <w:rPr>
          <w:rFonts w:ascii="宋体" w:hAnsi="宋体" w:cs="宋体"/>
          <w:bCs/>
          <w:color w:val="auto"/>
          <w:szCs w:val="21"/>
          <w:highlight w:val="none"/>
        </w:rPr>
      </w:pPr>
      <w:r>
        <w:rPr>
          <w:rFonts w:hint="eastAsia" w:ascii="宋体" w:hAnsi="宋体" w:cs="宋体"/>
          <w:color w:val="auto"/>
          <w:szCs w:val="21"/>
          <w:highlight w:val="none"/>
        </w:rPr>
        <w:t>18.2</w:t>
      </w:r>
      <w:r>
        <w:rPr>
          <w:rFonts w:hint="eastAsia" w:ascii="宋体" w:hAnsi="宋体" w:cs="宋体"/>
          <w:bCs/>
          <w:color w:val="auto"/>
          <w:szCs w:val="21"/>
          <w:highlight w:val="none"/>
        </w:rPr>
        <w:t>未按要求加密的投标文件，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keepNext w:val="0"/>
        <w:keepLines w:val="0"/>
        <w:pageBreakBefore w:val="0"/>
        <w:widowControl w:val="0"/>
        <w:pBdr>
          <w:bottom w:val="single" w:color="auto" w:sz="6" w:space="1"/>
        </w:pBdr>
        <w:wordWrap/>
        <w:topLinePunct w:val="0"/>
        <w:autoSpaceDE/>
        <w:autoSpaceDN/>
        <w:bidi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现文：18．</w:t>
      </w:r>
      <w:r>
        <w:rPr>
          <w:rFonts w:hint="eastAsia" w:ascii="宋体" w:hAnsi="宋体" w:eastAsia="宋体" w:cs="宋体"/>
          <w:b/>
          <w:bCs/>
          <w:color w:val="auto"/>
          <w:szCs w:val="21"/>
          <w:highlight w:val="none"/>
          <w:u w:val="single"/>
        </w:rPr>
        <w:t>电子</w:t>
      </w:r>
      <w:r>
        <w:rPr>
          <w:rFonts w:hint="eastAsia" w:ascii="宋体" w:hAnsi="宋体" w:cs="宋体"/>
          <w:b/>
          <w:color w:val="auto"/>
          <w:szCs w:val="21"/>
          <w:highlight w:val="none"/>
        </w:rPr>
        <w:t>投标文件的密封和标记</w:t>
      </w:r>
    </w:p>
    <w:p>
      <w:pPr>
        <w:keepNext w:val="0"/>
        <w:keepLines w:val="0"/>
        <w:pageBreakBefore w:val="0"/>
        <w:widowControl w:val="0"/>
        <w:pBdr>
          <w:bottom w:val="single" w:color="auto" w:sz="6" w:space="1"/>
        </w:pBdr>
        <w:wordWrap/>
        <w:topLinePunct w:val="0"/>
        <w:autoSpaceDE/>
        <w:autoSpaceDN/>
        <w:bidi w:val="0"/>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18.1</w:t>
      </w:r>
      <w:r>
        <w:rPr>
          <w:rFonts w:hint="eastAsia" w:ascii="宋体" w:hAnsi="宋体" w:cs="宋体"/>
          <w:bCs/>
          <w:color w:val="auto"/>
          <w:szCs w:val="21"/>
          <w:highlight w:val="none"/>
        </w:rPr>
        <w:t>递交的电子投标文件（不含备用光盘</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或U盘）</w:t>
      </w:r>
      <w:r>
        <w:rPr>
          <w:rFonts w:hint="eastAsia" w:ascii="宋体" w:hAnsi="宋体" w:cs="宋体"/>
          <w:bCs/>
          <w:color w:val="auto"/>
          <w:szCs w:val="21"/>
          <w:highlight w:val="none"/>
        </w:rPr>
        <w:t>）必须进行加密。按照</w:t>
      </w:r>
      <w:r>
        <w:rPr>
          <w:rFonts w:hint="eastAsia" w:ascii="宋体" w:hAnsi="宋体" w:cs="宋体"/>
          <w:b/>
          <w:bCs/>
          <w:color w:val="auto"/>
          <w:szCs w:val="21"/>
          <w:highlight w:val="none"/>
          <w:u w:val="single"/>
        </w:rPr>
        <w:t>广州交易集团有限公司（广州公共资源交易中心）</w:t>
      </w:r>
      <w:r>
        <w:rPr>
          <w:rFonts w:hint="eastAsia" w:ascii="宋体" w:hAnsi="宋体" w:cs="宋体"/>
          <w:bCs/>
          <w:color w:val="auto"/>
          <w:szCs w:val="21"/>
          <w:highlight w:val="none"/>
        </w:rPr>
        <w:t>交易平台关于</w:t>
      </w:r>
      <w:r>
        <w:rPr>
          <w:rFonts w:hint="eastAsia" w:ascii="宋体" w:hAnsi="宋体" w:cs="宋体"/>
          <w:color w:val="auto"/>
          <w:szCs w:val="21"/>
          <w:highlight w:val="none"/>
        </w:rPr>
        <w:t>全流程电子化项目的相关指南进行操作。详见：</w:t>
      </w:r>
      <w:r>
        <w:rPr>
          <w:rFonts w:hint="eastAsia" w:ascii="宋体" w:hAnsi="宋体" w:cs="宋体"/>
          <w:b/>
          <w:bCs/>
          <w:color w:val="auto"/>
          <w:szCs w:val="21"/>
          <w:highlight w:val="none"/>
          <w:u w:val="single"/>
        </w:rPr>
        <w:t>广州交易集团有限公司（广州公共资源交易中心）网站最新指引</w:t>
      </w:r>
      <w:r>
        <w:rPr>
          <w:rFonts w:hint="eastAsia" w:ascii="宋体" w:hAnsi="宋体" w:cs="宋体"/>
          <w:bCs/>
          <w:color w:val="auto"/>
          <w:szCs w:val="21"/>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18.2</w:t>
      </w:r>
      <w:r>
        <w:rPr>
          <w:rFonts w:hint="eastAsia" w:ascii="宋体" w:hAnsi="宋体" w:cs="宋体"/>
          <w:bCs/>
          <w:color w:val="auto"/>
          <w:szCs w:val="21"/>
          <w:highlight w:val="none"/>
        </w:rPr>
        <w:t>未按要求加密的投标文件，</w:t>
      </w:r>
      <w:r>
        <w:rPr>
          <w:rFonts w:hint="eastAsia" w:ascii="宋体" w:hAnsi="宋体" w:cs="宋体"/>
          <w:b/>
          <w:bCs/>
          <w:color w:val="auto"/>
          <w:szCs w:val="21"/>
          <w:highlight w:val="none"/>
          <w:u w:val="single"/>
        </w:rPr>
        <w:t>广州交易集团有限公司（广州公共资源交易中心）</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r>
        <w:rPr>
          <w:rFonts w:hint="eastAsia" w:ascii="宋体" w:hAnsi="宋体" w:cs="宋体"/>
          <w:color w:val="auto"/>
          <w:szCs w:val="21"/>
          <w:highlight w:val="none"/>
        </w:rPr>
        <w:t>。</w:t>
      </w:r>
    </w:p>
    <w:p>
      <w:pPr>
        <w:keepNext w:val="0"/>
        <w:keepLines w:val="0"/>
        <w:pageBreakBefore w:val="0"/>
        <w:widowControl w:val="0"/>
        <w:pBdr>
          <w:bottom w:val="single" w:color="auto" w:sz="4" w:space="0"/>
        </w:pBdr>
        <w:kinsoku/>
        <w:wordWrap/>
        <w:overflowPunct/>
        <w:topLinePunct w:val="0"/>
        <w:autoSpaceDE/>
        <w:autoSpaceDN/>
        <w:bidi w:val="0"/>
        <w:adjustRightInd/>
        <w:snapToGrid w:val="0"/>
        <w:spacing w:line="360" w:lineRule="auto"/>
        <w:ind w:firstLine="420" w:firstLineChars="200"/>
        <w:textAlignment w:val="auto"/>
        <w:rPr>
          <w:rFonts w:ascii="宋体" w:hAnsi="宋体" w:cs="宋体"/>
          <w:bCs/>
          <w:color w:val="auto"/>
          <w:szCs w:val="21"/>
          <w:highlight w:val="none"/>
          <w:u w:val="single"/>
        </w:rPr>
      </w:pPr>
      <w:r>
        <w:rPr>
          <w:rFonts w:hint="eastAsia" w:ascii="宋体" w:hAnsi="宋体" w:cs="宋体"/>
          <w:bCs/>
          <w:color w:val="auto"/>
          <w:szCs w:val="21"/>
          <w:highlight w:val="none"/>
          <w:u w:val="single"/>
        </w:rPr>
        <w:t>18.3投标人可制作非加密的电子投标文件（含电子定标文件）光盘</w:t>
      </w:r>
      <w:r>
        <w:rPr>
          <w:rFonts w:hint="eastAsia" w:ascii="宋体" w:hAnsi="宋体" w:cs="宋体"/>
          <w:bCs/>
          <w:color w:val="auto"/>
          <w:szCs w:val="21"/>
          <w:highlight w:val="none"/>
          <w:u w:val="single"/>
          <w:lang w:eastAsia="zh-CN"/>
        </w:rPr>
        <w:t>（或</w:t>
      </w:r>
      <w:r>
        <w:rPr>
          <w:rFonts w:hint="eastAsia" w:ascii="宋体" w:hAnsi="宋体" w:cs="宋体"/>
          <w:bCs/>
          <w:color w:val="auto"/>
          <w:szCs w:val="21"/>
          <w:highlight w:val="none"/>
          <w:u w:val="single"/>
          <w:lang w:val="en-US" w:eastAsia="zh-CN"/>
        </w:rPr>
        <w:t>U盘</w:t>
      </w:r>
      <w:r>
        <w:rPr>
          <w:rFonts w:hint="eastAsia" w:ascii="宋体" w:hAnsi="宋体" w:cs="宋体"/>
          <w:bCs/>
          <w:color w:val="auto"/>
          <w:szCs w:val="21"/>
          <w:highlight w:val="none"/>
          <w:u w:val="single"/>
          <w:lang w:eastAsia="zh-CN"/>
        </w:rPr>
        <w:t>）</w:t>
      </w:r>
      <w:r>
        <w:rPr>
          <w:rFonts w:hint="eastAsia" w:ascii="宋体" w:hAnsi="宋体" w:cs="宋体"/>
          <w:bCs/>
          <w:color w:val="auto"/>
          <w:szCs w:val="21"/>
          <w:highlight w:val="none"/>
          <w:u w:val="single"/>
        </w:rPr>
        <w:t>备用，制作要求详见投标须知前附表第</w:t>
      </w:r>
      <w:r>
        <w:rPr>
          <w:rFonts w:hint="eastAsia" w:ascii="宋体" w:hAnsi="宋体" w:cs="宋体"/>
          <w:bCs/>
          <w:color w:val="auto"/>
          <w:szCs w:val="21"/>
          <w:highlight w:val="none"/>
          <w:u w:val="single"/>
          <w:lang w:eastAsia="zh-CN"/>
        </w:rPr>
        <w:t>3</w:t>
      </w:r>
      <w:r>
        <w:rPr>
          <w:rFonts w:hint="eastAsia" w:ascii="宋体" w:hAnsi="宋体" w:cs="宋体"/>
          <w:bCs/>
          <w:color w:val="auto"/>
          <w:szCs w:val="21"/>
          <w:highlight w:val="none"/>
          <w:u w:val="single"/>
          <w:lang w:val="en-US" w:eastAsia="zh-CN"/>
        </w:rPr>
        <w:t>7</w:t>
      </w:r>
      <w:r>
        <w:rPr>
          <w:rFonts w:hint="eastAsia" w:ascii="宋体" w:hAnsi="宋体" w:cs="宋体"/>
          <w:bCs/>
          <w:color w:val="auto"/>
          <w:szCs w:val="21"/>
          <w:highlight w:val="none"/>
          <w:u w:val="single"/>
        </w:rPr>
        <w:t>项。</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 xml:space="preserve">条款号：19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pPr>
        <w:keepNext w:val="0"/>
        <w:keepLines w:val="0"/>
        <w:pageBreakBefore w:val="0"/>
        <w:widowControl w:val="0"/>
        <w:pBdr>
          <w:top w:val="none" w:color="auto" w:sz="0" w:space="0"/>
          <w:left w:val="none" w:color="auto" w:sz="0" w:space="0"/>
          <w:bottom w:val="none" w:color="auto" w:sz="0" w:space="1"/>
          <w:right w:val="none" w:color="auto" w:sz="0" w:space="0"/>
          <w:between w:val="none" w:color="auto" w:sz="0" w:space="0"/>
        </w:pBdr>
        <w:wordWrap/>
        <w:topLinePunct w:val="0"/>
        <w:autoSpaceDE/>
        <w:autoSpaceDN/>
        <w:bidi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原文：19.投标文件的递交和接收</w:t>
      </w:r>
    </w:p>
    <w:p>
      <w:pPr>
        <w:keepNext w:val="0"/>
        <w:keepLines w:val="0"/>
        <w:pageBreakBefore w:val="0"/>
        <w:widowControl w:val="0"/>
        <w:pBdr>
          <w:top w:val="none" w:color="auto" w:sz="0" w:space="0"/>
          <w:left w:val="none" w:color="auto" w:sz="0" w:space="0"/>
          <w:bottom w:val="none" w:color="auto" w:sz="0" w:space="1"/>
          <w:right w:val="none" w:color="auto" w:sz="0" w:space="0"/>
          <w:between w:val="none" w:color="auto" w:sz="0" w:space="0"/>
        </w:pBdr>
        <w:wordWrap/>
        <w:topLinePunct w:val="0"/>
        <w:autoSpaceDE/>
        <w:autoSpaceDN/>
        <w:bidi w:val="0"/>
        <w:snapToGrid w:val="0"/>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rPr>
        <w:t>1</w:t>
      </w:r>
      <w:r>
        <w:rPr>
          <w:rFonts w:hint="eastAsia" w:ascii="宋体" w:hAnsi="宋体" w:cs="宋体"/>
          <w:bCs/>
          <w:color w:val="auto"/>
          <w:szCs w:val="21"/>
          <w:highlight w:val="none"/>
        </w:rPr>
        <w:t>9</w:t>
      </w:r>
      <w:r>
        <w:rPr>
          <w:rFonts w:ascii="宋体" w:hAnsi="宋体" w:cs="宋体"/>
          <w:bCs/>
          <w:color w:val="auto"/>
          <w:szCs w:val="21"/>
          <w:highlight w:val="none"/>
        </w:rPr>
        <w:t>.</w:t>
      </w:r>
      <w:r>
        <w:rPr>
          <w:rFonts w:hint="eastAsia" w:ascii="宋体" w:hAnsi="宋体" w:cs="宋体"/>
          <w:bCs/>
          <w:color w:val="auto"/>
          <w:szCs w:val="21"/>
          <w:highlight w:val="none"/>
        </w:rPr>
        <w:t>1投标人通过</w:t>
      </w:r>
      <w:r>
        <w:rPr>
          <w:rFonts w:ascii="宋体" w:hAnsi="宋体" w:cs="宋体"/>
          <w:color w:val="auto"/>
          <w:szCs w:val="21"/>
          <w:highlight w:val="none"/>
          <w:u w:val="single"/>
        </w:rPr>
        <w:t xml:space="preserve">        </w:t>
      </w:r>
      <w:r>
        <w:rPr>
          <w:rFonts w:hint="eastAsia" w:ascii="宋体" w:hAnsi="宋体" w:cs="宋体"/>
          <w:color w:val="auto"/>
          <w:szCs w:val="21"/>
          <w:highlight w:val="none"/>
        </w:rPr>
        <w:t>交易平台递交电子投标文件。</w:t>
      </w:r>
    </w:p>
    <w:p>
      <w:pPr>
        <w:keepNext w:val="0"/>
        <w:keepLines w:val="0"/>
        <w:pageBreakBefore w:val="0"/>
        <w:widowControl w:val="0"/>
        <w:pBdr>
          <w:top w:val="none" w:color="auto" w:sz="0" w:space="0"/>
          <w:left w:val="none" w:color="auto" w:sz="0" w:space="0"/>
          <w:bottom w:val="none" w:color="auto" w:sz="0" w:space="1"/>
          <w:right w:val="none" w:color="auto" w:sz="0" w:space="0"/>
          <w:between w:val="none" w:color="auto" w:sz="0" w:space="0"/>
        </w:pBdr>
        <w:wordWrap/>
        <w:topLinePunct w:val="0"/>
        <w:autoSpaceDE/>
        <w:autoSpaceDN/>
        <w:bidi w:val="0"/>
        <w:snapToGrid w:val="0"/>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rPr>
        <w:t>1</w:t>
      </w:r>
      <w:r>
        <w:rPr>
          <w:rFonts w:hint="eastAsia" w:ascii="宋体" w:hAnsi="宋体" w:cs="宋体"/>
          <w:bCs/>
          <w:color w:val="auto"/>
          <w:szCs w:val="21"/>
          <w:highlight w:val="none"/>
        </w:rPr>
        <w:t>9</w:t>
      </w:r>
      <w:r>
        <w:rPr>
          <w:rFonts w:ascii="宋体" w:hAnsi="宋体" w:cs="宋体"/>
          <w:bCs/>
          <w:color w:val="auto"/>
          <w:szCs w:val="21"/>
          <w:highlight w:val="none"/>
        </w:rPr>
        <w:t>.</w:t>
      </w:r>
      <w:r>
        <w:rPr>
          <w:rFonts w:hint="eastAsia" w:ascii="宋体" w:hAnsi="宋体" w:cs="宋体"/>
          <w:bCs/>
          <w:color w:val="auto"/>
          <w:szCs w:val="21"/>
          <w:highlight w:val="none"/>
        </w:rPr>
        <w:t>2投标人完成电子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ascii="宋体" w:hAnsi="宋体" w:cs="宋体"/>
          <w:color w:val="auto"/>
          <w:szCs w:val="21"/>
          <w:highlight w:val="none"/>
          <w:u w:val="single"/>
        </w:rPr>
        <w:t xml:space="preserve">        </w:t>
      </w:r>
      <w:r>
        <w:rPr>
          <w:rFonts w:hint="eastAsia" w:ascii="宋体" w:hAnsi="宋体" w:cs="宋体"/>
          <w:color w:val="auto"/>
          <w:szCs w:val="21"/>
          <w:highlight w:val="none"/>
        </w:rPr>
        <w:t>交易平台即时向投标人发出递交回执通知。递交时间以递交回执通知载明的传输完成时间为准。</w:t>
      </w:r>
    </w:p>
    <w:p>
      <w:pPr>
        <w:keepNext w:val="0"/>
        <w:keepLines w:val="0"/>
        <w:pageBreakBefore w:val="0"/>
        <w:widowControl w:val="0"/>
        <w:pBdr>
          <w:top w:val="none" w:color="auto" w:sz="0" w:space="0"/>
          <w:left w:val="none" w:color="auto" w:sz="0" w:space="0"/>
          <w:bottom w:val="none" w:color="auto" w:sz="0" w:space="1"/>
          <w:right w:val="none" w:color="auto" w:sz="0" w:space="0"/>
          <w:between w:val="none" w:color="auto" w:sz="0" w:space="0"/>
        </w:pBdr>
        <w:wordWrap/>
        <w:topLinePunct w:val="0"/>
        <w:autoSpaceDE/>
        <w:autoSpaceDN/>
        <w:bidi w:val="0"/>
        <w:snapToGrid w:val="0"/>
        <w:spacing w:line="360" w:lineRule="auto"/>
        <w:ind w:firstLine="420" w:firstLineChars="200"/>
        <w:rPr>
          <w:rFonts w:ascii="宋体" w:hAnsi="宋体" w:cs="宋体"/>
          <w:color w:val="auto"/>
          <w:szCs w:val="21"/>
          <w:highlight w:val="none"/>
        </w:rPr>
      </w:pPr>
      <w:r>
        <w:rPr>
          <w:rFonts w:ascii="宋体" w:hAnsi="宋体" w:cs="宋体"/>
          <w:bCs/>
          <w:color w:val="auto"/>
          <w:szCs w:val="21"/>
          <w:highlight w:val="none"/>
        </w:rPr>
        <w:t>1</w:t>
      </w:r>
      <w:r>
        <w:rPr>
          <w:rFonts w:hint="eastAsia" w:ascii="宋体" w:hAnsi="宋体" w:cs="宋体"/>
          <w:bCs/>
          <w:color w:val="auto"/>
          <w:szCs w:val="21"/>
          <w:highlight w:val="none"/>
        </w:rPr>
        <w:t>9</w:t>
      </w:r>
      <w:r>
        <w:rPr>
          <w:rFonts w:ascii="宋体" w:hAnsi="宋体" w:cs="宋体"/>
          <w:bCs/>
          <w:color w:val="auto"/>
          <w:szCs w:val="21"/>
          <w:highlight w:val="none"/>
        </w:rPr>
        <w:t>.</w:t>
      </w:r>
      <w:r>
        <w:rPr>
          <w:rFonts w:hint="eastAsia" w:ascii="宋体" w:hAnsi="宋体" w:cs="宋体"/>
          <w:bCs/>
          <w:color w:val="auto"/>
          <w:szCs w:val="21"/>
          <w:highlight w:val="none"/>
        </w:rPr>
        <w:t>3逾期送达的电子投标文件，</w:t>
      </w:r>
      <w:r>
        <w:rPr>
          <w:rFonts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p>
    <w:p>
      <w:pPr>
        <w:keepNext w:val="0"/>
        <w:keepLines w:val="0"/>
        <w:pageBreakBefore w:val="0"/>
        <w:widowControl w:val="0"/>
        <w:pBdr>
          <w:top w:val="none" w:color="auto" w:sz="0" w:space="0"/>
          <w:left w:val="none" w:color="auto" w:sz="0" w:space="0"/>
          <w:bottom w:val="none" w:color="auto" w:sz="0" w:space="1"/>
          <w:right w:val="none" w:color="auto" w:sz="0" w:space="0"/>
          <w:between w:val="none" w:color="auto" w:sz="0" w:space="0"/>
        </w:pBdr>
        <w:wordWrap/>
        <w:topLinePunct w:val="0"/>
        <w:autoSpaceDE/>
        <w:autoSpaceDN/>
        <w:bidi w:val="0"/>
        <w:snapToGrid w:val="0"/>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19.</w:t>
      </w:r>
      <w:r>
        <w:rPr>
          <w:rFonts w:hint="eastAsia" w:ascii="宋体" w:hAnsi="宋体" w:cs="宋体"/>
          <w:color w:val="auto"/>
          <w:szCs w:val="21"/>
          <w:highlight w:val="none"/>
        </w:rPr>
        <w:t>4</w:t>
      </w:r>
      <w:r>
        <w:rPr>
          <w:rFonts w:ascii="宋体" w:hAnsi="宋体" w:cs="宋体"/>
          <w:color w:val="auto"/>
          <w:szCs w:val="21"/>
          <w:highlight w:val="none"/>
        </w:rPr>
        <w:t xml:space="preserve"> </w:t>
      </w:r>
      <w:r>
        <w:rPr>
          <w:rFonts w:hint="eastAsia" w:ascii="宋体" w:hAnsi="宋体" w:cs="宋体"/>
          <w:color w:val="auto"/>
          <w:szCs w:val="21"/>
          <w:highlight w:val="none"/>
        </w:rPr>
        <w:t>投标截止前，招标人拒绝接收符合条件的投标文件，投标人可向招标投标监督机构投诉。</w:t>
      </w:r>
    </w:p>
    <w:p>
      <w:pPr>
        <w:keepNext w:val="0"/>
        <w:keepLines w:val="0"/>
        <w:pageBreakBefore w:val="0"/>
        <w:widowControl w:val="0"/>
        <w:pBdr>
          <w:top w:val="none" w:color="auto" w:sz="0" w:space="0"/>
          <w:left w:val="none" w:color="auto" w:sz="0" w:space="0"/>
          <w:bottom w:val="none" w:color="auto" w:sz="0" w:space="1"/>
          <w:right w:val="none" w:color="auto" w:sz="0" w:space="0"/>
          <w:between w:val="none" w:color="auto" w:sz="0" w:space="0"/>
        </w:pBdr>
        <w:wordWrap/>
        <w:topLinePunct w:val="0"/>
        <w:autoSpaceDE/>
        <w:autoSpaceDN/>
        <w:bidi w:val="0"/>
        <w:snapToGrid w:val="0"/>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19.</w:t>
      </w:r>
      <w:r>
        <w:rPr>
          <w:rFonts w:hint="eastAsia" w:ascii="宋体" w:hAnsi="宋体" w:cs="宋体"/>
          <w:color w:val="auto"/>
          <w:szCs w:val="21"/>
          <w:highlight w:val="none"/>
        </w:rPr>
        <w:t>5如技术标和经济标先后分别开启，</w:t>
      </w:r>
      <w:r>
        <w:rPr>
          <w:rFonts w:ascii="宋体" w:hAnsi="宋体" w:cs="宋体"/>
          <w:color w:val="auto"/>
          <w:szCs w:val="21"/>
          <w:highlight w:val="none"/>
          <w:u w:val="single"/>
        </w:rPr>
        <w:t xml:space="preserve">        </w:t>
      </w:r>
      <w:r>
        <w:rPr>
          <w:rFonts w:hint="eastAsia" w:ascii="宋体" w:hAnsi="宋体" w:cs="宋体"/>
          <w:color w:val="auto"/>
          <w:szCs w:val="21"/>
          <w:highlight w:val="none"/>
        </w:rPr>
        <w:t>交易平台将按招标文件规定的时间分别开启技术标和经济标。</w:t>
      </w:r>
    </w:p>
    <w:p>
      <w:pPr>
        <w:keepNext w:val="0"/>
        <w:keepLines w:val="0"/>
        <w:pageBreakBefore w:val="0"/>
        <w:widowControl w:val="0"/>
        <w:pBdr>
          <w:top w:val="none" w:color="auto" w:sz="0" w:space="0"/>
          <w:left w:val="none" w:color="auto" w:sz="0" w:space="0"/>
          <w:bottom w:val="none" w:color="auto" w:sz="0" w:space="1"/>
          <w:right w:val="none" w:color="auto" w:sz="0" w:space="0"/>
          <w:between w:val="none" w:color="auto" w:sz="0" w:space="0"/>
        </w:pBdr>
        <w:wordWrap/>
        <w:topLinePunct w:val="0"/>
        <w:autoSpaceDE/>
        <w:autoSpaceDN/>
        <w:bidi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现文：19.</w:t>
      </w:r>
      <w:r>
        <w:rPr>
          <w:rFonts w:hint="eastAsia" w:ascii="宋体" w:hAnsi="宋体" w:cs="宋体"/>
          <w:b/>
          <w:color w:val="auto"/>
          <w:szCs w:val="21"/>
          <w:highlight w:val="none"/>
          <w:u w:val="single"/>
        </w:rPr>
        <w:t>投标登记和</w:t>
      </w:r>
      <w:r>
        <w:rPr>
          <w:rFonts w:hint="eastAsia" w:ascii="宋体" w:hAnsi="宋体" w:cs="宋体"/>
          <w:b/>
          <w:color w:val="auto"/>
          <w:szCs w:val="21"/>
          <w:highlight w:val="none"/>
        </w:rPr>
        <w:t>投标文件的递交和接收</w:t>
      </w:r>
    </w:p>
    <w:p>
      <w:pPr>
        <w:keepNext w:val="0"/>
        <w:keepLines w:val="0"/>
        <w:pageBreakBefore w:val="0"/>
        <w:widowControl w:val="0"/>
        <w:pBdr>
          <w:top w:val="none" w:color="auto" w:sz="0" w:space="0"/>
          <w:left w:val="none" w:color="auto" w:sz="0" w:space="0"/>
          <w:bottom w:val="none" w:color="auto" w:sz="0" w:space="1"/>
          <w:right w:val="none" w:color="auto" w:sz="0" w:space="0"/>
          <w:between w:val="none" w:color="auto" w:sz="0" w:space="0"/>
        </w:pBdr>
        <w:wordWrap/>
        <w:topLinePunct w:val="0"/>
        <w:autoSpaceDE/>
        <w:autoSpaceDN/>
        <w:bidi w:val="0"/>
        <w:snapToGrid w:val="0"/>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rPr>
        <w:t>1</w:t>
      </w:r>
      <w:r>
        <w:rPr>
          <w:rFonts w:hint="eastAsia" w:ascii="宋体" w:hAnsi="宋体" w:cs="宋体"/>
          <w:bCs/>
          <w:color w:val="auto"/>
          <w:szCs w:val="21"/>
          <w:highlight w:val="none"/>
        </w:rPr>
        <w:t>9</w:t>
      </w:r>
      <w:r>
        <w:rPr>
          <w:rFonts w:ascii="宋体" w:hAnsi="宋体" w:cs="宋体"/>
          <w:bCs/>
          <w:color w:val="auto"/>
          <w:szCs w:val="21"/>
          <w:highlight w:val="none"/>
        </w:rPr>
        <w:t>.</w:t>
      </w:r>
      <w:r>
        <w:rPr>
          <w:rFonts w:hint="eastAsia" w:ascii="宋体" w:hAnsi="宋体" w:cs="宋体"/>
          <w:bCs/>
          <w:color w:val="auto"/>
          <w:szCs w:val="21"/>
          <w:highlight w:val="none"/>
        </w:rPr>
        <w:t>1投标人通过</w:t>
      </w:r>
      <w:r>
        <w:rPr>
          <w:rFonts w:hint="eastAsia" w:ascii="宋体" w:hAnsi="宋体" w:cs="宋体"/>
          <w:b/>
          <w:bCs/>
          <w:color w:val="auto"/>
          <w:szCs w:val="21"/>
          <w:highlight w:val="none"/>
          <w:u w:val="single"/>
        </w:rPr>
        <w:t>广州交易集团有限公司（广州公共资源交易中心）</w:t>
      </w:r>
      <w:r>
        <w:rPr>
          <w:rFonts w:hint="eastAsia" w:ascii="宋体" w:hAnsi="宋体" w:cs="宋体"/>
          <w:color w:val="auto"/>
          <w:szCs w:val="21"/>
          <w:highlight w:val="none"/>
        </w:rPr>
        <w:t>交易平台递交电子投标文件。</w:t>
      </w:r>
    </w:p>
    <w:p>
      <w:pPr>
        <w:keepNext w:val="0"/>
        <w:keepLines w:val="0"/>
        <w:pageBreakBefore w:val="0"/>
        <w:widowControl w:val="0"/>
        <w:pBdr>
          <w:top w:val="none" w:color="auto" w:sz="0" w:space="0"/>
          <w:left w:val="none" w:color="auto" w:sz="0" w:space="0"/>
          <w:bottom w:val="none" w:color="auto" w:sz="0" w:space="1"/>
          <w:right w:val="none" w:color="auto" w:sz="0" w:space="0"/>
          <w:between w:val="none" w:color="auto" w:sz="0" w:space="0"/>
        </w:pBdr>
        <w:wordWrap/>
        <w:topLinePunct w:val="0"/>
        <w:autoSpaceDE/>
        <w:autoSpaceDN/>
        <w:bidi w:val="0"/>
        <w:snapToGrid w:val="0"/>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rPr>
        <w:t>1</w:t>
      </w:r>
      <w:r>
        <w:rPr>
          <w:rFonts w:hint="eastAsia" w:ascii="宋体" w:hAnsi="宋体" w:cs="宋体"/>
          <w:bCs/>
          <w:color w:val="auto"/>
          <w:szCs w:val="21"/>
          <w:highlight w:val="none"/>
        </w:rPr>
        <w:t>9</w:t>
      </w:r>
      <w:r>
        <w:rPr>
          <w:rFonts w:ascii="宋体" w:hAnsi="宋体" w:cs="宋体"/>
          <w:bCs/>
          <w:color w:val="auto"/>
          <w:szCs w:val="21"/>
          <w:highlight w:val="none"/>
        </w:rPr>
        <w:t>.</w:t>
      </w:r>
      <w:r>
        <w:rPr>
          <w:rFonts w:hint="eastAsia" w:ascii="宋体" w:hAnsi="宋体" w:cs="宋体"/>
          <w:bCs/>
          <w:color w:val="auto"/>
          <w:szCs w:val="21"/>
          <w:highlight w:val="none"/>
        </w:rPr>
        <w:t>2投标人完成电子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b/>
          <w:bCs/>
          <w:color w:val="auto"/>
          <w:szCs w:val="21"/>
          <w:highlight w:val="none"/>
          <w:u w:val="single"/>
        </w:rPr>
        <w:t>广州交易集团有限公司（广州公共资源交易中心）</w:t>
      </w:r>
      <w:r>
        <w:rPr>
          <w:rFonts w:hint="eastAsia" w:ascii="宋体" w:hAnsi="宋体" w:cs="宋体"/>
          <w:color w:val="auto"/>
          <w:szCs w:val="21"/>
          <w:highlight w:val="none"/>
        </w:rPr>
        <w:t>交易平台即时向投标人发出递交回执通知。递交时间以递交回执通知载明的传输完成时间为准。</w:t>
      </w:r>
    </w:p>
    <w:p>
      <w:pPr>
        <w:keepNext w:val="0"/>
        <w:keepLines w:val="0"/>
        <w:pageBreakBefore w:val="0"/>
        <w:widowControl w:val="0"/>
        <w:pBdr>
          <w:bottom w:val="single" w:color="auto" w:sz="6" w:space="1"/>
        </w:pBdr>
        <w:wordWrap/>
        <w:topLinePunct w:val="0"/>
        <w:autoSpaceDE/>
        <w:autoSpaceDN/>
        <w:bidi w:val="0"/>
        <w:snapToGrid w:val="0"/>
        <w:spacing w:line="360" w:lineRule="auto"/>
        <w:ind w:firstLine="420" w:firstLineChars="200"/>
        <w:rPr>
          <w:rFonts w:ascii="宋体" w:hAnsi="宋体" w:cs="宋体"/>
          <w:color w:val="auto"/>
          <w:szCs w:val="21"/>
          <w:highlight w:val="none"/>
        </w:rPr>
      </w:pPr>
      <w:r>
        <w:rPr>
          <w:rFonts w:ascii="宋体" w:hAnsi="宋体" w:cs="宋体"/>
          <w:bCs/>
          <w:color w:val="auto"/>
          <w:szCs w:val="21"/>
          <w:highlight w:val="none"/>
        </w:rPr>
        <w:t>1</w:t>
      </w:r>
      <w:r>
        <w:rPr>
          <w:rFonts w:hint="eastAsia" w:ascii="宋体" w:hAnsi="宋体" w:cs="宋体"/>
          <w:bCs/>
          <w:color w:val="auto"/>
          <w:szCs w:val="21"/>
          <w:highlight w:val="none"/>
        </w:rPr>
        <w:t>9</w:t>
      </w:r>
      <w:r>
        <w:rPr>
          <w:rFonts w:ascii="宋体" w:hAnsi="宋体" w:cs="宋体"/>
          <w:bCs/>
          <w:color w:val="auto"/>
          <w:szCs w:val="21"/>
          <w:highlight w:val="none"/>
        </w:rPr>
        <w:t>.</w:t>
      </w:r>
      <w:r>
        <w:rPr>
          <w:rFonts w:hint="eastAsia" w:ascii="宋体" w:hAnsi="宋体" w:cs="宋体"/>
          <w:bCs/>
          <w:color w:val="auto"/>
          <w:szCs w:val="21"/>
          <w:highlight w:val="none"/>
        </w:rPr>
        <w:t>3逾期送达的电子投标文件，</w:t>
      </w:r>
      <w:r>
        <w:rPr>
          <w:rFonts w:hint="eastAsia" w:ascii="宋体" w:hAnsi="宋体" w:cs="宋体"/>
          <w:b/>
          <w:bCs/>
          <w:color w:val="auto"/>
          <w:szCs w:val="21"/>
          <w:highlight w:val="none"/>
          <w:u w:val="single"/>
        </w:rPr>
        <w:t>广州交易集团有限公司（广州公共资源交易中心）</w:t>
      </w:r>
      <w:r>
        <w:rPr>
          <w:rFonts w:hint="eastAsia" w:ascii="宋体" w:hAnsi="宋体" w:cs="宋体"/>
          <w:color w:val="auto"/>
          <w:szCs w:val="21"/>
          <w:highlight w:val="none"/>
        </w:rPr>
        <w:t>交易平台将予以拒收。</w:t>
      </w:r>
    </w:p>
    <w:p>
      <w:pPr>
        <w:keepNext w:val="0"/>
        <w:keepLines w:val="0"/>
        <w:pageBreakBefore w:val="0"/>
        <w:widowControl w:val="0"/>
        <w:pBdr>
          <w:bottom w:val="single" w:color="auto" w:sz="6" w:space="1"/>
        </w:pBdr>
        <w:wordWrap/>
        <w:topLinePunct w:val="0"/>
        <w:autoSpaceDE/>
        <w:autoSpaceDN/>
        <w:bidi w:val="0"/>
        <w:snapToGrid w:val="0"/>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19.</w:t>
      </w:r>
      <w:r>
        <w:rPr>
          <w:rFonts w:hint="eastAsia" w:ascii="宋体" w:hAnsi="宋体" w:cs="宋体"/>
          <w:color w:val="auto"/>
          <w:szCs w:val="21"/>
          <w:highlight w:val="none"/>
        </w:rPr>
        <w:t>4</w:t>
      </w:r>
      <w:r>
        <w:rPr>
          <w:rFonts w:ascii="宋体" w:hAnsi="宋体" w:cs="宋体"/>
          <w:color w:val="auto"/>
          <w:szCs w:val="21"/>
          <w:highlight w:val="none"/>
        </w:rPr>
        <w:t xml:space="preserve"> </w:t>
      </w:r>
      <w:r>
        <w:rPr>
          <w:rFonts w:hint="eastAsia" w:ascii="宋体" w:hAnsi="宋体" w:cs="宋体"/>
          <w:color w:val="auto"/>
          <w:szCs w:val="21"/>
          <w:highlight w:val="none"/>
        </w:rPr>
        <w:t>投标截止前，招标人拒绝接收符合条件的投标文件，投标人可向招标投标监督机构投诉。</w:t>
      </w:r>
    </w:p>
    <w:p>
      <w:pPr>
        <w:keepNext w:val="0"/>
        <w:keepLines w:val="0"/>
        <w:pageBreakBefore w:val="0"/>
        <w:widowControl w:val="0"/>
        <w:pBdr>
          <w:bottom w:val="single" w:color="auto" w:sz="6" w:space="1"/>
        </w:pBdr>
        <w:wordWrap/>
        <w:topLinePunct w:val="0"/>
        <w:autoSpaceDE/>
        <w:autoSpaceDN/>
        <w:bidi w:val="0"/>
        <w:snapToGrid w:val="0"/>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19.</w:t>
      </w:r>
      <w:r>
        <w:rPr>
          <w:rFonts w:hint="eastAsia" w:ascii="宋体" w:hAnsi="宋体" w:cs="宋体"/>
          <w:color w:val="auto"/>
          <w:szCs w:val="21"/>
          <w:highlight w:val="none"/>
        </w:rPr>
        <w:t>5</w:t>
      </w:r>
      <w:r>
        <w:rPr>
          <w:rFonts w:hint="eastAsia" w:ascii="宋体" w:hAnsi="宋体" w:eastAsia="宋体" w:cs="宋体"/>
          <w:b/>
          <w:bCs/>
          <w:color w:val="auto"/>
          <w:szCs w:val="21"/>
          <w:highlight w:val="none"/>
          <w:u w:val="single"/>
        </w:rPr>
        <w:t>广州交易集团有限公司（广州公共资源交易中心）交易平台将按招标文件规定的时间同时开启技术标</w:t>
      </w:r>
      <w:r>
        <w:rPr>
          <w:rFonts w:hint="eastAsia" w:ascii="宋体" w:hAnsi="宋体" w:eastAsia="宋体" w:cs="宋体"/>
          <w:b/>
          <w:bCs/>
          <w:color w:val="auto"/>
          <w:szCs w:val="21"/>
          <w:highlight w:val="none"/>
          <w:u w:val="single"/>
          <w:lang w:eastAsia="zh-CN"/>
        </w:rPr>
        <w:t>（含资格审查文件）、</w:t>
      </w:r>
      <w:r>
        <w:rPr>
          <w:rFonts w:hint="eastAsia" w:ascii="宋体" w:hAnsi="宋体" w:eastAsia="宋体" w:cs="宋体"/>
          <w:b/>
          <w:bCs/>
          <w:color w:val="auto"/>
          <w:szCs w:val="21"/>
          <w:highlight w:val="none"/>
          <w:u w:val="single"/>
        </w:rPr>
        <w:t>经济标</w:t>
      </w:r>
      <w:r>
        <w:rPr>
          <w:rFonts w:hint="eastAsia" w:ascii="宋体" w:hAnsi="宋体" w:eastAsia="宋体" w:cs="宋体"/>
          <w:b/>
          <w:bCs/>
          <w:color w:val="auto"/>
          <w:szCs w:val="21"/>
          <w:highlight w:val="none"/>
          <w:u w:val="single"/>
          <w:lang w:eastAsia="zh-CN"/>
        </w:rPr>
        <w:t>及定标文件</w:t>
      </w:r>
      <w:r>
        <w:rPr>
          <w:rFonts w:hint="eastAsia" w:ascii="宋体" w:hAnsi="宋体" w:eastAsia="宋体" w:cs="宋体"/>
          <w:b/>
          <w:bCs/>
          <w:color w:val="auto"/>
          <w:szCs w:val="21"/>
          <w:highlight w:val="none"/>
          <w:u w:val="single"/>
        </w:rPr>
        <w:t>。</w:t>
      </w:r>
    </w:p>
    <w:p>
      <w:pPr>
        <w:keepNext w:val="0"/>
        <w:keepLines w:val="0"/>
        <w:pageBreakBefore w:val="0"/>
        <w:widowControl w:val="0"/>
        <w:wordWrap/>
        <w:topLinePunct w:val="0"/>
        <w:autoSpaceDE/>
        <w:autoSpaceDN/>
        <w:bidi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条款号：20.3                       修改类型：修改</w:t>
      </w:r>
    </w:p>
    <w:p>
      <w:pPr>
        <w:keepNext w:val="0"/>
        <w:keepLines w:val="0"/>
        <w:pageBreakBefore w:val="0"/>
        <w:widowControl w:val="0"/>
        <w:pBdr>
          <w:bottom w:val="single" w:color="auto" w:sz="6" w:space="1"/>
        </w:pBdr>
        <w:wordWrap/>
        <w:topLinePunct w:val="0"/>
        <w:autoSpaceDE/>
        <w:autoSpaceDN/>
        <w:bidi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20.3到投标截止时间止，招标人收到的投标文件少于3家的，招标人将重新组织招标（当N个标段同时招标且不允许兼中时，若有效投标人不足N+2家，则重新组织招标）。</w:t>
      </w:r>
    </w:p>
    <w:p>
      <w:pPr>
        <w:keepNext w:val="0"/>
        <w:keepLines w:val="0"/>
        <w:pageBreakBefore w:val="0"/>
        <w:widowControl w:val="0"/>
        <w:pBdr>
          <w:bottom w:val="single" w:color="auto" w:sz="6" w:space="1"/>
        </w:pBdr>
        <w:wordWrap/>
        <w:topLinePunct w:val="0"/>
        <w:autoSpaceDE/>
        <w:autoSpaceDN/>
        <w:bidi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20.3</w:t>
      </w:r>
      <w:r>
        <w:rPr>
          <w:rFonts w:hint="eastAsia" w:ascii="宋体" w:hAnsi="宋体" w:cs="宋体"/>
          <w:b/>
          <w:bCs/>
          <w:color w:val="auto"/>
          <w:szCs w:val="21"/>
          <w:highlight w:val="none"/>
          <w:u w:val="single"/>
        </w:rPr>
        <w:t>到投标截止时间止，招标人收到的投标文件少于3家的，招标人将重新组织招标。</w:t>
      </w:r>
    </w:p>
    <w:p>
      <w:pPr>
        <w:keepNext w:val="0"/>
        <w:keepLines w:val="0"/>
        <w:pageBreakBefore w:val="0"/>
        <w:widowControl w:val="0"/>
        <w:wordWrap/>
        <w:topLinePunct w:val="0"/>
        <w:autoSpaceDE/>
        <w:autoSpaceDN/>
        <w:bidi w:val="0"/>
        <w:snapToGrid w:val="0"/>
        <w:spacing w:line="360" w:lineRule="auto"/>
        <w:ind w:firstLine="472" w:firstLineChars="224"/>
        <w:textAlignment w:val="baseline"/>
        <w:rPr>
          <w:rFonts w:ascii="宋体" w:hAnsi="宋体" w:cs="宋体"/>
          <w:b/>
          <w:color w:val="auto"/>
          <w:szCs w:val="21"/>
          <w:highlight w:val="none"/>
        </w:rPr>
      </w:pPr>
      <w:r>
        <w:rPr>
          <w:rFonts w:hint="eastAsia" w:ascii="宋体" w:hAnsi="宋体" w:cs="宋体"/>
          <w:b/>
          <w:color w:val="auto"/>
          <w:szCs w:val="21"/>
          <w:highlight w:val="none"/>
        </w:rPr>
        <w:t>条款号：21.1                        修改类型：修改</w:t>
      </w:r>
    </w:p>
    <w:p>
      <w:pPr>
        <w:keepNext w:val="0"/>
        <w:keepLines w:val="0"/>
        <w:pageBreakBefore w:val="0"/>
        <w:widowControl w:val="0"/>
        <w:wordWrap/>
        <w:topLinePunct w:val="0"/>
        <w:autoSpaceDE/>
        <w:autoSpaceDN/>
        <w:bidi w:val="0"/>
        <w:snapToGrid w:val="0"/>
        <w:spacing w:line="360" w:lineRule="auto"/>
        <w:ind w:firstLine="472" w:firstLineChars="224"/>
        <w:textAlignment w:val="baseline"/>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21.1本须知前附表第17项规定的投标截止时间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rPr>
        <w:t>交易平台将予以拒收。</w:t>
      </w:r>
    </w:p>
    <w:p>
      <w:pPr>
        <w:keepNext w:val="0"/>
        <w:keepLines w:val="0"/>
        <w:pageBreakBefore w:val="0"/>
        <w:widowControl w:val="0"/>
        <w:pBdr>
          <w:bottom w:val="single" w:color="auto" w:sz="6" w:space="1"/>
        </w:pBdr>
        <w:wordWrap/>
        <w:topLinePunct w:val="0"/>
        <w:autoSpaceDE/>
        <w:autoSpaceDN/>
        <w:bidi w:val="0"/>
        <w:snapToGrid w:val="0"/>
        <w:spacing w:line="360" w:lineRule="auto"/>
        <w:ind w:firstLine="527" w:firstLineChars="250"/>
        <w:textAlignment w:val="baseline"/>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21.1本须知前附表第17项规定的投标截止时间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b/>
          <w:bCs/>
          <w:color w:val="auto"/>
          <w:szCs w:val="21"/>
          <w:highlight w:val="none"/>
          <w:u w:val="single"/>
        </w:rPr>
        <w:t>广州交易集团有限公司（广州公共资源交易中心）</w:t>
      </w:r>
      <w:r>
        <w:rPr>
          <w:rFonts w:hint="eastAsia" w:ascii="宋体" w:hAnsi="宋体" w:cs="宋体"/>
          <w:color w:val="auto"/>
          <w:szCs w:val="21"/>
          <w:highlight w:val="none"/>
        </w:rPr>
        <w:t>交易平台将予以拒收。</w:t>
      </w:r>
    </w:p>
    <w:p>
      <w:pPr>
        <w:keepNext w:val="0"/>
        <w:keepLines w:val="0"/>
        <w:pageBreakBefore w:val="0"/>
        <w:widowControl w:val="0"/>
        <w:shd w:val="clear" w:color="auto" w:fill="auto"/>
        <w:wordWrap/>
        <w:topLinePunct w:val="0"/>
        <w:autoSpaceDE/>
        <w:autoSpaceDN/>
        <w:bidi w:val="0"/>
        <w:adjustRightInd w:val="0"/>
        <w:snapToGrid w:val="0"/>
        <w:spacing w:line="360" w:lineRule="auto"/>
        <w:ind w:right="0" w:firstLine="422" w:firstLineChars="200"/>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条款号：24.                       修改类型：修改</w:t>
      </w:r>
    </w:p>
    <w:p>
      <w:pPr>
        <w:spacing w:line="360" w:lineRule="auto"/>
        <w:ind w:firstLine="472" w:firstLineChars="224"/>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原文：24．评标过程的保密</w:t>
      </w:r>
    </w:p>
    <w:p>
      <w:pPr>
        <w:spacing w:line="360" w:lineRule="auto"/>
        <w:ind w:firstLine="470" w:firstLineChars="224"/>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24.1开标后，直至中标公示为止，凡属于对投标文件的审查、澄清、评价和比较有关的资料以及中标候选人的推荐情况，与评标有关的其他任何情况均严格保密。</w:t>
      </w:r>
    </w:p>
    <w:p>
      <w:pPr>
        <w:spacing w:line="360" w:lineRule="auto"/>
        <w:ind w:firstLine="470" w:firstLineChars="224"/>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24.2在投标文件的评审和比较、中标候选人推荐以及授予合同的过程中，投标人向招标人和评标委员会施加不公正影响的任何行为，都将会导致其投标被拒绝。</w:t>
      </w:r>
    </w:p>
    <w:p>
      <w:pPr>
        <w:spacing w:line="360" w:lineRule="auto"/>
        <w:ind w:firstLine="472" w:firstLineChars="224"/>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现文：24．评标过程的保密</w:t>
      </w:r>
    </w:p>
    <w:p>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24.1开标后，直至</w:t>
      </w:r>
      <w:r>
        <w:rPr>
          <w:rFonts w:hint="eastAsia" w:ascii="宋体" w:hAnsi="宋体" w:cs="宋体"/>
          <w:b w:val="0"/>
          <w:bCs/>
          <w:color w:val="auto"/>
          <w:szCs w:val="21"/>
          <w:highlight w:val="none"/>
          <w:u w:val="single"/>
          <w:lang w:val="en-US" w:eastAsia="zh-CN"/>
        </w:rPr>
        <w:t>合格的中标候选人</w:t>
      </w:r>
      <w:r>
        <w:rPr>
          <w:rFonts w:hint="eastAsia" w:ascii="宋体" w:hAnsi="宋体" w:cs="宋体"/>
          <w:b w:val="0"/>
          <w:bCs/>
          <w:color w:val="auto"/>
          <w:szCs w:val="21"/>
          <w:highlight w:val="none"/>
          <w:lang w:val="en-US" w:eastAsia="zh-CN"/>
        </w:rPr>
        <w:t>公示为止，凡属于对投标文件的审查、澄清、评价和比较有关的资料以及</w:t>
      </w:r>
      <w:r>
        <w:rPr>
          <w:rFonts w:hint="eastAsia" w:ascii="宋体" w:hAnsi="宋体" w:cs="宋体"/>
          <w:b w:val="0"/>
          <w:bCs/>
          <w:color w:val="auto"/>
          <w:szCs w:val="21"/>
          <w:highlight w:val="none"/>
          <w:u w:val="single"/>
          <w:lang w:val="en-US" w:eastAsia="zh-CN"/>
        </w:rPr>
        <w:t>合格的</w:t>
      </w:r>
      <w:r>
        <w:rPr>
          <w:rFonts w:hint="eastAsia" w:ascii="宋体" w:hAnsi="宋体" w:cs="宋体"/>
          <w:b w:val="0"/>
          <w:bCs/>
          <w:color w:val="auto"/>
          <w:szCs w:val="21"/>
          <w:highlight w:val="none"/>
          <w:lang w:val="en-US" w:eastAsia="zh-CN"/>
        </w:rPr>
        <w:t>中标候选人的推荐情况，与评标有关的其他任何情况均严格保密。</w:t>
      </w:r>
    </w:p>
    <w:p>
      <w:pPr>
        <w:pBdr>
          <w:bottom w:val="single" w:color="auto" w:sz="4" w:space="0"/>
        </w:pBdr>
        <w:spacing w:line="360" w:lineRule="auto"/>
        <w:ind w:firstLine="470" w:firstLineChars="224"/>
        <w:rPr>
          <w:rFonts w:hint="default" w:ascii="宋体" w:hAnsi="宋体" w:eastAsia="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24.2在投标文件的评审和比较、</w:t>
      </w:r>
      <w:r>
        <w:rPr>
          <w:rFonts w:hint="eastAsia" w:ascii="宋体" w:hAnsi="宋体" w:cs="宋体"/>
          <w:b w:val="0"/>
          <w:bCs/>
          <w:color w:val="auto"/>
          <w:szCs w:val="21"/>
          <w:highlight w:val="none"/>
          <w:u w:val="single"/>
          <w:lang w:val="en-US" w:eastAsia="zh-CN"/>
        </w:rPr>
        <w:t>合格的</w:t>
      </w:r>
      <w:r>
        <w:rPr>
          <w:rFonts w:hint="eastAsia" w:ascii="宋体" w:hAnsi="宋体" w:cs="宋体"/>
          <w:b w:val="0"/>
          <w:bCs/>
          <w:color w:val="auto"/>
          <w:szCs w:val="21"/>
          <w:highlight w:val="none"/>
          <w:lang w:val="en-US" w:eastAsia="zh-CN"/>
        </w:rPr>
        <w:t>中标候选人推荐</w:t>
      </w:r>
      <w:r>
        <w:rPr>
          <w:rFonts w:hint="eastAsia" w:ascii="宋体" w:hAnsi="宋体" w:cs="宋体"/>
          <w:b w:val="0"/>
          <w:bCs/>
          <w:color w:val="auto"/>
          <w:szCs w:val="21"/>
          <w:highlight w:val="none"/>
          <w:u w:val="single"/>
          <w:lang w:val="en-US" w:eastAsia="zh-CN"/>
        </w:rPr>
        <w:t>[不排序，按统一社会信用代码后4位（除校验码外）大小排位，如统一社会信用代码后4位出现字母情况的，字母以“0”进行代替大小排位；如出现后4位（除校验码外）大小一致的，则随机排位（联合体投标的，按联合体主办方的统一社会信用代码排位）]、定标</w:t>
      </w:r>
      <w:r>
        <w:rPr>
          <w:rFonts w:hint="eastAsia" w:ascii="宋体" w:hAnsi="宋体" w:cs="宋体"/>
          <w:b w:val="0"/>
          <w:bCs/>
          <w:color w:val="auto"/>
          <w:szCs w:val="21"/>
          <w:highlight w:val="none"/>
          <w:lang w:val="en-US" w:eastAsia="zh-CN"/>
        </w:rPr>
        <w:t>以及授予合同的过程中，投标人向招标人和评标委员会</w:t>
      </w:r>
      <w:r>
        <w:rPr>
          <w:rFonts w:hint="eastAsia" w:ascii="宋体" w:hAnsi="宋体" w:cs="宋体"/>
          <w:b w:val="0"/>
          <w:bCs/>
          <w:color w:val="auto"/>
          <w:szCs w:val="21"/>
          <w:highlight w:val="none"/>
          <w:u w:val="single"/>
          <w:lang w:val="en-US" w:eastAsia="zh-CN"/>
        </w:rPr>
        <w:t>和定标委员会</w:t>
      </w:r>
      <w:r>
        <w:rPr>
          <w:rFonts w:hint="eastAsia" w:ascii="宋体" w:hAnsi="宋体" w:cs="宋体"/>
          <w:b w:val="0"/>
          <w:bCs/>
          <w:color w:val="auto"/>
          <w:szCs w:val="21"/>
          <w:highlight w:val="none"/>
          <w:lang w:val="en-US" w:eastAsia="zh-CN"/>
        </w:rPr>
        <w:t>施加不公正影响的任何行为，都将会导致其投标被拒绝。</w:t>
      </w:r>
    </w:p>
    <w:p>
      <w:pPr>
        <w:keepNext w:val="0"/>
        <w:keepLines w:val="0"/>
        <w:pageBreakBefore w:val="0"/>
        <w:widowControl w:val="0"/>
        <w:wordWrap/>
        <w:topLinePunct w:val="0"/>
        <w:autoSpaceDE/>
        <w:autoSpaceDN/>
        <w:bidi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条款号：27.1                        修改类型：修改</w:t>
      </w:r>
    </w:p>
    <w:p>
      <w:pPr>
        <w:keepNext w:val="0"/>
        <w:keepLines w:val="0"/>
        <w:pageBreakBefore w:val="0"/>
        <w:widowControl w:val="0"/>
        <w:wordWrap/>
        <w:topLinePunct w:val="0"/>
        <w:autoSpaceDE/>
        <w:autoSpaceDN/>
        <w:bidi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27.1招标人将在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交易平台进行，招标人也应通过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交易平台答复线上提交的异议。作出答复前，应当暂停招标投标活动。</w:t>
      </w:r>
    </w:p>
    <w:p>
      <w:pPr>
        <w:pStyle w:val="13"/>
        <w:keepNext w:val="0"/>
        <w:keepLines w:val="0"/>
        <w:pageBreakBefore w:val="0"/>
        <w:widowControl w:val="0"/>
        <w:pBdr>
          <w:bottom w:val="single" w:color="auto" w:sz="6" w:space="1"/>
        </w:pBdr>
        <w:shd w:val="clear" w:color="auto" w:fill="auto"/>
        <w:tabs>
          <w:tab w:val="left" w:pos="3327"/>
          <w:tab w:val="left" w:pos="6137"/>
          <w:tab w:val="left" w:pos="8967"/>
        </w:tabs>
        <w:kinsoku w:val="0"/>
        <w:wordWrap/>
        <w:overflowPunct w:val="0"/>
        <w:topLinePunct w:val="0"/>
        <w:autoSpaceDE/>
        <w:autoSpaceDN/>
        <w:bidi w:val="0"/>
        <w:snapToGrid w:val="0"/>
        <w:spacing w:after="0" w:line="360" w:lineRule="auto"/>
        <w:ind w:right="0" w:firstLine="402" w:firstLineChars="200"/>
        <w:rPr>
          <w:rFonts w:hint="eastAsia" w:ascii="宋体" w:hAnsi="宋体" w:eastAsia="宋体" w:cs="宋体"/>
          <w:color w:val="auto"/>
          <w:sz w:val="21"/>
          <w:szCs w:val="21"/>
          <w:highlight w:val="none"/>
        </w:rPr>
      </w:pPr>
      <w:r>
        <w:rPr>
          <w:rFonts w:hint="eastAsia" w:ascii="宋体" w:hAnsi="宋体" w:cs="宋体"/>
          <w:b/>
          <w:color w:val="auto"/>
          <w:szCs w:val="21"/>
          <w:highlight w:val="none"/>
        </w:rPr>
        <w:t>现文：</w:t>
      </w:r>
      <w:r>
        <w:rPr>
          <w:rFonts w:hint="eastAsia" w:ascii="宋体" w:hAnsi="宋体" w:cs="宋体"/>
          <w:color w:val="auto"/>
          <w:sz w:val="21"/>
          <w:szCs w:val="21"/>
          <w:highlight w:val="none"/>
        </w:rPr>
        <w:t>27.1</w:t>
      </w:r>
      <w:r>
        <w:rPr>
          <w:rFonts w:hint="eastAsia" w:ascii="宋体" w:hAnsi="宋体" w:eastAsia="宋体" w:cs="宋体"/>
          <w:b/>
          <w:bCs/>
          <w:color w:val="auto"/>
          <w:sz w:val="21"/>
          <w:szCs w:val="21"/>
          <w:highlight w:val="none"/>
          <w:u w:val="single"/>
        </w:rPr>
        <w:t>在评标委员会完成评标工作后，</w:t>
      </w:r>
      <w:r>
        <w:rPr>
          <w:rFonts w:hint="eastAsia" w:ascii="宋体" w:hAnsi="宋体" w:eastAsia="宋体" w:cs="宋体"/>
          <w:color w:val="auto"/>
          <w:sz w:val="21"/>
          <w:szCs w:val="21"/>
          <w:highlight w:val="none"/>
        </w:rPr>
        <w:t>招标人将在</w:t>
      </w:r>
      <w:r>
        <w:rPr>
          <w:rFonts w:hint="eastAsia" w:ascii="宋体" w:hAnsi="宋体" w:eastAsia="宋体" w:cs="宋体"/>
          <w:b/>
          <w:bCs/>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交易平台、广东省招标投标监管网和中国招标投标公共服务平台公示</w:t>
      </w:r>
      <w:r>
        <w:rPr>
          <w:rFonts w:hint="eastAsia" w:ascii="宋体" w:hAnsi="宋体" w:eastAsia="宋体" w:cs="宋体"/>
          <w:b/>
          <w:bCs/>
          <w:color w:val="auto"/>
          <w:sz w:val="21"/>
          <w:szCs w:val="21"/>
          <w:highlight w:val="none"/>
          <w:lang w:val="en-US" w:eastAsia="zh-CN"/>
        </w:rPr>
        <w:t>合格</w:t>
      </w:r>
      <w:r>
        <w:rPr>
          <w:rFonts w:hint="eastAsia" w:ascii="宋体" w:hAnsi="宋体" w:eastAsia="宋体" w:cs="宋体"/>
          <w:color w:val="auto"/>
          <w:sz w:val="21"/>
          <w:szCs w:val="21"/>
          <w:highlight w:val="none"/>
        </w:rPr>
        <w:t>中标候选人，公示期为三天</w:t>
      </w:r>
      <w:r>
        <w:rPr>
          <w:rFonts w:hint="eastAsia" w:ascii="宋体" w:hAnsi="宋体" w:eastAsia="宋体" w:cs="宋体"/>
          <w:b/>
          <w:bCs/>
          <w:color w:val="auto"/>
          <w:sz w:val="21"/>
          <w:szCs w:val="21"/>
          <w:highlight w:val="none"/>
          <w:u w:val="single"/>
          <w:lang w:eastAsia="zh-CN"/>
        </w:rPr>
        <w:t>（最后一天应为工作日）</w:t>
      </w:r>
      <w:r>
        <w:rPr>
          <w:rFonts w:hint="eastAsia" w:ascii="宋体" w:hAnsi="宋体" w:eastAsia="宋体" w:cs="宋体"/>
          <w:color w:val="auto"/>
          <w:sz w:val="21"/>
          <w:szCs w:val="21"/>
          <w:highlight w:val="none"/>
        </w:rPr>
        <w:t>。投标人或其他利害关系人对评标结果有异议的，应当在</w:t>
      </w:r>
      <w:r>
        <w:rPr>
          <w:rFonts w:hint="eastAsia" w:ascii="宋体" w:hAnsi="宋体" w:eastAsia="宋体" w:cs="宋体"/>
          <w:color w:val="auto"/>
          <w:sz w:val="21"/>
          <w:szCs w:val="21"/>
          <w:highlight w:val="none"/>
          <w:lang w:val="en-US" w:eastAsia="zh-CN"/>
        </w:rPr>
        <w:t>合格</w:t>
      </w:r>
      <w:r>
        <w:rPr>
          <w:rFonts w:hint="eastAsia" w:ascii="宋体" w:hAnsi="宋体" w:eastAsia="宋体" w:cs="宋体"/>
          <w:color w:val="auto"/>
          <w:sz w:val="21"/>
          <w:szCs w:val="21"/>
          <w:highlight w:val="none"/>
        </w:rPr>
        <w:t>中标候选人公示期间提出，</w:t>
      </w:r>
      <w:r>
        <w:rPr>
          <w:rFonts w:hint="eastAsia" w:ascii="宋体" w:hAnsi="宋体" w:eastAsia="宋体" w:cs="宋体"/>
          <w:color w:val="auto"/>
          <w:sz w:val="21"/>
          <w:szCs w:val="21"/>
          <w:highlight w:val="none"/>
          <w:lang w:val="en-US" w:eastAsia="zh-CN"/>
        </w:rPr>
        <w:t>可以通过线上或线下的形式提出异议。线上提交的，应</w:t>
      </w:r>
      <w:r>
        <w:rPr>
          <w:rFonts w:hint="eastAsia" w:ascii="宋体" w:hAnsi="宋体" w:eastAsia="宋体" w:cs="宋体"/>
          <w:color w:val="auto"/>
          <w:sz w:val="21"/>
          <w:szCs w:val="21"/>
          <w:highlight w:val="none"/>
        </w:rPr>
        <w:t>通过</w:t>
      </w:r>
      <w:r>
        <w:rPr>
          <w:rFonts w:hint="eastAsia" w:ascii="宋体" w:hAnsi="宋体" w:eastAsia="宋体" w:cs="宋体"/>
          <w:b/>
          <w:bCs/>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lang w:eastAsia="zh-CN"/>
        </w:rPr>
        <w:t>电子交易系统向招标人</w:t>
      </w:r>
      <w:r>
        <w:rPr>
          <w:rFonts w:hint="eastAsia" w:ascii="宋体" w:hAnsi="宋体" w:eastAsia="宋体" w:cs="宋体"/>
          <w:color w:val="auto"/>
          <w:sz w:val="21"/>
          <w:szCs w:val="21"/>
          <w:highlight w:val="none"/>
        </w:rPr>
        <w:t>提出异议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招标人也应通过</w:t>
      </w:r>
      <w:r>
        <w:rPr>
          <w:rFonts w:hint="eastAsia" w:ascii="宋体" w:hAnsi="宋体" w:eastAsia="宋体" w:cs="宋体"/>
          <w:b/>
          <w:bCs/>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交易平台答复线上提交的异议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具体按照</w:t>
      </w:r>
      <w:r>
        <w:rPr>
          <w:rFonts w:hint="eastAsia" w:ascii="宋体" w:hAnsi="宋体" w:eastAsia="宋体" w:cs="宋体"/>
          <w:b/>
          <w:bCs/>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lang w:eastAsia="zh-CN"/>
        </w:rPr>
        <w:t>电子招标投标</w:t>
      </w:r>
      <w:r>
        <w:rPr>
          <w:rFonts w:hint="eastAsia" w:ascii="宋体" w:hAnsi="宋体" w:eastAsia="宋体" w:cs="宋体"/>
          <w:color w:val="auto"/>
          <w:sz w:val="21"/>
          <w:szCs w:val="21"/>
          <w:highlight w:val="none"/>
        </w:rPr>
        <w:t>交易平台相关指南进行操作。作出答复前，应当暂停招标投标活动。</w:t>
      </w:r>
      <w:r>
        <w:rPr>
          <w:rFonts w:hint="eastAsia" w:ascii="宋体" w:hAnsi="宋体" w:eastAsia="宋体" w:cs="宋体"/>
          <w:color w:val="auto"/>
          <w:sz w:val="21"/>
          <w:szCs w:val="21"/>
          <w:highlight w:val="none"/>
          <w:u w:val="single"/>
        </w:rPr>
        <w:t>投标人提出异议时需在线提交书面的异议书（异议书应清晰表述异议事项、依据、线索、请求或主张、有效的联系方式等）并附法定代表人证明书、有效的授权委托书、被授权人的有效身份证明</w:t>
      </w:r>
      <w:r>
        <w:rPr>
          <w:rFonts w:hint="eastAsia" w:ascii="宋体" w:hAnsi="宋体" w:eastAsia="宋体" w:cs="宋体"/>
          <w:color w:val="auto"/>
          <w:sz w:val="21"/>
          <w:szCs w:val="21"/>
          <w:highlight w:val="none"/>
        </w:rPr>
        <w:t>。</w:t>
      </w:r>
    </w:p>
    <w:p>
      <w:pPr>
        <w:pStyle w:val="13"/>
        <w:keepNext w:val="0"/>
        <w:keepLines w:val="0"/>
        <w:pageBreakBefore w:val="0"/>
        <w:widowControl w:val="0"/>
        <w:pBdr>
          <w:bottom w:val="single" w:color="auto" w:sz="6" w:space="1"/>
        </w:pBdr>
        <w:shd w:val="clear" w:color="auto" w:fill="auto"/>
        <w:tabs>
          <w:tab w:val="left" w:pos="3327"/>
          <w:tab w:val="left" w:pos="6137"/>
          <w:tab w:val="left" w:pos="8967"/>
        </w:tabs>
        <w:kinsoku w:val="0"/>
        <w:wordWrap/>
        <w:overflowPunct w:val="0"/>
        <w:topLinePunct w:val="0"/>
        <w:autoSpaceDE/>
        <w:autoSpaceDN/>
        <w:bidi w:val="0"/>
        <w:snapToGrid w:val="0"/>
        <w:spacing w:after="0" w:line="360" w:lineRule="auto"/>
        <w:ind w:right="0"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u w:val="single"/>
        </w:rPr>
        <w:t>合格中标候选人公示结束后</w:t>
      </w:r>
      <w:r>
        <w:rPr>
          <w:rFonts w:hint="eastAsia" w:ascii="宋体" w:hAnsi="宋体" w:eastAsia="宋体" w:cs="宋体"/>
          <w:b w:val="0"/>
          <w:bCs w:val="0"/>
          <w:strike w:val="0"/>
          <w:color w:val="auto"/>
          <w:sz w:val="21"/>
          <w:szCs w:val="21"/>
          <w:highlight w:val="none"/>
          <w:u w:val="single"/>
          <w:lang w:eastAsia="zh-CN"/>
        </w:rPr>
        <w:t>按规定</w:t>
      </w:r>
      <w:r>
        <w:rPr>
          <w:rFonts w:hint="eastAsia" w:ascii="宋体" w:hAnsi="宋体" w:eastAsia="宋体" w:cs="宋体"/>
          <w:b w:val="0"/>
          <w:bCs w:val="0"/>
          <w:color w:val="auto"/>
          <w:sz w:val="21"/>
          <w:szCs w:val="21"/>
          <w:highlight w:val="none"/>
          <w:u w:val="single"/>
        </w:rPr>
        <w:t>在广州交易集团有限公司（广州公共资源交易中心）开展定标工作，在定标委员会完成定标工作后，招标人将在广州交易集团有限公司（广州公共资源交易中心）交易平台、广东省招标投标监管网和中国招标投标公共服务平台进行中标结果公示。因投诉生效导致中标人不符合中标资格的，或定标后出现中标人不符合法定情形的，招标人可从其他合格中标候选人中采用原定标办法，由原定标委员会确定中标人，也可以重新组织招标</w:t>
      </w:r>
      <w:r>
        <w:rPr>
          <w:rFonts w:hint="eastAsia" w:ascii="宋体" w:hAnsi="宋体" w:eastAsia="宋体" w:cs="宋体"/>
          <w:b w:val="0"/>
          <w:bCs w:val="0"/>
          <w:color w:val="auto"/>
          <w:sz w:val="21"/>
          <w:szCs w:val="21"/>
          <w:highlight w:val="none"/>
          <w:u w:val="single"/>
          <w:lang w:eastAsia="zh-CN"/>
        </w:rPr>
        <w:t>。</w:t>
      </w:r>
    </w:p>
    <w:p>
      <w:pPr>
        <w:keepNext w:val="0"/>
        <w:keepLines w:val="0"/>
        <w:pageBreakBefore w:val="0"/>
        <w:widowControl w:val="0"/>
        <w:wordWrap/>
        <w:topLinePunct w:val="0"/>
        <w:autoSpaceDE/>
        <w:autoSpaceDN/>
        <w:bidi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条款号：27.4                        修改类型：修改</w:t>
      </w:r>
    </w:p>
    <w:p>
      <w:pPr>
        <w:keepNext w:val="0"/>
        <w:keepLines w:val="0"/>
        <w:pageBreakBefore w:val="0"/>
        <w:widowControl w:val="0"/>
        <w:wordWrap/>
        <w:topLinePunct w:val="0"/>
        <w:autoSpaceDE/>
        <w:autoSpaceDN/>
        <w:bidi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27.4</w:t>
      </w:r>
      <w:r>
        <w:rPr>
          <w:rFonts w:hint="eastAsia" w:ascii="宋体" w:hAnsi="宋体"/>
          <w:color w:val="auto"/>
          <w:szCs w:val="21"/>
          <w:highlight w:val="none"/>
        </w:rPr>
        <w:t>在产生中标候选人后，招标人将中标候选人的投标文件商务部分文件的所有内容（包括人员、业绩、奖项等资料）在</w:t>
      </w:r>
      <w:r>
        <w:rPr>
          <w:rFonts w:ascii="宋体" w:hAnsi="宋体"/>
          <w:color w:val="auto"/>
          <w:szCs w:val="21"/>
          <w:highlight w:val="none"/>
          <w:u w:val="single"/>
        </w:rPr>
        <w:t xml:space="preserve">        </w:t>
      </w:r>
      <w:r>
        <w:rPr>
          <w:rFonts w:hint="eastAsia" w:ascii="宋体" w:hAnsi="宋体"/>
          <w:color w:val="auto"/>
          <w:szCs w:val="21"/>
          <w:highlight w:val="none"/>
        </w:rPr>
        <w:t>交易平台和广东省招标投标监管网公开</w:t>
      </w:r>
      <w:r>
        <w:rPr>
          <w:rFonts w:hint="eastAsia" w:ascii="宋体" w:hAnsi="宋体" w:cs="宋体"/>
          <w:color w:val="auto"/>
          <w:szCs w:val="21"/>
          <w:highlight w:val="none"/>
        </w:rPr>
        <w:t>。</w:t>
      </w:r>
    </w:p>
    <w:p>
      <w:pPr>
        <w:keepNext w:val="0"/>
        <w:keepLines w:val="0"/>
        <w:pageBreakBefore w:val="0"/>
        <w:widowControl w:val="0"/>
        <w:pBdr>
          <w:bottom w:val="single" w:color="auto" w:sz="6" w:space="1"/>
        </w:pBdr>
        <w:wordWrap/>
        <w:topLinePunct w:val="0"/>
        <w:autoSpaceDE/>
        <w:autoSpaceDN/>
        <w:bidi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color w:val="auto"/>
          <w:szCs w:val="21"/>
          <w:highlight w:val="none"/>
          <w:lang w:eastAsia="zh-CN"/>
        </w:rPr>
        <w:t>：</w:t>
      </w:r>
      <w:r>
        <w:rPr>
          <w:rFonts w:hint="eastAsia" w:ascii="宋体" w:hAnsi="宋体" w:cs="宋体"/>
          <w:color w:val="auto"/>
          <w:szCs w:val="21"/>
          <w:highlight w:val="none"/>
        </w:rPr>
        <w:t>27.4在产生中标候选人后，招标人将中标候选人的投标文件商务部分文件的所有内容（包括人员、业绩、奖项等资料）在</w:t>
      </w:r>
      <w:r>
        <w:rPr>
          <w:rFonts w:hint="eastAsia" w:ascii="宋体" w:hAnsi="宋体" w:cs="宋体"/>
          <w:b/>
          <w:bCs/>
          <w:color w:val="auto"/>
          <w:szCs w:val="21"/>
          <w:highlight w:val="none"/>
          <w:u w:val="single"/>
        </w:rPr>
        <w:t>广州交易集团有限公司（广州公共资源交易中心）</w:t>
      </w:r>
      <w:r>
        <w:rPr>
          <w:rFonts w:hint="eastAsia" w:ascii="宋体" w:hAnsi="宋体" w:cs="宋体"/>
          <w:color w:val="auto"/>
          <w:szCs w:val="21"/>
          <w:highlight w:val="none"/>
        </w:rPr>
        <w:t>交易平台和广东省招标投标监管网公开。</w:t>
      </w:r>
    </w:p>
    <w:p>
      <w:pPr>
        <w:keepNext w:val="0"/>
        <w:keepLines w:val="0"/>
        <w:pageBreakBefore w:val="0"/>
        <w:widowControl w:val="0"/>
        <w:wordWrap/>
        <w:topLinePunct w:val="0"/>
        <w:autoSpaceDE/>
        <w:autoSpaceDN/>
        <w:bidi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条款号：28.2                        修改类型：修改</w:t>
      </w:r>
    </w:p>
    <w:p>
      <w:pPr>
        <w:keepNext w:val="0"/>
        <w:keepLines w:val="0"/>
        <w:pageBreakBefore w:val="0"/>
        <w:widowControl w:val="0"/>
        <w:wordWrap/>
        <w:topLinePunct w:val="0"/>
        <w:autoSpaceDE/>
        <w:autoSpaceDN/>
        <w:bidi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keepNext w:val="0"/>
        <w:keepLines w:val="0"/>
        <w:pageBreakBefore w:val="0"/>
        <w:widowControl w:val="0"/>
        <w:pBdr>
          <w:bottom w:val="single" w:color="auto" w:sz="6" w:space="1"/>
        </w:pBdr>
        <w:wordWrap/>
        <w:topLinePunct w:val="0"/>
        <w:autoSpaceDE/>
        <w:autoSpaceDN/>
        <w:bidi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28.2中标通知书发出之日起30日后，中标人未按上款的规定与招标人订立合同，招标人将解除中标通知书，</w:t>
      </w:r>
      <w:r>
        <w:rPr>
          <w:rFonts w:hint="eastAsia" w:ascii="宋体" w:hAnsi="宋体" w:cs="宋体"/>
          <w:b/>
          <w:bCs/>
          <w:color w:val="auto"/>
          <w:szCs w:val="21"/>
          <w:highlight w:val="none"/>
          <w:u w:val="single"/>
        </w:rPr>
        <w:t>原中标人依法承担相应法律责任。原中标人给招标人造成的损失，应当对其予以赔偿。</w:t>
      </w:r>
      <w:r>
        <w:rPr>
          <w:rFonts w:hint="eastAsia" w:ascii="宋体" w:hAnsi="宋体" w:cs="宋体"/>
          <w:color w:val="auto"/>
          <w:szCs w:val="21"/>
          <w:highlight w:val="none"/>
        </w:rPr>
        <w:t>原中标人有异议的，可以向人民法院起诉。</w:t>
      </w:r>
    </w:p>
    <w:p>
      <w:pPr>
        <w:keepNext w:val="0"/>
        <w:keepLines w:val="0"/>
        <w:pageBreakBefore w:val="0"/>
        <w:widowControl w:val="0"/>
        <w:wordWrap/>
        <w:topLinePunct w:val="0"/>
        <w:autoSpaceDE/>
        <w:autoSpaceDN/>
        <w:bidi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条款号：28.3                        修改类型：修改</w:t>
      </w:r>
    </w:p>
    <w:p>
      <w:pPr>
        <w:keepNext w:val="0"/>
        <w:keepLines w:val="0"/>
        <w:pageBreakBefore w:val="0"/>
        <w:widowControl w:val="0"/>
        <w:wordWrap/>
        <w:topLinePunct w:val="0"/>
        <w:autoSpaceDE/>
        <w:autoSpaceDN/>
        <w:bidi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28.3非经招标人同意，中标人在投标过程中使用的银行名称及帐号至完成竣工结算不得变更，否则招标人有权停止工程款项的拔付及至解除合同，由此造成的一切责任由中标人承担。</w:t>
      </w:r>
    </w:p>
    <w:p>
      <w:pPr>
        <w:keepNext w:val="0"/>
        <w:keepLines w:val="0"/>
        <w:pageBreakBefore w:val="0"/>
        <w:widowControl w:val="0"/>
        <w:pBdr>
          <w:bottom w:val="single" w:color="auto" w:sz="6" w:space="1"/>
        </w:pBdr>
        <w:wordWrap/>
        <w:topLinePunct w:val="0"/>
        <w:autoSpaceDE/>
        <w:autoSpaceDN/>
        <w:bidi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28.3非经招标人同意，中标人在投标过程中使用的银行名称及</w:t>
      </w:r>
      <w:r>
        <w:rPr>
          <w:rFonts w:hint="eastAsia" w:ascii="宋体" w:hAnsi="宋体" w:cs="宋体"/>
          <w:color w:val="auto"/>
          <w:szCs w:val="21"/>
          <w:highlight w:val="none"/>
          <w:u w:val="none"/>
        </w:rPr>
        <w:t>账号</w:t>
      </w:r>
      <w:r>
        <w:rPr>
          <w:rFonts w:hint="eastAsia" w:ascii="宋体" w:hAnsi="宋体" w:cs="宋体"/>
          <w:color w:val="auto"/>
          <w:szCs w:val="21"/>
          <w:highlight w:val="none"/>
        </w:rPr>
        <w:t>至完成竣工结算不得变更，否则招标人有权停止工程款项的</w:t>
      </w:r>
      <w:r>
        <w:rPr>
          <w:rFonts w:hint="eastAsia" w:ascii="宋体" w:hAnsi="宋体" w:cs="宋体"/>
          <w:color w:val="auto"/>
          <w:szCs w:val="21"/>
          <w:highlight w:val="none"/>
          <w:u w:val="none"/>
        </w:rPr>
        <w:t>拨付</w:t>
      </w:r>
      <w:r>
        <w:rPr>
          <w:rFonts w:hint="eastAsia" w:ascii="宋体" w:hAnsi="宋体" w:eastAsia="宋体" w:cs="宋体"/>
          <w:b/>
          <w:bCs/>
          <w:color w:val="auto"/>
          <w:sz w:val="21"/>
          <w:szCs w:val="21"/>
          <w:highlight w:val="none"/>
          <w:u w:val="single"/>
          <w:lang w:val="en-US" w:eastAsia="zh-CN"/>
        </w:rPr>
        <w:t>直至</w:t>
      </w:r>
      <w:r>
        <w:rPr>
          <w:rFonts w:hint="eastAsia" w:ascii="宋体" w:hAnsi="宋体" w:cs="宋体"/>
          <w:color w:val="auto"/>
          <w:szCs w:val="21"/>
          <w:highlight w:val="none"/>
        </w:rPr>
        <w:t>解除合同，由此造成的一切责任由中标人承担。</w:t>
      </w:r>
    </w:p>
    <w:p>
      <w:pPr>
        <w:keepNext w:val="0"/>
        <w:keepLines w:val="0"/>
        <w:pageBreakBefore w:val="0"/>
        <w:widowControl w:val="0"/>
        <w:wordWrap/>
        <w:topLinePunct w:val="0"/>
        <w:autoSpaceDE/>
        <w:autoSpaceDN/>
        <w:bidi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条款号：28.5                        修改类型：增加</w:t>
      </w:r>
    </w:p>
    <w:p>
      <w:pPr>
        <w:keepNext w:val="0"/>
        <w:keepLines w:val="0"/>
        <w:pageBreakBefore w:val="0"/>
        <w:widowControl w:val="0"/>
        <w:pBdr>
          <w:bottom w:val="single" w:color="auto" w:sz="6" w:space="1"/>
        </w:pBdr>
        <w:wordWrap/>
        <w:topLinePunct w:val="0"/>
        <w:autoSpaceDE/>
        <w:autoSpaceDN/>
        <w:bidi w:val="0"/>
        <w:snapToGrid w:val="0"/>
        <w:spacing w:line="360" w:lineRule="auto"/>
        <w:ind w:firstLine="422" w:firstLineChars="200"/>
        <w:rPr>
          <w:rFonts w:ascii="宋体" w:hAnsi="宋体" w:cs="宋体"/>
          <w:b w:val="0"/>
          <w:bCs w:val="0"/>
          <w:color w:val="auto"/>
          <w:szCs w:val="21"/>
          <w:highlight w:val="none"/>
          <w:u w:val="single"/>
        </w:rPr>
      </w:pPr>
      <w:r>
        <w:rPr>
          <w:rFonts w:hint="eastAsia" w:ascii="宋体" w:hAnsi="宋体" w:cs="宋体"/>
          <w:b/>
          <w:color w:val="auto"/>
          <w:szCs w:val="21"/>
          <w:highlight w:val="none"/>
        </w:rPr>
        <w:t>现文：</w:t>
      </w:r>
      <w:r>
        <w:rPr>
          <w:rFonts w:hint="eastAsia" w:ascii="宋体" w:hAnsi="宋体" w:cs="宋体"/>
          <w:b/>
          <w:bCs/>
          <w:color w:val="auto"/>
          <w:szCs w:val="21"/>
          <w:highlight w:val="none"/>
          <w:u w:val="single"/>
        </w:rPr>
        <w:t>28.5如本工程委托代建单位（项目建设管理单位），则可由代建单位作为发包人与中标人签订合同。</w:t>
      </w:r>
    </w:p>
    <w:p>
      <w:pPr>
        <w:keepNext w:val="0"/>
        <w:keepLines w:val="0"/>
        <w:pageBreakBefore w:val="0"/>
        <w:widowControl w:val="0"/>
        <w:wordWrap/>
        <w:topLinePunct w:val="0"/>
        <w:autoSpaceDE/>
        <w:autoSpaceDN/>
        <w:bidi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条款号：29.1                        修改类型：修改</w:t>
      </w:r>
    </w:p>
    <w:p>
      <w:pPr>
        <w:keepNext w:val="0"/>
        <w:keepLines w:val="0"/>
        <w:pageBreakBefore w:val="0"/>
        <w:widowControl w:val="0"/>
        <w:pBdr>
          <w:bottom w:val="single" w:color="auto" w:sz="6" w:space="1"/>
        </w:pBdr>
        <w:wordWrap/>
        <w:topLinePunct w:val="0"/>
        <w:autoSpaceDE/>
        <w:autoSpaceDN/>
        <w:bidi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29.1在收到中标通知书后的15日内，中标人应按本须知前附表第20项的规定向招标人提交履约担保。</w:t>
      </w:r>
    </w:p>
    <w:p>
      <w:pPr>
        <w:keepNext w:val="0"/>
        <w:keepLines w:val="0"/>
        <w:pageBreakBefore w:val="0"/>
        <w:widowControl w:val="0"/>
        <w:pBdr>
          <w:bottom w:val="single" w:color="auto" w:sz="6" w:space="1"/>
        </w:pBdr>
        <w:wordWrap/>
        <w:topLinePunct w:val="0"/>
        <w:autoSpaceDE/>
        <w:autoSpaceDN/>
        <w:bidi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29.1</w:t>
      </w:r>
      <w:r>
        <w:rPr>
          <w:rFonts w:hint="eastAsia" w:ascii="宋体" w:hAnsi="宋体" w:cs="宋体"/>
          <w:b/>
          <w:bCs/>
          <w:color w:val="auto"/>
          <w:szCs w:val="21"/>
          <w:highlight w:val="none"/>
          <w:u w:val="single"/>
        </w:rPr>
        <w:t>合同正式签订之日后的30日内</w:t>
      </w:r>
      <w:r>
        <w:rPr>
          <w:rFonts w:hint="eastAsia" w:ascii="宋体" w:hAnsi="宋体" w:cs="宋体"/>
          <w:color w:val="auto"/>
          <w:szCs w:val="21"/>
          <w:highlight w:val="none"/>
        </w:rPr>
        <w:t>，中标人应按本须知前附表第</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项的规定向招标人提交履约担保。</w:t>
      </w:r>
    </w:p>
    <w:p>
      <w:pPr>
        <w:keepNext w:val="0"/>
        <w:keepLines w:val="0"/>
        <w:pageBreakBefore w:val="0"/>
        <w:widowControl w:val="0"/>
        <w:wordWrap/>
        <w:topLinePunct w:val="0"/>
        <w:autoSpaceDE/>
        <w:autoSpaceDN/>
        <w:bidi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条款号：29.2                        修改类型：修改</w:t>
      </w:r>
    </w:p>
    <w:p>
      <w:pPr>
        <w:keepNext w:val="0"/>
        <w:keepLines w:val="0"/>
        <w:pageBreakBefore w:val="0"/>
        <w:widowControl w:val="0"/>
        <w:wordWrap/>
        <w:topLinePunct w:val="0"/>
        <w:autoSpaceDE/>
        <w:autoSpaceDN/>
        <w:bidi w:val="0"/>
        <w:snapToGrid w:val="0"/>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keepNext w:val="0"/>
        <w:keepLines w:val="0"/>
        <w:pageBreakBefore w:val="0"/>
        <w:widowControl w:val="0"/>
        <w:pBdr>
          <w:bottom w:val="single" w:color="auto" w:sz="6" w:space="1"/>
        </w:pBdr>
        <w:wordWrap/>
        <w:topLinePunct w:val="0"/>
        <w:autoSpaceDE/>
        <w:autoSpaceDN/>
        <w:bidi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：29.2</w:t>
      </w:r>
      <w:r>
        <w:rPr>
          <w:rFonts w:hint="eastAsia" w:ascii="宋体" w:hAnsi="宋体" w:cs="宋体"/>
          <w:b/>
          <w:bCs/>
          <w:color w:val="auto"/>
          <w:szCs w:val="21"/>
          <w:highlight w:val="none"/>
          <w:u w:val="single"/>
        </w:rPr>
        <w:t>合同正式签订之日后的30日内</w:t>
      </w:r>
      <w:r>
        <w:rPr>
          <w:rFonts w:hint="eastAsia" w:ascii="宋体" w:hAnsi="宋体" w:cs="宋体"/>
          <w:color w:val="auto"/>
          <w:szCs w:val="21"/>
          <w:highlight w:val="none"/>
        </w:rPr>
        <w:t>，中标人未按上款的规定递交履约担保，招标人将解除中标通知书，</w:t>
      </w:r>
      <w:r>
        <w:rPr>
          <w:rFonts w:hint="eastAsia" w:ascii="宋体" w:hAnsi="宋体" w:cs="宋体"/>
          <w:b/>
          <w:bCs/>
          <w:color w:val="auto"/>
          <w:szCs w:val="21"/>
          <w:highlight w:val="none"/>
          <w:u w:val="single"/>
        </w:rPr>
        <w:t>原中标人依法承担相应法律责任。原中标人给招标人造成的损失，还应当予以赔偿</w:t>
      </w:r>
      <w:r>
        <w:rPr>
          <w:rFonts w:hint="eastAsia" w:ascii="宋体" w:hAnsi="宋体" w:cs="宋体"/>
          <w:b/>
          <w:bCs/>
          <w:color w:val="auto"/>
          <w:szCs w:val="21"/>
          <w:highlight w:val="none"/>
        </w:rPr>
        <w:t>。</w:t>
      </w:r>
      <w:r>
        <w:rPr>
          <w:rFonts w:hint="eastAsia" w:ascii="宋体" w:hAnsi="宋体" w:cs="宋体"/>
          <w:color w:val="auto"/>
          <w:szCs w:val="21"/>
          <w:highlight w:val="none"/>
        </w:rPr>
        <w:t>原中标人有异议的，可以向人民法院起诉。</w:t>
      </w:r>
    </w:p>
    <w:p>
      <w:pPr>
        <w:keepNext w:val="0"/>
        <w:keepLines w:val="0"/>
        <w:pageBreakBefore w:val="0"/>
        <w:widowControl w:val="0"/>
        <w:wordWrap/>
        <w:topLinePunct w:val="0"/>
        <w:autoSpaceDE/>
        <w:autoSpaceDN/>
        <w:bidi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条款号：30.1                        修改类型：修改</w:t>
      </w:r>
    </w:p>
    <w:p>
      <w:pPr>
        <w:keepNext w:val="0"/>
        <w:keepLines w:val="0"/>
        <w:pageBreakBefore w:val="0"/>
        <w:widowControl w:val="0"/>
        <w:wordWrap/>
        <w:topLinePunct w:val="0"/>
        <w:autoSpaceDE/>
        <w:autoSpaceDN/>
        <w:bidi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30.1在合同双方全权代表在合同协议书上签字，并分别加盖双方单位的公章后，合同正式生效。</w:t>
      </w:r>
    </w:p>
    <w:p>
      <w:pPr>
        <w:keepNext w:val="0"/>
        <w:keepLines w:val="0"/>
        <w:pageBreakBefore w:val="0"/>
        <w:widowControl w:val="0"/>
        <w:pBdr>
          <w:bottom w:val="single" w:color="auto" w:sz="6" w:space="1"/>
        </w:pBdr>
        <w:wordWrap/>
        <w:topLinePunct w:val="0"/>
        <w:autoSpaceDE/>
        <w:autoSpaceDN/>
        <w:bidi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30.1在合同双方全权代表在合同协议书上签字，并分别加盖双方单位的公章</w:t>
      </w:r>
      <w:r>
        <w:rPr>
          <w:rFonts w:hint="eastAsia" w:ascii="宋体" w:hAnsi="宋体" w:cs="宋体"/>
          <w:b/>
          <w:bCs/>
          <w:color w:val="auto"/>
          <w:szCs w:val="21"/>
          <w:highlight w:val="none"/>
          <w:u w:val="single"/>
        </w:rPr>
        <w:t>且承包人提交履约担保后，合同正式生效。</w:t>
      </w:r>
    </w:p>
    <w:p>
      <w:pPr>
        <w:keepNext w:val="0"/>
        <w:keepLines w:val="0"/>
        <w:pageBreakBefore w:val="0"/>
        <w:widowControl w:val="0"/>
        <w:wordWrap/>
        <w:topLinePunct w:val="0"/>
        <w:autoSpaceDE/>
        <w:autoSpaceDN/>
        <w:bidi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条款号：31                          修改类型：修改</w:t>
      </w:r>
    </w:p>
    <w:p>
      <w:pPr>
        <w:keepNext w:val="0"/>
        <w:keepLines w:val="0"/>
        <w:pageBreakBefore w:val="0"/>
        <w:widowControl w:val="0"/>
        <w:wordWrap/>
        <w:topLinePunct w:val="0"/>
        <w:autoSpaceDE/>
        <w:autoSpaceDN/>
        <w:bidi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原文：31.其它费用</w:t>
      </w:r>
    </w:p>
    <w:p>
      <w:pPr>
        <w:keepNext w:val="0"/>
        <w:keepLines w:val="0"/>
        <w:pageBreakBefore w:val="0"/>
        <w:widowControl w:val="0"/>
        <w:wordWrap/>
        <w:topLinePunct w:val="0"/>
        <w:autoSpaceDE/>
        <w:autoSpaceDN/>
        <w:bidi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w:t>
      </w:r>
      <w:r>
        <w:rPr>
          <w:rFonts w:hint="eastAsia" w:ascii="宋体" w:hAnsi="宋体" w:cs="宋体"/>
          <w:b/>
          <w:color w:val="auto"/>
          <w:szCs w:val="21"/>
          <w:highlight w:val="none"/>
        </w:rPr>
        <w:t>31.</w:t>
      </w:r>
      <w:r>
        <w:rPr>
          <w:rFonts w:hint="eastAsia" w:ascii="宋体" w:hAnsi="宋体" w:cs="宋体"/>
          <w:b/>
          <w:bCs/>
          <w:color w:val="auto"/>
          <w:szCs w:val="21"/>
          <w:highlight w:val="none"/>
        </w:rPr>
        <w:t>其它费用</w:t>
      </w:r>
    </w:p>
    <w:p>
      <w:pPr>
        <w:pBdr>
          <w:bottom w:val="single" w:color="auto" w:sz="6" w:space="1"/>
        </w:pBd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中标人自行支付公共资源交易服务费，该费用包含在投标价中</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交易中心向中标人开具增值税发票</w:t>
      </w:r>
      <w:r>
        <w:rPr>
          <w:rFonts w:hint="eastAsia" w:ascii="宋体" w:hAnsi="宋体" w:cs="宋体"/>
          <w:color w:val="auto"/>
          <w:szCs w:val="21"/>
          <w:highlight w:val="none"/>
        </w:rPr>
        <w:t>。</w:t>
      </w:r>
    </w:p>
    <w:p>
      <w:pPr>
        <w:adjustRightInd w:val="0"/>
        <w:snapToGrid w:val="0"/>
        <w:spacing w:line="360" w:lineRule="auto"/>
        <w:ind w:firstLine="211" w:firstLineChars="100"/>
        <w:rPr>
          <w:rFonts w:ascii="宋体" w:hAnsi="宋体" w:cs="宋体"/>
          <w:b/>
          <w:strike/>
          <w:color w:val="auto"/>
          <w:szCs w:val="21"/>
          <w:highlight w:val="none"/>
        </w:rPr>
      </w:pPr>
      <w:r>
        <w:rPr>
          <w:rFonts w:hint="eastAsia" w:ascii="宋体" w:hAnsi="宋体" w:cs="宋体"/>
          <w:b/>
          <w:strike/>
          <w:color w:val="auto"/>
          <w:szCs w:val="21"/>
          <w:highlight w:val="none"/>
        </w:rPr>
        <w:t>注：以上修改，仅限于本范本中有可供选择条款的情形。</w:t>
      </w:r>
    </w:p>
    <w:p>
      <w:pPr>
        <w:adjustRightInd w:val="0"/>
        <w:snapToGrid w:val="0"/>
        <w:spacing w:line="360" w:lineRule="auto"/>
        <w:rPr>
          <w:rFonts w:ascii="宋体" w:hAnsi="宋体" w:cs="宋体"/>
          <w:color w:val="auto"/>
          <w:szCs w:val="21"/>
          <w:highlight w:val="none"/>
        </w:rPr>
      </w:pPr>
      <w:r>
        <w:rPr>
          <w:rFonts w:hint="eastAsia" w:ascii="宋体" w:hAnsi="宋体" w:cs="宋体"/>
          <w:b/>
          <w:color w:val="auto"/>
          <w:szCs w:val="21"/>
          <w:highlight w:val="none"/>
        </w:rPr>
        <w:t>（以下无正文）</w:t>
      </w:r>
    </w:p>
    <w:p>
      <w:pPr>
        <w:pStyle w:val="28"/>
        <w:snapToGrid w:val="0"/>
        <w:spacing w:after="0" w:line="360" w:lineRule="auto"/>
        <w:ind w:firstLine="400" w:firstLineChars="200"/>
        <w:rPr>
          <w:rFonts w:hint="eastAsia" w:ascii="宋体" w:hAnsi="宋体" w:cs="宋体"/>
          <w:bCs/>
          <w:color w:val="auto"/>
          <w:highlight w:val="none"/>
        </w:rPr>
      </w:pPr>
      <w:r>
        <w:rPr>
          <w:rFonts w:hint="eastAsia" w:ascii="宋体" w:hAnsi="宋体" w:cs="宋体"/>
          <w:color w:val="auto"/>
          <w:highlight w:val="none"/>
        </w:rPr>
        <w:br w:type="page"/>
      </w:r>
      <w:bookmarkStart w:id="4" w:name="_Toc194090347"/>
    </w:p>
    <w:p>
      <w:pPr>
        <w:pStyle w:val="2"/>
        <w:snapToGrid w:val="0"/>
        <w:spacing w:before="0" w:after="0"/>
        <w:jc w:val="center"/>
        <w:rPr>
          <w:rFonts w:ascii="宋体" w:hAnsi="宋体" w:cs="宋体"/>
          <w:b/>
          <w:bCs w:val="0"/>
          <w:color w:val="auto"/>
          <w:highlight w:val="none"/>
        </w:rPr>
      </w:pPr>
      <w:r>
        <w:rPr>
          <w:rFonts w:hint="eastAsia" w:ascii="宋体" w:hAnsi="宋体" w:cs="宋体"/>
          <w:b/>
          <w:bCs w:val="0"/>
          <w:color w:val="auto"/>
          <w:highlight w:val="none"/>
        </w:rPr>
        <w:t>第二章  开标、评标及定标办法</w:t>
      </w:r>
      <w:bookmarkEnd w:id="4"/>
    </w:p>
    <w:p>
      <w:pPr>
        <w:pStyle w:val="3"/>
        <w:snapToGrid w:val="0"/>
        <w:spacing w:before="0" w:after="0" w:line="360" w:lineRule="auto"/>
        <w:ind w:left="0"/>
        <w:rPr>
          <w:rFonts w:ascii="宋体" w:hAnsi="宋体" w:cs="宋体"/>
          <w:color w:val="auto"/>
          <w:sz w:val="28"/>
          <w:szCs w:val="28"/>
          <w:highlight w:val="none"/>
        </w:rPr>
      </w:pPr>
      <w:bookmarkStart w:id="5" w:name="_Toc194090348"/>
      <w:r>
        <w:rPr>
          <w:rFonts w:hint="eastAsia" w:ascii="宋体" w:hAnsi="宋体" w:cs="宋体"/>
          <w:color w:val="auto"/>
          <w:sz w:val="28"/>
          <w:szCs w:val="28"/>
          <w:highlight w:val="none"/>
        </w:rPr>
        <w:t>一、开标、评标及定标办法修改表</w:t>
      </w:r>
      <w:bookmarkEnd w:id="5"/>
    </w:p>
    <w:p>
      <w:pPr>
        <w:pStyle w:val="28"/>
        <w:snapToGrid w:val="0"/>
        <w:spacing w:after="0" w:line="360" w:lineRule="auto"/>
        <w:rPr>
          <w:rFonts w:ascii="宋体" w:hAnsi="宋体" w:cs="宋体"/>
          <w:b/>
          <w:color w:val="auto"/>
          <w:sz w:val="21"/>
          <w:szCs w:val="21"/>
          <w:highlight w:val="none"/>
        </w:rPr>
      </w:pPr>
      <w:r>
        <w:rPr>
          <w:rFonts w:hint="eastAsia" w:ascii="宋体" w:hAnsi="宋体" w:cs="宋体"/>
          <w:b/>
          <w:color w:val="auto"/>
          <w:sz w:val="21"/>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r>
        <w:rPr>
          <w:color w:val="auto"/>
          <w:highlight w:val="none"/>
        </w:rPr>
        <w:fldChar w:fldCharType="begin"/>
      </w:r>
      <w:r>
        <w:rPr>
          <w:color w:val="auto"/>
          <w:highlight w:val="none"/>
        </w:rPr>
        <w:instrText xml:space="preserve"> HYPERLINK "http://www.gzcc.gov.cn/）下载GZZB2018-3" </w:instrText>
      </w:r>
      <w:r>
        <w:rPr>
          <w:color w:val="auto"/>
          <w:highlight w:val="none"/>
        </w:rPr>
        <w:fldChar w:fldCharType="separate"/>
      </w:r>
      <w:bookmarkStart w:id="6" w:name="OLE_LINK3"/>
      <w:r>
        <w:rPr>
          <w:rFonts w:hint="eastAsia" w:ascii="宋体" w:hAnsi="宋体" w:cs="宋体"/>
          <w:b/>
          <w:color w:val="auto"/>
          <w:sz w:val="21"/>
          <w:szCs w:val="21"/>
          <w:highlight w:val="none"/>
        </w:rPr>
        <w:t>http://zfcj.gz.gov.cn/</w:t>
      </w:r>
      <w:bookmarkEnd w:id="6"/>
      <w:r>
        <w:rPr>
          <w:rStyle w:val="35"/>
          <w:rFonts w:hint="eastAsia" w:ascii="宋体" w:hAnsi="宋体" w:cs="宋体"/>
          <w:b/>
          <w:color w:val="auto"/>
          <w:sz w:val="21"/>
          <w:szCs w:val="21"/>
          <w:highlight w:val="none"/>
          <w:u w:val="none"/>
        </w:rPr>
        <w:t>）下载GZZB2018-3</w:t>
      </w:r>
      <w:r>
        <w:rPr>
          <w:rStyle w:val="35"/>
          <w:rFonts w:hint="eastAsia" w:ascii="宋体" w:hAnsi="宋体" w:cs="宋体"/>
          <w:b/>
          <w:color w:val="auto"/>
          <w:sz w:val="21"/>
          <w:szCs w:val="21"/>
          <w:highlight w:val="none"/>
          <w:u w:val="none"/>
        </w:rPr>
        <w:fldChar w:fldCharType="end"/>
      </w:r>
      <w:r>
        <w:rPr>
          <w:rFonts w:hint="eastAsia" w:ascii="宋体" w:hAnsi="宋体" w:cs="宋体"/>
          <w:b/>
          <w:color w:val="auto"/>
          <w:sz w:val="21"/>
          <w:szCs w:val="21"/>
          <w:highlight w:val="none"/>
        </w:rPr>
        <w:t>范本查阅。</w:t>
      </w:r>
    </w:p>
    <w:p>
      <w:pPr>
        <w:pBdr>
          <w:top w:val="single" w:color="auto" w:sz="4" w:space="0"/>
        </w:pBd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条款号：（二）开标评标办法程序和细则       修改类型：删除</w:t>
      </w:r>
    </w:p>
    <w:p>
      <w:pPr>
        <w:pBdr>
          <w:bottom w:val="single" w:color="auto" w:sz="6" w:space="1"/>
        </w:pBd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可选办法一（适合综合评分法一，技术标与经济标先后分别开启）</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可选办法二（适合综合评分法一，技术标与经济标同时开启）</w:t>
      </w:r>
    </w:p>
    <w:p>
      <w:pPr>
        <w:pBdr>
          <w:bottom w:val="single" w:color="auto" w:sz="6" w:space="1"/>
        </w:pBd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可选办法三（适合综合评分法二，技术标与经济标先后分别开启）</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可选办法四（适合综合评分法二，技术标与经济标同时开启）</w:t>
      </w:r>
    </w:p>
    <w:p>
      <w:pPr>
        <w:pBdr>
          <w:bottom w:val="single" w:color="auto" w:sz="6" w:space="1"/>
        </w:pBdr>
        <w:spacing w:line="360" w:lineRule="auto"/>
        <w:ind w:firstLine="472" w:firstLineChars="224"/>
        <w:rPr>
          <w:rFonts w:hint="eastAsia" w:ascii="宋体" w:hAnsi="宋体"/>
          <w:color w:val="auto"/>
          <w:szCs w:val="21"/>
          <w:highlight w:val="none"/>
        </w:rPr>
      </w:pPr>
      <w:r>
        <w:rPr>
          <w:rFonts w:hint="eastAsia" w:ascii="宋体" w:hAnsi="宋体" w:cs="宋体"/>
          <w:b/>
          <w:color w:val="auto"/>
          <w:szCs w:val="21"/>
          <w:highlight w:val="none"/>
        </w:rPr>
        <w:t>原文：</w:t>
      </w:r>
      <w:r>
        <w:rPr>
          <w:rFonts w:hint="eastAsia" w:ascii="宋体" w:hAnsi="宋体"/>
          <w:color w:val="auto"/>
          <w:szCs w:val="21"/>
          <w:highlight w:val="none"/>
        </w:rPr>
        <w:t>可选办法五（适合综合评分法</w:t>
      </w:r>
      <w:r>
        <w:rPr>
          <w:rFonts w:hint="eastAsia" w:ascii="宋体" w:hAnsi="宋体" w:cs="宋体"/>
          <w:color w:val="auto"/>
          <w:szCs w:val="21"/>
          <w:highlight w:val="none"/>
        </w:rPr>
        <w:t>三</w:t>
      </w:r>
      <w:r>
        <w:rPr>
          <w:rFonts w:hint="eastAsia" w:ascii="宋体" w:hAnsi="宋体"/>
          <w:color w:val="auto"/>
          <w:szCs w:val="21"/>
          <w:highlight w:val="none"/>
        </w:rPr>
        <w:t>，</w:t>
      </w:r>
      <w:r>
        <w:rPr>
          <w:rFonts w:hint="eastAsia" w:ascii="宋体" w:hAnsi="宋体" w:cs="宋体"/>
          <w:color w:val="auto"/>
          <w:szCs w:val="21"/>
          <w:highlight w:val="none"/>
        </w:rPr>
        <w:t>技术标与经济标先后分别开启</w:t>
      </w:r>
      <w:r>
        <w:rPr>
          <w:rFonts w:hint="eastAsia" w:ascii="宋体" w:hAnsi="宋体"/>
          <w:color w:val="auto"/>
          <w:szCs w:val="21"/>
          <w:highlight w:val="none"/>
        </w:rPr>
        <w:t>）</w:t>
      </w:r>
    </w:p>
    <w:p>
      <w:pPr>
        <w:pBdr>
          <w:bottom w:val="single" w:color="auto" w:sz="6" w:space="1"/>
        </w:pBdr>
        <w:spacing w:line="360" w:lineRule="auto"/>
        <w:ind w:firstLine="472" w:firstLineChars="224"/>
        <w:rPr>
          <w:rFonts w:hint="eastAsia" w:ascii="宋体" w:hAnsi="宋体" w:cs="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可选办法七（适合综合评分法四，技术标与经济标同时开启）</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可选办法八（适合经评审的最低投标价法，技术标与经济标同时开启）</w:t>
      </w:r>
    </w:p>
    <w:p>
      <w:pPr>
        <w:pBdr>
          <w:bottom w:val="single" w:color="auto" w:sz="4" w:space="0"/>
        </w:pBdr>
        <w:spacing w:line="360" w:lineRule="auto"/>
        <w:ind w:firstLine="472" w:firstLineChars="224"/>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条款号：（二）开标评标办法程序和细则       修改类型：</w:t>
      </w:r>
      <w:r>
        <w:rPr>
          <w:rFonts w:hint="eastAsia" w:ascii="宋体" w:hAnsi="宋体" w:cs="宋体"/>
          <w:b/>
          <w:color w:val="auto"/>
          <w:szCs w:val="21"/>
          <w:highlight w:val="none"/>
          <w:lang w:eastAsia="zh-CN"/>
        </w:rPr>
        <w:t>修改</w:t>
      </w:r>
    </w:p>
    <w:p>
      <w:pPr>
        <w:pBdr>
          <w:bottom w:val="single" w:color="auto" w:sz="4" w:space="0"/>
        </w:pBdr>
        <w:spacing w:line="360" w:lineRule="auto"/>
        <w:ind w:firstLine="472" w:firstLineChars="224"/>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t>原文：</w:t>
      </w:r>
      <w:r>
        <w:rPr>
          <w:rFonts w:hint="eastAsia" w:ascii="宋体" w:hAnsi="宋体" w:cs="宋体"/>
          <w:b w:val="0"/>
          <w:bCs/>
          <w:color w:val="auto"/>
          <w:szCs w:val="21"/>
          <w:highlight w:val="none"/>
          <w:lang w:eastAsia="zh-CN"/>
        </w:rPr>
        <w:t>可选办法六（适合综合评分法三，技术标与经济标同时开启）（原文条款详见最新版《广州市建设工程施工公开招标项目招标文件范本（适用于资格后审综合评分法、经评审的最低投标价法的施工电子招标项目）GZZB2018-3）》）</w:t>
      </w:r>
    </w:p>
    <w:p>
      <w:pPr>
        <w:pBdr>
          <w:bottom w:val="single" w:color="auto" w:sz="4" w:space="0"/>
        </w:pBdr>
        <w:spacing w:line="360" w:lineRule="auto"/>
        <w:ind w:firstLine="472" w:firstLineChars="224"/>
        <w:rPr>
          <w:rFonts w:hint="eastAsia" w:ascii="宋体" w:hAnsi="宋体"/>
          <w:b w:val="0"/>
          <w:bCs w:val="0"/>
          <w:color w:val="auto"/>
          <w:szCs w:val="21"/>
          <w:highlight w:val="none"/>
          <w:u w:val="single"/>
          <w:lang w:eastAsia="zh-CN"/>
        </w:rPr>
      </w:pPr>
      <w:r>
        <w:rPr>
          <w:rFonts w:hint="eastAsia" w:ascii="宋体" w:hAnsi="宋体"/>
          <w:b/>
          <w:bCs/>
          <w:color w:val="auto"/>
          <w:szCs w:val="21"/>
          <w:highlight w:val="none"/>
        </w:rPr>
        <w:t>现文：</w:t>
      </w:r>
      <w:r>
        <w:rPr>
          <w:rFonts w:hint="eastAsia" w:ascii="宋体" w:hAnsi="宋体"/>
          <w:b w:val="0"/>
          <w:bCs w:val="0"/>
          <w:color w:val="auto"/>
          <w:szCs w:val="21"/>
          <w:highlight w:val="none"/>
          <w:u w:val="single"/>
        </w:rPr>
        <w:t>评定分离评标定标办法</w:t>
      </w:r>
      <w:r>
        <w:rPr>
          <w:rFonts w:hint="eastAsia" w:ascii="宋体" w:hAnsi="宋体"/>
          <w:b w:val="0"/>
          <w:bCs w:val="0"/>
          <w:color w:val="auto"/>
          <w:szCs w:val="21"/>
          <w:highlight w:val="none"/>
          <w:u w:val="single"/>
          <w:lang w:eastAsia="zh-CN"/>
        </w:rPr>
        <w:t>。</w:t>
      </w:r>
    </w:p>
    <w:p>
      <w:pPr>
        <w:pBdr>
          <w:bottom w:val="single" w:color="auto" w:sz="4" w:space="0"/>
        </w:pBdr>
        <w:spacing w:line="360" w:lineRule="auto"/>
        <w:ind w:firstLine="470" w:firstLineChars="224"/>
        <w:rPr>
          <w:rFonts w:hint="eastAsia" w:ascii="宋体" w:hAnsi="宋体"/>
          <w:b w:val="0"/>
          <w:bCs w:val="0"/>
          <w:color w:val="auto"/>
          <w:szCs w:val="21"/>
          <w:highlight w:val="none"/>
          <w:u w:val="single"/>
          <w:lang w:eastAsia="zh-CN"/>
        </w:rPr>
      </w:pPr>
      <w:r>
        <w:rPr>
          <w:rFonts w:hint="eastAsia" w:ascii="宋体" w:hAnsi="宋体"/>
          <w:b w:val="0"/>
          <w:bCs w:val="0"/>
          <w:color w:val="auto"/>
          <w:szCs w:val="21"/>
          <w:highlight w:val="none"/>
          <w:u w:val="single"/>
          <w:lang w:eastAsia="zh-CN"/>
        </w:rPr>
        <w:t>评标采用</w:t>
      </w:r>
      <w:r>
        <w:rPr>
          <w:rFonts w:hint="eastAsia" w:ascii="宋体" w:hAnsi="宋体"/>
          <w:b/>
          <w:bCs/>
          <w:color w:val="auto"/>
          <w:szCs w:val="21"/>
          <w:highlight w:val="none"/>
          <w:u w:val="single"/>
          <w:lang w:eastAsia="zh-CN"/>
        </w:rPr>
        <w:t>“有限数量制”</w:t>
      </w:r>
      <w:r>
        <w:rPr>
          <w:rFonts w:hint="eastAsia" w:ascii="宋体" w:hAnsi="宋体"/>
          <w:b w:val="0"/>
          <w:bCs w:val="0"/>
          <w:color w:val="auto"/>
          <w:szCs w:val="21"/>
          <w:highlight w:val="none"/>
          <w:u w:val="single"/>
          <w:lang w:eastAsia="zh-CN"/>
        </w:rPr>
        <w:t>推荐合格中标候选人（选取方法：可选办法六（适合综合评分法三，技术标与经济标同时开启）；采用两阶段综合评标法）。</w:t>
      </w:r>
    </w:p>
    <w:p>
      <w:pPr>
        <w:pBdr>
          <w:bottom w:val="single" w:color="auto" w:sz="4" w:space="0"/>
        </w:pBdr>
        <w:spacing w:line="360" w:lineRule="auto"/>
        <w:ind w:firstLine="470" w:firstLineChars="224"/>
        <w:rPr>
          <w:rFonts w:hint="eastAsia" w:ascii="宋体" w:hAnsi="宋体" w:eastAsia="宋体"/>
          <w:b w:val="0"/>
          <w:bCs w:val="0"/>
          <w:color w:val="auto"/>
          <w:szCs w:val="21"/>
          <w:highlight w:val="none"/>
          <w:u w:val="single"/>
          <w:lang w:eastAsia="zh-CN"/>
        </w:rPr>
      </w:pPr>
      <w:r>
        <w:rPr>
          <w:rFonts w:hint="eastAsia" w:ascii="宋体" w:hAnsi="宋体"/>
          <w:b w:val="0"/>
          <w:bCs w:val="0"/>
          <w:color w:val="auto"/>
          <w:szCs w:val="21"/>
          <w:highlight w:val="none"/>
          <w:u w:val="single"/>
          <w:lang w:eastAsia="zh-CN"/>
        </w:rPr>
        <w:t>定标采用</w:t>
      </w:r>
      <w:r>
        <w:rPr>
          <w:rFonts w:hint="eastAsia" w:ascii="宋体" w:hAnsi="宋体"/>
          <w:b/>
          <w:bCs/>
          <w:color w:val="auto"/>
          <w:szCs w:val="21"/>
          <w:highlight w:val="none"/>
          <w:u w:val="single"/>
          <w:lang w:eastAsia="zh-CN"/>
        </w:rPr>
        <w:t>“评分法”</w:t>
      </w:r>
      <w:r>
        <w:rPr>
          <w:rFonts w:hint="eastAsia" w:ascii="宋体" w:hAnsi="宋体"/>
          <w:b w:val="0"/>
          <w:bCs w:val="0"/>
          <w:color w:val="auto"/>
          <w:szCs w:val="21"/>
          <w:highlight w:val="none"/>
          <w:u w:val="single"/>
          <w:lang w:eastAsia="zh-CN"/>
        </w:rPr>
        <w:t>，定标委员会从评标委员会推荐的合格中标候选人中，依据评分法选出得分最高的候选人，确定为中标人。</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条款号：36.1                        修改类型：修改</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36.1招标人按投标须知前附表第18项所规定的时间和地点公开开标，并邀请所有投标人参加。截标后，开标开始时间因故推迟的，相关评标信息仍以原定的开标开始时间的信息为准。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36.1招标人按投标须知前附表第18项所规定的时间和地点</w:t>
      </w:r>
      <w:r>
        <w:rPr>
          <w:rFonts w:hint="eastAsia" w:ascii="宋体" w:hAnsi="宋体" w:eastAsia="宋体" w:cs="宋体"/>
          <w:b/>
          <w:bCs/>
          <w:color w:val="auto"/>
          <w:sz w:val="21"/>
          <w:szCs w:val="21"/>
          <w:highlight w:val="none"/>
          <w:u w:val="single"/>
          <w:lang w:eastAsia="zh-CN"/>
        </w:rPr>
        <w:t>通过电子招标投标交易平台</w:t>
      </w:r>
      <w:r>
        <w:rPr>
          <w:rFonts w:hint="eastAsia" w:ascii="宋体" w:hAnsi="宋体" w:cs="宋体"/>
          <w:color w:val="auto"/>
          <w:szCs w:val="21"/>
          <w:highlight w:val="none"/>
        </w:rPr>
        <w:t>公开开标，并邀请所有投标人参加。截标后，开标开始时间因故推迟的，相关评标信息仍以原定的开标开始时间的信息为准。</w:t>
      </w:r>
      <w:r>
        <w:rPr>
          <w:rFonts w:hint="eastAsia" w:ascii="宋体" w:hAnsi="宋体" w:cs="宋体"/>
          <w:b/>
          <w:bCs/>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r>
        <w:rPr>
          <w:rFonts w:hint="eastAsia" w:ascii="宋体" w:hAnsi="宋体" w:cs="宋体"/>
          <w:b/>
          <w:bCs/>
          <w:color w:val="auto"/>
          <w:szCs w:val="21"/>
          <w:highlight w:val="none"/>
        </w:rPr>
        <w:t>。</w:t>
      </w:r>
    </w:p>
    <w:p>
      <w:pPr>
        <w:snapToGrid w:val="0"/>
        <w:spacing w:before="313" w:beforeLines="100"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bookmarkStart w:id="7" w:name="OLE_LINK4"/>
      <w:r>
        <w:rPr>
          <w:rFonts w:hint="eastAsia" w:ascii="宋体" w:hAnsi="宋体" w:cs="宋体"/>
          <w:b/>
          <w:color w:val="auto"/>
          <w:szCs w:val="21"/>
          <w:highlight w:val="none"/>
        </w:rPr>
        <w:t>36.3</w:t>
      </w:r>
      <w:bookmarkEnd w:id="7"/>
      <w:r>
        <w:rPr>
          <w:rFonts w:hint="eastAsia" w:ascii="宋体" w:hAnsi="宋体" w:cs="宋体"/>
          <w:b/>
          <w:color w:val="auto"/>
          <w:szCs w:val="21"/>
          <w:highlight w:val="none"/>
        </w:rPr>
        <w:t xml:space="preserve">                        修改类型：删除</w:t>
      </w:r>
    </w:p>
    <w:p>
      <w:pPr>
        <w:pBdr>
          <w:bottom w:val="single" w:color="auto" w:sz="6" w:space="1"/>
        </w:pBdr>
        <w:snapToGrid w:val="0"/>
        <w:spacing w:line="360" w:lineRule="auto"/>
        <w:ind w:firstLine="472" w:firstLineChars="224"/>
        <w:rPr>
          <w:rFonts w:ascii="宋体" w:hAnsi="宋体" w:cs="宋体"/>
          <w:b/>
          <w:strike/>
          <w:color w:val="auto"/>
          <w:szCs w:val="21"/>
          <w:highlight w:val="none"/>
        </w:rPr>
      </w:pPr>
      <w:r>
        <w:rPr>
          <w:rFonts w:hint="eastAsia" w:ascii="宋体" w:hAnsi="宋体" w:cs="宋体"/>
          <w:b/>
          <w:color w:val="auto"/>
          <w:szCs w:val="21"/>
          <w:highlight w:val="none"/>
        </w:rPr>
        <w:t>原文：</w:t>
      </w:r>
      <w:r>
        <w:rPr>
          <w:rFonts w:hint="eastAsia" w:ascii="宋体" w:hAnsi="宋体" w:cs="宋体"/>
          <w:b w:val="0"/>
          <w:bCs/>
          <w:strike/>
          <w:color w:val="auto"/>
          <w:szCs w:val="21"/>
          <w:highlight w:val="none"/>
        </w:rPr>
        <w:t>36.3</w:t>
      </w:r>
      <w:r>
        <w:rPr>
          <w:rFonts w:hint="eastAsia" w:ascii="宋体" w:hAnsi="宋体" w:cs="宋体"/>
          <w:strike/>
          <w:color w:val="auto"/>
          <w:szCs w:val="21"/>
          <w:highlight w:val="none"/>
        </w:rPr>
        <w:t>根据投标须知前附表第19项，如需抽取某一种评标办法供评标时使用的，应在开标前抽取。首先对招标文件中约定的若干种评标方法进行编号，再随机抽取某一编号，该编号所对应的评标办法供评标时使用。</w:t>
      </w:r>
    </w:p>
    <w:p>
      <w:pPr>
        <w:pStyle w:val="11"/>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条款号：36.4                        修改类型：修改</w:t>
      </w:r>
    </w:p>
    <w:p>
      <w:pP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36.4若递交投标文件的投标人不足3家，则重新组织招标。（当N个标段同时招标且不允许兼中时，若有效投标人不足N+2家，则重新组织招标）</w:t>
      </w:r>
    </w:p>
    <w:p>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36.4</w:t>
      </w:r>
      <w:r>
        <w:rPr>
          <w:rFonts w:hint="eastAsia" w:ascii="宋体" w:hAnsi="宋体" w:cs="宋体"/>
          <w:b/>
          <w:bCs/>
          <w:color w:val="auto"/>
          <w:szCs w:val="21"/>
          <w:highlight w:val="none"/>
          <w:u w:val="single"/>
        </w:rPr>
        <w:t>若递交投标文件的投标人不足3家，则重新组织招标。</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条款号：36.5.1                      修改类型：修改</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36.5.1在投标截止时间后一个时内，投标人通过</w:t>
      </w:r>
      <w:r>
        <w:rPr>
          <w:rFonts w:hint="eastAsia" w:ascii="宋体" w:hAnsi="宋体" w:cs="宋体"/>
          <w:b/>
          <w:bCs/>
          <w:color w:val="auto"/>
          <w:szCs w:val="21"/>
          <w:highlight w:val="none"/>
          <w:u w:val="single"/>
        </w:rPr>
        <w:t>广州交易集团有限公司（广州公共资源交易中心）</w:t>
      </w:r>
      <w:r>
        <w:rPr>
          <w:rFonts w:hint="eastAsia" w:ascii="宋体" w:hAnsi="宋体" w:cs="宋体"/>
          <w:color w:val="auto"/>
          <w:szCs w:val="21"/>
          <w:highlight w:val="none"/>
        </w:rPr>
        <w:t>交易平台对已递交的电子投标文件进行解密。投标人完成解密后，再由招标人</w:t>
      </w:r>
      <w:r>
        <w:rPr>
          <w:rFonts w:hint="eastAsia" w:ascii="宋体" w:hAnsi="宋体" w:cs="宋体"/>
          <w:b/>
          <w:bCs/>
          <w:color w:val="auto"/>
          <w:szCs w:val="21"/>
          <w:highlight w:val="none"/>
          <w:u w:val="single"/>
        </w:rPr>
        <w:t>或招标代理</w:t>
      </w:r>
      <w:r>
        <w:rPr>
          <w:rFonts w:hint="eastAsia" w:ascii="宋体" w:hAnsi="宋体" w:cs="宋体"/>
          <w:color w:val="auto"/>
          <w:szCs w:val="21"/>
          <w:highlight w:val="none"/>
        </w:rPr>
        <w:t>进行解密。解密完成后，</w:t>
      </w:r>
      <w:r>
        <w:rPr>
          <w:rFonts w:hint="eastAsia" w:ascii="宋体" w:hAnsi="宋体" w:cs="宋体"/>
          <w:b/>
          <w:bCs/>
          <w:color w:val="auto"/>
          <w:szCs w:val="21"/>
          <w:highlight w:val="none"/>
          <w:u w:val="single"/>
        </w:rPr>
        <w:t>公布招标项目名称、投标人名称、投标报价、工期及其他内容</w:t>
      </w:r>
      <w:r>
        <w:rPr>
          <w:rFonts w:hint="eastAsia" w:ascii="宋体" w:hAnsi="宋体" w:cs="宋体"/>
          <w:color w:val="auto"/>
          <w:szCs w:val="21"/>
          <w:highlight w:val="none"/>
        </w:rPr>
        <w:t>；</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条款号：36.5.3                      修改类型：修改</w:t>
      </w:r>
    </w:p>
    <w:p>
      <w:pP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36.5.3投标人代表、招标人代表、监标人、记录人等有关人员在开标记录上签字确认；若有关人员不签字的，不影响开标程序；</w:t>
      </w:r>
    </w:p>
    <w:p>
      <w:pPr>
        <w:pBdr>
          <w:bottom w:val="single" w:color="auto" w:sz="6" w:space="1"/>
        </w:pBdr>
        <w:snapToGrid w:val="0"/>
        <w:spacing w:line="360" w:lineRule="auto"/>
        <w:ind w:firstLine="472" w:firstLineChars="224"/>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36.5.3投标人代表、招标人代表、监标人、记录人等有关人员在开标记录上签字确认；若有关人员不签字的，不影响开标程序；</w:t>
      </w:r>
      <w:r>
        <w:rPr>
          <w:rFonts w:hint="eastAsia" w:ascii="宋体" w:hAnsi="宋体" w:cs="宋体"/>
          <w:b/>
          <w:bCs/>
          <w:color w:val="auto"/>
          <w:szCs w:val="21"/>
          <w:highlight w:val="none"/>
          <w:u w:val="single"/>
        </w:rPr>
        <w:t>若投标人不参加开标会的，或不签字确认的，视同该投标人认可开标结果；</w:t>
      </w:r>
    </w:p>
    <w:p>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条款号：37.3.2                            修改类型：修改</w:t>
      </w:r>
    </w:p>
    <w:p>
      <w:pPr>
        <w:pBdr>
          <w:bottom w:val="single" w:color="auto" w:sz="6" w:space="1"/>
        </w:pBd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37.3.2向招标人报告评审意见，推荐合格的中标候选人。</w:t>
      </w:r>
    </w:p>
    <w:p>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37.</w:t>
      </w:r>
      <w:r>
        <w:rPr>
          <w:rFonts w:hint="eastAsia" w:ascii="宋体" w:hAnsi="宋体" w:cs="宋体"/>
          <w:color w:val="auto"/>
          <w:szCs w:val="21"/>
          <w:highlight w:val="none"/>
        </w:rPr>
        <w:t>3.</w:t>
      </w:r>
      <w:r>
        <w:rPr>
          <w:rFonts w:hint="eastAsia" w:ascii="宋体" w:hAnsi="宋体" w:cs="宋体"/>
          <w:bCs/>
          <w:color w:val="auto"/>
          <w:szCs w:val="21"/>
          <w:highlight w:val="none"/>
        </w:rPr>
        <w:t>2</w:t>
      </w:r>
      <w:r>
        <w:rPr>
          <w:rFonts w:hint="eastAsia" w:ascii="宋体" w:hAnsi="宋体" w:cs="宋体"/>
          <w:bCs/>
          <w:color w:val="auto"/>
          <w:szCs w:val="21"/>
          <w:highlight w:val="none"/>
          <w:u w:val="single"/>
        </w:rPr>
        <w:t>向招标人报告评审意见，</w:t>
      </w:r>
      <w:r>
        <w:rPr>
          <w:rFonts w:hint="eastAsia" w:ascii="宋体" w:hAnsi="宋体" w:cs="宋体"/>
          <w:b/>
          <w:bCs w:val="0"/>
          <w:color w:val="auto"/>
          <w:szCs w:val="21"/>
          <w:highlight w:val="none"/>
          <w:u w:val="single"/>
        </w:rPr>
        <w:t>按投标须知前附表第</w:t>
      </w:r>
      <w:r>
        <w:rPr>
          <w:rFonts w:hint="eastAsia" w:ascii="宋体" w:hAnsi="宋体" w:cs="宋体"/>
          <w:b/>
          <w:bCs w:val="0"/>
          <w:color w:val="auto"/>
          <w:szCs w:val="21"/>
          <w:highlight w:val="none"/>
          <w:u w:val="single"/>
          <w:lang w:val="en-US" w:eastAsia="zh-CN"/>
        </w:rPr>
        <w:t>20</w:t>
      </w:r>
      <w:r>
        <w:rPr>
          <w:rFonts w:hint="eastAsia" w:ascii="宋体" w:hAnsi="宋体" w:cs="宋体"/>
          <w:b/>
          <w:bCs w:val="0"/>
          <w:color w:val="auto"/>
          <w:szCs w:val="21"/>
          <w:highlight w:val="none"/>
          <w:u w:val="single"/>
        </w:rPr>
        <w:t>项规定</w:t>
      </w:r>
      <w:r>
        <w:rPr>
          <w:rFonts w:hint="eastAsia" w:ascii="宋体" w:hAnsi="宋体" w:cs="宋体"/>
          <w:bCs/>
          <w:color w:val="auto"/>
          <w:szCs w:val="21"/>
          <w:highlight w:val="none"/>
          <w:u w:val="single"/>
        </w:rPr>
        <w:t>推荐合格</w:t>
      </w:r>
      <w:r>
        <w:rPr>
          <w:rFonts w:hint="eastAsia" w:ascii="宋体" w:hAnsi="宋体" w:cs="宋体"/>
          <w:bCs/>
          <w:color w:val="auto"/>
          <w:szCs w:val="21"/>
          <w:highlight w:val="none"/>
          <w:u w:val="single"/>
          <w:lang w:val="en-US" w:eastAsia="zh-CN"/>
        </w:rPr>
        <w:t>的</w:t>
      </w:r>
      <w:r>
        <w:rPr>
          <w:rFonts w:hint="eastAsia" w:ascii="宋体" w:hAnsi="宋体" w:cs="宋体"/>
          <w:bCs/>
          <w:color w:val="auto"/>
          <w:szCs w:val="21"/>
          <w:highlight w:val="none"/>
          <w:u w:val="single"/>
        </w:rPr>
        <w:t>中标候选人。</w:t>
      </w:r>
    </w:p>
    <w:p>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条款号：37.5                        修改类型：修改</w:t>
      </w:r>
    </w:p>
    <w:p>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37.5 评标结束后，评标委员会递交评标报告并依法推荐中标候选人。</w:t>
      </w:r>
    </w:p>
    <w:p>
      <w:pPr>
        <w:pBdr>
          <w:bottom w:val="single" w:color="auto" w:sz="6" w:space="1"/>
        </w:pBd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37.5 评标结束后，评标委员会递交</w:t>
      </w:r>
      <w:r>
        <w:rPr>
          <w:rFonts w:hint="eastAsia" w:ascii="宋体" w:hAnsi="宋体" w:cs="宋体"/>
          <w:b/>
          <w:bCs/>
          <w:color w:val="auto"/>
          <w:szCs w:val="21"/>
          <w:highlight w:val="none"/>
          <w:u w:val="single"/>
        </w:rPr>
        <w:t>资格审查报告和</w:t>
      </w:r>
      <w:r>
        <w:rPr>
          <w:rFonts w:hint="eastAsia" w:ascii="宋体" w:hAnsi="宋体" w:cs="宋体"/>
          <w:color w:val="auto"/>
          <w:szCs w:val="21"/>
          <w:highlight w:val="none"/>
        </w:rPr>
        <w:t>评标报告并依法推荐</w:t>
      </w:r>
      <w:r>
        <w:rPr>
          <w:rFonts w:hint="eastAsia" w:ascii="宋体" w:hAnsi="宋体" w:cs="宋体"/>
          <w:b/>
          <w:bCs/>
          <w:color w:val="auto"/>
          <w:szCs w:val="21"/>
          <w:highlight w:val="none"/>
          <w:u w:val="single"/>
        </w:rPr>
        <w:t>合格的</w:t>
      </w:r>
      <w:r>
        <w:rPr>
          <w:rFonts w:hint="eastAsia" w:ascii="宋体" w:hAnsi="宋体" w:cs="宋体"/>
          <w:color w:val="auto"/>
          <w:szCs w:val="21"/>
          <w:highlight w:val="none"/>
        </w:rPr>
        <w:t>中标候选人</w:t>
      </w:r>
      <w:r>
        <w:rPr>
          <w:rFonts w:hint="eastAsia" w:ascii="宋体" w:hAnsi="宋体" w:cs="宋体"/>
          <w:b/>
          <w:bCs/>
          <w:color w:val="auto"/>
          <w:szCs w:val="21"/>
          <w:highlight w:val="none"/>
          <w:u w:val="single"/>
        </w:rPr>
        <w:t>进入定标阶段</w:t>
      </w:r>
      <w:r>
        <w:rPr>
          <w:rFonts w:hint="eastAsia" w:ascii="宋体" w:hAnsi="宋体" w:cs="宋体"/>
          <w:color w:val="auto"/>
          <w:szCs w:val="21"/>
          <w:highlight w:val="none"/>
        </w:rPr>
        <w:t>。</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条款号：38.1                       修改类型：修改</w:t>
      </w:r>
    </w:p>
    <w:p>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38.1为有助于投标文件的审查、评价和比较，评标期间，经评标委员会或评标委员会专业评审组中两人以上（含两人）</w:t>
      </w:r>
      <w:r>
        <w:rPr>
          <w:rFonts w:hint="eastAsia" w:ascii="宋体" w:hAnsi="宋体" w:cs="宋体"/>
          <w:b/>
          <w:bCs/>
          <w:color w:val="auto"/>
          <w:szCs w:val="21"/>
          <w:highlight w:val="none"/>
          <w:u w:val="single"/>
        </w:rPr>
        <w:t>的成员</w:t>
      </w:r>
      <w:r>
        <w:rPr>
          <w:rFonts w:hint="eastAsia" w:ascii="宋体" w:hAnsi="宋体" w:cs="宋体"/>
          <w:color w:val="auto"/>
          <w:szCs w:val="21"/>
          <w:highlight w:val="none"/>
        </w:rPr>
        <w:t>以书面形式提出动议，评标委员会或评标委员会专业评审组应当书面发出澄清通知，要求投标人对投标文件含义不明确</w:t>
      </w:r>
      <w:r>
        <w:rPr>
          <w:rFonts w:hint="eastAsia" w:ascii="宋体" w:hAnsi="宋体" w:cs="宋体"/>
          <w:b/>
          <w:bCs/>
          <w:color w:val="auto"/>
          <w:szCs w:val="21"/>
          <w:highlight w:val="none"/>
          <w:u w:val="single"/>
        </w:rPr>
        <w:t>、对同类问题表述不一致、有明显文字和计算错误的内容以及细微偏差</w:t>
      </w:r>
      <w:r>
        <w:rPr>
          <w:rFonts w:hint="eastAsia" w:ascii="宋体" w:hAnsi="宋体" w:cs="宋体"/>
          <w:color w:val="auto"/>
          <w:szCs w:val="21"/>
          <w:highlight w:val="none"/>
        </w:rPr>
        <w:t>的内容作出澄清。</w:t>
      </w:r>
    </w:p>
    <w:p>
      <w:pPr>
        <w:keepNext w:val="0"/>
        <w:keepLines w:val="0"/>
        <w:pageBreakBefore w:val="0"/>
        <w:shd w:val="clear" w:color="auto" w:fill="auto"/>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条款号：38.5                         修改类型：修改</w:t>
      </w:r>
    </w:p>
    <w:p>
      <w:pPr>
        <w:keepNext w:val="0"/>
        <w:keepLines w:val="0"/>
        <w:pageBreakBefore w:val="0"/>
        <w:shd w:val="clear" w:color="auto" w:fill="auto"/>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w:t>
      </w:r>
      <w:r>
        <w:rPr>
          <w:rFonts w:hint="eastAsia" w:ascii="宋体" w:hAnsi="宋体" w:eastAsia="宋体" w:cs="宋体"/>
          <w:color w:val="auto"/>
          <w:sz w:val="21"/>
          <w:szCs w:val="21"/>
          <w:highlight w:val="none"/>
          <w:lang w:eastAsia="zh-CN"/>
        </w:rPr>
        <w:t>依法</w:t>
      </w:r>
      <w:r>
        <w:rPr>
          <w:rFonts w:hint="eastAsia" w:ascii="宋体" w:hAnsi="宋体" w:eastAsia="宋体" w:cs="宋体"/>
          <w:color w:val="auto"/>
          <w:szCs w:val="21"/>
          <w:highlight w:val="none"/>
        </w:rPr>
        <w:t>重新招标。</w:t>
      </w:r>
    </w:p>
    <w:p>
      <w:pPr>
        <w:keepNext w:val="0"/>
        <w:keepLines w:val="0"/>
        <w:pageBreakBefore w:val="0"/>
        <w:pBdr>
          <w:bottom w:val="single" w:color="auto" w:sz="6" w:space="1"/>
        </w:pBdr>
        <w:shd w:val="clear" w:color="auto" w:fill="auto"/>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38.5投标人如在本项目中存在串通投标、弄虚作假、行贿情形且在评标</w:t>
      </w:r>
      <w:r>
        <w:rPr>
          <w:rFonts w:hint="eastAsia" w:ascii="宋体" w:hAnsi="宋体" w:eastAsia="宋体" w:cs="宋体"/>
          <w:b/>
          <w:bCs/>
          <w:color w:val="auto"/>
          <w:szCs w:val="21"/>
          <w:highlight w:val="none"/>
          <w:u w:val="single"/>
        </w:rPr>
        <w:t>或定标</w:t>
      </w:r>
      <w:r>
        <w:rPr>
          <w:rFonts w:hint="eastAsia" w:ascii="宋体" w:hAnsi="宋体" w:eastAsia="宋体" w:cs="宋体"/>
          <w:color w:val="auto"/>
          <w:szCs w:val="21"/>
          <w:highlight w:val="none"/>
        </w:rPr>
        <w:t>过程中未被发现的，该投标不改变本项目评标结果排序，</w:t>
      </w:r>
      <w:r>
        <w:rPr>
          <w:rFonts w:hint="eastAsia" w:ascii="宋体" w:hAnsi="宋体" w:eastAsia="宋体" w:cs="宋体"/>
          <w:b/>
          <w:bCs/>
          <w:color w:val="auto"/>
          <w:szCs w:val="21"/>
          <w:highlight w:val="none"/>
          <w:u w:val="single"/>
        </w:rPr>
        <w:t>若在定标过程中被确定为中标人，</w:t>
      </w:r>
      <w:r>
        <w:rPr>
          <w:rFonts w:hint="eastAsia" w:ascii="宋体" w:hAnsi="宋体" w:eastAsia="宋体" w:cs="宋体"/>
          <w:color w:val="auto"/>
          <w:szCs w:val="21"/>
          <w:highlight w:val="none"/>
        </w:rPr>
        <w:t>其中标无效。</w:t>
      </w:r>
      <w:r>
        <w:rPr>
          <w:rFonts w:hint="eastAsia" w:ascii="宋体" w:hAnsi="宋体" w:eastAsia="宋体" w:cs="宋体"/>
          <w:b/>
          <w:bCs/>
          <w:color w:val="auto"/>
          <w:szCs w:val="21"/>
          <w:highlight w:val="none"/>
          <w:u w:val="single"/>
        </w:rPr>
        <w:t>招标人可从其他合格中标候选人中采用原定标办法，由原定标委员会重新确定中标人，也可以重新招标。</w:t>
      </w:r>
    </w:p>
    <w:p>
      <w:pPr>
        <w:snapToGrid w:val="0"/>
        <w:spacing w:line="360" w:lineRule="auto"/>
        <w:ind w:firstLine="472" w:firstLineChars="224"/>
        <w:rPr>
          <w:rFonts w:ascii="宋体" w:hAnsi="宋体" w:cs="宋体"/>
          <w:color w:val="auto"/>
          <w:sz w:val="24"/>
          <w:szCs w:val="24"/>
          <w:highlight w:val="none"/>
        </w:rPr>
      </w:pPr>
      <w:r>
        <w:rPr>
          <w:rFonts w:hint="eastAsia" w:ascii="宋体" w:hAnsi="宋体" w:cs="宋体"/>
          <w:b/>
          <w:color w:val="auto"/>
          <w:szCs w:val="21"/>
          <w:highlight w:val="none"/>
        </w:rPr>
        <w:t>条款号：39.</w:t>
      </w:r>
      <w:r>
        <w:rPr>
          <w:rFonts w:hint="eastAsia" w:ascii="宋体" w:hAnsi="宋体"/>
          <w:b/>
          <w:bCs/>
          <w:color w:val="auto"/>
          <w:sz w:val="24"/>
          <w:szCs w:val="24"/>
          <w:highlight w:val="none"/>
        </w:rPr>
        <w:t>定标</w:t>
      </w:r>
      <w:r>
        <w:rPr>
          <w:rFonts w:hint="eastAsia" w:ascii="宋体" w:hAnsi="宋体" w:cs="宋体"/>
          <w:b/>
          <w:bCs/>
          <w:color w:val="auto"/>
          <w:szCs w:val="21"/>
          <w:highlight w:val="none"/>
        </w:rPr>
        <w:t xml:space="preserve"> </w:t>
      </w:r>
      <w:r>
        <w:rPr>
          <w:rFonts w:hint="eastAsia" w:ascii="宋体" w:hAnsi="宋体" w:cs="宋体"/>
          <w:b/>
          <w:color w:val="auto"/>
          <w:szCs w:val="21"/>
          <w:highlight w:val="none"/>
        </w:rPr>
        <w:t xml:space="preserve">                      修改类型：修改</w:t>
      </w:r>
    </w:p>
    <w:p>
      <w:pPr>
        <w:snapToGrid w:val="0"/>
        <w:spacing w:line="360" w:lineRule="auto"/>
        <w:ind w:firstLine="422" w:firstLineChars="200"/>
        <w:rPr>
          <w:rFonts w:ascii="宋体" w:hAnsi="宋体"/>
          <w:color w:val="auto"/>
          <w:sz w:val="21"/>
          <w:szCs w:val="21"/>
          <w:highlight w:val="none"/>
        </w:rPr>
      </w:pPr>
      <w:r>
        <w:rPr>
          <w:rFonts w:hint="eastAsia" w:ascii="宋体" w:hAnsi="宋体" w:cs="宋体"/>
          <w:b/>
          <w:bCs/>
          <w:color w:val="auto"/>
          <w:szCs w:val="21"/>
          <w:highlight w:val="none"/>
        </w:rPr>
        <w:t>原文：</w:t>
      </w:r>
      <w:r>
        <w:rPr>
          <w:rFonts w:ascii="宋体" w:hAnsi="宋体"/>
          <w:color w:val="auto"/>
          <w:sz w:val="21"/>
          <w:szCs w:val="21"/>
          <w:highlight w:val="none"/>
        </w:rPr>
        <w:t>39</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定标</w:t>
      </w:r>
    </w:p>
    <w:p>
      <w:pPr>
        <w:snapToGrid w:val="0"/>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39.1 </w:t>
      </w:r>
      <w:r>
        <w:rPr>
          <w:rFonts w:hint="eastAsia" w:ascii="宋体" w:hAnsi="宋体"/>
          <w:color w:val="auto"/>
          <w:sz w:val="21"/>
          <w:szCs w:val="21"/>
          <w:highlight w:val="none"/>
        </w:rPr>
        <w:t>招标人根据评标委员会递交的评标报告，最终审定中标人。</w:t>
      </w:r>
    </w:p>
    <w:p>
      <w:pPr>
        <w:snapToGrid w:val="0"/>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39.2 </w:t>
      </w:r>
      <w:r>
        <w:rPr>
          <w:rFonts w:hint="eastAsia" w:ascii="宋体" w:hAnsi="宋体"/>
          <w:color w:val="auto"/>
          <w:sz w:val="21"/>
          <w:szCs w:val="21"/>
          <w:highlight w:val="none"/>
        </w:rPr>
        <w:t>依法必须进行公开招标的项目，招标人应当确定排名第一的中标候选人为中标人。</w:t>
      </w:r>
    </w:p>
    <w:p>
      <w:pPr>
        <w:snapToGrid w:val="0"/>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39.3</w:t>
      </w:r>
      <w:r>
        <w:rPr>
          <w:rFonts w:hint="eastAsia" w:ascii="宋体" w:hAnsi="宋体"/>
          <w:color w:val="auto"/>
          <w:sz w:val="21"/>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snapToGrid w:val="0"/>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39.4</w:t>
      </w:r>
      <w:r>
        <w:rPr>
          <w:rFonts w:hint="eastAsia" w:ascii="宋体" w:hAnsi="宋体"/>
          <w:color w:val="auto"/>
          <w:sz w:val="21"/>
          <w:szCs w:val="21"/>
          <w:highlight w:val="none"/>
        </w:rPr>
        <w:t>排名第二的中标候选人出现前款所列的情形的，招标人可以确定排名第三的中标候选人为中标人。以此类推，如所有中标候选人均出现前款所列的情形，为招标失败，招标人依法重新招标。</w:t>
      </w:r>
    </w:p>
    <w:p>
      <w:pPr>
        <w:snapToGrid w:val="0"/>
        <w:spacing w:line="360" w:lineRule="auto"/>
        <w:ind w:firstLine="420" w:firstLineChars="200"/>
        <w:rPr>
          <w:rFonts w:ascii="宋体" w:hAnsi="宋体" w:cs="宋体"/>
          <w:color w:val="auto"/>
          <w:szCs w:val="21"/>
          <w:highlight w:val="none"/>
        </w:rPr>
      </w:pPr>
      <w:r>
        <w:rPr>
          <w:rFonts w:hint="eastAsia" w:ascii="宋体" w:hAnsi="宋体"/>
          <w:color w:val="auto"/>
          <w:sz w:val="21"/>
          <w:szCs w:val="21"/>
          <w:highlight w:val="none"/>
        </w:rPr>
        <w:t>39.5 重新评标的，评标信息（含业绩、奖项等）仍以投标截止时投标人的信息为准。因特殊原因需要延长投标有效期，投标人拒绝延长投标有效期的，仍参与评标，但不被推荐为中标候选人。</w:t>
      </w:r>
    </w:p>
    <w:p>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现文：39</w:t>
      </w:r>
      <w:r>
        <w:rPr>
          <w:rFonts w:hint="eastAsia" w:ascii="宋体" w:hAnsi="宋体" w:cs="宋体"/>
          <w:b/>
          <w:color w:val="auto"/>
          <w:szCs w:val="21"/>
          <w:highlight w:val="none"/>
          <w:lang w:val="en-US" w:eastAsia="zh-CN"/>
        </w:rPr>
        <w:t>.</w:t>
      </w:r>
      <w:r>
        <w:rPr>
          <w:rFonts w:hint="eastAsia" w:ascii="宋体" w:hAnsi="宋体" w:eastAsia="宋体" w:cs="宋体"/>
          <w:b/>
          <w:color w:val="auto"/>
          <w:sz w:val="21"/>
          <w:szCs w:val="21"/>
          <w:highlight w:val="none"/>
          <w:u w:val="single"/>
        </w:rPr>
        <w:t>具体定标条款详见本章43.定标详细规定</w:t>
      </w:r>
      <w:r>
        <w:rPr>
          <w:rFonts w:hint="eastAsia" w:ascii="宋体" w:hAnsi="宋体" w:eastAsia="宋体" w:cs="宋体"/>
          <w:color w:val="auto"/>
          <w:sz w:val="21"/>
          <w:szCs w:val="21"/>
          <w:highlight w:val="none"/>
          <w:u w:val="single"/>
          <w:lang w:eastAsia="zh-CN"/>
        </w:rPr>
        <w:t>。</w:t>
      </w:r>
    </w:p>
    <w:p>
      <w:pPr>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 xml:space="preserve">条款号：40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pPr>
        <w:pStyle w:val="13"/>
        <w:keepNext w:val="0"/>
        <w:keepLines w:val="0"/>
        <w:pageBreakBefore w:val="0"/>
        <w:widowControl w:val="0"/>
        <w:kinsoku w:val="0"/>
        <w:wordWrap/>
        <w:overflowPunct w:val="0"/>
        <w:topLinePunct w:val="0"/>
        <w:autoSpaceDE/>
        <w:autoSpaceDN/>
        <w:bidi w:val="0"/>
        <w:adjustRightInd/>
        <w:snapToGrid w:val="0"/>
        <w:spacing w:after="0" w:line="360" w:lineRule="auto"/>
        <w:ind w:firstLine="422" w:firstLineChars="200"/>
        <w:textAlignment w:val="auto"/>
        <w:rPr>
          <w:rFonts w:ascii="宋体" w:hAnsi="宋体"/>
          <w:color w:val="auto"/>
          <w:sz w:val="21"/>
          <w:szCs w:val="21"/>
          <w:highlight w:val="none"/>
        </w:rPr>
      </w:pPr>
      <w:r>
        <w:rPr>
          <w:rFonts w:hint="eastAsia" w:ascii="宋体" w:hAnsi="宋体"/>
          <w:b/>
          <w:bCs/>
          <w:color w:val="auto"/>
          <w:sz w:val="21"/>
          <w:szCs w:val="21"/>
          <w:highlight w:val="none"/>
        </w:rPr>
        <w:t>原文：</w:t>
      </w:r>
      <w:r>
        <w:rPr>
          <w:rFonts w:hint="eastAsia" w:ascii="宋体" w:hAnsi="宋体"/>
          <w:color w:val="auto"/>
          <w:sz w:val="21"/>
          <w:szCs w:val="21"/>
          <w:highlight w:val="none"/>
        </w:rPr>
        <w:t>40．开标和评标程序</w:t>
      </w:r>
    </w:p>
    <w:p>
      <w:pPr>
        <w:keepNext w:val="0"/>
        <w:keepLines w:val="0"/>
        <w:pageBreakBefore w:val="0"/>
        <w:widowControl w:val="0"/>
        <w:wordWrap/>
        <w:topLinePunct w:val="0"/>
        <w:autoSpaceDE/>
        <w:autoSpaceDN/>
        <w:bidi w:val="0"/>
        <w:adjustRightInd/>
        <w:snapToGrid w:val="0"/>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40.1投标人递交技术标、经济标投标文件；</w:t>
      </w:r>
    </w:p>
    <w:p>
      <w:pPr>
        <w:keepNext w:val="0"/>
        <w:keepLines w:val="0"/>
        <w:pageBreakBefore w:val="0"/>
        <w:widowControl w:val="0"/>
        <w:wordWrap/>
        <w:topLinePunct w:val="0"/>
        <w:autoSpaceDE/>
        <w:autoSpaceDN/>
        <w:bidi w:val="0"/>
        <w:adjustRightInd/>
        <w:snapToGrid w:val="0"/>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40.2技术标与经济标投标文件同时公开开标；</w:t>
      </w:r>
    </w:p>
    <w:p>
      <w:pPr>
        <w:keepNext w:val="0"/>
        <w:keepLines w:val="0"/>
        <w:pageBreakBefore w:val="0"/>
        <w:widowControl w:val="0"/>
        <w:wordWrap/>
        <w:topLinePunct w:val="0"/>
        <w:autoSpaceDE/>
        <w:autoSpaceDN/>
        <w:bidi w:val="0"/>
        <w:adjustRightInd/>
        <w:snapToGrid w:val="0"/>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40.3由评标委员会对所有已公开开标的投标人进行资格审查；</w:t>
      </w:r>
    </w:p>
    <w:p>
      <w:pPr>
        <w:keepNext w:val="0"/>
        <w:keepLines w:val="0"/>
        <w:pageBreakBefore w:val="0"/>
        <w:widowControl w:val="0"/>
        <w:wordWrap/>
        <w:topLinePunct w:val="0"/>
        <w:autoSpaceDE/>
        <w:autoSpaceDN/>
        <w:bidi w:val="0"/>
        <w:adjustRightInd/>
        <w:snapToGrid w:val="0"/>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40.4技术标投标文件有效性审查；</w:t>
      </w:r>
    </w:p>
    <w:p>
      <w:pPr>
        <w:keepNext w:val="0"/>
        <w:keepLines w:val="0"/>
        <w:pageBreakBefore w:val="0"/>
        <w:widowControl w:val="0"/>
        <w:wordWrap/>
        <w:topLinePunct w:val="0"/>
        <w:autoSpaceDE/>
        <w:autoSpaceDN/>
        <w:bidi w:val="0"/>
        <w:adjustRightInd/>
        <w:snapToGrid w:val="0"/>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40.5技术标详细审查评分；</w:t>
      </w:r>
    </w:p>
    <w:p>
      <w:pPr>
        <w:keepNext w:val="0"/>
        <w:keepLines w:val="0"/>
        <w:pageBreakBefore w:val="0"/>
        <w:widowControl w:val="0"/>
        <w:wordWrap/>
        <w:topLinePunct w:val="0"/>
        <w:autoSpaceDE/>
        <w:autoSpaceDN/>
        <w:bidi w:val="0"/>
        <w:adjustRightInd/>
        <w:snapToGrid w:val="0"/>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 xml:space="preserve">40.6计算第一阶段得分，并按照总分从高到低排列先后次序，编写第一阶段评审报告； </w:t>
      </w:r>
    </w:p>
    <w:p>
      <w:pPr>
        <w:keepNext w:val="0"/>
        <w:keepLines w:val="0"/>
        <w:pageBreakBefore w:val="0"/>
        <w:widowControl w:val="0"/>
        <w:wordWrap/>
        <w:topLinePunct w:val="0"/>
        <w:autoSpaceDE/>
        <w:autoSpaceDN/>
        <w:bidi w:val="0"/>
        <w:adjustRightInd/>
        <w:snapToGrid w:val="0"/>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40.7按投标须知前附表第25项规定，确定进入第二阶段评审的投标人；</w:t>
      </w:r>
    </w:p>
    <w:p>
      <w:pPr>
        <w:keepNext w:val="0"/>
        <w:keepLines w:val="0"/>
        <w:pageBreakBefore w:val="0"/>
        <w:widowControl w:val="0"/>
        <w:wordWrap/>
        <w:topLinePunct w:val="0"/>
        <w:autoSpaceDE/>
        <w:autoSpaceDN/>
        <w:bidi w:val="0"/>
        <w:adjustRightInd/>
        <w:snapToGrid w:val="0"/>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40.8将进入第二阶段评审的投标人进行排序；</w:t>
      </w:r>
    </w:p>
    <w:p>
      <w:pPr>
        <w:keepNext w:val="0"/>
        <w:keepLines w:val="0"/>
        <w:pageBreakBefore w:val="0"/>
        <w:widowControl w:val="0"/>
        <w:wordWrap/>
        <w:topLinePunct w:val="0"/>
        <w:autoSpaceDE/>
        <w:autoSpaceDN/>
        <w:bidi w:val="0"/>
        <w:adjustRightInd/>
        <w:snapToGrid w:val="0"/>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40.9按排序对经济标投标文件进行有效性审查（含投标报价算术校核），直至评出所有中标候选人；</w:t>
      </w:r>
    </w:p>
    <w:p>
      <w:pPr>
        <w:keepNext w:val="0"/>
        <w:keepLines w:val="0"/>
        <w:pageBreakBefore w:val="0"/>
        <w:widowControl w:val="0"/>
        <w:pBdr>
          <w:top w:val="none" w:color="auto" w:sz="0" w:space="0"/>
          <w:left w:val="none" w:color="auto" w:sz="0" w:space="0"/>
          <w:bottom w:val="none" w:color="auto" w:sz="0" w:space="1"/>
          <w:right w:val="none" w:color="auto" w:sz="0" w:space="0"/>
          <w:between w:val="none" w:color="auto" w:sz="0" w:space="0"/>
        </w:pBdr>
        <w:wordWrap/>
        <w:topLinePunct w:val="0"/>
        <w:autoSpaceDE/>
        <w:autoSpaceDN/>
        <w:bidi w:val="0"/>
        <w:adjustRightInd/>
        <w:snapToGrid w:val="0"/>
        <w:spacing w:line="360" w:lineRule="auto"/>
        <w:ind w:firstLine="470" w:firstLineChars="224"/>
        <w:textAlignment w:val="auto"/>
        <w:rPr>
          <w:rFonts w:hint="eastAsia" w:ascii="宋体" w:hAnsi="宋体"/>
          <w:color w:val="auto"/>
          <w:sz w:val="21"/>
          <w:szCs w:val="21"/>
          <w:highlight w:val="none"/>
        </w:rPr>
      </w:pPr>
      <w:r>
        <w:rPr>
          <w:rFonts w:hint="eastAsia" w:ascii="宋体" w:hAnsi="宋体"/>
          <w:color w:val="auto"/>
          <w:sz w:val="21"/>
          <w:szCs w:val="21"/>
          <w:highlight w:val="none"/>
        </w:rPr>
        <w:t>40.10评标委员会编写评标报告，向招标人推荐中标候选人名单。</w:t>
      </w:r>
    </w:p>
    <w:p>
      <w:pPr>
        <w:pBdr>
          <w:top w:val="none" w:color="auto" w:sz="0" w:space="0"/>
          <w:left w:val="none" w:color="auto" w:sz="0" w:space="0"/>
          <w:bottom w:val="none" w:color="auto" w:sz="0" w:space="1"/>
          <w:right w:val="none" w:color="auto" w:sz="0" w:space="0"/>
          <w:between w:val="none" w:color="auto" w:sz="0" w:space="0"/>
        </w:pBdr>
        <w:snapToGrid w:val="0"/>
        <w:spacing w:line="360" w:lineRule="auto"/>
        <w:ind w:firstLine="472" w:firstLineChars="224"/>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40．开标和评标程序：</w:t>
      </w:r>
    </w:p>
    <w:p>
      <w:pPr>
        <w:pBdr>
          <w:top w:val="none" w:color="auto" w:sz="0" w:space="0"/>
          <w:left w:val="none" w:color="auto" w:sz="0" w:space="0"/>
          <w:bottom w:val="none" w:color="auto" w:sz="0" w:space="1"/>
          <w:right w:val="none" w:color="auto" w:sz="0" w:space="0"/>
          <w:between w:val="none" w:color="auto" w:sz="0" w:space="0"/>
        </w:pBdr>
        <w:snapToGrid w:val="0"/>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40.1投标人递交技术标</w:t>
      </w:r>
      <w:r>
        <w:rPr>
          <w:rFonts w:hint="eastAsia" w:ascii="宋体" w:hAnsi="宋体"/>
          <w:b/>
          <w:bCs/>
          <w:color w:val="auto"/>
          <w:szCs w:val="21"/>
          <w:highlight w:val="none"/>
          <w:u w:val="single"/>
        </w:rPr>
        <w:t>（含资格审查文件）</w:t>
      </w:r>
      <w:r>
        <w:rPr>
          <w:rFonts w:hint="eastAsia" w:ascii="宋体" w:hAnsi="宋体"/>
          <w:color w:val="auto"/>
          <w:szCs w:val="21"/>
          <w:highlight w:val="none"/>
        </w:rPr>
        <w:t>、经济标投标文件</w:t>
      </w:r>
      <w:r>
        <w:rPr>
          <w:rFonts w:hint="eastAsia" w:ascii="宋体" w:hAnsi="宋体"/>
          <w:b/>
          <w:bCs/>
          <w:color w:val="auto"/>
          <w:szCs w:val="21"/>
          <w:highlight w:val="none"/>
          <w:u w:val="single"/>
          <w:lang w:eastAsia="zh-CN"/>
        </w:rPr>
        <w:t>、定标文件</w:t>
      </w:r>
      <w:r>
        <w:rPr>
          <w:rFonts w:hint="eastAsia" w:ascii="宋体" w:hAnsi="宋体"/>
          <w:color w:val="auto"/>
          <w:szCs w:val="21"/>
          <w:highlight w:val="none"/>
        </w:rPr>
        <w:t>；</w:t>
      </w:r>
    </w:p>
    <w:p>
      <w:pPr>
        <w:pBdr>
          <w:top w:val="none" w:color="auto" w:sz="0" w:space="0"/>
          <w:left w:val="none" w:color="auto" w:sz="0" w:space="0"/>
          <w:bottom w:val="none" w:color="auto" w:sz="0" w:space="1"/>
          <w:right w:val="none" w:color="auto" w:sz="0" w:space="0"/>
          <w:between w:val="none" w:color="auto" w:sz="0" w:space="0"/>
        </w:pBdr>
        <w:snapToGrid w:val="0"/>
        <w:spacing w:line="360" w:lineRule="auto"/>
        <w:ind w:firstLine="470" w:firstLineChars="224"/>
        <w:rPr>
          <w:rFonts w:ascii="宋体" w:hAnsi="宋体"/>
          <w:color w:val="auto"/>
          <w:szCs w:val="21"/>
          <w:highlight w:val="none"/>
          <w:u w:val="single"/>
        </w:rPr>
      </w:pPr>
      <w:r>
        <w:rPr>
          <w:rFonts w:hint="eastAsia" w:ascii="宋体" w:hAnsi="宋体"/>
          <w:color w:val="auto"/>
          <w:szCs w:val="21"/>
          <w:highlight w:val="none"/>
        </w:rPr>
        <w:t>40.2技术标</w:t>
      </w:r>
      <w:r>
        <w:rPr>
          <w:rFonts w:hint="eastAsia" w:ascii="宋体" w:hAnsi="宋体"/>
          <w:b/>
          <w:bCs/>
          <w:color w:val="auto"/>
          <w:szCs w:val="21"/>
          <w:highlight w:val="none"/>
          <w:u w:val="single"/>
        </w:rPr>
        <w:t>（含资格审查文件）</w:t>
      </w:r>
      <w:r>
        <w:rPr>
          <w:rFonts w:hint="eastAsia" w:ascii="宋体" w:hAnsi="宋体"/>
          <w:color w:val="auto"/>
          <w:szCs w:val="21"/>
          <w:highlight w:val="none"/>
        </w:rPr>
        <w:t>与经济标投标文件同时公开开标。</w:t>
      </w:r>
    </w:p>
    <w:p>
      <w:pPr>
        <w:pBdr>
          <w:top w:val="none" w:color="auto" w:sz="0" w:space="0"/>
          <w:left w:val="none" w:color="auto" w:sz="0" w:space="0"/>
          <w:bottom w:val="none" w:color="auto" w:sz="0" w:space="1"/>
          <w:right w:val="none" w:color="auto" w:sz="0" w:space="0"/>
          <w:between w:val="none" w:color="auto" w:sz="0" w:space="0"/>
        </w:pBdr>
        <w:snapToGrid w:val="0"/>
        <w:spacing w:line="360" w:lineRule="auto"/>
        <w:ind w:firstLine="470" w:firstLineChars="224"/>
        <w:rPr>
          <w:rFonts w:ascii="宋体" w:hAnsi="宋体"/>
          <w:color w:val="auto"/>
          <w:szCs w:val="21"/>
          <w:highlight w:val="none"/>
          <w:u w:val="single"/>
        </w:rPr>
      </w:pPr>
      <w:r>
        <w:rPr>
          <w:rFonts w:hint="eastAsia" w:ascii="宋体" w:hAnsi="宋体"/>
          <w:color w:val="auto"/>
          <w:szCs w:val="21"/>
          <w:highlight w:val="none"/>
        </w:rPr>
        <w:t>40.3由评标委员会对所有已公开开标的投标人进行资格审查</w:t>
      </w:r>
      <w:r>
        <w:rPr>
          <w:rFonts w:hint="eastAsia" w:ascii="宋体" w:hAnsi="宋体"/>
          <w:b/>
          <w:bCs/>
          <w:color w:val="auto"/>
          <w:szCs w:val="21"/>
          <w:highlight w:val="none"/>
          <w:u w:val="single"/>
        </w:rPr>
        <w:t>，并编写资格审查报告；</w:t>
      </w:r>
    </w:p>
    <w:p>
      <w:pPr>
        <w:pBdr>
          <w:top w:val="none" w:color="auto" w:sz="0" w:space="0"/>
          <w:left w:val="none" w:color="auto" w:sz="0" w:space="0"/>
          <w:bottom w:val="none" w:color="auto" w:sz="0" w:space="1"/>
          <w:right w:val="none" w:color="auto" w:sz="0" w:space="0"/>
          <w:between w:val="none" w:color="auto" w:sz="0" w:space="0"/>
        </w:pBdr>
        <w:snapToGrid w:val="0"/>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40.4技术标</w:t>
      </w:r>
      <w:r>
        <w:rPr>
          <w:rFonts w:hint="eastAsia" w:ascii="宋体" w:hAnsi="宋体"/>
          <w:b/>
          <w:bCs w:val="0"/>
          <w:color w:val="auto"/>
          <w:szCs w:val="21"/>
          <w:highlight w:val="none"/>
          <w:u w:val="single"/>
        </w:rPr>
        <w:t>（含资格审查文件）</w:t>
      </w:r>
      <w:r>
        <w:rPr>
          <w:rFonts w:hint="eastAsia" w:ascii="宋体" w:hAnsi="宋体"/>
          <w:color w:val="auto"/>
          <w:szCs w:val="21"/>
          <w:highlight w:val="none"/>
        </w:rPr>
        <w:t>投标文件有效性审查；</w:t>
      </w:r>
    </w:p>
    <w:p>
      <w:pPr>
        <w:pBdr>
          <w:top w:val="none" w:color="auto" w:sz="0" w:space="0"/>
          <w:left w:val="none" w:color="auto" w:sz="0" w:space="0"/>
          <w:bottom w:val="none" w:color="auto" w:sz="0" w:space="1"/>
          <w:right w:val="none" w:color="auto" w:sz="0" w:space="0"/>
          <w:between w:val="none" w:color="auto" w:sz="0" w:space="0"/>
        </w:pBdr>
        <w:snapToGrid w:val="0"/>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40.5技术标详细审查评分；</w:t>
      </w:r>
    </w:p>
    <w:p>
      <w:pPr>
        <w:pBdr>
          <w:top w:val="none" w:color="auto" w:sz="0" w:space="0"/>
          <w:left w:val="none" w:color="auto" w:sz="0" w:space="0"/>
          <w:bottom w:val="none" w:color="auto" w:sz="0" w:space="1"/>
          <w:right w:val="none" w:color="auto" w:sz="0" w:space="0"/>
          <w:between w:val="none" w:color="auto" w:sz="0" w:space="0"/>
        </w:pBdr>
        <w:snapToGrid w:val="0"/>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40.6</w:t>
      </w:r>
      <w:r>
        <w:rPr>
          <w:rFonts w:hint="eastAsia" w:ascii="宋体" w:hAnsi="宋体"/>
          <w:b/>
          <w:bCs/>
          <w:color w:val="auto"/>
          <w:szCs w:val="21"/>
          <w:highlight w:val="none"/>
          <w:u w:val="single"/>
        </w:rPr>
        <w:t>按投标须知前附表第2</w:t>
      </w:r>
      <w:r>
        <w:rPr>
          <w:rFonts w:hint="eastAsia" w:ascii="宋体" w:hAnsi="宋体"/>
          <w:b/>
          <w:bCs/>
          <w:color w:val="auto"/>
          <w:szCs w:val="21"/>
          <w:highlight w:val="none"/>
          <w:u w:val="single"/>
          <w:lang w:eastAsia="zh-CN"/>
        </w:rPr>
        <w:t>8</w:t>
      </w:r>
      <w:r>
        <w:rPr>
          <w:rFonts w:hint="eastAsia" w:ascii="宋体" w:hAnsi="宋体"/>
          <w:b/>
          <w:bCs/>
          <w:color w:val="auto"/>
          <w:szCs w:val="21"/>
          <w:highlight w:val="none"/>
          <w:u w:val="single"/>
        </w:rPr>
        <w:t>项规定</w:t>
      </w:r>
      <w:r>
        <w:rPr>
          <w:rFonts w:hint="eastAsia" w:ascii="宋体" w:hAnsi="宋体"/>
          <w:color w:val="auto"/>
          <w:szCs w:val="21"/>
          <w:highlight w:val="none"/>
        </w:rPr>
        <w:t>计算第一阶段得分，并按照</w:t>
      </w:r>
      <w:r>
        <w:rPr>
          <w:rFonts w:hint="eastAsia" w:ascii="宋体" w:hAnsi="宋体"/>
          <w:b/>
          <w:bCs/>
          <w:color w:val="auto"/>
          <w:szCs w:val="21"/>
          <w:highlight w:val="none"/>
          <w:u w:val="single"/>
        </w:rPr>
        <w:t>第一阶段总得分</w:t>
      </w:r>
      <w:r>
        <w:rPr>
          <w:rFonts w:hint="eastAsia" w:ascii="宋体" w:hAnsi="宋体"/>
          <w:color w:val="auto"/>
          <w:szCs w:val="21"/>
          <w:highlight w:val="none"/>
        </w:rPr>
        <w:t xml:space="preserve">从高到低排列先后次序，编写第一阶段评审报告； </w:t>
      </w:r>
    </w:p>
    <w:p>
      <w:pPr>
        <w:pBdr>
          <w:top w:val="none" w:color="auto" w:sz="0" w:space="0"/>
          <w:left w:val="none" w:color="auto" w:sz="0" w:space="0"/>
          <w:bottom w:val="none" w:color="auto" w:sz="0" w:space="1"/>
          <w:right w:val="none" w:color="auto" w:sz="0" w:space="0"/>
          <w:between w:val="none" w:color="auto" w:sz="0" w:space="0"/>
        </w:pBdr>
        <w:snapToGrid w:val="0"/>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40.7按投标须知前附表第</w:t>
      </w:r>
      <w:r>
        <w:rPr>
          <w:rFonts w:hint="eastAsia" w:ascii="宋体" w:hAnsi="宋体"/>
          <w:color w:val="auto"/>
          <w:szCs w:val="21"/>
          <w:highlight w:val="none"/>
          <w:lang w:val="en-US" w:eastAsia="zh-CN"/>
        </w:rPr>
        <w:t>26</w:t>
      </w:r>
      <w:r>
        <w:rPr>
          <w:rFonts w:hint="eastAsia" w:ascii="宋体" w:hAnsi="宋体"/>
          <w:color w:val="auto"/>
          <w:szCs w:val="21"/>
          <w:highlight w:val="none"/>
        </w:rPr>
        <w:t>项规定，确定进入第二阶段评审的投标人；</w:t>
      </w:r>
    </w:p>
    <w:p>
      <w:pPr>
        <w:pBdr>
          <w:top w:val="none" w:color="auto" w:sz="0" w:space="0"/>
          <w:left w:val="none" w:color="auto" w:sz="0" w:space="0"/>
          <w:bottom w:val="none" w:color="auto" w:sz="0" w:space="1"/>
          <w:right w:val="none" w:color="auto" w:sz="0" w:space="0"/>
          <w:between w:val="none" w:color="auto" w:sz="0" w:space="0"/>
        </w:pBdr>
        <w:snapToGrid w:val="0"/>
        <w:spacing w:line="360" w:lineRule="auto"/>
        <w:ind w:firstLine="470" w:firstLineChars="224"/>
        <w:rPr>
          <w:rFonts w:ascii="宋体" w:hAnsi="宋体"/>
          <w:color w:val="auto"/>
          <w:szCs w:val="21"/>
          <w:highlight w:val="none"/>
          <w:u w:val="single"/>
        </w:rPr>
      </w:pPr>
      <w:r>
        <w:rPr>
          <w:rFonts w:hint="eastAsia" w:ascii="宋体" w:hAnsi="宋体"/>
          <w:color w:val="auto"/>
          <w:szCs w:val="21"/>
          <w:highlight w:val="none"/>
        </w:rPr>
        <w:t>40.8将进入第二阶段评审的投标人</w:t>
      </w:r>
      <w:r>
        <w:rPr>
          <w:rFonts w:hint="eastAsia" w:ascii="宋体" w:hAnsi="宋体"/>
          <w:b/>
          <w:bCs/>
          <w:color w:val="auto"/>
          <w:szCs w:val="21"/>
          <w:highlight w:val="none"/>
          <w:u w:val="single"/>
        </w:rPr>
        <w:t>的经济标进行评分，并按投标须知前附表第3</w:t>
      </w:r>
      <w:r>
        <w:rPr>
          <w:rFonts w:hint="eastAsia" w:ascii="宋体" w:hAnsi="宋体"/>
          <w:b/>
          <w:bCs/>
          <w:color w:val="auto"/>
          <w:szCs w:val="21"/>
          <w:highlight w:val="none"/>
          <w:u w:val="single"/>
          <w:lang w:eastAsia="zh-CN"/>
        </w:rPr>
        <w:t>3</w:t>
      </w:r>
      <w:r>
        <w:rPr>
          <w:rFonts w:ascii="宋体" w:hAnsi="宋体"/>
          <w:b/>
          <w:bCs/>
          <w:color w:val="auto"/>
          <w:szCs w:val="21"/>
          <w:highlight w:val="none"/>
          <w:u w:val="single"/>
        </w:rPr>
        <w:t>项规定</w:t>
      </w:r>
      <w:r>
        <w:rPr>
          <w:rFonts w:hint="eastAsia" w:ascii="宋体" w:hAnsi="宋体"/>
          <w:b/>
          <w:bCs/>
          <w:color w:val="auto"/>
          <w:szCs w:val="21"/>
          <w:highlight w:val="none"/>
          <w:u w:val="single"/>
        </w:rPr>
        <w:t>，按第二阶段总得分</w:t>
      </w:r>
      <w:r>
        <w:rPr>
          <w:rFonts w:hint="eastAsia" w:ascii="宋体" w:hAnsi="宋体"/>
          <w:color w:val="auto"/>
          <w:szCs w:val="21"/>
          <w:highlight w:val="none"/>
        </w:rPr>
        <w:t>进行排序；</w:t>
      </w:r>
    </w:p>
    <w:p>
      <w:pPr>
        <w:pBdr>
          <w:top w:val="none" w:color="auto" w:sz="0" w:space="0"/>
          <w:left w:val="none" w:color="auto" w:sz="0" w:space="0"/>
          <w:bottom w:val="none" w:color="auto" w:sz="0" w:space="1"/>
          <w:right w:val="none" w:color="auto" w:sz="0" w:space="0"/>
          <w:between w:val="none" w:color="auto" w:sz="0" w:space="0"/>
        </w:pBdr>
        <w:snapToGrid w:val="0"/>
        <w:spacing w:line="360" w:lineRule="auto"/>
        <w:ind w:firstLine="470" w:firstLineChars="224"/>
        <w:rPr>
          <w:rFonts w:ascii="宋体" w:hAnsi="宋体"/>
          <w:color w:val="auto"/>
          <w:szCs w:val="21"/>
          <w:highlight w:val="none"/>
          <w:u w:val="single"/>
        </w:rPr>
      </w:pPr>
      <w:r>
        <w:rPr>
          <w:rFonts w:hint="eastAsia" w:ascii="宋体" w:hAnsi="宋体"/>
          <w:color w:val="auto"/>
          <w:szCs w:val="21"/>
          <w:highlight w:val="none"/>
        </w:rPr>
        <w:t>40.9</w:t>
      </w:r>
      <w:r>
        <w:rPr>
          <w:rFonts w:hint="eastAsia" w:ascii="宋体" w:hAnsi="宋体"/>
          <w:color w:val="auto"/>
          <w:szCs w:val="21"/>
          <w:highlight w:val="none"/>
          <w:u w:val="single"/>
        </w:rPr>
        <w:t>对进入第二阶段评审的投标人的经济标投标文件进行有效性审查（含投标报价算术校核），</w:t>
      </w:r>
      <w:r>
        <w:rPr>
          <w:rFonts w:hint="eastAsia" w:ascii="宋体" w:hAnsi="宋体"/>
          <w:color w:val="auto"/>
          <w:szCs w:val="21"/>
          <w:highlight w:val="none"/>
        </w:rPr>
        <w:t>直至评出</w:t>
      </w:r>
      <w:r>
        <w:rPr>
          <w:rFonts w:hint="eastAsia" w:ascii="宋体" w:hAnsi="宋体"/>
          <w:color w:val="auto"/>
          <w:szCs w:val="21"/>
          <w:highlight w:val="none"/>
          <w:u w:val="single"/>
        </w:rPr>
        <w:t>规定数量的</w:t>
      </w:r>
      <w:r>
        <w:rPr>
          <w:rFonts w:hint="eastAsia" w:ascii="宋体" w:hAnsi="宋体"/>
          <w:color w:val="auto"/>
          <w:szCs w:val="21"/>
          <w:highlight w:val="none"/>
        </w:rPr>
        <w:t>中标候选人；</w:t>
      </w:r>
    </w:p>
    <w:p>
      <w:pPr>
        <w:keepNext w:val="0"/>
        <w:keepLines w:val="0"/>
        <w:pageBreakBefore w:val="0"/>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40.</w:t>
      </w:r>
      <w:r>
        <w:rPr>
          <w:rFonts w:hint="eastAsia" w:ascii="宋体" w:hAnsi="宋体" w:eastAsia="宋体" w:cs="宋体"/>
          <w:b/>
          <w:bCs/>
          <w:color w:val="auto"/>
          <w:sz w:val="21"/>
          <w:szCs w:val="21"/>
          <w:highlight w:val="none"/>
          <w:u w:val="single"/>
          <w:lang w:val="en-US" w:eastAsia="zh-CN"/>
        </w:rPr>
        <w:t>10</w:t>
      </w:r>
      <w:r>
        <w:rPr>
          <w:rFonts w:hint="eastAsia" w:ascii="宋体" w:hAnsi="宋体" w:eastAsia="宋体" w:cs="宋体"/>
          <w:b/>
          <w:bCs/>
          <w:color w:val="auto"/>
          <w:sz w:val="21"/>
          <w:szCs w:val="21"/>
          <w:highlight w:val="none"/>
          <w:u w:val="single"/>
          <w:lang w:eastAsia="zh-CN"/>
        </w:rPr>
        <w:t>按排序对经济标投标文件</w:t>
      </w:r>
      <w:r>
        <w:rPr>
          <w:rFonts w:hint="eastAsia" w:ascii="宋体" w:hAnsi="宋体" w:eastAsia="宋体" w:cs="宋体"/>
          <w:b/>
          <w:bCs/>
          <w:color w:val="auto"/>
          <w:sz w:val="21"/>
          <w:szCs w:val="21"/>
          <w:highlight w:val="none"/>
          <w:u w:val="single"/>
        </w:rPr>
        <w:t>进行有效性审查</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rPr>
        <w:t>直至评出</w:t>
      </w:r>
      <w:r>
        <w:rPr>
          <w:rFonts w:hint="eastAsia" w:ascii="宋体" w:hAnsi="宋体" w:eastAsia="宋体" w:cs="宋体"/>
          <w:b/>
          <w:bCs/>
          <w:color w:val="auto"/>
          <w:sz w:val="21"/>
          <w:szCs w:val="21"/>
          <w:highlight w:val="none"/>
          <w:u w:val="single"/>
          <w:lang w:eastAsia="zh-CN"/>
        </w:rPr>
        <w:t>规定数量的合格</w:t>
      </w:r>
      <w:r>
        <w:rPr>
          <w:rFonts w:hint="eastAsia" w:ascii="宋体" w:hAnsi="宋体" w:eastAsia="宋体" w:cs="宋体"/>
          <w:b/>
          <w:bCs/>
          <w:color w:val="auto"/>
          <w:sz w:val="21"/>
          <w:szCs w:val="21"/>
          <w:highlight w:val="none"/>
          <w:u w:val="single"/>
        </w:rPr>
        <w:t>中标候选人；</w:t>
      </w:r>
    </w:p>
    <w:p>
      <w:pPr>
        <w:pBdr>
          <w:bottom w:val="single" w:color="auto" w:sz="6" w:space="1"/>
        </w:pBdr>
        <w:snapToGrid w:val="0"/>
        <w:spacing w:line="360" w:lineRule="auto"/>
        <w:ind w:firstLine="422" w:firstLineChars="200"/>
        <w:rPr>
          <w:rFonts w:ascii="宋体" w:hAnsi="宋体"/>
          <w:strike/>
          <w:color w:val="auto"/>
          <w:szCs w:val="21"/>
          <w:highlight w:val="none"/>
          <w:u w:val="single"/>
        </w:rPr>
      </w:pPr>
      <w:r>
        <w:rPr>
          <w:rFonts w:hint="eastAsia" w:ascii="宋体" w:hAnsi="宋体" w:eastAsia="宋体" w:cs="宋体"/>
          <w:b/>
          <w:bCs/>
          <w:color w:val="auto"/>
          <w:sz w:val="21"/>
          <w:szCs w:val="21"/>
          <w:highlight w:val="none"/>
          <w:u w:val="single"/>
        </w:rPr>
        <w:t>40.</w:t>
      </w:r>
      <w:r>
        <w:rPr>
          <w:rFonts w:hint="eastAsia" w:ascii="宋体" w:hAnsi="宋体" w:eastAsia="宋体" w:cs="宋体"/>
          <w:b/>
          <w:bCs/>
          <w:color w:val="auto"/>
          <w:sz w:val="21"/>
          <w:szCs w:val="21"/>
          <w:highlight w:val="none"/>
          <w:u w:val="single"/>
          <w:lang w:val="en-US" w:eastAsia="zh-CN"/>
        </w:rPr>
        <w:t>11</w:t>
      </w:r>
      <w:r>
        <w:rPr>
          <w:rFonts w:hint="eastAsia" w:ascii="宋体" w:hAnsi="宋体" w:eastAsia="宋体" w:cs="宋体"/>
          <w:b/>
          <w:bCs/>
          <w:color w:val="auto"/>
          <w:sz w:val="21"/>
          <w:szCs w:val="21"/>
          <w:highlight w:val="none"/>
          <w:u w:val="single"/>
        </w:rPr>
        <w:t>评标委员会编写资格审查报告以及评标报告，按投标须知前附表第2</w:t>
      </w:r>
      <w:r>
        <w:rPr>
          <w:rFonts w:hint="eastAsia" w:ascii="宋体" w:hAnsi="宋体" w:eastAsia="宋体" w:cs="宋体"/>
          <w:b/>
          <w:bCs/>
          <w:color w:val="auto"/>
          <w:sz w:val="21"/>
          <w:szCs w:val="21"/>
          <w:highlight w:val="none"/>
          <w:u w:val="single"/>
          <w:lang w:eastAsia="zh-CN"/>
        </w:rPr>
        <w:t>0</w:t>
      </w:r>
      <w:r>
        <w:rPr>
          <w:rFonts w:hint="eastAsia" w:ascii="宋体" w:hAnsi="宋体" w:eastAsia="宋体" w:cs="宋体"/>
          <w:b/>
          <w:bCs/>
          <w:color w:val="auto"/>
          <w:sz w:val="21"/>
          <w:szCs w:val="21"/>
          <w:highlight w:val="none"/>
          <w:u w:val="single"/>
        </w:rPr>
        <w:t>项规定</w:t>
      </w:r>
      <w:r>
        <w:rPr>
          <w:rFonts w:hint="eastAsia" w:ascii="宋体" w:hAnsi="宋体" w:eastAsia="宋体" w:cs="宋体"/>
          <w:b/>
          <w:bCs/>
          <w:color w:val="auto"/>
          <w:sz w:val="21"/>
          <w:szCs w:val="21"/>
          <w:highlight w:val="none"/>
          <w:u w:val="single"/>
          <w:lang w:val="en-US" w:eastAsia="zh-CN"/>
        </w:rPr>
        <w:t>向招标人推荐</w:t>
      </w:r>
      <w:r>
        <w:rPr>
          <w:rFonts w:hint="eastAsia" w:ascii="宋体" w:hAnsi="宋体" w:eastAsia="宋体" w:cs="宋体"/>
          <w:b/>
          <w:bCs/>
          <w:color w:val="auto"/>
          <w:sz w:val="21"/>
          <w:szCs w:val="21"/>
          <w:highlight w:val="none"/>
          <w:u w:val="single"/>
        </w:rPr>
        <w:t>合格中标候选人</w:t>
      </w:r>
      <w:r>
        <w:rPr>
          <w:rFonts w:hint="eastAsia" w:ascii="宋体" w:hAnsi="宋体" w:eastAsia="宋体" w:cs="宋体"/>
          <w:b/>
          <w:bCs/>
          <w:color w:val="auto"/>
          <w:sz w:val="21"/>
          <w:szCs w:val="21"/>
          <w:highlight w:val="none"/>
          <w:u w:val="single"/>
          <w:lang w:val="en-US" w:eastAsia="zh-CN"/>
        </w:rPr>
        <w:t>名单</w:t>
      </w:r>
      <w:r>
        <w:rPr>
          <w:rFonts w:hint="eastAsia" w:ascii="宋体" w:hAnsi="宋体" w:eastAsia="宋体" w:cs="宋体"/>
          <w:b/>
          <w:bCs/>
          <w:color w:val="auto"/>
          <w:sz w:val="21"/>
          <w:szCs w:val="21"/>
          <w:highlight w:val="none"/>
          <w:u w:val="single"/>
        </w:rPr>
        <w:t>。</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条款号：41.1                       修改类型：修改</w:t>
      </w:r>
    </w:p>
    <w:p>
      <w:pPr>
        <w:pBdr>
          <w:top w:val="none" w:color="auto" w:sz="0" w:space="0"/>
          <w:left w:val="none" w:color="auto" w:sz="0" w:space="0"/>
          <w:bottom w:val="none" w:color="auto" w:sz="0" w:space="1"/>
          <w:right w:val="none" w:color="auto" w:sz="0" w:space="0"/>
          <w:between w:val="none" w:color="auto" w:sz="0" w:space="0"/>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41.1开标由招标人主持；</w:t>
      </w:r>
    </w:p>
    <w:p>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41.1开标由招标人</w:t>
      </w:r>
      <w:r>
        <w:rPr>
          <w:rFonts w:hint="eastAsia" w:ascii="宋体" w:hAnsi="宋体" w:cs="宋体"/>
          <w:b/>
          <w:bCs/>
          <w:color w:val="auto"/>
          <w:szCs w:val="21"/>
          <w:highlight w:val="none"/>
          <w:u w:val="single"/>
        </w:rPr>
        <w:t>或招标代理</w:t>
      </w:r>
      <w:r>
        <w:rPr>
          <w:rFonts w:hint="eastAsia" w:ascii="宋体" w:hAnsi="宋体" w:cs="宋体"/>
          <w:color w:val="auto"/>
          <w:szCs w:val="21"/>
          <w:highlight w:val="none"/>
        </w:rPr>
        <w:t>主持；</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条款号：41.2.1                     修改类型：修改</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41.2.1</w:t>
      </w:r>
      <w:r>
        <w:rPr>
          <w:rFonts w:hint="eastAsia" w:ascii="宋体"/>
          <w:color w:val="auto"/>
          <w:szCs w:val="21"/>
          <w:highlight w:val="none"/>
        </w:rPr>
        <w:t>投标截止期前，各投标人递交投标文件（包括技术标投标文件、经济标投标文件）至</w:t>
      </w:r>
      <w:r>
        <w:rPr>
          <w:rFonts w:hint="eastAsia" w:ascii="宋体"/>
          <w:color w:val="auto"/>
          <w:szCs w:val="21"/>
          <w:highlight w:val="none"/>
          <w:u w:val="single"/>
        </w:rPr>
        <w:t xml:space="preserve">        </w:t>
      </w:r>
      <w:r>
        <w:rPr>
          <w:rFonts w:hint="eastAsia" w:ascii="宋体"/>
          <w:color w:val="auto"/>
          <w:szCs w:val="21"/>
          <w:highlight w:val="none"/>
        </w:rPr>
        <w:t>交易平台。有关投标文件提交的事项详见第一章投标须知。</w:t>
      </w:r>
    </w:p>
    <w:p>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41.2.1投标截止期前，各投标人递交投标文件</w:t>
      </w:r>
      <w:r>
        <w:rPr>
          <w:rFonts w:hint="eastAsia" w:ascii="宋体" w:hAnsi="宋体" w:cs="宋体"/>
          <w:b/>
          <w:bCs/>
          <w:color w:val="auto"/>
          <w:szCs w:val="21"/>
          <w:highlight w:val="none"/>
          <w:u w:val="single"/>
        </w:rPr>
        <w:t>[包括技术标投标文件（含资格审查文件）、经济标投标文件</w:t>
      </w:r>
      <w:r>
        <w:rPr>
          <w:rFonts w:hint="eastAsia" w:ascii="宋体" w:hAnsi="宋体" w:eastAsia="宋体" w:cs="宋体"/>
          <w:b/>
          <w:bCs/>
          <w:color w:val="auto"/>
          <w:szCs w:val="21"/>
          <w:highlight w:val="none"/>
          <w:u w:val="single"/>
          <w:lang w:eastAsia="zh-CN"/>
        </w:rPr>
        <w:t>、定标文件</w:t>
      </w:r>
      <w:r>
        <w:rPr>
          <w:rFonts w:hint="eastAsia" w:ascii="宋体" w:hAnsi="宋体" w:cs="宋体"/>
          <w:b/>
          <w:bCs/>
          <w:color w:val="auto"/>
          <w:szCs w:val="21"/>
          <w:highlight w:val="none"/>
          <w:u w:val="single"/>
        </w:rPr>
        <w:t>]</w:t>
      </w:r>
      <w:r>
        <w:rPr>
          <w:rFonts w:hint="eastAsia" w:ascii="宋体" w:hAnsi="宋体" w:cs="宋体"/>
          <w:color w:val="auto"/>
          <w:szCs w:val="21"/>
          <w:highlight w:val="none"/>
        </w:rPr>
        <w:t>至</w:t>
      </w:r>
      <w:r>
        <w:rPr>
          <w:rFonts w:hint="eastAsia" w:ascii="宋体" w:hAnsi="宋体" w:cs="宋体"/>
          <w:b/>
          <w:bCs/>
          <w:color w:val="auto"/>
          <w:szCs w:val="21"/>
          <w:highlight w:val="none"/>
          <w:u w:val="single"/>
        </w:rPr>
        <w:t>广州交易集团有限公司（广州公共资源交易中心）</w:t>
      </w:r>
      <w:r>
        <w:rPr>
          <w:rFonts w:hint="eastAsia" w:ascii="宋体" w:hAnsi="宋体" w:cs="宋体"/>
          <w:color w:val="auto"/>
          <w:szCs w:val="21"/>
          <w:highlight w:val="none"/>
        </w:rPr>
        <w:t>交易平台。有关投标文件提交的事项详见第一章投标须知。</w:t>
      </w:r>
    </w:p>
    <w:p>
      <w:pPr>
        <w:snapToGrid w:val="0"/>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条款号：41.3.1     　               修改类型：修改</w:t>
      </w:r>
    </w:p>
    <w:p>
      <w:pPr>
        <w:snapToGrid w:val="0"/>
        <w:spacing w:line="360" w:lineRule="auto"/>
        <w:ind w:firstLine="424" w:firstLineChars="201"/>
        <w:rPr>
          <w:rFonts w:ascii="宋体" w:hAnsi="宋体" w:cs="宋体"/>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szCs w:val="21"/>
          <w:highlight w:val="none"/>
        </w:rPr>
        <w:t>41.3.1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pPr>
        <w:pBdr>
          <w:bottom w:val="single" w:color="auto" w:sz="6" w:space="1"/>
        </w:pBdr>
        <w:snapToGrid w:val="0"/>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41.3.1开标时，公布：a、投标人名称；b、投标文件密封情况；c、投标报价；</w:t>
      </w:r>
      <w:r>
        <w:rPr>
          <w:rFonts w:hint="eastAsia" w:ascii="宋体" w:hAnsi="宋体" w:cs="宋体"/>
          <w:b/>
          <w:bCs/>
          <w:color w:val="auto"/>
          <w:szCs w:val="21"/>
          <w:highlight w:val="none"/>
          <w:u w:val="single"/>
        </w:rPr>
        <w:t>d、项目经理（负责人）名称；e、</w:t>
      </w:r>
      <w:r>
        <w:rPr>
          <w:rFonts w:hint="eastAsia" w:ascii="宋体" w:hAnsi="宋体" w:cs="宋体"/>
          <w:color w:val="auto"/>
          <w:szCs w:val="21"/>
          <w:highlight w:val="none"/>
        </w:rPr>
        <w:t>法定代表人证明及授权委托等主要内容及开标记录表中的其他必要内容。投标报价以数字和文字两种方式表述的，应公布文字表述的投标报价。</w:t>
      </w:r>
    </w:p>
    <w:p>
      <w:pPr>
        <w:snapToGrid w:val="0"/>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条款号：41.</w:t>
      </w:r>
      <w:r>
        <w:rPr>
          <w:rFonts w:ascii="宋体" w:hAnsi="宋体" w:cs="宋体"/>
          <w:b/>
          <w:color w:val="auto"/>
          <w:szCs w:val="21"/>
          <w:highlight w:val="none"/>
        </w:rPr>
        <w:t xml:space="preserve">4 </w:t>
      </w:r>
      <w:r>
        <w:rPr>
          <w:rFonts w:hint="eastAsia" w:ascii="宋体" w:hAnsi="宋体" w:cs="宋体"/>
          <w:b/>
          <w:color w:val="auto"/>
          <w:szCs w:val="21"/>
          <w:highlight w:val="none"/>
        </w:rPr>
        <w:t xml:space="preserve">                 </w:t>
      </w:r>
      <w:r>
        <w:rPr>
          <w:rFonts w:ascii="宋体" w:hAnsi="宋体" w:cs="宋体"/>
          <w:b/>
          <w:color w:val="auto"/>
          <w:szCs w:val="21"/>
          <w:highlight w:val="none"/>
        </w:rPr>
        <w:t xml:space="preserve"> </w:t>
      </w:r>
      <w:r>
        <w:rPr>
          <w:rFonts w:hint="eastAsia" w:ascii="宋体" w:hAnsi="宋体" w:cs="宋体"/>
          <w:b/>
          <w:color w:val="auto"/>
          <w:szCs w:val="21"/>
          <w:highlight w:val="none"/>
        </w:rPr>
        <w:t xml:space="preserve">     修改类型：修改</w:t>
      </w:r>
    </w:p>
    <w:p>
      <w:pPr>
        <w:pBdr>
          <w:bottom w:val="single" w:color="auto" w:sz="6" w:space="1"/>
        </w:pBdr>
        <w:snapToGrid w:val="0"/>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41.4招标人对开标过程进行记录，并存档备查，投标人在开标记录上签字。</w:t>
      </w:r>
    </w:p>
    <w:p>
      <w:pPr>
        <w:pBdr>
          <w:bottom w:val="single" w:color="auto" w:sz="6" w:space="1"/>
        </w:pBdr>
        <w:snapToGrid w:val="0"/>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w:t>
      </w:r>
      <w:r>
        <w:rPr>
          <w:rFonts w:ascii="宋体" w:hAnsi="宋体" w:cs="宋体"/>
          <w:color w:val="auto"/>
          <w:szCs w:val="21"/>
          <w:highlight w:val="none"/>
        </w:rPr>
        <w:t>4</w:t>
      </w:r>
      <w:r>
        <w:rPr>
          <w:rFonts w:hint="eastAsia" w:ascii="宋体" w:hAnsi="宋体" w:cs="宋体"/>
          <w:color w:val="auto"/>
          <w:szCs w:val="21"/>
          <w:highlight w:val="none"/>
        </w:rPr>
        <w:t>招标人</w:t>
      </w:r>
      <w:r>
        <w:rPr>
          <w:rFonts w:hint="eastAsia" w:ascii="宋体" w:hAnsi="宋体" w:cs="宋体"/>
          <w:b/>
          <w:bCs/>
          <w:color w:val="auto"/>
          <w:szCs w:val="21"/>
          <w:highlight w:val="none"/>
          <w:u w:val="single"/>
        </w:rPr>
        <w:t>或招标代理机构</w:t>
      </w:r>
      <w:r>
        <w:rPr>
          <w:rFonts w:hint="eastAsia" w:ascii="宋体" w:hAnsi="宋体" w:cs="宋体"/>
          <w:color w:val="auto"/>
          <w:szCs w:val="21"/>
          <w:highlight w:val="none"/>
        </w:rPr>
        <w:t>对开标过程进行记录，并存档备查，</w:t>
      </w:r>
      <w:r>
        <w:rPr>
          <w:rFonts w:hint="eastAsia" w:ascii="宋体" w:hAnsi="宋体" w:cs="宋体"/>
          <w:b/>
          <w:bCs/>
          <w:color w:val="auto"/>
          <w:szCs w:val="21"/>
          <w:highlight w:val="none"/>
          <w:u w:val="single"/>
        </w:rPr>
        <w:t>参加现场开标会的</w:t>
      </w:r>
      <w:r>
        <w:rPr>
          <w:rFonts w:hint="eastAsia" w:ascii="宋体" w:hAnsi="宋体" w:cs="宋体"/>
          <w:color w:val="auto"/>
          <w:szCs w:val="21"/>
          <w:highlight w:val="none"/>
        </w:rPr>
        <w:t>投标人在开标记录上签字。</w:t>
      </w:r>
    </w:p>
    <w:p>
      <w:pPr>
        <w:snapToGrid w:val="0"/>
        <w:spacing w:before="313" w:beforeLines="100"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条款号：42.1                        修改类型：修改</w:t>
      </w:r>
    </w:p>
    <w:p>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42.1评标委员会的组成：方式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方式一：评标委员会为综合评标委员会，负责评标工作。</w:t>
      </w:r>
    </w:p>
    <w:p>
      <w:pPr>
        <w:pBdr>
          <w:bottom w:val="single" w:color="auto" w:sz="6" w:space="1"/>
        </w:pBd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方式二：评标委员会由技术评审组和经济评审组组成。其中：资格审查、技术评审由技术评标组负责，经济评审由经济评审组负责</w:t>
      </w:r>
    </w:p>
    <w:p>
      <w:pPr>
        <w:pBdr>
          <w:bottom w:val="single" w:color="auto" w:sz="6" w:space="1"/>
        </w:pBd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42.1评标委员会的组成：</w:t>
      </w:r>
      <w:r>
        <w:rPr>
          <w:rFonts w:hint="eastAsia" w:ascii="宋体" w:hAnsi="宋体" w:cs="宋体"/>
          <w:color w:val="auto"/>
          <w:szCs w:val="21"/>
          <w:highlight w:val="none"/>
          <w:u w:val="single"/>
        </w:rPr>
        <w:t>方式</w:t>
      </w:r>
      <w:r>
        <w:rPr>
          <w:rFonts w:hint="eastAsia" w:ascii="宋体" w:hAnsi="宋体" w:eastAsia="宋体" w:cs="宋体"/>
          <w:b/>
          <w:bCs/>
          <w:color w:val="auto"/>
          <w:szCs w:val="21"/>
          <w:highlight w:val="none"/>
          <w:u w:val="single"/>
        </w:rPr>
        <w:t>一：评标委员会为综合评标委员会，负责资格审查及评标工作。评标委员会由技术及经济专业专家组成，均由广东省综合评标评审专家库随机抽取，评标委员会人数为五人以上单数，其中技术方面的专家不得少于成员总数的三分之二。</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条款号：42.2.6                     修改类型：修改</w:t>
      </w:r>
    </w:p>
    <w:p>
      <w:pPr>
        <w:widowControl/>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42.2.6资格审查合格的投标人少于3名的（当N个标段同时招标且不允许兼中时，资格审查合格的投标人少于N+2名），则本项目招标失败。</w:t>
      </w:r>
    </w:p>
    <w:p>
      <w:pPr>
        <w:pBdr>
          <w:bottom w:val="single" w:color="auto" w:sz="6" w:space="1"/>
        </w:pBdr>
        <w:snapToGrid w:val="0"/>
        <w:spacing w:line="360" w:lineRule="auto"/>
        <w:ind w:firstLine="472" w:firstLineChars="224"/>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42.2.6</w:t>
      </w:r>
      <w:r>
        <w:rPr>
          <w:rFonts w:hint="eastAsia" w:ascii="宋体" w:hAnsi="宋体" w:cs="宋体"/>
          <w:b/>
          <w:bCs/>
          <w:color w:val="auto"/>
          <w:szCs w:val="21"/>
          <w:highlight w:val="none"/>
          <w:u w:val="single"/>
        </w:rPr>
        <w:t>若满足资格审查合格条件（投标人合格条件）的投标申请人不足3名，</w:t>
      </w:r>
      <w:r>
        <w:rPr>
          <w:rFonts w:hint="eastAsia" w:ascii="宋体" w:hAnsi="宋体" w:eastAsia="宋体" w:cs="宋体"/>
          <w:b/>
          <w:bCs/>
          <w:color w:val="auto"/>
          <w:szCs w:val="21"/>
          <w:highlight w:val="none"/>
          <w:u w:val="single"/>
        </w:rPr>
        <w:t>本项目招标失败，由招标人依法重新招标。</w:t>
      </w:r>
    </w:p>
    <w:p>
      <w:pPr>
        <w:keepNext w:val="0"/>
        <w:keepLines w:val="0"/>
        <w:pageBreakBefore w:val="0"/>
        <w:shd w:val="clear" w:color="auto" w:fill="auto"/>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条款号：42.3</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rPr>
        <w:t xml:space="preserve">                      修改类型：修改</w:t>
      </w:r>
    </w:p>
    <w:p>
      <w:pPr>
        <w:snapToGrid w:val="0"/>
        <w:spacing w:line="360" w:lineRule="auto"/>
        <w:ind w:firstLine="422" w:firstLineChars="200"/>
        <w:rPr>
          <w:rFonts w:ascii="宋体" w:hAnsi="宋体"/>
          <w:color w:val="auto"/>
          <w:sz w:val="21"/>
          <w:szCs w:val="21"/>
          <w:highlight w:val="none"/>
        </w:rPr>
      </w:pPr>
      <w:r>
        <w:rPr>
          <w:rFonts w:hint="eastAsia" w:ascii="宋体" w:hAnsi="宋体" w:eastAsia="宋体" w:cs="宋体"/>
          <w:b/>
          <w:color w:val="auto"/>
          <w:szCs w:val="21"/>
          <w:highlight w:val="none"/>
        </w:rPr>
        <w:t>原文：</w:t>
      </w:r>
      <w:r>
        <w:rPr>
          <w:rFonts w:hint="eastAsia" w:ascii="宋体" w:hAnsi="宋体"/>
          <w:color w:val="auto"/>
          <w:sz w:val="21"/>
          <w:szCs w:val="21"/>
          <w:highlight w:val="none"/>
        </w:rPr>
        <w:t>42.3 第一阶段评审</w:t>
      </w:r>
    </w:p>
    <w:p>
      <w:pPr>
        <w:snapToGrid w:val="0"/>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42.3</w:t>
      </w:r>
      <w:r>
        <w:rPr>
          <w:rFonts w:hint="eastAsia" w:ascii="宋体" w:hAnsi="宋体"/>
          <w:color w:val="auto"/>
          <w:sz w:val="21"/>
          <w:szCs w:val="21"/>
          <w:highlight w:val="none"/>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snapToGri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42.3.2</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详细审查评分：评标委员会按照本办法附表</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详细审查评分表》对通过技术标有效性审查的投标文件进行详细审查，评出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得分。</w:t>
      </w:r>
    </w:p>
    <w:p>
      <w:pPr>
        <w:snapToGri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42.3.4评标委员会按照“第一阶段得分=</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color w:val="auto"/>
          <w:sz w:val="21"/>
          <w:szCs w:val="21"/>
          <w:highlight w:val="none"/>
        </w:rPr>
        <w:t>42.3.5招标人应在《投标须知前附表》中明确选择使用施工企业总排名或相应的施工专业承包排名计分。</w:t>
      </w:r>
    </w:p>
    <w:p>
      <w:pPr>
        <w:shd w:val="clear" w:color="auto" w:fill="auto"/>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 w:val="21"/>
          <w:szCs w:val="21"/>
          <w:highlight w:val="none"/>
        </w:rPr>
        <w:t>42.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第一阶段评审</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.1技术标的有效性审查：投标文件中没有任一种列于本办法</w:t>
      </w:r>
      <w:r>
        <w:rPr>
          <w:rFonts w:hint="eastAsia" w:ascii="宋体" w:hAnsi="宋体" w:eastAsia="宋体" w:cs="宋体"/>
          <w:b w:val="0"/>
          <w:bCs w:val="0"/>
          <w:color w:val="auto"/>
          <w:sz w:val="21"/>
          <w:szCs w:val="21"/>
          <w:highlight w:val="none"/>
          <w:u w:val="none"/>
        </w:rPr>
        <w:t>附表</w:t>
      </w:r>
      <w:r>
        <w:rPr>
          <w:rFonts w:hint="eastAsia" w:ascii="宋体" w:hAnsi="宋体" w:eastAsia="宋体" w:cs="宋体"/>
          <w:b w:val="0"/>
          <w:bCs w:val="0"/>
          <w:color w:val="auto"/>
          <w:sz w:val="21"/>
          <w:szCs w:val="21"/>
          <w:highlight w:val="none"/>
          <w:u w:val="none"/>
          <w:lang w:val="en-US" w:eastAsia="zh-CN"/>
        </w:rPr>
        <w:t>二</w:t>
      </w:r>
      <w:r>
        <w:rPr>
          <w:rFonts w:hint="eastAsia" w:ascii="宋体" w:hAnsi="宋体" w:eastAsia="宋体" w:cs="宋体"/>
          <w:b w:val="0"/>
          <w:bCs w:val="0"/>
          <w:color w:val="auto"/>
          <w:sz w:val="21"/>
          <w:szCs w:val="21"/>
          <w:highlight w:val="none"/>
          <w:u w:val="none"/>
        </w:rPr>
        <w:t>《技术标有效性审查表》</w:t>
      </w:r>
      <w:r>
        <w:rPr>
          <w:rFonts w:hint="eastAsia" w:ascii="宋体" w:hAnsi="宋体" w:eastAsia="宋体" w:cs="宋体"/>
          <w:color w:val="auto"/>
          <w:sz w:val="21"/>
          <w:szCs w:val="21"/>
          <w:highlight w:val="none"/>
        </w:rPr>
        <w:t>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评委发现投标文件中含义不明确、对同类问题表述不一致、有明显文字和计算错误的，应当要求投标人作必要的澄清、说明后再判定投标人是否通过有效性审查，不得直接否决投标。</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w:t>
      </w:r>
      <w:r>
        <w:rPr>
          <w:rFonts w:hint="eastAsia" w:ascii="宋体" w:hAnsi="宋体" w:eastAsia="宋体" w:cs="宋体"/>
          <w:b/>
          <w:bCs/>
          <w:color w:val="auto"/>
          <w:szCs w:val="21"/>
          <w:highlight w:val="none"/>
          <w:u w:val="single"/>
        </w:rPr>
        <w:t>技术标</w:t>
      </w:r>
      <w:r>
        <w:rPr>
          <w:rFonts w:hint="eastAsia" w:ascii="宋体" w:hAnsi="宋体" w:eastAsia="宋体" w:cs="宋体"/>
          <w:color w:val="auto"/>
          <w:szCs w:val="21"/>
          <w:highlight w:val="none"/>
        </w:rPr>
        <w:t>详细审查评分：评标委员会按照本办法</w:t>
      </w:r>
      <w:r>
        <w:rPr>
          <w:rFonts w:hint="eastAsia" w:ascii="宋体" w:hAnsi="宋体" w:eastAsia="宋体" w:cs="宋体"/>
          <w:b/>
          <w:bCs/>
          <w:color w:val="auto"/>
          <w:szCs w:val="21"/>
          <w:highlight w:val="none"/>
          <w:u w:val="single"/>
        </w:rPr>
        <w:t>附表</w:t>
      </w:r>
      <w:r>
        <w:rPr>
          <w:rFonts w:hint="eastAsia" w:ascii="宋体" w:hAnsi="宋体" w:eastAsia="宋体" w:cs="宋体"/>
          <w:b/>
          <w:bCs/>
          <w:color w:val="auto"/>
          <w:szCs w:val="21"/>
          <w:highlight w:val="none"/>
          <w:u w:val="single"/>
          <w:lang w:val="en-US" w:eastAsia="zh-CN"/>
        </w:rPr>
        <w:t>四</w:t>
      </w:r>
      <w:r>
        <w:rPr>
          <w:rFonts w:hint="eastAsia" w:ascii="宋体" w:hAnsi="宋体" w:eastAsia="宋体" w:cs="宋体"/>
          <w:b/>
          <w:bCs/>
          <w:color w:val="auto"/>
          <w:szCs w:val="21"/>
          <w:highlight w:val="none"/>
          <w:u w:val="single"/>
        </w:rPr>
        <w:t>《技术标详细审查评分表》</w:t>
      </w:r>
      <w:r>
        <w:rPr>
          <w:rFonts w:hint="eastAsia" w:ascii="宋体" w:hAnsi="宋体" w:eastAsia="宋体" w:cs="宋体"/>
          <w:color w:val="auto"/>
          <w:szCs w:val="21"/>
          <w:highlight w:val="none"/>
        </w:rPr>
        <w:t>对通过技术标有效性审查的投标文件进行详细审查，评出</w:t>
      </w:r>
      <w:r>
        <w:rPr>
          <w:rFonts w:hint="eastAsia" w:ascii="宋体" w:hAnsi="宋体" w:eastAsia="宋体" w:cs="宋体"/>
          <w:b/>
          <w:bCs/>
          <w:color w:val="auto"/>
          <w:szCs w:val="21"/>
          <w:highlight w:val="none"/>
          <w:u w:val="single"/>
        </w:rPr>
        <w:t>技术标</w:t>
      </w:r>
      <w:r>
        <w:rPr>
          <w:rFonts w:hint="eastAsia" w:ascii="宋体" w:hAnsi="宋体" w:eastAsia="宋体" w:cs="宋体"/>
          <w:color w:val="auto"/>
          <w:szCs w:val="21"/>
          <w:highlight w:val="none"/>
        </w:rPr>
        <w:t>得分</w:t>
      </w:r>
      <w:r>
        <w:rPr>
          <w:rFonts w:hint="eastAsia" w:ascii="宋体" w:hAnsi="宋体" w:eastAsia="宋体" w:cs="宋体"/>
          <w:b/>
          <w:bCs/>
          <w:color w:val="auto"/>
          <w:szCs w:val="21"/>
          <w:highlight w:val="none"/>
          <w:u w:val="single"/>
        </w:rPr>
        <w:t>（即技术分）</w:t>
      </w:r>
      <w:r>
        <w:rPr>
          <w:rFonts w:hint="eastAsia" w:ascii="宋体" w:hAnsi="宋体" w:eastAsia="宋体" w:cs="宋体"/>
          <w:color w:val="auto"/>
          <w:szCs w:val="21"/>
          <w:highlight w:val="none"/>
        </w:rPr>
        <w:t>。</w:t>
      </w:r>
    </w:p>
    <w:p>
      <w:pPr>
        <w:keepNext w:val="0"/>
        <w:keepLines w:val="0"/>
        <w:pageBreakBefore w:val="0"/>
        <w:pBdr>
          <w:bottom w:val="single" w:color="auto" w:sz="6" w:space="1"/>
        </w:pBdr>
        <w:shd w:val="clear" w:color="auto" w:fill="auto"/>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评标委员会按照</w:t>
      </w:r>
      <w:r>
        <w:rPr>
          <w:rFonts w:hint="eastAsia" w:ascii="宋体" w:hAnsi="宋体" w:eastAsia="宋体" w:cs="宋体"/>
          <w:color w:val="auto"/>
          <w:sz w:val="21"/>
          <w:szCs w:val="21"/>
          <w:highlight w:val="none"/>
          <w:lang w:eastAsia="zh-CN"/>
        </w:rPr>
        <w:t>“</w:t>
      </w:r>
      <w:r>
        <w:rPr>
          <w:rFonts w:hint="eastAsia" w:ascii="宋体" w:hAnsi="宋体" w:eastAsia="宋体" w:cs="宋体"/>
          <w:b/>
          <w:bCs/>
          <w:strike w:val="0"/>
          <w:color w:val="auto"/>
          <w:szCs w:val="21"/>
          <w:highlight w:val="none"/>
          <w:u w:val="single"/>
        </w:rPr>
        <w:t>第一阶段得分=</w:t>
      </w:r>
      <w:r>
        <w:rPr>
          <w:rFonts w:hint="eastAsia" w:ascii="宋体" w:hAnsi="宋体" w:eastAsia="宋体" w:cs="宋体"/>
          <w:b/>
          <w:bCs/>
          <w:strike w:val="0"/>
          <w:color w:val="auto"/>
          <w:szCs w:val="21"/>
          <w:highlight w:val="none"/>
          <w:u w:val="single"/>
          <w:lang w:val="en-US" w:eastAsia="zh-CN"/>
        </w:rPr>
        <w:t>[</w:t>
      </w:r>
      <w:r>
        <w:rPr>
          <w:rFonts w:hint="eastAsia" w:ascii="宋体" w:hAnsi="宋体" w:eastAsia="宋体" w:cs="宋体"/>
          <w:b/>
          <w:bCs/>
          <w:strike w:val="0"/>
          <w:color w:val="auto"/>
          <w:sz w:val="21"/>
          <w:szCs w:val="21"/>
          <w:highlight w:val="none"/>
          <w:u w:val="single"/>
          <w:lang w:val="en-US" w:eastAsia="zh-CN"/>
        </w:rPr>
        <w:t>技术分</w:t>
      </w:r>
      <w:r>
        <w:rPr>
          <w:rFonts w:hint="eastAsia" w:ascii="宋体" w:hAnsi="宋体" w:eastAsia="宋体" w:cs="宋体"/>
          <w:b/>
          <w:bCs/>
          <w:strike w:val="0"/>
          <w:color w:val="auto"/>
          <w:szCs w:val="21"/>
          <w:highlight w:val="none"/>
          <w:u w:val="single"/>
        </w:rPr>
        <w:t>=施工组织设计</w:t>
      </w:r>
      <w:r>
        <w:rPr>
          <w:rFonts w:hint="eastAsia" w:ascii="宋体" w:hAnsi="宋体" w:eastAsia="宋体" w:cs="宋体"/>
          <w:b/>
          <w:bCs/>
          <w:strike w:val="0"/>
          <w:color w:val="auto"/>
          <w:szCs w:val="21"/>
          <w:highlight w:val="none"/>
          <w:u w:val="single"/>
          <w:lang w:eastAsia="zh-CN"/>
        </w:rPr>
        <w:t>（</w:t>
      </w:r>
      <w:r>
        <w:rPr>
          <w:rFonts w:hint="eastAsia" w:ascii="宋体" w:hAnsi="宋体" w:eastAsia="宋体" w:cs="宋体"/>
          <w:b/>
          <w:bCs/>
          <w:strike w:val="0"/>
          <w:color w:val="auto"/>
          <w:szCs w:val="21"/>
          <w:highlight w:val="none"/>
          <w:u w:val="single"/>
          <w:lang w:val="en-US" w:eastAsia="zh-CN"/>
        </w:rPr>
        <w:t>3</w:t>
      </w:r>
      <w:r>
        <w:rPr>
          <w:rFonts w:hint="eastAsia" w:ascii="宋体" w:hAnsi="宋体" w:eastAsia="宋体" w:cs="宋体"/>
          <w:b/>
          <w:bCs/>
          <w:strike w:val="0"/>
          <w:color w:val="auto"/>
          <w:szCs w:val="21"/>
          <w:highlight w:val="none"/>
          <w:u w:val="single"/>
        </w:rPr>
        <w:t>0分</w:t>
      </w:r>
      <w:r>
        <w:rPr>
          <w:rFonts w:hint="eastAsia" w:ascii="宋体" w:hAnsi="宋体" w:eastAsia="宋体" w:cs="宋体"/>
          <w:b/>
          <w:bCs/>
          <w:strike w:val="0"/>
          <w:color w:val="auto"/>
          <w:szCs w:val="21"/>
          <w:highlight w:val="none"/>
          <w:u w:val="single"/>
          <w:lang w:eastAsia="zh-CN"/>
        </w:rPr>
        <w:t>）</w:t>
      </w:r>
      <w:r>
        <w:rPr>
          <w:rFonts w:hint="eastAsia" w:ascii="宋体" w:hAnsi="宋体" w:eastAsia="宋体" w:cs="宋体"/>
          <w:b/>
          <w:bCs/>
          <w:strike w:val="0"/>
          <w:color w:val="auto"/>
          <w:szCs w:val="21"/>
          <w:highlight w:val="none"/>
          <w:u w:val="single"/>
          <w:lang w:val="en-US" w:eastAsia="zh-CN"/>
        </w:rPr>
        <w:t>＋</w:t>
      </w:r>
      <w:r>
        <w:rPr>
          <w:rFonts w:hint="eastAsia" w:ascii="宋体" w:hAnsi="宋体" w:eastAsia="宋体" w:cs="宋体"/>
          <w:b/>
          <w:bCs/>
          <w:strike w:val="0"/>
          <w:color w:val="auto"/>
          <w:szCs w:val="21"/>
          <w:highlight w:val="none"/>
          <w:u w:val="single"/>
        </w:rPr>
        <w:t>项目组织管理机构能力</w:t>
      </w:r>
      <w:r>
        <w:rPr>
          <w:rFonts w:hint="eastAsia" w:ascii="宋体" w:hAnsi="宋体" w:eastAsia="宋体" w:cs="宋体"/>
          <w:b/>
          <w:bCs/>
          <w:strike w:val="0"/>
          <w:color w:val="auto"/>
          <w:szCs w:val="21"/>
          <w:highlight w:val="none"/>
          <w:u w:val="single"/>
          <w:lang w:eastAsia="zh-CN"/>
        </w:rPr>
        <w:t>（</w:t>
      </w:r>
      <w:r>
        <w:rPr>
          <w:rFonts w:hint="eastAsia" w:ascii="宋体" w:hAnsi="宋体" w:eastAsia="宋体" w:cs="宋体"/>
          <w:b/>
          <w:bCs/>
          <w:strike w:val="0"/>
          <w:color w:val="auto"/>
          <w:szCs w:val="21"/>
          <w:highlight w:val="none"/>
          <w:u w:val="single"/>
          <w:lang w:val="en-US" w:eastAsia="zh-CN"/>
        </w:rPr>
        <w:t>48</w:t>
      </w:r>
      <w:r>
        <w:rPr>
          <w:rFonts w:hint="eastAsia" w:ascii="宋体" w:hAnsi="宋体" w:eastAsia="宋体" w:cs="宋体"/>
          <w:b/>
          <w:bCs/>
          <w:strike w:val="0"/>
          <w:color w:val="auto"/>
          <w:szCs w:val="21"/>
          <w:highlight w:val="none"/>
          <w:u w:val="single"/>
        </w:rPr>
        <w:t>分</w:t>
      </w:r>
      <w:r>
        <w:rPr>
          <w:rFonts w:hint="eastAsia" w:ascii="宋体" w:hAnsi="宋体" w:eastAsia="宋体" w:cs="宋体"/>
          <w:b/>
          <w:bCs/>
          <w:strike w:val="0"/>
          <w:color w:val="auto"/>
          <w:szCs w:val="21"/>
          <w:highlight w:val="none"/>
          <w:u w:val="single"/>
          <w:lang w:eastAsia="zh-CN"/>
        </w:rPr>
        <w:t>）</w:t>
      </w:r>
      <w:r>
        <w:rPr>
          <w:rFonts w:hint="eastAsia" w:ascii="宋体" w:hAnsi="宋体" w:eastAsia="宋体" w:cs="宋体"/>
          <w:b/>
          <w:bCs/>
          <w:strike w:val="0"/>
          <w:color w:val="auto"/>
          <w:szCs w:val="21"/>
          <w:highlight w:val="none"/>
          <w:u w:val="single"/>
          <w:lang w:val="en-US" w:eastAsia="zh-CN"/>
        </w:rPr>
        <w:t>＋</w:t>
      </w:r>
      <w:r>
        <w:rPr>
          <w:rFonts w:hint="eastAsia" w:ascii="宋体" w:hAnsi="宋体" w:eastAsia="宋体" w:cs="宋体"/>
          <w:b/>
          <w:bCs/>
          <w:strike w:val="0"/>
          <w:color w:val="auto"/>
          <w:szCs w:val="21"/>
          <w:highlight w:val="none"/>
          <w:u w:val="single"/>
        </w:rPr>
        <w:t>企业资信</w:t>
      </w:r>
      <w:r>
        <w:rPr>
          <w:rFonts w:hint="eastAsia" w:ascii="宋体" w:hAnsi="宋体" w:eastAsia="宋体" w:cs="宋体"/>
          <w:b/>
          <w:bCs/>
          <w:strike w:val="0"/>
          <w:color w:val="auto"/>
          <w:szCs w:val="21"/>
          <w:highlight w:val="none"/>
          <w:u w:val="single"/>
          <w:lang w:eastAsia="zh-CN"/>
        </w:rPr>
        <w:t>（</w:t>
      </w:r>
      <w:r>
        <w:rPr>
          <w:rFonts w:hint="eastAsia" w:ascii="宋体" w:hAnsi="宋体" w:eastAsia="宋体" w:cs="宋体"/>
          <w:b/>
          <w:bCs/>
          <w:strike w:val="0"/>
          <w:color w:val="auto"/>
          <w:szCs w:val="21"/>
          <w:highlight w:val="none"/>
          <w:u w:val="single"/>
        </w:rPr>
        <w:t>2</w:t>
      </w:r>
      <w:r>
        <w:rPr>
          <w:rFonts w:hint="eastAsia" w:ascii="宋体" w:hAnsi="宋体" w:eastAsia="宋体" w:cs="宋体"/>
          <w:b/>
          <w:bCs/>
          <w:strike w:val="0"/>
          <w:color w:val="auto"/>
          <w:szCs w:val="21"/>
          <w:highlight w:val="none"/>
          <w:u w:val="single"/>
          <w:lang w:val="en-US" w:eastAsia="zh-CN"/>
        </w:rPr>
        <w:t>2</w:t>
      </w:r>
      <w:r>
        <w:rPr>
          <w:rFonts w:hint="eastAsia" w:ascii="宋体" w:hAnsi="宋体" w:eastAsia="宋体" w:cs="宋体"/>
          <w:b/>
          <w:bCs/>
          <w:strike w:val="0"/>
          <w:color w:val="auto"/>
          <w:szCs w:val="21"/>
          <w:highlight w:val="none"/>
          <w:u w:val="single"/>
        </w:rPr>
        <w:t>分）</w:t>
      </w:r>
      <w:r>
        <w:rPr>
          <w:rFonts w:hint="eastAsia" w:ascii="宋体" w:hAnsi="宋体" w:eastAsia="宋体" w:cs="宋体"/>
          <w:b/>
          <w:bCs/>
          <w:strike w:val="0"/>
          <w:color w:val="auto"/>
          <w:szCs w:val="21"/>
          <w:highlight w:val="none"/>
          <w:u w:val="single"/>
          <w:lang w:val="en-US" w:eastAsia="zh-CN"/>
        </w:rPr>
        <w:t>]</w:t>
      </w:r>
      <w:r>
        <w:rPr>
          <w:rFonts w:hint="eastAsia" w:ascii="宋体" w:hAnsi="宋体" w:eastAsia="宋体" w:cs="宋体"/>
          <w:b/>
          <w:bCs/>
          <w:color w:val="auto"/>
          <w:sz w:val="21"/>
          <w:szCs w:val="21"/>
          <w:highlight w:val="none"/>
          <w:u w:val="single"/>
          <w:lang w:val="en-US" w:eastAsia="zh-CN"/>
        </w:rPr>
        <w:t>×权重100%</w:t>
      </w:r>
      <w:r>
        <w:rPr>
          <w:rFonts w:hint="eastAsia" w:ascii="宋体" w:hAnsi="宋体" w:eastAsia="宋体" w:cs="宋体"/>
          <w:b/>
          <w:bCs/>
          <w:strike w:val="0"/>
          <w:color w:val="auto"/>
          <w:szCs w:val="21"/>
          <w:highlight w:val="none"/>
          <w:u w:val="single"/>
          <w:lang w:eastAsia="zh-CN"/>
        </w:rPr>
        <w:t>”</w:t>
      </w:r>
      <w:r>
        <w:rPr>
          <w:rFonts w:hint="eastAsia" w:ascii="宋体" w:hAnsi="宋体" w:eastAsia="宋体" w:cs="宋体"/>
          <w:color w:val="auto"/>
          <w:sz w:val="21"/>
          <w:szCs w:val="21"/>
          <w:highlight w:val="none"/>
        </w:rPr>
        <w:t>的公式及投标须知前附表第2</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项的规定，计算各投标人第一阶段得分(按四舍五入的原则保留两位小数)，并按照</w:t>
      </w:r>
      <w:r>
        <w:rPr>
          <w:rFonts w:hint="eastAsia" w:ascii="宋体" w:hAnsi="宋体" w:eastAsia="宋体" w:cs="宋体"/>
          <w:b/>
          <w:bCs/>
          <w:strike w:val="0"/>
          <w:color w:val="auto"/>
          <w:szCs w:val="21"/>
          <w:highlight w:val="none"/>
          <w:u w:val="single"/>
        </w:rPr>
        <w:t>第一阶段得分</w:t>
      </w:r>
      <w:r>
        <w:rPr>
          <w:rFonts w:hint="eastAsia" w:ascii="宋体" w:hAnsi="宋体" w:eastAsia="宋体" w:cs="宋体"/>
          <w:color w:val="auto"/>
          <w:sz w:val="21"/>
          <w:szCs w:val="21"/>
          <w:highlight w:val="none"/>
        </w:rPr>
        <w:t>从高到低排列先后次序，</w:t>
      </w:r>
      <w:r>
        <w:rPr>
          <w:rFonts w:hint="eastAsia" w:ascii="宋体" w:hAnsi="宋体" w:eastAsia="宋体" w:cs="宋体"/>
          <w:b/>
          <w:bCs/>
          <w:color w:val="auto"/>
          <w:sz w:val="21"/>
          <w:szCs w:val="21"/>
          <w:highlight w:val="none"/>
        </w:rPr>
        <w:t>若投标人第一阶段得分相同的，以投标总报价较低的排前；</w:t>
      </w:r>
      <w:r>
        <w:rPr>
          <w:rFonts w:hint="eastAsia" w:ascii="宋体" w:hAnsi="宋体" w:eastAsia="宋体" w:cs="宋体"/>
          <w:b/>
          <w:bCs/>
          <w:color w:val="auto"/>
          <w:szCs w:val="21"/>
          <w:highlight w:val="none"/>
        </w:rPr>
        <w:t>若第一阶段得分与投标总报价均相同的，</w:t>
      </w:r>
      <w:r>
        <w:rPr>
          <w:rFonts w:hint="eastAsia" w:ascii="宋体" w:hAnsi="宋体" w:eastAsia="宋体" w:cs="宋体"/>
          <w:b/>
          <w:bCs/>
          <w:color w:val="auto"/>
          <w:sz w:val="21"/>
          <w:szCs w:val="21"/>
          <w:highlight w:val="none"/>
        </w:rPr>
        <w:t>则对具有相同情况的投标人，由评标委员会采用记名投票方式，</w:t>
      </w:r>
      <w:r>
        <w:rPr>
          <w:rFonts w:hint="eastAsia"/>
          <w:b/>
          <w:bCs/>
          <w:color w:val="auto"/>
          <w:highlight w:val="none"/>
          <w:u w:val="single"/>
        </w:rPr>
        <w:t>确定投标报价低于成本警示价的投标人及投标报价不低于成本警示价的投标人</w:t>
      </w:r>
      <w:r>
        <w:rPr>
          <w:rFonts w:hint="eastAsia"/>
          <w:b/>
          <w:bCs/>
          <w:color w:val="auto"/>
          <w:highlight w:val="none"/>
          <w:u w:val="single"/>
          <w:lang w:val="en-US" w:eastAsia="zh-CN"/>
        </w:rPr>
        <w:t>的排序</w:t>
      </w:r>
      <w:r>
        <w:rPr>
          <w:rFonts w:hint="eastAsia"/>
          <w:b/>
          <w:bCs/>
          <w:color w:val="auto"/>
          <w:highlight w:val="none"/>
          <w:u w:val="single"/>
        </w:rPr>
        <w:t>。</w:t>
      </w:r>
      <w:r>
        <w:rPr>
          <w:rFonts w:hint="eastAsia" w:ascii="宋体" w:hAnsi="宋体" w:cs="宋体"/>
          <w:b w:val="0"/>
          <w:bCs w:val="0"/>
          <w:color w:val="auto"/>
          <w:szCs w:val="21"/>
          <w:highlight w:val="none"/>
          <w:u w:val="none"/>
        </w:rPr>
        <w:t>编写第一阶段评审报告。</w:t>
      </w:r>
    </w:p>
    <w:p>
      <w:pPr>
        <w:spacing w:line="360" w:lineRule="auto"/>
        <w:ind w:firstLine="445" w:firstLineChars="211"/>
        <w:rPr>
          <w:rFonts w:hint="eastAsia" w:ascii="宋体" w:hAnsi="宋体"/>
          <w:b/>
          <w:color w:val="auto"/>
          <w:szCs w:val="21"/>
          <w:highlight w:val="none"/>
        </w:rPr>
      </w:pPr>
      <w:r>
        <w:rPr>
          <w:rFonts w:hint="eastAsia" w:ascii="宋体" w:hAnsi="宋体"/>
          <w:b/>
          <w:color w:val="auto"/>
          <w:szCs w:val="21"/>
          <w:highlight w:val="none"/>
        </w:rPr>
        <w:t xml:space="preserve">条款号：42.4.1     </w:t>
      </w:r>
      <w:r>
        <w:rPr>
          <w:rFonts w:hint="eastAsia" w:ascii="宋体" w:hAnsi="宋体"/>
          <w:b/>
          <w:color w:val="auto"/>
          <w:szCs w:val="21"/>
          <w:highlight w:val="none"/>
          <w:lang w:val="en-US" w:eastAsia="zh-CN"/>
        </w:rPr>
        <w:t xml:space="preserve">  </w:t>
      </w:r>
      <w:r>
        <w:rPr>
          <w:rFonts w:hint="eastAsia" w:ascii="宋体" w:hAnsi="宋体"/>
          <w:b/>
          <w:color w:val="auto"/>
          <w:szCs w:val="21"/>
          <w:highlight w:val="none"/>
        </w:rPr>
        <w:t xml:space="preserve">       修改类型：修改</w:t>
      </w:r>
    </w:p>
    <w:p>
      <w:pPr>
        <w:spacing w:line="360" w:lineRule="auto"/>
        <w:ind w:firstLine="445" w:firstLineChars="211"/>
        <w:rPr>
          <w:rFonts w:hint="eastAsia" w:ascii="宋体" w:hAnsi="宋体"/>
          <w:b w:val="0"/>
          <w:bCs/>
          <w:color w:val="auto"/>
          <w:szCs w:val="21"/>
          <w:highlight w:val="none"/>
        </w:rPr>
      </w:pPr>
      <w:r>
        <w:rPr>
          <w:rFonts w:hint="eastAsia" w:ascii="宋体" w:hAnsi="宋体"/>
          <w:b/>
          <w:color w:val="auto"/>
          <w:szCs w:val="21"/>
          <w:highlight w:val="none"/>
          <w:lang w:eastAsia="zh-CN"/>
        </w:rPr>
        <w:t>原文：</w:t>
      </w:r>
      <w:r>
        <w:rPr>
          <w:rFonts w:hint="eastAsia" w:ascii="宋体" w:hAnsi="宋体"/>
          <w:b w:val="0"/>
          <w:bCs/>
          <w:color w:val="auto"/>
          <w:szCs w:val="21"/>
          <w:highlight w:val="none"/>
        </w:rPr>
        <w:t>42.4.1按照投标须知前附表第25项规定，确定进入第二阶段评审的投标人。若在进入第二阶段的最后名次发生并列的，则所有并列的投标人均进入第二阶段。</w:t>
      </w:r>
    </w:p>
    <w:p>
      <w:pPr>
        <w:pBdr>
          <w:bottom w:val="single" w:color="auto" w:sz="4" w:space="0"/>
        </w:pBdr>
        <w:spacing w:line="360" w:lineRule="auto"/>
        <w:ind w:firstLine="445" w:firstLineChars="211"/>
        <w:rPr>
          <w:rFonts w:hint="eastAsia" w:ascii="宋体" w:hAnsi="宋体" w:eastAsia="宋体"/>
          <w:b/>
          <w:color w:val="auto"/>
          <w:szCs w:val="21"/>
          <w:highlight w:val="none"/>
          <w:lang w:eastAsia="zh-CN"/>
        </w:rPr>
      </w:pPr>
      <w:r>
        <w:rPr>
          <w:rFonts w:hint="eastAsia" w:ascii="宋体" w:hAnsi="宋体"/>
          <w:b/>
          <w:bCs w:val="0"/>
          <w:color w:val="auto"/>
          <w:szCs w:val="21"/>
          <w:highlight w:val="none"/>
          <w:lang w:eastAsia="zh-CN"/>
        </w:rPr>
        <w:t>现文：</w:t>
      </w:r>
      <w:r>
        <w:rPr>
          <w:rFonts w:hint="eastAsia" w:ascii="宋体" w:hAnsi="宋体"/>
          <w:b w:val="0"/>
          <w:bCs/>
          <w:color w:val="auto"/>
          <w:szCs w:val="21"/>
          <w:highlight w:val="none"/>
          <w:lang w:eastAsia="zh-CN"/>
        </w:rPr>
        <w:t>42.4.1按照投标须知前附表第</w:t>
      </w:r>
      <w:r>
        <w:rPr>
          <w:rFonts w:hint="eastAsia" w:ascii="宋体" w:hAnsi="宋体"/>
          <w:b w:val="0"/>
          <w:bCs/>
          <w:color w:val="auto"/>
          <w:szCs w:val="21"/>
          <w:highlight w:val="none"/>
          <w:lang w:val="en-US" w:eastAsia="zh-CN"/>
        </w:rPr>
        <w:t>26</w:t>
      </w:r>
      <w:r>
        <w:rPr>
          <w:rFonts w:hint="eastAsia" w:ascii="宋体" w:hAnsi="宋体"/>
          <w:b w:val="0"/>
          <w:bCs/>
          <w:color w:val="auto"/>
          <w:szCs w:val="21"/>
          <w:highlight w:val="none"/>
          <w:lang w:eastAsia="zh-CN"/>
        </w:rPr>
        <w:t>项规定，确定进入第二阶段评审的投标人。</w:t>
      </w:r>
    </w:p>
    <w:p>
      <w:pPr>
        <w:spacing w:line="360" w:lineRule="auto"/>
        <w:ind w:firstLine="445" w:firstLineChars="211"/>
        <w:rPr>
          <w:rFonts w:hint="eastAsia" w:ascii="宋体" w:hAnsi="宋体"/>
          <w:b/>
          <w:color w:val="auto"/>
          <w:szCs w:val="21"/>
          <w:highlight w:val="none"/>
        </w:rPr>
      </w:pPr>
      <w:r>
        <w:rPr>
          <w:rFonts w:hint="eastAsia" w:ascii="宋体" w:hAnsi="宋体"/>
          <w:b/>
          <w:color w:val="auto"/>
          <w:szCs w:val="21"/>
          <w:highlight w:val="none"/>
        </w:rPr>
        <w:t>条款号：</w:t>
      </w:r>
      <w:r>
        <w:rPr>
          <w:rFonts w:hint="eastAsia" w:ascii="宋体" w:hAnsi="宋体"/>
          <w:b/>
          <w:color w:val="auto"/>
          <w:szCs w:val="21"/>
          <w:highlight w:val="none"/>
          <w:lang w:val="en-US" w:eastAsia="zh-CN"/>
        </w:rPr>
        <w:t>42.4.2.1</w:t>
      </w:r>
      <w:r>
        <w:rPr>
          <w:rFonts w:hint="eastAsia" w:ascii="宋体" w:hAnsi="宋体"/>
          <w:b/>
          <w:color w:val="auto"/>
          <w:szCs w:val="21"/>
          <w:highlight w:val="none"/>
        </w:rPr>
        <w:t xml:space="preserve">            修改类型：修改</w:t>
      </w:r>
    </w:p>
    <w:p>
      <w:pPr>
        <w:pStyle w:val="28"/>
        <w:tabs>
          <w:tab w:val="left" w:pos="7380"/>
        </w:tabs>
        <w:snapToGrid w:val="0"/>
        <w:spacing w:after="0" w:line="360" w:lineRule="auto"/>
        <w:ind w:firstLine="402" w:firstLineChars="200"/>
        <w:rPr>
          <w:rFonts w:hint="eastAsia" w:ascii="宋体" w:hAnsi="宋体" w:cs="宋体"/>
          <w:b w:val="0"/>
          <w:bCs/>
          <w:color w:val="auto"/>
          <w:szCs w:val="21"/>
          <w:highlight w:val="none"/>
        </w:rPr>
      </w:pPr>
      <w:r>
        <w:rPr>
          <w:rFonts w:hint="eastAsia" w:ascii="宋体" w:hAnsi="宋体"/>
          <w:b/>
          <w:color w:val="auto"/>
          <w:szCs w:val="21"/>
          <w:highlight w:val="none"/>
        </w:rPr>
        <w:t>原文：</w:t>
      </w:r>
      <w:r>
        <w:rPr>
          <w:rFonts w:hint="eastAsia" w:ascii="宋体" w:hAnsi="宋体"/>
          <w:b w:val="0"/>
          <w:bCs/>
          <w:color w:val="auto"/>
          <w:szCs w:val="21"/>
          <w:highlight w:val="none"/>
        </w:rPr>
        <w:t>42.4.2.1计算评标参考价</w:t>
      </w:r>
    </w:p>
    <w:p>
      <w:pPr>
        <w:pStyle w:val="28"/>
        <w:tabs>
          <w:tab w:val="left" w:pos="7380"/>
        </w:tabs>
        <w:snapToGrid w:val="0"/>
        <w:spacing w:after="0" w:line="360" w:lineRule="auto"/>
        <w:ind w:firstLine="40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区间抽取法</w:t>
      </w:r>
    </w:p>
    <w:p>
      <w:pPr>
        <w:widowControl/>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20" w:firstLineChars="200"/>
        <w:rPr>
          <w:rFonts w:hint="eastAsia" w:ascii="宋体" w:hAnsi="宋体" w:cs="宋体"/>
          <w:color w:val="auto"/>
          <w:kern w:val="0"/>
          <w:szCs w:val="21"/>
          <w:highlight w:val="none"/>
          <w:vertAlign w:val="subscript"/>
        </w:rPr>
      </w:pPr>
      <w:r>
        <w:rPr>
          <w:rFonts w:hint="eastAsia" w:ascii="宋体" w:hAnsi="宋体" w:cs="宋体"/>
          <w:color w:val="auto"/>
          <w:kern w:val="0"/>
          <w:szCs w:val="21"/>
          <w:highlight w:val="none"/>
        </w:rPr>
        <w:t>评标参考价=（Q</w:t>
      </w:r>
      <w:r>
        <w:rPr>
          <w:rFonts w:hint="eastAsia" w:ascii="宋体" w:hAnsi="宋体" w:cs="宋体"/>
          <w:color w:val="auto"/>
          <w:kern w:val="0"/>
          <w:szCs w:val="21"/>
          <w:highlight w:val="none"/>
          <w:vertAlign w:val="subscript"/>
        </w:rPr>
        <w:t>高</w:t>
      </w: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低</w:t>
      </w:r>
      <w:r>
        <w:rPr>
          <w:rFonts w:hint="eastAsia" w:ascii="宋体" w:hAnsi="宋体" w:cs="宋体"/>
          <w:color w:val="auto"/>
          <w:kern w:val="0"/>
          <w:szCs w:val="21"/>
          <w:highlight w:val="none"/>
        </w:rPr>
        <w:t>）/100*Ｘ+Q</w:t>
      </w:r>
      <w:r>
        <w:rPr>
          <w:rFonts w:hint="eastAsia" w:ascii="宋体" w:hAnsi="宋体" w:cs="宋体"/>
          <w:color w:val="auto"/>
          <w:kern w:val="0"/>
          <w:szCs w:val="21"/>
          <w:highlight w:val="none"/>
          <w:vertAlign w:val="subscript"/>
        </w:rPr>
        <w:t>低</w:t>
      </w:r>
    </w:p>
    <w:p>
      <w:pPr>
        <w:widowControl/>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Q</w:t>
      </w:r>
      <w:r>
        <w:rPr>
          <w:rFonts w:hint="eastAsia" w:ascii="宋体" w:hAnsi="宋体" w:cs="宋体"/>
          <w:color w:val="auto"/>
          <w:szCs w:val="21"/>
          <w:highlight w:val="none"/>
          <w:vertAlign w:val="subscript"/>
        </w:rPr>
        <w:t>低</w:t>
      </w:r>
      <w:r>
        <w:rPr>
          <w:rFonts w:hint="eastAsia" w:ascii="宋体" w:hAnsi="宋体" w:cs="宋体"/>
          <w:color w:val="auto"/>
          <w:szCs w:val="21"/>
          <w:highlight w:val="none"/>
        </w:rPr>
        <w:t>：为达到或超过技术标及格分数线的投标人最低报价与工程成本警示价两者中的较高值；</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高</w:t>
      </w:r>
      <w:r>
        <w:rPr>
          <w:rFonts w:hint="eastAsia" w:ascii="宋体" w:hAnsi="宋体" w:cs="宋体"/>
          <w:color w:val="auto"/>
          <w:szCs w:val="21"/>
          <w:highlight w:val="none"/>
        </w:rPr>
        <w:t>：最高投标限价</w:t>
      </w:r>
    </w:p>
    <w:p>
      <w:pPr>
        <w:spacing w:line="360" w:lineRule="auto"/>
        <w:ind w:firstLine="443" w:firstLineChars="211"/>
        <w:rPr>
          <w:rFonts w:hint="eastAsia" w:ascii="宋体" w:hAnsi="宋体"/>
          <w:b/>
          <w:color w:val="auto"/>
          <w:szCs w:val="21"/>
          <w:highlight w:val="none"/>
        </w:rPr>
      </w:pPr>
      <w:r>
        <w:rPr>
          <w:rFonts w:hint="eastAsia" w:ascii="宋体" w:hAnsi="宋体" w:cs="宋体"/>
          <w:color w:val="auto"/>
          <w:szCs w:val="21"/>
          <w:highlight w:val="none"/>
        </w:rPr>
        <w:t>X：为等分点值，在开标前从[0,100]整数中随机抽取</w:t>
      </w:r>
    </w:p>
    <w:p>
      <w:pPr>
        <w:spacing w:line="360" w:lineRule="auto"/>
        <w:ind w:firstLine="445" w:firstLineChars="211"/>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b w:val="0"/>
          <w:bCs/>
          <w:color w:val="auto"/>
          <w:szCs w:val="21"/>
          <w:highlight w:val="none"/>
        </w:rPr>
        <w:t>42.4.2.1计算评标参考价</w:t>
      </w:r>
    </w:p>
    <w:p>
      <w:pPr>
        <w:pBdr>
          <w:top w:val="none" w:color="auto" w:sz="0" w:space="0"/>
          <w:left w:val="none" w:color="auto" w:sz="0" w:space="0"/>
          <w:bottom w:val="none" w:color="auto" w:sz="0" w:space="1"/>
          <w:right w:val="none" w:color="auto" w:sz="0" w:space="0"/>
          <w:between w:val="none" w:color="auto" w:sz="0" w:space="0"/>
        </w:pBdr>
        <w:spacing w:line="360" w:lineRule="auto"/>
        <w:ind w:firstLine="443" w:firstLineChars="211"/>
        <w:rPr>
          <w:rFonts w:hint="eastAsia" w:ascii="宋体" w:hAnsi="宋体" w:cs="仿宋"/>
          <w:color w:val="auto"/>
          <w:szCs w:val="21"/>
          <w:highlight w:val="none"/>
          <w:u w:val="single"/>
        </w:rPr>
      </w:pPr>
      <w:r>
        <w:rPr>
          <w:rFonts w:hint="eastAsia" w:ascii="宋体" w:hAnsi="宋体" w:cs="仿宋"/>
          <w:color w:val="auto"/>
          <w:szCs w:val="21"/>
          <w:highlight w:val="none"/>
          <w:u w:val="single"/>
        </w:rPr>
        <w:t>设在[成本警示价，</w:t>
      </w:r>
      <w:r>
        <w:rPr>
          <w:rFonts w:hint="eastAsia" w:ascii="宋体" w:hAnsi="宋体" w:cs="仿宋"/>
          <w:color w:val="auto"/>
          <w:szCs w:val="21"/>
          <w:highlight w:val="none"/>
          <w:u w:val="single"/>
          <w:lang w:eastAsia="zh-CN"/>
        </w:rPr>
        <w:t>最高投标限价</w:t>
      </w:r>
      <w:r>
        <w:rPr>
          <w:rFonts w:hint="eastAsia" w:ascii="宋体" w:hAnsi="宋体" w:cs="仿宋"/>
          <w:color w:val="auto"/>
          <w:szCs w:val="21"/>
          <w:highlight w:val="none"/>
          <w:u w:val="single"/>
        </w:rPr>
        <w:t>×95%]区间的投标报价数量为G，上述G个投标人的技术标得分（指技术部分（施工组织方案）和技术部分（项目实施能力）得分）由高至低排序，将技术标得分前H名的投标报价的算术平均值作为评标参考价（如G≥10，则H=10；如1≤G&lt;10，则H=G）；若G=0的，则采用成本警示价与“最高投标限价×95%”的算术平均值为评标参考价。</w:t>
      </w:r>
    </w:p>
    <w:p>
      <w:pPr>
        <w:pBdr>
          <w:bottom w:val="single" w:color="auto" w:sz="4" w:space="0"/>
        </w:pBdr>
        <w:spacing w:line="360" w:lineRule="auto"/>
        <w:ind w:firstLine="443" w:firstLineChars="211"/>
        <w:rPr>
          <w:rFonts w:hint="eastAsia" w:ascii="宋体" w:hAnsi="宋体" w:cs="仿宋"/>
          <w:color w:val="auto"/>
          <w:szCs w:val="21"/>
          <w:highlight w:val="none"/>
          <w:u w:val="single"/>
        </w:rPr>
      </w:pPr>
      <w:r>
        <w:rPr>
          <w:rFonts w:hint="eastAsia" w:ascii="宋体" w:hAnsi="宋体" w:cs="仿宋"/>
          <w:color w:val="auto"/>
          <w:szCs w:val="21"/>
          <w:highlight w:val="none"/>
          <w:u w:val="single"/>
        </w:rPr>
        <w:t>注：若投标人的技术标得分相同的，以投标总报价较低的排前</w:t>
      </w:r>
      <w:r>
        <w:rPr>
          <w:rFonts w:hint="eastAsia" w:ascii="宋体" w:hAnsi="宋体" w:cs="仿宋"/>
          <w:color w:val="auto"/>
          <w:szCs w:val="21"/>
          <w:highlight w:val="none"/>
          <w:u w:val="single"/>
          <w:lang w:eastAsia="zh-CN"/>
        </w:rPr>
        <w:t>；</w:t>
      </w:r>
      <w:r>
        <w:rPr>
          <w:rFonts w:hint="eastAsia" w:ascii="宋体" w:hAnsi="宋体" w:cs="仿宋"/>
          <w:color w:val="auto"/>
          <w:szCs w:val="21"/>
          <w:highlight w:val="none"/>
          <w:u w:val="single"/>
        </w:rPr>
        <w:t>若投标总报价仍相同的，由评标委员会投票确定排序。记名投票方式确定排序的具体操作步骤为：由评标委员会对出现该情况的投标人采取记名投票的方式确定，按得票数从高到低排列先后次序，以得票数高的排前，根据得票数高低确定排序。</w:t>
      </w:r>
    </w:p>
    <w:p>
      <w:pPr>
        <w:spacing w:line="360" w:lineRule="auto"/>
        <w:ind w:firstLine="445" w:firstLineChars="211"/>
        <w:rPr>
          <w:rFonts w:hint="eastAsia" w:ascii="宋体" w:hAnsi="宋体"/>
          <w:b/>
          <w:color w:val="auto"/>
          <w:szCs w:val="21"/>
          <w:highlight w:val="none"/>
        </w:rPr>
      </w:pPr>
      <w:r>
        <w:rPr>
          <w:rFonts w:hint="eastAsia" w:ascii="宋体" w:hAnsi="宋体"/>
          <w:b/>
          <w:color w:val="auto"/>
          <w:szCs w:val="21"/>
          <w:highlight w:val="none"/>
        </w:rPr>
        <w:t>条款号：42.4.2.2</w:t>
      </w:r>
      <w:r>
        <w:rPr>
          <w:rFonts w:ascii="宋体" w:hAnsi="宋体"/>
          <w:b/>
          <w:color w:val="auto"/>
          <w:szCs w:val="21"/>
          <w:highlight w:val="none"/>
        </w:rPr>
        <w:t xml:space="preserve"> </w:t>
      </w:r>
      <w:r>
        <w:rPr>
          <w:rFonts w:hint="eastAsia" w:ascii="宋体" w:hAnsi="宋体"/>
          <w:b/>
          <w:color w:val="auto"/>
          <w:szCs w:val="21"/>
          <w:highlight w:val="none"/>
        </w:rPr>
        <w:t xml:space="preserve"> </w:t>
      </w:r>
      <w:r>
        <w:rPr>
          <w:rFonts w:hint="eastAsia" w:ascii="宋体" w:hAnsi="宋体" w:cs="宋体"/>
          <w:bCs/>
          <w:color w:val="auto"/>
          <w:szCs w:val="21"/>
          <w:highlight w:val="none"/>
        </w:rPr>
        <w:t xml:space="preserve"> </w:t>
      </w:r>
      <w:r>
        <w:rPr>
          <w:rFonts w:hint="eastAsia" w:ascii="宋体" w:hAnsi="宋体" w:cs="宋体"/>
          <w:color w:val="auto"/>
          <w:szCs w:val="21"/>
          <w:highlight w:val="none"/>
        </w:rPr>
        <w:t xml:space="preserve">           </w:t>
      </w:r>
      <w:r>
        <w:rPr>
          <w:rFonts w:hint="eastAsia" w:ascii="宋体" w:hAnsi="宋体"/>
          <w:b/>
          <w:color w:val="auto"/>
          <w:szCs w:val="21"/>
          <w:highlight w:val="none"/>
        </w:rPr>
        <w:t>修改类型：修改</w:t>
      </w:r>
    </w:p>
    <w:p>
      <w:pPr>
        <w:spacing w:line="360" w:lineRule="auto"/>
        <w:ind w:firstLine="445" w:firstLineChars="211"/>
        <w:rPr>
          <w:rFonts w:hint="eastAsia" w:ascii="宋体" w:hAnsi="宋体"/>
          <w:b w:val="0"/>
          <w:bCs/>
          <w:color w:val="auto"/>
          <w:szCs w:val="21"/>
          <w:highlight w:val="none"/>
        </w:rPr>
      </w:pPr>
      <w:r>
        <w:rPr>
          <w:rFonts w:hint="eastAsia" w:ascii="宋体" w:hAnsi="宋体"/>
          <w:b/>
          <w:bCs w:val="0"/>
          <w:color w:val="auto"/>
          <w:szCs w:val="21"/>
          <w:highlight w:val="none"/>
        </w:rPr>
        <w:t>原文：</w:t>
      </w:r>
      <w:r>
        <w:rPr>
          <w:rFonts w:hint="eastAsia" w:ascii="宋体" w:hAnsi="宋体"/>
          <w:b w:val="0"/>
          <w:bCs/>
          <w:color w:val="auto"/>
          <w:szCs w:val="21"/>
          <w:highlight w:val="none"/>
        </w:rPr>
        <w:t>42.4.2.2当标价等于评标参考价时得100分，标价每高于评标参考价1%，扣1.5分，每低于评标参考价1%，扣1分，扣至0分为止，得出经济分，精确到小数点后两位。</w:t>
      </w:r>
    </w:p>
    <w:p>
      <w:pPr>
        <w:spacing w:line="360" w:lineRule="auto"/>
        <w:ind w:firstLine="445" w:firstLineChars="211"/>
        <w:rPr>
          <w:rFonts w:hint="eastAsia" w:ascii="宋体" w:hAnsi="宋体"/>
          <w:b w:val="0"/>
          <w:bCs/>
          <w:color w:val="auto"/>
          <w:szCs w:val="21"/>
          <w:highlight w:val="none"/>
        </w:rPr>
      </w:pPr>
      <w:r>
        <w:rPr>
          <w:rFonts w:hint="eastAsia" w:ascii="宋体" w:hAnsi="宋体"/>
          <w:b/>
          <w:bCs w:val="0"/>
          <w:color w:val="auto"/>
          <w:szCs w:val="21"/>
          <w:highlight w:val="none"/>
        </w:rPr>
        <w:t>现文：</w:t>
      </w:r>
      <w:r>
        <w:rPr>
          <w:rFonts w:hint="eastAsia" w:ascii="宋体" w:hAnsi="宋体"/>
          <w:b w:val="0"/>
          <w:bCs/>
          <w:color w:val="auto"/>
          <w:szCs w:val="21"/>
          <w:highlight w:val="none"/>
        </w:rPr>
        <w:t>42.4.2.2当</w:t>
      </w:r>
      <w:r>
        <w:rPr>
          <w:rFonts w:hint="eastAsia" w:ascii="宋体" w:hAnsi="宋体"/>
          <w:b w:val="0"/>
          <w:bCs/>
          <w:color w:val="auto"/>
          <w:szCs w:val="21"/>
          <w:highlight w:val="none"/>
          <w:u w:val="single"/>
        </w:rPr>
        <w:t>投标总报价</w:t>
      </w:r>
      <w:r>
        <w:rPr>
          <w:rFonts w:hint="eastAsia" w:ascii="宋体" w:hAnsi="宋体"/>
          <w:b w:val="0"/>
          <w:bCs/>
          <w:color w:val="auto"/>
          <w:szCs w:val="21"/>
          <w:highlight w:val="none"/>
        </w:rPr>
        <w:t>等于评标参考价时得100分，</w:t>
      </w:r>
      <w:r>
        <w:rPr>
          <w:rFonts w:hint="eastAsia" w:ascii="宋体" w:hAnsi="宋体"/>
          <w:b w:val="0"/>
          <w:bCs/>
          <w:color w:val="auto"/>
          <w:szCs w:val="21"/>
          <w:highlight w:val="none"/>
          <w:u w:val="single"/>
        </w:rPr>
        <w:t>投标总报价</w:t>
      </w:r>
      <w:r>
        <w:rPr>
          <w:rFonts w:hint="eastAsia" w:ascii="宋体" w:hAnsi="宋体"/>
          <w:b w:val="0"/>
          <w:bCs/>
          <w:color w:val="auto"/>
          <w:szCs w:val="21"/>
          <w:highlight w:val="none"/>
        </w:rPr>
        <w:t>每高于评标参考价1%，扣1.5分，每低于评标参考价1%，扣1分，扣至0分为止，得出经济分，精确到小数点后两位。</w:t>
      </w:r>
    </w:p>
    <w:p>
      <w:pPr>
        <w:pBdr>
          <w:bottom w:val="single" w:color="auto" w:sz="4" w:space="0"/>
        </w:pBdr>
        <w:spacing w:line="360" w:lineRule="auto"/>
        <w:ind w:firstLine="443" w:firstLineChars="211"/>
        <w:rPr>
          <w:rFonts w:hint="eastAsia" w:ascii="宋体" w:hAnsi="宋体" w:eastAsia="宋体" w:cs="Times New Roman"/>
          <w:b w:val="0"/>
          <w:bCs/>
          <w:color w:val="auto"/>
          <w:kern w:val="2"/>
          <w:sz w:val="21"/>
          <w:szCs w:val="21"/>
          <w:highlight w:val="none"/>
          <w:u w:val="none"/>
        </w:rPr>
      </w:pPr>
      <w:r>
        <w:rPr>
          <w:rFonts w:hint="eastAsia" w:ascii="宋体" w:hAnsi="宋体" w:eastAsia="宋体" w:cs="Times New Roman"/>
          <w:b w:val="0"/>
          <w:bCs/>
          <w:strike w:val="0"/>
          <w:color w:val="auto"/>
          <w:szCs w:val="21"/>
          <w:highlight w:val="none"/>
          <w:u w:val="single"/>
        </w:rPr>
        <w:t>根据《广东省政府采购促进中小企业发展实施细则(试行)》要求，对符合《政府采购促进中小企业发展管理办法》的投标人，给予相应的价格评审优惠，按投标须知前附表第</w:t>
      </w:r>
      <w:r>
        <w:rPr>
          <w:rFonts w:hint="eastAsia" w:ascii="宋体" w:hAnsi="宋体" w:cs="Times New Roman"/>
          <w:b w:val="0"/>
          <w:bCs/>
          <w:strike w:val="0"/>
          <w:color w:val="auto"/>
          <w:szCs w:val="21"/>
          <w:highlight w:val="none"/>
          <w:u w:val="single"/>
          <w:lang w:val="en-US" w:eastAsia="zh-CN"/>
        </w:rPr>
        <w:t>43</w:t>
      </w:r>
      <w:r>
        <w:rPr>
          <w:rFonts w:hint="eastAsia" w:ascii="宋体" w:hAnsi="宋体" w:eastAsia="宋体" w:cs="Times New Roman"/>
          <w:b w:val="0"/>
          <w:bCs/>
          <w:strike w:val="0"/>
          <w:color w:val="auto"/>
          <w:szCs w:val="21"/>
          <w:highlight w:val="none"/>
          <w:u w:val="single"/>
        </w:rPr>
        <w:t>项规定调整其经济分。</w:t>
      </w:r>
      <w:r>
        <w:rPr>
          <w:rFonts w:hint="eastAsia" w:ascii="宋体" w:hAnsi="宋体" w:eastAsia="宋体" w:cs="Times New Roman"/>
          <w:b w:val="0"/>
          <w:bCs/>
          <w:strike w:val="0"/>
          <w:color w:val="auto"/>
          <w:kern w:val="2"/>
          <w:sz w:val="21"/>
          <w:szCs w:val="21"/>
          <w:highlight w:val="none"/>
          <w:u w:val="single"/>
        </w:rPr>
        <w:t>注：投标报价不低于成本警示价的投标单位实施经济标评审优惠政策。</w:t>
      </w:r>
    </w:p>
    <w:p>
      <w:pPr>
        <w:spacing w:line="360" w:lineRule="auto"/>
        <w:ind w:firstLine="445" w:firstLineChars="211"/>
        <w:rPr>
          <w:rFonts w:ascii="宋体" w:hAnsi="宋体"/>
          <w:b/>
          <w:color w:val="auto"/>
          <w:szCs w:val="21"/>
          <w:highlight w:val="none"/>
        </w:rPr>
      </w:pPr>
      <w:r>
        <w:rPr>
          <w:rFonts w:hint="eastAsia" w:ascii="宋体" w:hAnsi="宋体"/>
          <w:b/>
          <w:color w:val="auto"/>
          <w:szCs w:val="21"/>
          <w:highlight w:val="none"/>
        </w:rPr>
        <w:t>条款号：42.4.2.3</w:t>
      </w:r>
      <w:r>
        <w:rPr>
          <w:rFonts w:ascii="宋体" w:hAnsi="宋体"/>
          <w:b/>
          <w:color w:val="auto"/>
          <w:szCs w:val="21"/>
          <w:highlight w:val="none"/>
        </w:rPr>
        <w:t xml:space="preserve"> </w:t>
      </w:r>
      <w:r>
        <w:rPr>
          <w:rFonts w:hint="eastAsia" w:ascii="宋体" w:hAnsi="宋体"/>
          <w:b/>
          <w:color w:val="auto"/>
          <w:szCs w:val="21"/>
          <w:highlight w:val="none"/>
        </w:rPr>
        <w:t xml:space="preserve"> </w:t>
      </w:r>
      <w:r>
        <w:rPr>
          <w:rFonts w:hint="eastAsia" w:ascii="宋体" w:hAnsi="宋体" w:cs="宋体"/>
          <w:bCs/>
          <w:color w:val="auto"/>
          <w:szCs w:val="21"/>
          <w:highlight w:val="none"/>
        </w:rPr>
        <w:t xml:space="preserve"> </w:t>
      </w:r>
      <w:r>
        <w:rPr>
          <w:rFonts w:hint="eastAsia" w:ascii="宋体" w:hAnsi="宋体" w:cs="宋体"/>
          <w:color w:val="auto"/>
          <w:szCs w:val="21"/>
          <w:highlight w:val="none"/>
        </w:rPr>
        <w:t xml:space="preserve">           </w:t>
      </w:r>
      <w:r>
        <w:rPr>
          <w:rFonts w:hint="eastAsia" w:ascii="宋体" w:hAnsi="宋体"/>
          <w:b/>
          <w:color w:val="auto"/>
          <w:szCs w:val="21"/>
          <w:highlight w:val="none"/>
        </w:rPr>
        <w:t>修改类型：修改</w:t>
      </w:r>
    </w:p>
    <w:p>
      <w:pPr>
        <w:pBdr>
          <w:bottom w:val="single" w:color="auto" w:sz="4" w:space="0"/>
        </w:pBdr>
        <w:spacing w:line="360" w:lineRule="auto"/>
        <w:ind w:firstLine="445" w:firstLineChars="211"/>
        <w:rPr>
          <w:rFonts w:ascii="宋体" w:hAnsi="宋体"/>
          <w:b w:val="0"/>
          <w:bCs/>
          <w:i w:val="0"/>
          <w:iCs w:val="0"/>
          <w:color w:val="auto"/>
          <w:szCs w:val="21"/>
          <w:highlight w:val="none"/>
        </w:rPr>
      </w:pPr>
      <w:r>
        <w:rPr>
          <w:rFonts w:hint="eastAsia" w:ascii="宋体" w:hAnsi="宋体"/>
          <w:b/>
          <w:color w:val="auto"/>
          <w:szCs w:val="21"/>
          <w:highlight w:val="none"/>
        </w:rPr>
        <w:t>原文：</w:t>
      </w:r>
      <w:r>
        <w:rPr>
          <w:rFonts w:hint="eastAsia" w:ascii="宋体" w:hAnsi="宋体"/>
          <w:b w:val="0"/>
          <w:bCs/>
          <w:color w:val="auto"/>
          <w:szCs w:val="21"/>
          <w:highlight w:val="none"/>
        </w:rPr>
        <w:t xml:space="preserve">42.4.2.3 </w:t>
      </w:r>
      <w:r>
        <w:rPr>
          <w:rFonts w:hint="eastAsia" w:ascii="宋体" w:hAnsi="宋体"/>
          <w:b w:val="0"/>
          <w:bCs/>
          <w:i w:val="0"/>
          <w:iCs w:val="0"/>
          <w:color w:val="auto"/>
          <w:szCs w:val="21"/>
          <w:highlight w:val="none"/>
        </w:rPr>
        <w:t>评标委员会按投标须知前附表第32项的规定确定排序。</w:t>
      </w:r>
    </w:p>
    <w:p>
      <w:pPr>
        <w:pBdr>
          <w:bottom w:val="single" w:color="auto" w:sz="4" w:space="0"/>
        </w:pBdr>
        <w:spacing w:line="360" w:lineRule="auto"/>
        <w:ind w:firstLine="445" w:firstLineChars="211"/>
        <w:rPr>
          <w:rFonts w:ascii="宋体" w:hAnsi="宋体"/>
          <w:b w:val="0"/>
          <w:bCs/>
          <w:i w:val="0"/>
          <w:iCs w:val="0"/>
          <w:color w:val="auto"/>
          <w:szCs w:val="21"/>
          <w:highlight w:val="none"/>
        </w:rPr>
      </w:pPr>
      <w:r>
        <w:rPr>
          <w:rFonts w:hint="eastAsia" w:ascii="宋体" w:hAnsi="宋体"/>
          <w:b/>
          <w:color w:val="auto"/>
          <w:szCs w:val="21"/>
          <w:highlight w:val="none"/>
        </w:rPr>
        <w:t>现文：</w:t>
      </w:r>
      <w:r>
        <w:rPr>
          <w:rFonts w:hint="eastAsia" w:ascii="宋体" w:hAnsi="宋体"/>
          <w:b w:val="0"/>
          <w:bCs/>
          <w:color w:val="auto"/>
          <w:szCs w:val="21"/>
          <w:highlight w:val="none"/>
        </w:rPr>
        <w:t xml:space="preserve">42.4.2.3 </w:t>
      </w:r>
      <w:r>
        <w:rPr>
          <w:rFonts w:hint="eastAsia" w:ascii="宋体" w:hAnsi="宋体"/>
          <w:b w:val="0"/>
          <w:bCs/>
          <w:i w:val="0"/>
          <w:iCs w:val="0"/>
          <w:color w:val="auto"/>
          <w:szCs w:val="21"/>
          <w:highlight w:val="none"/>
        </w:rPr>
        <w:t>评标委员会按投标须知前附表第</w:t>
      </w:r>
      <w:r>
        <w:rPr>
          <w:rFonts w:hint="eastAsia" w:ascii="宋体" w:hAnsi="宋体"/>
          <w:b w:val="0"/>
          <w:bCs/>
          <w:i w:val="0"/>
          <w:iCs w:val="0"/>
          <w:color w:val="auto"/>
          <w:szCs w:val="21"/>
          <w:highlight w:val="none"/>
          <w:u w:val="single"/>
          <w:lang w:val="en-US" w:eastAsia="zh-CN"/>
        </w:rPr>
        <w:t>33</w:t>
      </w:r>
      <w:r>
        <w:rPr>
          <w:rFonts w:hint="eastAsia" w:ascii="宋体" w:hAnsi="宋体"/>
          <w:b w:val="0"/>
          <w:bCs/>
          <w:i w:val="0"/>
          <w:iCs w:val="0"/>
          <w:color w:val="auto"/>
          <w:szCs w:val="21"/>
          <w:highlight w:val="none"/>
          <w:u w:val="single"/>
        </w:rPr>
        <w:t>项</w:t>
      </w:r>
      <w:r>
        <w:rPr>
          <w:rFonts w:hint="eastAsia" w:ascii="宋体" w:hAnsi="宋体"/>
          <w:b w:val="0"/>
          <w:bCs/>
          <w:i w:val="0"/>
          <w:iCs w:val="0"/>
          <w:color w:val="auto"/>
          <w:szCs w:val="21"/>
          <w:highlight w:val="none"/>
        </w:rPr>
        <w:t>的规定确定排序。</w:t>
      </w:r>
    </w:p>
    <w:p>
      <w:pPr>
        <w:pStyle w:val="28"/>
        <w:spacing w:after="0" w:line="360" w:lineRule="auto"/>
        <w:ind w:firstLine="40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条款号：42.4.4.8</w:t>
      </w:r>
      <w:r>
        <w:rPr>
          <w:rFonts w:hint="eastAsia" w:ascii="宋体" w:hAnsi="宋体"/>
          <w:b/>
          <w:color w:val="auto"/>
          <w:szCs w:val="21"/>
          <w:highlight w:val="none"/>
        </w:rPr>
        <w:t xml:space="preserve"> </w:t>
      </w:r>
      <w:r>
        <w:rPr>
          <w:rFonts w:hint="eastAsia" w:ascii="宋体" w:hAnsi="宋体" w:cs="宋体"/>
          <w:bCs/>
          <w:color w:val="auto"/>
          <w:szCs w:val="21"/>
          <w:highlight w:val="non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b/>
          <w:color w:val="auto"/>
          <w:szCs w:val="21"/>
          <w:highlight w:val="none"/>
        </w:rPr>
        <w:t>修改类型：修改</w:t>
      </w:r>
    </w:p>
    <w:p>
      <w:pPr>
        <w:pStyle w:val="28"/>
        <w:pBdr>
          <w:bottom w:val="single" w:color="auto" w:sz="4" w:space="0"/>
        </w:pBdr>
        <w:spacing w:after="0" w:line="360" w:lineRule="auto"/>
        <w:ind w:firstLine="402" w:firstLineChars="200"/>
        <w:rPr>
          <w:rFonts w:hint="eastAsia" w:ascii="宋体" w:hAnsi="宋体" w:cs="宋体"/>
          <w:b w:val="0"/>
          <w:bCs/>
          <w:color w:val="auto"/>
          <w:sz w:val="21"/>
          <w:szCs w:val="21"/>
          <w:highlight w:val="none"/>
        </w:rPr>
      </w:pPr>
      <w:r>
        <w:rPr>
          <w:rFonts w:hint="eastAsia" w:ascii="宋体" w:hAnsi="宋体" w:cs="宋体"/>
          <w:b/>
          <w:bCs w:val="0"/>
          <w:color w:val="auto"/>
          <w:szCs w:val="21"/>
          <w:highlight w:val="none"/>
        </w:rPr>
        <w:t>原文：</w:t>
      </w:r>
      <w:r>
        <w:rPr>
          <w:rFonts w:hint="eastAsia" w:ascii="宋体" w:hAnsi="宋体" w:cs="宋体"/>
          <w:b w:val="0"/>
          <w:bCs/>
          <w:color w:val="auto"/>
          <w:sz w:val="21"/>
          <w:szCs w:val="21"/>
          <w:highlight w:val="none"/>
        </w:rPr>
        <w:t>42</w:t>
      </w:r>
      <w:r>
        <w:rPr>
          <w:rFonts w:hint="eastAsia" w:ascii="宋体" w:hAnsi="宋体"/>
          <w:b w:val="0"/>
          <w:bCs/>
          <w:color w:val="auto"/>
          <w:sz w:val="21"/>
          <w:szCs w:val="21"/>
          <w:highlight w:val="none"/>
        </w:rPr>
        <w:t>.</w:t>
      </w:r>
      <w:r>
        <w:rPr>
          <w:rFonts w:hint="eastAsia" w:ascii="宋体" w:hAnsi="宋体" w:cs="宋体"/>
          <w:b w:val="0"/>
          <w:bCs/>
          <w:color w:val="auto"/>
          <w:sz w:val="21"/>
          <w:szCs w:val="21"/>
          <w:highlight w:val="none"/>
        </w:rPr>
        <w:t>4.4.8按上述修正错误的原则及方法调整或修正投标文件的投标报价，调整后的投标报价对投标人起约束作用。如果投标人不接受修正后的报价，则取消其投标资格，并且其投标保证金也将不予退还。</w:t>
      </w:r>
    </w:p>
    <w:p>
      <w:pPr>
        <w:pStyle w:val="28"/>
        <w:pBdr>
          <w:bottom w:val="single" w:color="auto" w:sz="4" w:space="0"/>
        </w:pBdr>
        <w:spacing w:after="0" w:line="360" w:lineRule="auto"/>
        <w:ind w:firstLine="402" w:firstLineChars="200"/>
        <w:rPr>
          <w:rFonts w:hint="eastAsia" w:ascii="宋体" w:hAnsi="宋体" w:cs="宋体"/>
          <w:b w:val="0"/>
          <w:bCs/>
          <w:color w:val="auto"/>
          <w:sz w:val="21"/>
          <w:szCs w:val="21"/>
          <w:highlight w:val="none"/>
        </w:rPr>
      </w:pPr>
      <w:r>
        <w:rPr>
          <w:rFonts w:hint="eastAsia" w:ascii="宋体" w:hAnsi="宋体" w:cs="宋体"/>
          <w:b/>
          <w:bCs w:val="0"/>
          <w:color w:val="auto"/>
          <w:szCs w:val="21"/>
          <w:highlight w:val="none"/>
        </w:rPr>
        <w:t>现文：</w:t>
      </w:r>
      <w:r>
        <w:rPr>
          <w:rFonts w:hint="eastAsia" w:ascii="宋体" w:hAnsi="宋体" w:cs="宋体"/>
          <w:b w:val="0"/>
          <w:bCs/>
          <w:color w:val="auto"/>
          <w:sz w:val="21"/>
          <w:szCs w:val="21"/>
          <w:highlight w:val="none"/>
        </w:rPr>
        <w:t>42.4.4.8按上述修正错误的原则及方法调整或修正投标文件的投标报价，调整后的投标报价对投标人起约束作用。如果投标人不接受修正后的报价</w:t>
      </w:r>
      <w:r>
        <w:rPr>
          <w:rFonts w:hint="eastAsia" w:ascii="宋体" w:hAnsi="宋体" w:cs="宋体"/>
          <w:b w:val="0"/>
          <w:bCs/>
          <w:color w:val="auto"/>
          <w:sz w:val="21"/>
          <w:szCs w:val="21"/>
          <w:highlight w:val="none"/>
          <w:u w:val="single"/>
        </w:rPr>
        <w:t>，则取消其投标资格。</w:t>
      </w:r>
    </w:p>
    <w:p>
      <w:pPr>
        <w:pStyle w:val="28"/>
        <w:spacing w:after="0" w:line="360" w:lineRule="auto"/>
        <w:ind w:firstLine="40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条款号：42.5</w:t>
      </w:r>
      <w:r>
        <w:rPr>
          <w:rFonts w:hint="eastAsia" w:ascii="宋体" w:hAnsi="宋体"/>
          <w:b/>
          <w:color w:val="auto"/>
          <w:szCs w:val="21"/>
          <w:highlight w:val="none"/>
        </w:rPr>
        <w:t xml:space="preserve"> </w:t>
      </w:r>
      <w:r>
        <w:rPr>
          <w:rFonts w:hint="eastAsia" w:ascii="宋体" w:hAnsi="宋体" w:cs="宋体"/>
          <w:bCs/>
          <w:color w:val="auto"/>
          <w:szCs w:val="21"/>
          <w:highlight w:val="non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b/>
          <w:color w:val="auto"/>
          <w:szCs w:val="21"/>
          <w:highlight w:val="none"/>
        </w:rPr>
        <w:t>修改类型：修改</w:t>
      </w:r>
    </w:p>
    <w:p>
      <w:pPr>
        <w:pStyle w:val="28"/>
        <w:keepNext w:val="0"/>
        <w:keepLines w:val="0"/>
        <w:pageBreakBefore w:val="0"/>
        <w:widowControl w:val="0"/>
        <w:pBdr>
          <w:bottom w:val="single" w:color="auto" w:sz="4" w:space="0"/>
        </w:pBdr>
        <w:kinsoku/>
        <w:wordWrap/>
        <w:overflowPunct/>
        <w:topLinePunct w:val="0"/>
        <w:autoSpaceDE/>
        <w:autoSpaceDN/>
        <w:bidi w:val="0"/>
        <w:adjustRightInd/>
        <w:snapToGrid/>
        <w:spacing w:after="0" w:line="360" w:lineRule="auto"/>
        <w:ind w:firstLine="402" w:firstLineChars="200"/>
        <w:textAlignment w:val="auto"/>
        <w:rPr>
          <w:rFonts w:hint="eastAsia" w:ascii="宋体" w:hAnsi="宋体" w:cs="宋体"/>
          <w:b w:val="0"/>
          <w:bCs/>
          <w:color w:val="auto"/>
          <w:sz w:val="21"/>
          <w:szCs w:val="21"/>
          <w:highlight w:val="none"/>
        </w:rPr>
      </w:pPr>
      <w:r>
        <w:rPr>
          <w:rFonts w:hint="eastAsia" w:ascii="宋体" w:hAnsi="宋体" w:cs="宋体"/>
          <w:b/>
          <w:bCs w:val="0"/>
          <w:color w:val="auto"/>
          <w:szCs w:val="21"/>
          <w:highlight w:val="none"/>
        </w:rPr>
        <w:t>原文：</w:t>
      </w:r>
      <w:r>
        <w:rPr>
          <w:rFonts w:hint="eastAsia" w:ascii="宋体" w:hAnsi="宋体" w:cs="宋体"/>
          <w:b w:val="0"/>
          <w:bCs/>
          <w:color w:val="auto"/>
          <w:sz w:val="21"/>
          <w:szCs w:val="21"/>
          <w:highlight w:val="none"/>
        </w:rPr>
        <w:t>42.5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pStyle w:val="28"/>
        <w:keepNext w:val="0"/>
        <w:keepLines w:val="0"/>
        <w:pageBreakBefore w:val="0"/>
        <w:widowControl w:val="0"/>
        <w:pBdr>
          <w:bottom w:val="single" w:color="auto" w:sz="4" w:space="0"/>
        </w:pBdr>
        <w:kinsoku/>
        <w:wordWrap/>
        <w:overflowPunct/>
        <w:topLinePunct w:val="0"/>
        <w:autoSpaceDE/>
        <w:autoSpaceDN/>
        <w:bidi w:val="0"/>
        <w:adjustRightInd/>
        <w:snapToGrid/>
        <w:spacing w:after="0" w:line="360" w:lineRule="auto"/>
        <w:ind w:firstLine="422" w:firstLineChars="200"/>
        <w:textAlignment w:val="auto"/>
        <w:rPr>
          <w:rFonts w:hint="eastAsia" w:ascii="宋体" w:hAnsi="宋体" w:cs="宋体"/>
          <w:b w:val="0"/>
          <w:bCs/>
          <w:color w:val="auto"/>
          <w:sz w:val="21"/>
          <w:szCs w:val="21"/>
          <w:highlight w:val="none"/>
          <w:u w:val="single"/>
        </w:rPr>
      </w:pPr>
      <w:r>
        <w:rPr>
          <w:rFonts w:hint="eastAsia" w:ascii="宋体" w:hAnsi="宋体" w:cs="宋体"/>
          <w:b/>
          <w:bCs w:val="0"/>
          <w:color w:val="auto"/>
          <w:sz w:val="21"/>
          <w:szCs w:val="21"/>
          <w:highlight w:val="none"/>
        </w:rPr>
        <w:t>现文：</w:t>
      </w:r>
      <w:r>
        <w:rPr>
          <w:rFonts w:hint="eastAsia" w:ascii="宋体" w:hAnsi="宋体" w:cs="宋体"/>
          <w:b w:val="0"/>
          <w:bCs/>
          <w:color w:val="auto"/>
          <w:sz w:val="21"/>
          <w:szCs w:val="21"/>
          <w:highlight w:val="none"/>
        </w:rPr>
        <w:t>42.5评标委员会按只有通过有效性审查的投标人的投标文件方可进入下一阶段评审的评审原则，根据有效性审查结果，</w:t>
      </w:r>
      <w:r>
        <w:rPr>
          <w:rFonts w:hint="eastAsia" w:ascii="宋体" w:hAnsi="宋体" w:cs="宋体"/>
          <w:b w:val="0"/>
          <w:bCs/>
          <w:color w:val="auto"/>
          <w:sz w:val="21"/>
          <w:szCs w:val="21"/>
          <w:highlight w:val="none"/>
          <w:u w:val="single"/>
        </w:rPr>
        <w:t>取消被否决投标的投标人，直至经济标有效性审查结束。</w:t>
      </w:r>
    </w:p>
    <w:p>
      <w:pPr>
        <w:pStyle w:val="28"/>
        <w:spacing w:after="0" w:line="360" w:lineRule="auto"/>
        <w:ind w:firstLine="402" w:firstLineChars="200"/>
        <w:rPr>
          <w:rFonts w:ascii="宋体" w:hAnsi="宋体" w:cs="宋体"/>
          <w:color w:val="auto"/>
          <w:szCs w:val="21"/>
          <w:highlight w:val="none"/>
        </w:rPr>
      </w:pPr>
      <w:r>
        <w:rPr>
          <w:rFonts w:hint="eastAsia" w:ascii="宋体" w:hAnsi="宋体" w:cs="宋体"/>
          <w:b/>
          <w:color w:val="auto"/>
          <w:szCs w:val="21"/>
          <w:highlight w:val="none"/>
        </w:rPr>
        <w:t>条款号：</w:t>
      </w:r>
      <w:r>
        <w:rPr>
          <w:rFonts w:ascii="宋体" w:hAnsi="宋体"/>
          <w:b/>
          <w:color w:val="auto"/>
          <w:szCs w:val="21"/>
          <w:highlight w:val="none"/>
        </w:rPr>
        <w:t xml:space="preserve">42.6 </w:t>
      </w:r>
      <w:r>
        <w:rPr>
          <w:rFonts w:ascii="宋体" w:hAnsi="宋体" w:cs="宋体"/>
          <w:bCs/>
          <w:color w:val="auto"/>
          <w:szCs w:val="21"/>
          <w:highlight w:val="non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ascii="宋体" w:hAnsi="宋体" w:cs="宋体"/>
          <w:color w:val="auto"/>
          <w:szCs w:val="21"/>
          <w:highlight w:val="none"/>
        </w:rPr>
        <w:t xml:space="preserve"> </w:t>
      </w:r>
      <w:r>
        <w:rPr>
          <w:rFonts w:hint="eastAsia" w:ascii="宋体" w:hAnsi="宋体" w:cs="宋体"/>
          <w:b/>
          <w:color w:val="auto"/>
          <w:szCs w:val="21"/>
          <w:highlight w:val="none"/>
        </w:rPr>
        <w:t>修改类型：修改</w:t>
      </w:r>
    </w:p>
    <w:p>
      <w:pPr>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原文：</w:t>
      </w:r>
      <w:r>
        <w:rPr>
          <w:rFonts w:ascii="宋体" w:hAnsi="宋体" w:cs="宋体"/>
          <w:color w:val="auto"/>
          <w:szCs w:val="21"/>
          <w:highlight w:val="none"/>
        </w:rPr>
        <w:t>42.6评标委员会应在通过投标文件经济标有效性审查的投标人中，按步骤42.4确定的投标人第二阶段排序，推荐前3名依次为第一中标候选人至第三中标候选人，并编制评标报告。</w:t>
      </w:r>
    </w:p>
    <w:p>
      <w:pPr>
        <w:pBdr>
          <w:bottom w:val="single" w:color="auto" w:sz="6" w:space="1"/>
        </w:pBdr>
        <w:spacing w:line="360" w:lineRule="auto"/>
        <w:ind w:firstLine="413" w:firstLineChars="196"/>
        <w:rPr>
          <w:rFonts w:ascii="宋体" w:hAnsi="宋体" w:cs="宋体"/>
          <w:color w:val="auto"/>
          <w:szCs w:val="21"/>
          <w:highlight w:val="none"/>
          <w:u w:val="single"/>
        </w:rPr>
      </w:pPr>
      <w:r>
        <w:rPr>
          <w:rFonts w:hint="eastAsia" w:ascii="宋体" w:hAnsi="宋体" w:cs="宋体"/>
          <w:b/>
          <w:color w:val="auto"/>
          <w:szCs w:val="21"/>
          <w:highlight w:val="none"/>
        </w:rPr>
        <w:t>现文：</w:t>
      </w:r>
      <w:r>
        <w:rPr>
          <w:rFonts w:ascii="宋体" w:hAnsi="宋体" w:cs="宋体"/>
          <w:color w:val="auto"/>
          <w:szCs w:val="21"/>
          <w:highlight w:val="none"/>
        </w:rPr>
        <w:t>42.6评标</w:t>
      </w:r>
      <w:r>
        <w:rPr>
          <w:rFonts w:hint="eastAsia" w:hAnsi="宋体" w:cs="宋体"/>
          <w:color w:val="auto"/>
          <w:szCs w:val="21"/>
          <w:highlight w:val="none"/>
        </w:rPr>
        <w:t>委员会应在通过投标文件经济标有效性审查的投标人中，按步</w:t>
      </w:r>
      <w:r>
        <w:rPr>
          <w:rFonts w:hint="eastAsia" w:ascii="宋体" w:hAnsi="宋体" w:cs="宋体"/>
          <w:color w:val="auto"/>
          <w:szCs w:val="21"/>
          <w:highlight w:val="none"/>
        </w:rPr>
        <w:t>骤</w:t>
      </w:r>
      <w:r>
        <w:rPr>
          <w:rFonts w:ascii="宋体" w:hAnsi="宋体" w:cs="宋体"/>
          <w:color w:val="auto"/>
          <w:szCs w:val="21"/>
          <w:highlight w:val="none"/>
        </w:rPr>
        <w:t>42.4确</w:t>
      </w:r>
      <w:r>
        <w:rPr>
          <w:rFonts w:hint="eastAsia" w:hAnsi="宋体" w:cs="宋体"/>
          <w:color w:val="auto"/>
          <w:szCs w:val="21"/>
          <w:highlight w:val="none"/>
        </w:rPr>
        <w:t>定的投标人第二阶段排序，</w:t>
      </w:r>
      <w:r>
        <w:rPr>
          <w:rFonts w:hint="eastAsia" w:hAnsi="宋体" w:cs="宋体"/>
          <w:color w:val="auto"/>
          <w:szCs w:val="21"/>
          <w:highlight w:val="none"/>
          <w:u w:val="single"/>
        </w:rPr>
        <w:t>按投</w:t>
      </w:r>
      <w:r>
        <w:rPr>
          <w:rFonts w:hint="eastAsia" w:ascii="宋体" w:hAnsi="宋体" w:cs="宋体"/>
          <w:color w:val="auto"/>
          <w:szCs w:val="21"/>
          <w:highlight w:val="none"/>
          <w:u w:val="single"/>
        </w:rPr>
        <w:t>标须知前附表第</w:t>
      </w:r>
      <w:r>
        <w:rPr>
          <w:rFonts w:hint="eastAsia" w:ascii="宋体" w:hAnsi="宋体" w:cs="宋体"/>
          <w:color w:val="auto"/>
          <w:szCs w:val="21"/>
          <w:highlight w:val="none"/>
          <w:u w:val="single"/>
          <w:lang w:val="en-US" w:eastAsia="zh-CN"/>
        </w:rPr>
        <w:t>20</w:t>
      </w:r>
      <w:r>
        <w:rPr>
          <w:rFonts w:ascii="宋体" w:hAnsi="宋体" w:cs="宋体"/>
          <w:color w:val="auto"/>
          <w:szCs w:val="21"/>
          <w:highlight w:val="none"/>
          <w:u w:val="single"/>
        </w:rPr>
        <w:t>项规定推荐3至7名</w:t>
      </w:r>
      <w:r>
        <w:rPr>
          <w:rFonts w:hint="eastAsia" w:ascii="宋体" w:hAnsi="宋体" w:cs="宋体"/>
          <w:color w:val="auto"/>
          <w:szCs w:val="21"/>
          <w:highlight w:val="none"/>
          <w:u w:val="single"/>
        </w:rPr>
        <w:t>不排序的合格中标候选人进入定标阶段，</w:t>
      </w:r>
      <w:r>
        <w:rPr>
          <w:rFonts w:hint="eastAsia" w:ascii="宋体" w:hAnsi="宋体" w:cs="宋体"/>
          <w:color w:val="auto"/>
          <w:szCs w:val="21"/>
          <w:highlight w:val="none"/>
        </w:rPr>
        <w:t>并编</w:t>
      </w:r>
      <w:r>
        <w:rPr>
          <w:rFonts w:hint="eastAsia" w:hAnsi="宋体" w:cs="宋体"/>
          <w:color w:val="auto"/>
          <w:szCs w:val="21"/>
          <w:highlight w:val="none"/>
        </w:rPr>
        <w:t>制评标报告。</w:t>
      </w:r>
    </w:p>
    <w:p>
      <w:pPr>
        <w:pStyle w:val="28"/>
        <w:keepNext w:val="0"/>
        <w:keepLines w:val="0"/>
        <w:pageBreakBefore w:val="0"/>
        <w:widowControl w:val="0"/>
        <w:kinsoku/>
        <w:wordWrap/>
        <w:overflowPunct/>
        <w:topLinePunct w:val="0"/>
        <w:autoSpaceDE/>
        <w:autoSpaceDN/>
        <w:bidi w:val="0"/>
        <w:adjustRightInd/>
        <w:snapToGrid/>
        <w:spacing w:before="469" w:beforeLines="150" w:after="0" w:line="360" w:lineRule="auto"/>
        <w:ind w:firstLine="40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条款号：</w:t>
      </w:r>
      <w:r>
        <w:rPr>
          <w:rFonts w:hint="eastAsia" w:ascii="宋体" w:hAnsi="宋体"/>
          <w:b/>
          <w:color w:val="auto"/>
          <w:szCs w:val="21"/>
          <w:highlight w:val="none"/>
          <w:lang w:val="en-US" w:eastAsia="zh-CN"/>
        </w:rPr>
        <w:t>42.7</w:t>
      </w:r>
      <w:r>
        <w:rPr>
          <w:rFonts w:hint="eastAsia" w:ascii="宋体" w:hAnsi="宋体"/>
          <w:b/>
          <w:color w:val="auto"/>
          <w:szCs w:val="21"/>
          <w:highlight w:val="none"/>
        </w:rPr>
        <w:t xml:space="preserve"> </w:t>
      </w:r>
      <w:r>
        <w:rPr>
          <w:rFonts w:hint="eastAsia" w:ascii="宋体" w:hAnsi="宋体" w:cs="宋体"/>
          <w:bCs/>
          <w:color w:val="auto"/>
          <w:szCs w:val="21"/>
          <w:highlight w:val="non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b/>
          <w:color w:val="auto"/>
          <w:szCs w:val="21"/>
          <w:highlight w:val="none"/>
        </w:rPr>
        <w:t>修改类型：修改</w:t>
      </w:r>
    </w:p>
    <w:p>
      <w:pPr>
        <w:spacing w:line="360" w:lineRule="auto"/>
        <w:ind w:firstLine="413" w:firstLineChars="196"/>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lang w:val="en-US" w:eastAsia="zh-CN"/>
        </w:rPr>
        <w:t>42.7</w:t>
      </w:r>
      <w:r>
        <w:rPr>
          <w:rFonts w:hint="eastAsia" w:ascii="宋体" w:hAnsi="宋体" w:cs="宋体"/>
          <w:bCs/>
          <w:color w:val="auto"/>
          <w:szCs w:val="21"/>
          <w:highlight w:val="none"/>
        </w:rPr>
        <w:t>若通过经济标有效性审查的投标人不足三家，应当依法重新招标。（当N个标段同时招标且不允许兼中时，若有效投标人不足N+2家，应当依法重新招标）</w:t>
      </w:r>
    </w:p>
    <w:p>
      <w:pPr>
        <w:pBdr>
          <w:bottom w:val="single" w:color="auto" w:sz="6" w:space="1"/>
        </w:pBdr>
        <w:spacing w:line="360" w:lineRule="auto"/>
        <w:ind w:firstLine="413" w:firstLineChars="196"/>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szCs w:val="21"/>
          <w:highlight w:val="none"/>
          <w:u w:val="none"/>
          <w:lang w:val="en-US" w:eastAsia="zh-CN"/>
        </w:rPr>
        <w:t>42.7</w:t>
      </w:r>
      <w:r>
        <w:rPr>
          <w:rFonts w:hint="eastAsia" w:ascii="宋体" w:hAnsi="宋体" w:cs="宋体"/>
          <w:bCs/>
          <w:color w:val="auto"/>
          <w:szCs w:val="21"/>
          <w:highlight w:val="none"/>
          <w:u w:val="single"/>
        </w:rPr>
        <w:t>若通过经济标有效性审查的投标人不足3家，应当依法重新招标。</w:t>
      </w:r>
    </w:p>
    <w:p>
      <w:pPr>
        <w:spacing w:line="360" w:lineRule="auto"/>
        <w:ind w:firstLine="472" w:firstLineChars="224"/>
        <w:rPr>
          <w:rFonts w:hint="eastAsia" w:ascii="宋体" w:hAnsi="宋体" w:cs="宋体"/>
          <w:b/>
          <w:color w:val="auto"/>
          <w:szCs w:val="21"/>
          <w:highlight w:val="none"/>
          <w:lang w:eastAsia="zh-CN"/>
        </w:rPr>
      </w:pPr>
      <w:r>
        <w:rPr>
          <w:rFonts w:hint="eastAsia" w:ascii="宋体" w:hAnsi="宋体"/>
          <w:b/>
          <w:color w:val="auto"/>
          <w:szCs w:val="21"/>
          <w:highlight w:val="none"/>
        </w:rPr>
        <w:t>条款号：</w:t>
      </w:r>
      <w:r>
        <w:rPr>
          <w:rFonts w:hint="eastAsia" w:ascii="宋体" w:hAnsi="宋体"/>
          <w:b/>
          <w:color w:val="auto"/>
          <w:szCs w:val="21"/>
          <w:highlight w:val="none"/>
          <w:lang w:val="en-US" w:eastAsia="zh-CN"/>
        </w:rPr>
        <w:t>43</w:t>
      </w:r>
      <w:r>
        <w:rPr>
          <w:rFonts w:hint="eastAsia" w:ascii="宋体" w:hAnsi="宋体"/>
          <w:b/>
          <w:color w:val="auto"/>
          <w:szCs w:val="21"/>
          <w:highlight w:val="none"/>
        </w:rPr>
        <w:t xml:space="preserve"> </w:t>
      </w:r>
      <w:r>
        <w:rPr>
          <w:rFonts w:hint="eastAsia" w:ascii="宋体" w:hAnsi="宋体" w:cs="宋体"/>
          <w:bCs/>
          <w:color w:val="auto"/>
          <w:szCs w:val="21"/>
          <w:highlight w:val="non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b/>
          <w:color w:val="auto"/>
          <w:szCs w:val="21"/>
          <w:highlight w:val="none"/>
        </w:rPr>
        <w:t>修改类型：</w:t>
      </w:r>
      <w:r>
        <w:rPr>
          <w:rFonts w:hint="eastAsia" w:ascii="宋体" w:hAnsi="宋体" w:cs="宋体"/>
          <w:b/>
          <w:color w:val="auto"/>
          <w:szCs w:val="21"/>
          <w:highlight w:val="none"/>
          <w:lang w:eastAsia="zh-CN"/>
        </w:rPr>
        <w:t>增加</w:t>
      </w:r>
    </w:p>
    <w:p>
      <w:pPr>
        <w:spacing w:line="360" w:lineRule="auto"/>
        <w:ind w:firstLine="472" w:firstLineChars="224"/>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t>现文：43.定标详细规定</w:t>
      </w:r>
    </w:p>
    <w:p>
      <w:pPr>
        <w:pBdr>
          <w:bottom w:val="single" w:color="auto" w:sz="4" w:space="0"/>
        </w:pBdr>
        <w:spacing w:line="360" w:lineRule="auto"/>
        <w:ind w:firstLine="470" w:firstLineChars="224"/>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eastAsia="zh-CN"/>
        </w:rPr>
        <w:t>如评标委员会推荐的合格中标候选人不足三家，招标人应当依法重新招标，不再进行定标工作。</w:t>
      </w:r>
    </w:p>
    <w:p>
      <w:pPr>
        <w:pBdr>
          <w:bottom w:val="single" w:color="auto" w:sz="4" w:space="0"/>
        </w:pBdr>
        <w:spacing w:line="360" w:lineRule="auto"/>
        <w:ind w:firstLine="470" w:firstLineChars="224"/>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eastAsia="zh-CN"/>
        </w:rPr>
        <w:t>43.1定标时间和地点</w:t>
      </w:r>
    </w:p>
    <w:p>
      <w:pPr>
        <w:pBdr>
          <w:bottom w:val="single" w:color="auto" w:sz="4" w:space="0"/>
        </w:pBdr>
        <w:spacing w:line="360" w:lineRule="auto"/>
        <w:ind w:firstLine="470" w:firstLineChars="224"/>
        <w:rPr>
          <w:rFonts w:hint="eastAsia" w:ascii="宋体" w:hAnsi="宋体" w:cs="宋体"/>
          <w:b w:val="0"/>
          <w:bCs/>
          <w:color w:val="auto"/>
          <w:szCs w:val="21"/>
          <w:highlight w:val="none"/>
          <w:u w:val="single"/>
          <w:lang w:eastAsia="zh-CN"/>
        </w:rPr>
      </w:pPr>
      <w:bookmarkStart w:id="8" w:name="OLE_LINK23"/>
      <w:bookmarkStart w:id="9" w:name="OLE_LINK24"/>
      <w:r>
        <w:rPr>
          <w:rFonts w:hint="eastAsia" w:ascii="宋体" w:hAnsi="宋体" w:cs="宋体"/>
          <w:b w:val="0"/>
          <w:bCs/>
          <w:color w:val="auto"/>
          <w:szCs w:val="21"/>
          <w:highlight w:val="none"/>
          <w:u w:val="single"/>
          <w:lang w:eastAsia="zh-CN"/>
        </w:rPr>
        <w:t>招标人在合格中标候选人公示结束后5个工作日内在广州交易集团有限公司（广州公共资源交易中心）开展定标工作，招标人按规定程序在投标人须知的时间和地点完成定标工作</w:t>
      </w:r>
      <w:bookmarkEnd w:id="8"/>
      <w:bookmarkEnd w:id="9"/>
      <w:r>
        <w:rPr>
          <w:rFonts w:hint="eastAsia" w:ascii="宋体" w:hAnsi="宋体" w:cs="宋体"/>
          <w:b w:val="0"/>
          <w:bCs/>
          <w:color w:val="auto"/>
          <w:szCs w:val="21"/>
          <w:highlight w:val="none"/>
          <w:u w:val="single"/>
          <w:lang w:eastAsia="zh-CN"/>
        </w:rPr>
        <w:t>。</w:t>
      </w:r>
    </w:p>
    <w:p>
      <w:pPr>
        <w:pBdr>
          <w:bottom w:val="single" w:color="auto" w:sz="4" w:space="0"/>
        </w:pBdr>
        <w:spacing w:line="360" w:lineRule="auto"/>
        <w:ind w:firstLine="470" w:firstLineChars="224"/>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eastAsia="zh-CN"/>
        </w:rPr>
        <w:t>43.2定标委员会：成员数量为5人，由招标人组建。</w:t>
      </w:r>
    </w:p>
    <w:p>
      <w:pPr>
        <w:pBdr>
          <w:bottom w:val="single" w:color="auto" w:sz="4" w:space="0"/>
        </w:pBdr>
        <w:spacing w:line="360" w:lineRule="auto"/>
        <w:ind w:firstLine="470" w:firstLineChars="224"/>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eastAsia="zh-CN"/>
        </w:rPr>
        <w:t>43.3监督小组：成员数量为2人，由招标人组建。</w:t>
      </w:r>
    </w:p>
    <w:p>
      <w:pPr>
        <w:pBdr>
          <w:bottom w:val="single" w:color="auto" w:sz="4" w:space="0"/>
        </w:pBdr>
        <w:spacing w:line="360" w:lineRule="auto"/>
        <w:ind w:firstLine="470" w:firstLineChars="224"/>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eastAsia="zh-CN"/>
        </w:rPr>
        <w:t>43.4定标办法：定标采用“评分法”，定标委员会从评标委员会推荐的合格中标候选人中，依据 《定标因素表》（附件七）的标准，对合格中标候选人提交的定标文件进行评审，评分选出得分最高的候选人，确定为中标人。</w:t>
      </w:r>
    </w:p>
    <w:p>
      <w:pPr>
        <w:pBdr>
          <w:bottom w:val="single" w:color="auto" w:sz="4" w:space="0"/>
        </w:pBdr>
        <w:spacing w:line="360" w:lineRule="auto"/>
        <w:ind w:firstLine="470" w:firstLineChars="224"/>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eastAsia="zh-CN"/>
        </w:rPr>
        <w:t>本次定标采用“方案因素”＋“价格因素”，其中总得分（100分）=方案因素得分（100分）×方案因素权重（70%）+价格因素得分（100分）×价格因素权重（30%）</w:t>
      </w:r>
    </w:p>
    <w:p>
      <w:pPr>
        <w:pBdr>
          <w:bottom w:val="single" w:color="auto" w:sz="4" w:space="0"/>
        </w:pBdr>
        <w:spacing w:line="360" w:lineRule="auto"/>
        <w:ind w:firstLine="470" w:firstLineChars="224"/>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eastAsia="zh-CN"/>
        </w:rPr>
        <w:t>43.5定标因素：（1）方案因素：对合格中标候选人定标方案进行评审：①团队配置、②施工管理措施、③成本控制措施、④资金管理措施等内容。</w:t>
      </w:r>
    </w:p>
    <w:p>
      <w:pPr>
        <w:pBdr>
          <w:bottom w:val="single" w:color="auto" w:sz="4" w:space="0"/>
        </w:pBdr>
        <w:spacing w:line="360" w:lineRule="auto"/>
        <w:ind w:firstLine="470" w:firstLineChars="224"/>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eastAsia="zh-CN"/>
        </w:rPr>
        <w:t>（2）价格因素：定标委员会对合格中标候选人投标报价进行打分，</w:t>
      </w:r>
      <w:r>
        <w:rPr>
          <w:rFonts w:hint="eastAsia" w:ascii="宋体" w:hAnsi="宋体" w:eastAsia="宋体" w:cs="宋体"/>
          <w:b/>
          <w:bCs/>
          <w:color w:val="auto"/>
          <w:szCs w:val="21"/>
          <w:highlight w:val="none"/>
          <w:u w:val="single"/>
        </w:rPr>
        <w:t>以合格中标候选人中投标报价高于成本警示价的最低投标报价为定标基准价</w:t>
      </w:r>
      <w:r>
        <w:rPr>
          <w:rFonts w:hint="eastAsia" w:ascii="宋体" w:hAnsi="宋体" w:eastAsia="宋体" w:cs="宋体"/>
          <w:b/>
          <w:bCs/>
          <w:color w:val="auto"/>
          <w:highlight w:val="none"/>
          <w:u w:val="single"/>
        </w:rPr>
        <w:t>，</w:t>
      </w:r>
      <w:r>
        <w:rPr>
          <w:rFonts w:hint="eastAsia" w:ascii="宋体" w:hAnsi="宋体" w:eastAsia="宋体" w:cs="宋体"/>
          <w:b/>
          <w:bCs/>
          <w:color w:val="auto"/>
          <w:szCs w:val="21"/>
          <w:highlight w:val="none"/>
          <w:u w:val="single"/>
        </w:rPr>
        <w:t>投标报价等于定标基准价时得100分</w:t>
      </w:r>
      <w:r>
        <w:rPr>
          <w:rFonts w:hint="eastAsia" w:ascii="宋体" w:hAnsi="宋体" w:cs="宋体"/>
          <w:b w:val="0"/>
          <w:bCs/>
          <w:color w:val="auto"/>
          <w:szCs w:val="21"/>
          <w:highlight w:val="none"/>
          <w:u w:val="single"/>
          <w:lang w:eastAsia="zh-CN"/>
        </w:rPr>
        <w:t>。投标报价比定标基准价每高1%扣1.5分；每低1%扣1.0分，扣至0分为止。得出价格因素得分，分数出现小数点时，保留小数点后二位，第三位小数四舍五入。</w:t>
      </w:r>
    </w:p>
    <w:p>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43.6定标程序</w:t>
      </w:r>
    </w:p>
    <w:p>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招标人或其委托的招标代理机构应安排1名熟悉情况的工作人员在定标会场担任招标项目负责人，按程序组织定标工作：</w:t>
      </w:r>
    </w:p>
    <w:p>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43.6.1招标项目负责人宣读定标委员会组建情况及成员名单，宣读定标纪律，签订廉政责任书。</w:t>
      </w:r>
    </w:p>
    <w:p>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43.6.</w:t>
      </w:r>
      <w:r>
        <w:rPr>
          <w:rFonts w:hint="eastAsia" w:ascii="宋体" w:hAnsi="宋体" w:eastAsia="宋体" w:cs="宋体"/>
          <w:b/>
          <w:bCs/>
          <w:color w:val="auto"/>
          <w:szCs w:val="21"/>
          <w:highlight w:val="none"/>
          <w:u w:val="single"/>
          <w:lang w:val="en-US" w:eastAsia="zh-CN"/>
        </w:rPr>
        <w:t>2</w:t>
      </w:r>
      <w:r>
        <w:rPr>
          <w:rFonts w:hint="eastAsia" w:ascii="宋体" w:hAnsi="宋体" w:eastAsia="宋体" w:cs="宋体"/>
          <w:b/>
          <w:bCs/>
          <w:color w:val="auto"/>
          <w:szCs w:val="21"/>
          <w:highlight w:val="none"/>
          <w:u w:val="single"/>
        </w:rPr>
        <w:t>发放定标辅助资料：招标文件、合格中标候选人提交的</w:t>
      </w:r>
      <w:r>
        <w:rPr>
          <w:rFonts w:hint="eastAsia" w:ascii="宋体" w:hAnsi="宋体" w:eastAsia="宋体" w:cs="宋体"/>
          <w:b/>
          <w:bCs/>
          <w:color w:val="auto"/>
          <w:szCs w:val="21"/>
          <w:highlight w:val="none"/>
          <w:u w:val="single"/>
          <w:lang w:eastAsia="zh-CN"/>
        </w:rPr>
        <w:t>定</w:t>
      </w:r>
      <w:r>
        <w:rPr>
          <w:rFonts w:hint="eastAsia" w:ascii="宋体" w:hAnsi="宋体" w:eastAsia="宋体" w:cs="宋体"/>
          <w:b/>
          <w:bCs/>
          <w:color w:val="auto"/>
          <w:szCs w:val="21"/>
          <w:highlight w:val="none"/>
          <w:u w:val="single"/>
        </w:rPr>
        <w:t>标文件</w:t>
      </w:r>
      <w:r>
        <w:rPr>
          <w:rFonts w:hint="eastAsia" w:ascii="宋体" w:hAnsi="宋体" w:eastAsia="宋体" w:cs="宋体"/>
          <w:b/>
          <w:bCs/>
          <w:color w:val="auto"/>
          <w:szCs w:val="21"/>
          <w:highlight w:val="none"/>
          <w:u w:val="single"/>
        </w:rPr>
        <w:t>。</w:t>
      </w:r>
    </w:p>
    <w:p>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43.6.</w:t>
      </w:r>
      <w:r>
        <w:rPr>
          <w:rFonts w:hint="eastAsia" w:ascii="宋体" w:hAnsi="宋体" w:eastAsia="宋体" w:cs="宋体"/>
          <w:b/>
          <w:bCs/>
          <w:color w:val="auto"/>
          <w:szCs w:val="21"/>
          <w:highlight w:val="none"/>
          <w:u w:val="single"/>
          <w:lang w:val="en-US" w:eastAsia="zh-CN"/>
        </w:rPr>
        <w:t>3</w:t>
      </w:r>
      <w:r>
        <w:rPr>
          <w:rFonts w:hint="eastAsia" w:ascii="宋体" w:hAnsi="宋体" w:eastAsia="宋体" w:cs="宋体"/>
          <w:color w:val="auto"/>
          <w:sz w:val="21"/>
          <w:szCs w:val="21"/>
          <w:highlight w:val="none"/>
          <w:u w:val="single"/>
          <w:lang w:eastAsia="zh-CN"/>
        </w:rPr>
        <w:t>定标委员会从评标委员会推荐的合格中标候选人中，依据</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《定标因素表》（附件</w:t>
      </w:r>
      <w:r>
        <w:rPr>
          <w:rFonts w:hint="eastAsia" w:ascii="宋体" w:hAnsi="宋体" w:cs="宋体"/>
          <w:color w:val="auto"/>
          <w:sz w:val="21"/>
          <w:szCs w:val="21"/>
          <w:highlight w:val="none"/>
          <w:u w:val="single"/>
          <w:lang w:eastAsia="zh-CN"/>
        </w:rPr>
        <w:t>七</w:t>
      </w:r>
      <w:r>
        <w:rPr>
          <w:rFonts w:hint="eastAsia" w:ascii="宋体" w:hAnsi="宋体" w:eastAsia="宋体" w:cs="宋体"/>
          <w:color w:val="auto"/>
          <w:sz w:val="21"/>
          <w:szCs w:val="21"/>
          <w:highlight w:val="none"/>
          <w:u w:val="single"/>
        </w:rPr>
        <w:t>）的标准，</w:t>
      </w:r>
      <w:r>
        <w:rPr>
          <w:rFonts w:hint="eastAsia" w:ascii="宋体" w:hAnsi="宋体" w:eastAsia="宋体" w:cs="宋体"/>
          <w:color w:val="auto"/>
          <w:sz w:val="21"/>
          <w:szCs w:val="21"/>
          <w:highlight w:val="none"/>
          <w:u w:val="single"/>
          <w:lang w:eastAsia="zh-CN"/>
        </w:rPr>
        <w:t>对</w:t>
      </w:r>
      <w:r>
        <w:rPr>
          <w:rFonts w:hint="eastAsia" w:ascii="宋体" w:hAnsi="宋体" w:eastAsia="宋体" w:cs="宋体"/>
          <w:color w:val="auto"/>
          <w:sz w:val="21"/>
          <w:szCs w:val="21"/>
          <w:highlight w:val="none"/>
          <w:u w:val="single"/>
        </w:rPr>
        <w:t>合格中标候选人提交的定标文件</w:t>
      </w:r>
      <w:r>
        <w:rPr>
          <w:rFonts w:hint="eastAsia" w:ascii="宋体" w:hAnsi="宋体" w:eastAsia="宋体" w:cs="宋体"/>
          <w:color w:val="auto"/>
          <w:sz w:val="21"/>
          <w:szCs w:val="21"/>
          <w:highlight w:val="none"/>
          <w:u w:val="single"/>
          <w:lang w:eastAsia="zh-CN"/>
        </w:rPr>
        <w:t>进行评审，</w:t>
      </w:r>
      <w:r>
        <w:rPr>
          <w:rFonts w:hint="eastAsia" w:ascii="宋体" w:hAnsi="宋体" w:eastAsia="宋体" w:cs="宋体"/>
          <w:b/>
          <w:bCs/>
          <w:color w:val="auto"/>
          <w:szCs w:val="21"/>
          <w:highlight w:val="none"/>
          <w:u w:val="single"/>
          <w:lang w:eastAsia="zh-CN"/>
        </w:rPr>
        <w:t>对</w:t>
      </w:r>
      <w:r>
        <w:rPr>
          <w:rFonts w:hint="eastAsia" w:ascii="宋体" w:hAnsi="宋体" w:eastAsia="宋体" w:cs="宋体"/>
          <w:b/>
          <w:bCs/>
          <w:color w:val="auto"/>
          <w:szCs w:val="21"/>
          <w:highlight w:val="none"/>
          <w:u w:val="single"/>
          <w:lang w:val="en-US" w:eastAsia="zh-CN"/>
        </w:rPr>
        <w:t>方案</w:t>
      </w:r>
      <w:r>
        <w:rPr>
          <w:rFonts w:hint="eastAsia" w:ascii="宋体" w:hAnsi="宋体" w:eastAsia="宋体" w:cs="宋体"/>
          <w:b/>
          <w:bCs/>
          <w:color w:val="auto"/>
          <w:szCs w:val="21"/>
          <w:highlight w:val="none"/>
          <w:u w:val="single"/>
        </w:rPr>
        <w:t>因素及价格因素</w:t>
      </w:r>
      <w:r>
        <w:rPr>
          <w:rFonts w:hint="eastAsia" w:ascii="宋体" w:hAnsi="宋体" w:eastAsia="宋体" w:cs="宋体"/>
          <w:b/>
          <w:bCs/>
          <w:color w:val="auto"/>
          <w:szCs w:val="21"/>
          <w:highlight w:val="none"/>
          <w:u w:val="single"/>
          <w:lang w:eastAsia="zh-CN"/>
        </w:rPr>
        <w:t>进行评审打分</w:t>
      </w:r>
      <w:r>
        <w:rPr>
          <w:rFonts w:hint="eastAsia" w:ascii="宋体" w:hAnsi="宋体" w:eastAsia="宋体" w:cs="宋体"/>
          <w:b/>
          <w:bCs/>
          <w:color w:val="auto"/>
          <w:szCs w:val="21"/>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cs="宋体"/>
          <w:b/>
          <w:color w:val="auto"/>
          <w:szCs w:val="21"/>
          <w:highlight w:val="none"/>
          <w:u w:val="single"/>
        </w:rPr>
      </w:pPr>
      <w:r>
        <w:rPr>
          <w:rFonts w:hint="eastAsia" w:ascii="宋体" w:hAnsi="宋体" w:eastAsia="宋体" w:cs="宋体"/>
          <w:b/>
          <w:bCs/>
          <w:color w:val="auto"/>
          <w:szCs w:val="21"/>
          <w:highlight w:val="none"/>
          <w:u w:val="single"/>
        </w:rPr>
        <w:t>4</w:t>
      </w:r>
      <w:r>
        <w:rPr>
          <w:rFonts w:hint="eastAsia" w:ascii="宋体" w:hAnsi="宋体" w:eastAsia="宋体" w:cs="宋体"/>
          <w:b/>
          <w:bCs/>
          <w:color w:val="auto"/>
          <w:szCs w:val="21"/>
          <w:highlight w:val="none"/>
          <w:u w:val="single"/>
          <w:lang w:val="en-US" w:eastAsia="zh-CN"/>
        </w:rPr>
        <w:t>3</w:t>
      </w:r>
      <w:r>
        <w:rPr>
          <w:rFonts w:hint="eastAsia" w:ascii="宋体" w:hAnsi="宋体" w:eastAsia="宋体" w:cs="宋体"/>
          <w:b/>
          <w:bCs/>
          <w:color w:val="auto"/>
          <w:szCs w:val="21"/>
          <w:highlight w:val="none"/>
          <w:u w:val="single"/>
        </w:rPr>
        <w:t>.</w:t>
      </w:r>
      <w:r>
        <w:rPr>
          <w:rFonts w:hint="eastAsia" w:ascii="宋体" w:hAnsi="宋体" w:eastAsia="宋体" w:cs="宋体"/>
          <w:b/>
          <w:bCs/>
          <w:color w:val="auto"/>
          <w:szCs w:val="21"/>
          <w:highlight w:val="none"/>
          <w:u w:val="single"/>
          <w:lang w:val="en-US" w:eastAsia="zh-CN"/>
        </w:rPr>
        <w:t>6</w:t>
      </w:r>
      <w:r>
        <w:rPr>
          <w:rFonts w:hint="eastAsia" w:ascii="宋体" w:hAnsi="宋体" w:eastAsia="宋体" w:cs="宋体"/>
          <w:b/>
          <w:bCs/>
          <w:color w:val="auto"/>
          <w:szCs w:val="21"/>
          <w:highlight w:val="none"/>
          <w:u w:val="single"/>
        </w:rPr>
        <w:t>.</w:t>
      </w:r>
      <w:r>
        <w:rPr>
          <w:rFonts w:hint="eastAsia" w:ascii="宋体" w:hAnsi="宋体" w:eastAsia="宋体" w:cs="宋体"/>
          <w:b/>
          <w:bCs/>
          <w:color w:val="auto"/>
          <w:szCs w:val="21"/>
          <w:highlight w:val="none"/>
          <w:u w:val="single"/>
          <w:lang w:val="en-US" w:eastAsia="zh-CN"/>
        </w:rPr>
        <w:t>4</w:t>
      </w:r>
      <w:r>
        <w:rPr>
          <w:rFonts w:hint="eastAsia" w:ascii="宋体" w:hAnsi="宋体" w:eastAsia="宋体" w:cs="宋体"/>
          <w:b/>
          <w:bCs/>
          <w:color w:val="auto"/>
          <w:szCs w:val="21"/>
          <w:highlight w:val="none"/>
          <w:u w:val="single"/>
        </w:rPr>
        <w:t>将所有定标委员会成员对同一投标人的评分进行相加【总得分（100分）=</w:t>
      </w:r>
      <w:r>
        <w:rPr>
          <w:rFonts w:hint="eastAsia" w:ascii="宋体" w:hAnsi="宋体" w:eastAsia="宋体" w:cs="宋体"/>
          <w:b/>
          <w:bCs/>
          <w:color w:val="auto"/>
          <w:szCs w:val="21"/>
          <w:highlight w:val="none"/>
          <w:u w:val="single"/>
          <w:lang w:val="en-US" w:eastAsia="zh-CN"/>
        </w:rPr>
        <w:t>方案</w:t>
      </w:r>
      <w:r>
        <w:rPr>
          <w:rFonts w:hint="eastAsia" w:ascii="宋体" w:hAnsi="宋体" w:eastAsia="宋体" w:cs="宋体"/>
          <w:b/>
          <w:bCs/>
          <w:color w:val="auto"/>
          <w:szCs w:val="21"/>
          <w:highlight w:val="none"/>
          <w:u w:val="single"/>
        </w:rPr>
        <w:t>因素得分（100分）</w:t>
      </w:r>
      <w:r>
        <w:rPr>
          <w:rFonts w:hint="default" w:ascii="Arial" w:hAnsi="Arial" w:eastAsia="宋体" w:cs="Arial"/>
          <w:b/>
          <w:bCs/>
          <w:color w:val="auto"/>
          <w:szCs w:val="21"/>
          <w:highlight w:val="none"/>
          <w:u w:val="single"/>
        </w:rPr>
        <w:t>×</w:t>
      </w:r>
      <w:r>
        <w:rPr>
          <w:rFonts w:hint="eastAsia" w:ascii="宋体" w:hAnsi="宋体" w:eastAsia="宋体" w:cs="宋体"/>
          <w:b/>
          <w:bCs/>
          <w:color w:val="auto"/>
          <w:szCs w:val="21"/>
          <w:highlight w:val="none"/>
          <w:u w:val="single"/>
          <w:lang w:val="en-US" w:eastAsia="zh-CN"/>
        </w:rPr>
        <w:t>方案</w:t>
      </w:r>
      <w:r>
        <w:rPr>
          <w:rFonts w:hint="eastAsia" w:ascii="宋体" w:hAnsi="宋体" w:eastAsia="宋体" w:cs="宋体"/>
          <w:b/>
          <w:bCs/>
          <w:color w:val="auto"/>
          <w:szCs w:val="21"/>
          <w:highlight w:val="none"/>
          <w:u w:val="single"/>
        </w:rPr>
        <w:t>因素权重（70%）+价格因素得分（100分）</w:t>
      </w:r>
      <w:r>
        <w:rPr>
          <w:rFonts w:hint="default" w:ascii="Arial" w:hAnsi="Arial" w:eastAsia="宋体" w:cs="Arial"/>
          <w:b/>
          <w:bCs/>
          <w:color w:val="auto"/>
          <w:szCs w:val="21"/>
          <w:highlight w:val="none"/>
          <w:u w:val="single"/>
        </w:rPr>
        <w:t>×</w:t>
      </w:r>
      <w:r>
        <w:rPr>
          <w:rFonts w:hint="eastAsia" w:ascii="宋体" w:hAnsi="宋体" w:eastAsia="宋体" w:cs="宋体"/>
          <w:b/>
          <w:bCs/>
          <w:color w:val="auto"/>
          <w:szCs w:val="21"/>
          <w:highlight w:val="none"/>
          <w:u w:val="single"/>
        </w:rPr>
        <w:t>价格因素权重（30%）】，总分由高至低排序，总分最高的为中标人；其中，</w:t>
      </w:r>
      <w:r>
        <w:rPr>
          <w:rFonts w:ascii="宋体" w:hAnsi="宋体" w:eastAsia="宋体" w:cs="宋体"/>
          <w:color w:val="auto"/>
          <w:szCs w:val="21"/>
          <w:highlight w:val="none"/>
        </w:rPr>
        <w:t>合格中标候选人方案</w:t>
      </w:r>
      <w:r>
        <w:rPr>
          <w:rFonts w:hint="eastAsia" w:ascii="宋体" w:hAnsi="宋体" w:eastAsia="宋体" w:cs="宋体"/>
          <w:color w:val="auto"/>
          <w:szCs w:val="21"/>
          <w:highlight w:val="none"/>
          <w:lang w:eastAsia="zh-CN"/>
        </w:rPr>
        <w:t>因素</w:t>
      </w:r>
      <w:r>
        <w:rPr>
          <w:rFonts w:ascii="宋体" w:hAnsi="宋体" w:eastAsia="宋体" w:cs="宋体"/>
          <w:color w:val="auto"/>
          <w:szCs w:val="21"/>
          <w:highlight w:val="none"/>
        </w:rPr>
        <w:t>得分为所有定标委员会成员对同一投标人</w:t>
      </w:r>
      <w:r>
        <w:rPr>
          <w:rFonts w:hint="eastAsia" w:ascii="宋体" w:hAnsi="宋体" w:eastAsia="宋体" w:cs="宋体"/>
          <w:color w:val="auto"/>
          <w:szCs w:val="21"/>
          <w:highlight w:val="none"/>
          <w:lang w:eastAsia="zh-CN"/>
        </w:rPr>
        <w:t>方案因素的</w:t>
      </w:r>
      <w:r>
        <w:rPr>
          <w:rFonts w:hint="eastAsia" w:ascii="宋体" w:hAnsi="宋体" w:cs="宋体"/>
          <w:color w:val="auto"/>
          <w:szCs w:val="21"/>
          <w:highlight w:val="none"/>
          <w:lang w:eastAsia="zh-CN"/>
        </w:rPr>
        <w:t>各项</w:t>
      </w:r>
      <w:r>
        <w:rPr>
          <w:rFonts w:hint="eastAsia" w:ascii="宋体" w:hAnsi="宋体" w:cs="宋体"/>
          <w:b/>
          <w:color w:val="auto"/>
          <w:szCs w:val="21"/>
          <w:highlight w:val="none"/>
          <w:u w:val="single"/>
          <w:lang w:eastAsia="zh-CN"/>
        </w:rPr>
        <w:t>评</w:t>
      </w:r>
      <w:r>
        <w:rPr>
          <w:rFonts w:hint="eastAsia" w:ascii="宋体" w:hAnsi="宋体" w:eastAsia="宋体" w:cs="宋体"/>
          <w:b/>
          <w:color w:val="auto"/>
          <w:szCs w:val="21"/>
          <w:highlight w:val="none"/>
          <w:u w:val="single"/>
        </w:rPr>
        <w:t>分</w:t>
      </w:r>
      <w:r>
        <w:rPr>
          <w:rFonts w:hint="eastAsia" w:ascii="宋体" w:hAnsi="宋体" w:cs="宋体"/>
          <w:b/>
          <w:color w:val="auto"/>
          <w:szCs w:val="21"/>
          <w:highlight w:val="none"/>
          <w:u w:val="single"/>
          <w:lang w:eastAsia="zh-CN"/>
        </w:rPr>
        <w:t>相加</w:t>
      </w:r>
      <w:r>
        <w:rPr>
          <w:rFonts w:hint="eastAsia" w:ascii="宋体" w:hAnsi="宋体" w:eastAsia="宋体" w:cs="宋体"/>
          <w:b/>
          <w:color w:val="auto"/>
          <w:szCs w:val="21"/>
          <w:highlight w:val="none"/>
          <w:u w:val="single"/>
        </w:rPr>
        <w:t>去掉一个最高分和一个最低分后计取的算术平均分（分数出现小数点时，保留小数点后二位，第三位小数四舍五入）。</w:t>
      </w:r>
    </w:p>
    <w:p>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注：若合格中标候选人总得分相同且影响定标排序的，以</w:t>
      </w:r>
      <w:r>
        <w:rPr>
          <w:rFonts w:hint="eastAsia" w:ascii="宋体" w:hAnsi="宋体" w:eastAsia="宋体" w:cs="宋体"/>
          <w:b/>
          <w:bCs/>
          <w:color w:val="auto"/>
          <w:szCs w:val="21"/>
          <w:highlight w:val="none"/>
          <w:u w:val="single"/>
          <w:lang w:val="en-US" w:eastAsia="zh-CN"/>
        </w:rPr>
        <w:t>方案</w:t>
      </w:r>
      <w:r>
        <w:rPr>
          <w:rFonts w:hint="eastAsia" w:ascii="宋体" w:hAnsi="宋体" w:eastAsia="宋体" w:cs="宋体"/>
          <w:b/>
          <w:bCs/>
          <w:color w:val="auto"/>
          <w:szCs w:val="21"/>
          <w:highlight w:val="none"/>
          <w:u w:val="single"/>
        </w:rPr>
        <w:t>因素得分高的排前；若</w:t>
      </w:r>
      <w:r>
        <w:rPr>
          <w:rFonts w:hint="eastAsia" w:ascii="宋体" w:hAnsi="宋体" w:eastAsia="宋体" w:cs="宋体"/>
          <w:b/>
          <w:bCs/>
          <w:color w:val="auto"/>
          <w:szCs w:val="21"/>
          <w:highlight w:val="none"/>
          <w:u w:val="single"/>
          <w:lang w:val="en-US" w:eastAsia="zh-CN"/>
        </w:rPr>
        <w:t>方案</w:t>
      </w:r>
      <w:r>
        <w:rPr>
          <w:rFonts w:hint="eastAsia" w:ascii="宋体" w:hAnsi="宋体" w:eastAsia="宋体" w:cs="宋体"/>
          <w:b/>
          <w:bCs/>
          <w:color w:val="auto"/>
          <w:szCs w:val="21"/>
          <w:highlight w:val="none"/>
          <w:u w:val="single"/>
        </w:rPr>
        <w:t>因素得分仍相同的，以</w:t>
      </w:r>
      <w:r>
        <w:rPr>
          <w:rFonts w:hint="eastAsia" w:ascii="宋体" w:hAnsi="宋体" w:cs="宋体"/>
          <w:b/>
          <w:bCs/>
          <w:color w:val="auto"/>
          <w:szCs w:val="21"/>
          <w:highlight w:val="none"/>
          <w:u w:val="single"/>
          <w:lang w:eastAsia="zh-CN"/>
        </w:rPr>
        <w:t>报价低</w:t>
      </w:r>
      <w:r>
        <w:rPr>
          <w:rFonts w:hint="eastAsia" w:ascii="宋体" w:hAnsi="宋体" w:eastAsia="宋体" w:cs="宋体"/>
          <w:b/>
          <w:bCs/>
          <w:color w:val="auto"/>
          <w:szCs w:val="21"/>
          <w:highlight w:val="none"/>
          <w:u w:val="single"/>
        </w:rPr>
        <w:t>的排前，若</w:t>
      </w:r>
      <w:r>
        <w:rPr>
          <w:rFonts w:hint="eastAsia" w:ascii="宋体" w:hAnsi="宋体" w:cs="宋体"/>
          <w:b/>
          <w:bCs/>
          <w:color w:val="auto"/>
          <w:szCs w:val="21"/>
          <w:highlight w:val="none"/>
          <w:u w:val="single"/>
          <w:lang w:eastAsia="zh-CN"/>
        </w:rPr>
        <w:t>报价</w:t>
      </w:r>
      <w:r>
        <w:rPr>
          <w:rFonts w:hint="eastAsia" w:ascii="宋体" w:hAnsi="宋体" w:eastAsia="宋体" w:cs="宋体"/>
          <w:b/>
          <w:bCs/>
          <w:color w:val="auto"/>
          <w:szCs w:val="21"/>
          <w:highlight w:val="none"/>
          <w:u w:val="single"/>
        </w:rPr>
        <w:t>仍相同的，由定标委员会投票确定排序。</w:t>
      </w:r>
    </w:p>
    <w:p>
      <w:pPr>
        <w:shd w:val="clear" w:color="auto" w:fill="auto"/>
        <w:spacing w:line="360" w:lineRule="auto"/>
        <w:ind w:firstLine="420" w:firstLineChars="200"/>
        <w:rPr>
          <w:rFonts w:ascii="宋体" w:hAnsi="宋体" w:eastAsia="宋体" w:cs="宋体"/>
          <w:b/>
          <w:color w:val="auto"/>
          <w:szCs w:val="21"/>
          <w:highlight w:val="none"/>
          <w:u w:val="single"/>
        </w:rPr>
      </w:pPr>
      <w:r>
        <w:rPr>
          <w:rFonts w:hint="eastAsia" w:ascii="宋体" w:hAnsi="宋体" w:cs="宋体"/>
          <w:b w:val="0"/>
          <w:bCs/>
          <w:color w:val="auto"/>
          <w:szCs w:val="21"/>
          <w:highlight w:val="none"/>
          <w:u w:val="single"/>
          <w:lang w:eastAsia="zh-CN"/>
        </w:rPr>
        <w:t>43.6.</w:t>
      </w:r>
      <w:r>
        <w:rPr>
          <w:rFonts w:hint="eastAsia" w:ascii="宋体" w:hAnsi="宋体" w:cs="宋体"/>
          <w:b w:val="0"/>
          <w:bCs/>
          <w:color w:val="auto"/>
          <w:szCs w:val="21"/>
          <w:highlight w:val="none"/>
          <w:u w:val="single"/>
          <w:lang w:val="en-US" w:eastAsia="zh-CN"/>
        </w:rPr>
        <w:t>4</w:t>
      </w:r>
      <w:r>
        <w:rPr>
          <w:rFonts w:hint="eastAsia" w:ascii="宋体" w:hAnsi="宋体" w:cs="宋体"/>
          <w:b w:val="0"/>
          <w:bCs/>
          <w:color w:val="auto"/>
          <w:szCs w:val="21"/>
          <w:highlight w:val="none"/>
          <w:u w:val="single"/>
          <w:lang w:eastAsia="zh-CN"/>
        </w:rPr>
        <w:t>将所有定标委员会成员对同一投标人的评分进行相加【总得分（100分）=方案因素得分（100分）×方案因素权重（70%）+价格因素得分（100分）×价格因素权重（30%）】，总分由高至低排序，总分最高的为中标人；其中，</w:t>
      </w:r>
      <w:r>
        <w:rPr>
          <w:rFonts w:ascii="宋体" w:hAnsi="宋体" w:eastAsia="宋体" w:cs="宋体"/>
          <w:b/>
          <w:bCs/>
          <w:color w:val="auto"/>
          <w:szCs w:val="21"/>
          <w:highlight w:val="none"/>
          <w:u w:val="single"/>
        </w:rPr>
        <w:t>合格中标候选人定标方案得分为所有定标委员会成员对同一投标人</w:t>
      </w:r>
      <w:r>
        <w:rPr>
          <w:rFonts w:hint="eastAsia" w:ascii="宋体" w:hAnsi="宋体" w:eastAsia="宋体" w:cs="宋体"/>
          <w:b/>
          <w:bCs/>
          <w:color w:val="auto"/>
          <w:szCs w:val="21"/>
          <w:highlight w:val="none"/>
          <w:u w:val="single"/>
          <w:lang w:eastAsia="zh-CN"/>
        </w:rPr>
        <w:t>方案因素的</w:t>
      </w:r>
      <w:r>
        <w:rPr>
          <w:rFonts w:hint="eastAsia" w:ascii="宋体" w:hAnsi="宋体" w:cs="宋体"/>
          <w:b/>
          <w:bCs/>
          <w:color w:val="auto"/>
          <w:szCs w:val="21"/>
          <w:highlight w:val="none"/>
          <w:u w:val="single"/>
          <w:lang w:eastAsia="zh-CN"/>
        </w:rPr>
        <w:t>各项评</w:t>
      </w:r>
      <w:r>
        <w:rPr>
          <w:rFonts w:hint="eastAsia" w:ascii="宋体" w:hAnsi="宋体" w:eastAsia="宋体" w:cs="宋体"/>
          <w:b/>
          <w:bCs/>
          <w:color w:val="auto"/>
          <w:szCs w:val="21"/>
          <w:highlight w:val="none"/>
          <w:u w:val="single"/>
        </w:rPr>
        <w:t>分</w:t>
      </w:r>
      <w:r>
        <w:rPr>
          <w:rFonts w:hint="eastAsia" w:ascii="宋体" w:hAnsi="宋体" w:cs="宋体"/>
          <w:b/>
          <w:bCs/>
          <w:color w:val="auto"/>
          <w:szCs w:val="21"/>
          <w:highlight w:val="none"/>
          <w:u w:val="single"/>
          <w:lang w:eastAsia="zh-CN"/>
        </w:rPr>
        <w:t>相加</w:t>
      </w:r>
      <w:r>
        <w:rPr>
          <w:rFonts w:hint="eastAsia" w:ascii="宋体" w:hAnsi="宋体" w:eastAsia="宋体" w:cs="宋体"/>
          <w:b/>
          <w:bCs/>
          <w:color w:val="auto"/>
          <w:szCs w:val="21"/>
          <w:highlight w:val="none"/>
          <w:u w:val="single"/>
        </w:rPr>
        <w:t>去掉一个最高分和一个最低分后计取的算术平均分（分数出现小数点时，保留小数点后二位，第三位小数四舍五入）。</w:t>
      </w:r>
    </w:p>
    <w:p>
      <w:pPr>
        <w:pBdr>
          <w:bottom w:val="single" w:color="auto" w:sz="4" w:space="0"/>
        </w:pBdr>
        <w:spacing w:line="360" w:lineRule="auto"/>
        <w:ind w:firstLine="470" w:firstLineChars="224"/>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eastAsia="zh-CN"/>
        </w:rPr>
        <w:t>注：</w:t>
      </w:r>
      <w:bookmarkStart w:id="10" w:name="OLE_LINK25"/>
      <w:r>
        <w:rPr>
          <w:rFonts w:hint="eastAsia" w:ascii="宋体" w:hAnsi="宋体" w:cs="宋体"/>
          <w:b w:val="0"/>
          <w:bCs/>
          <w:color w:val="auto"/>
          <w:szCs w:val="21"/>
          <w:highlight w:val="none"/>
          <w:u w:val="single"/>
          <w:lang w:eastAsia="zh-CN"/>
        </w:rPr>
        <w:t>若合格中标候选人总得分相同且影响定标排序的，以方案因素得分高的排前；若方案因素得分仍相同的，以报价低的排前，若报价仍相同的，由定标委员会投票确定排序</w:t>
      </w:r>
      <w:bookmarkEnd w:id="10"/>
      <w:r>
        <w:rPr>
          <w:rFonts w:hint="eastAsia" w:ascii="宋体" w:hAnsi="宋体" w:cs="宋体"/>
          <w:b w:val="0"/>
          <w:bCs/>
          <w:color w:val="auto"/>
          <w:szCs w:val="21"/>
          <w:highlight w:val="none"/>
          <w:u w:val="single"/>
          <w:lang w:eastAsia="zh-CN"/>
        </w:rPr>
        <w:t>。</w:t>
      </w:r>
    </w:p>
    <w:p>
      <w:pPr>
        <w:pBdr>
          <w:bottom w:val="single" w:color="auto" w:sz="4" w:space="0"/>
        </w:pBdr>
        <w:spacing w:line="360" w:lineRule="auto"/>
        <w:ind w:firstLine="470" w:firstLineChars="224"/>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eastAsia="zh-CN"/>
        </w:rPr>
        <w:t>43.6.</w:t>
      </w:r>
      <w:bookmarkStart w:id="11" w:name="OLE_LINK27"/>
      <w:bookmarkStart w:id="12" w:name="OLE_LINK26"/>
      <w:r>
        <w:rPr>
          <w:rFonts w:hint="eastAsia" w:ascii="宋体" w:hAnsi="宋体" w:cs="宋体"/>
          <w:b w:val="0"/>
          <w:bCs/>
          <w:color w:val="auto"/>
          <w:szCs w:val="21"/>
          <w:highlight w:val="none"/>
          <w:u w:val="single"/>
          <w:lang w:val="en-US" w:eastAsia="zh-CN"/>
        </w:rPr>
        <w:t>5</w:t>
      </w:r>
      <w:r>
        <w:rPr>
          <w:rFonts w:hint="eastAsia" w:ascii="宋体" w:hAnsi="宋体" w:cs="宋体"/>
          <w:b w:val="0"/>
          <w:bCs/>
          <w:color w:val="auto"/>
          <w:szCs w:val="21"/>
          <w:highlight w:val="none"/>
          <w:u w:val="single"/>
          <w:lang w:eastAsia="zh-CN"/>
        </w:rPr>
        <w:t>定标委员会根据评分情况及定标原则确定中标人</w:t>
      </w:r>
      <w:bookmarkEnd w:id="11"/>
      <w:bookmarkEnd w:id="12"/>
      <w:r>
        <w:rPr>
          <w:rFonts w:hint="eastAsia" w:ascii="宋体" w:hAnsi="宋体" w:cs="宋体"/>
          <w:b w:val="0"/>
          <w:bCs/>
          <w:color w:val="auto"/>
          <w:szCs w:val="21"/>
          <w:highlight w:val="none"/>
          <w:u w:val="single"/>
          <w:lang w:eastAsia="zh-CN"/>
        </w:rPr>
        <w:t>。</w:t>
      </w:r>
    </w:p>
    <w:p>
      <w:pPr>
        <w:pBdr>
          <w:bottom w:val="single" w:color="auto" w:sz="4" w:space="0"/>
        </w:pBdr>
        <w:spacing w:line="360" w:lineRule="auto"/>
        <w:ind w:firstLine="470" w:firstLineChars="224"/>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eastAsia="zh-CN"/>
        </w:rPr>
        <w:t>43.6.</w:t>
      </w:r>
      <w:r>
        <w:rPr>
          <w:rFonts w:hint="eastAsia" w:ascii="宋体" w:hAnsi="宋体" w:cs="宋体"/>
          <w:b w:val="0"/>
          <w:bCs/>
          <w:color w:val="auto"/>
          <w:szCs w:val="21"/>
          <w:highlight w:val="none"/>
          <w:u w:val="single"/>
          <w:lang w:val="en-US" w:eastAsia="zh-CN"/>
        </w:rPr>
        <w:t>5</w:t>
      </w:r>
      <w:r>
        <w:rPr>
          <w:rFonts w:hint="eastAsia" w:ascii="宋体" w:hAnsi="宋体" w:cs="宋体"/>
          <w:b w:val="0"/>
          <w:bCs/>
          <w:color w:val="auto"/>
          <w:szCs w:val="21"/>
          <w:highlight w:val="none"/>
          <w:u w:val="single"/>
          <w:lang w:eastAsia="zh-CN"/>
        </w:rPr>
        <w:t>.1编写定标报告，定标委员会全体确认后签署定标报告。</w:t>
      </w:r>
    </w:p>
    <w:p>
      <w:pPr>
        <w:pBdr>
          <w:bottom w:val="single" w:color="auto" w:sz="4" w:space="0"/>
        </w:pBdr>
        <w:spacing w:line="360" w:lineRule="auto"/>
        <w:ind w:firstLine="470" w:firstLineChars="224"/>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eastAsia="zh-CN"/>
        </w:rPr>
        <w:t>43.</w:t>
      </w:r>
      <w:r>
        <w:rPr>
          <w:rFonts w:hint="eastAsia" w:ascii="宋体" w:hAnsi="宋体" w:cs="宋体"/>
          <w:b w:val="0"/>
          <w:bCs/>
          <w:color w:val="auto"/>
          <w:szCs w:val="21"/>
          <w:highlight w:val="none"/>
          <w:u w:val="single"/>
          <w:lang w:val="en-US" w:eastAsia="zh-CN"/>
        </w:rPr>
        <w:t>6</w:t>
      </w:r>
      <w:r>
        <w:rPr>
          <w:rFonts w:hint="eastAsia" w:ascii="宋体" w:hAnsi="宋体" w:cs="宋体"/>
          <w:b w:val="0"/>
          <w:bCs/>
          <w:color w:val="auto"/>
          <w:szCs w:val="21"/>
          <w:highlight w:val="none"/>
          <w:u w:val="single"/>
          <w:lang w:eastAsia="zh-CN"/>
        </w:rPr>
        <w:t>招标人应当在定标工作完成后3日内公示中标结果。</w:t>
      </w:r>
    </w:p>
    <w:p>
      <w:pPr>
        <w:pBdr>
          <w:bottom w:val="single" w:color="auto" w:sz="4" w:space="0"/>
        </w:pBdr>
        <w:spacing w:line="360" w:lineRule="auto"/>
        <w:ind w:firstLine="470" w:firstLineChars="224"/>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eastAsia="zh-CN"/>
        </w:rPr>
        <w:t>43.</w:t>
      </w:r>
      <w:r>
        <w:rPr>
          <w:rFonts w:hint="eastAsia" w:ascii="宋体" w:hAnsi="宋体" w:cs="宋体"/>
          <w:b w:val="0"/>
          <w:bCs/>
          <w:color w:val="auto"/>
          <w:szCs w:val="21"/>
          <w:highlight w:val="none"/>
          <w:u w:val="single"/>
          <w:lang w:val="en-US" w:eastAsia="zh-CN"/>
        </w:rPr>
        <w:t>7</w:t>
      </w:r>
      <w:r>
        <w:rPr>
          <w:rFonts w:hint="eastAsia" w:ascii="宋体" w:hAnsi="宋体" w:cs="宋体"/>
          <w:b w:val="0"/>
          <w:bCs/>
          <w:color w:val="auto"/>
          <w:szCs w:val="21"/>
          <w:highlight w:val="none"/>
          <w:u w:val="single"/>
          <w:lang w:eastAsia="zh-CN"/>
        </w:rPr>
        <w:t>（1）重新评标或定标的，评标信息（含业绩、奖项等）、定标信息仍以投标截止时投标人的信息为准。因特殊原因需要延长投标有效期，投标人拒绝延长投标有效期的，仍参与评标、定标，但不被推荐为合格中标候选人。</w:t>
      </w:r>
    </w:p>
    <w:p>
      <w:pPr>
        <w:pBdr>
          <w:bottom w:val="single" w:color="auto" w:sz="4" w:space="0"/>
        </w:pBdr>
        <w:spacing w:line="360" w:lineRule="auto"/>
        <w:ind w:firstLine="470" w:firstLineChars="224"/>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eastAsia="zh-CN"/>
        </w:rPr>
        <w:t>（2）</w:t>
      </w:r>
      <w:bookmarkStart w:id="13" w:name="OLE_LINK28"/>
      <w:bookmarkStart w:id="14" w:name="OLE_LINK29"/>
      <w:r>
        <w:rPr>
          <w:rFonts w:hint="eastAsia" w:ascii="宋体" w:hAnsi="宋体" w:cs="宋体"/>
          <w:b w:val="0"/>
          <w:bCs/>
          <w:color w:val="auto"/>
          <w:szCs w:val="21"/>
          <w:highlight w:val="none"/>
          <w:u w:val="single"/>
          <w:lang w:eastAsia="zh-CN"/>
        </w:rPr>
        <w:t>在合格中标候选人公示期间或在定标前，如有合格中标候选人放弃中标候选人资格或者被查实存在影响中标候选人资格的违法行为等情形，且合格中标候选人至少有1名的，招标人不再递补其他合格中标候选人，可以继续定标或依法重新招标；如没有合格中标候选人的，则依法重新招标</w:t>
      </w:r>
      <w:bookmarkEnd w:id="13"/>
      <w:bookmarkEnd w:id="14"/>
      <w:r>
        <w:rPr>
          <w:rFonts w:hint="eastAsia" w:ascii="宋体" w:hAnsi="宋体" w:cs="宋体"/>
          <w:b w:val="0"/>
          <w:bCs/>
          <w:color w:val="auto"/>
          <w:szCs w:val="21"/>
          <w:highlight w:val="none"/>
          <w:u w:val="single"/>
          <w:lang w:eastAsia="zh-CN"/>
        </w:rPr>
        <w:t>。</w:t>
      </w:r>
    </w:p>
    <w:p>
      <w:pPr>
        <w:pBdr>
          <w:bottom w:val="single" w:color="auto" w:sz="4" w:space="0"/>
        </w:pBdr>
        <w:spacing w:line="360" w:lineRule="auto"/>
        <w:ind w:firstLine="470" w:firstLineChars="224"/>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eastAsia="zh-CN"/>
        </w:rPr>
        <w:t>（3）</w:t>
      </w:r>
      <w:bookmarkStart w:id="15" w:name="OLE_LINK30"/>
      <w:r>
        <w:rPr>
          <w:rFonts w:hint="eastAsia" w:ascii="宋体" w:hAnsi="宋体" w:cs="宋体"/>
          <w:b w:val="0"/>
          <w:bCs/>
          <w:color w:val="auto"/>
          <w:szCs w:val="21"/>
          <w:highlight w:val="none"/>
          <w:u w:val="single"/>
          <w:lang w:eastAsia="zh-CN"/>
        </w:rPr>
        <w:t>如在中标结果公示前出现合格中标候选人放弃其中标候选人资格的情形，招标人有权确定总得分排名第二名的合格中标候选人为中标人，如此类推，招标人也可以重新招标。如所有的合格中标候选人均放弃其中标候选人资格的，为招标失败，招标人依法重新招标</w:t>
      </w:r>
      <w:bookmarkEnd w:id="15"/>
      <w:r>
        <w:rPr>
          <w:rFonts w:hint="eastAsia" w:ascii="宋体" w:hAnsi="宋体" w:cs="宋体"/>
          <w:b w:val="0"/>
          <w:bCs/>
          <w:color w:val="auto"/>
          <w:szCs w:val="21"/>
          <w:highlight w:val="none"/>
          <w:u w:val="single"/>
          <w:lang w:eastAsia="zh-CN"/>
        </w:rPr>
        <w:t>。</w:t>
      </w:r>
    </w:p>
    <w:p>
      <w:pPr>
        <w:pBdr>
          <w:bottom w:val="single" w:color="auto" w:sz="4" w:space="0"/>
        </w:pBdr>
        <w:spacing w:line="360" w:lineRule="auto"/>
        <w:ind w:firstLine="470" w:firstLineChars="224"/>
        <w:rPr>
          <w:rFonts w:hint="eastAsia" w:ascii="宋体" w:hAnsi="宋体" w:eastAsia="宋体" w:cs="宋体"/>
          <w:b w:val="0"/>
          <w:bCs/>
          <w:color w:val="auto"/>
          <w:szCs w:val="21"/>
          <w:highlight w:val="none"/>
          <w:lang w:eastAsia="zh-CN"/>
        </w:rPr>
      </w:pPr>
      <w:r>
        <w:rPr>
          <w:rFonts w:hint="eastAsia" w:ascii="宋体" w:hAnsi="宋体" w:cs="宋体"/>
          <w:b w:val="0"/>
          <w:bCs/>
          <w:color w:val="auto"/>
          <w:szCs w:val="21"/>
          <w:highlight w:val="none"/>
          <w:u w:val="single"/>
          <w:lang w:eastAsia="zh-CN"/>
        </w:rPr>
        <w:t>43.</w:t>
      </w:r>
      <w:r>
        <w:rPr>
          <w:rFonts w:hint="eastAsia" w:ascii="宋体" w:hAnsi="宋体" w:cs="宋体"/>
          <w:b w:val="0"/>
          <w:bCs/>
          <w:color w:val="auto"/>
          <w:szCs w:val="21"/>
          <w:highlight w:val="none"/>
          <w:u w:val="single"/>
          <w:lang w:val="en-US" w:eastAsia="zh-CN"/>
        </w:rPr>
        <w:t>8</w:t>
      </w:r>
      <w:r>
        <w:rPr>
          <w:rFonts w:hint="eastAsia" w:ascii="宋体" w:hAnsi="宋体" w:cs="宋体"/>
          <w:b w:val="0"/>
          <w:bCs/>
          <w:color w:val="auto"/>
          <w:szCs w:val="21"/>
          <w:highlight w:val="none"/>
          <w:u w:val="single"/>
          <w:lang w:eastAsia="zh-CN"/>
        </w:rPr>
        <w:t>如中标人放弃中标、或因不可抗力提出不能履行合同，或者招标文件规定应当提交履约担保而在规定的期限内未能提交的，或经核查发现委派的项目负责人已在其他在建项目中担任本职务的，招标人有权取消其中标人资格或解除合同，从其他合格中标候选人中采用上述办法，确定总得分排名第二名的合格中标候选人为中标人，如此类推，招标人也可以重新招标。</w:t>
      </w:r>
    </w:p>
    <w:p>
      <w:pPr>
        <w:keepNext w:val="0"/>
        <w:keepLines w:val="0"/>
        <w:pageBreakBefore w:val="0"/>
        <w:widowControl w:val="0"/>
        <w:kinsoku/>
        <w:wordWrap/>
        <w:overflowPunct/>
        <w:topLinePunct w:val="0"/>
        <w:autoSpaceDE/>
        <w:autoSpaceDN/>
        <w:bidi w:val="0"/>
        <w:adjustRightInd/>
        <w:snapToGrid/>
        <w:spacing w:before="313" w:beforeLines="100" w:line="360" w:lineRule="auto"/>
        <w:ind w:firstLine="472" w:firstLineChars="224"/>
        <w:textAlignment w:val="auto"/>
        <w:rPr>
          <w:rFonts w:ascii="宋体" w:hAnsi="宋体"/>
          <w:b/>
          <w:color w:val="auto"/>
          <w:szCs w:val="21"/>
          <w:highlight w:val="none"/>
        </w:rPr>
      </w:pPr>
      <w:r>
        <w:rPr>
          <w:rFonts w:hint="eastAsia" w:ascii="宋体" w:hAnsi="宋体" w:cs="宋体"/>
          <w:b/>
          <w:color w:val="auto"/>
          <w:szCs w:val="21"/>
          <w:highlight w:val="none"/>
        </w:rPr>
        <w:t>条款号：附表一：《资格审查表》    附表二：《技术标有效性审查表》   附表三：《经济标有效性审查表》   附表四：《技术标详细审查评分表》</w:t>
      </w:r>
      <w:r>
        <w:rPr>
          <w:rFonts w:ascii="宋体" w:hAnsi="宋体"/>
          <w:b/>
          <w:color w:val="auto"/>
          <w:szCs w:val="21"/>
          <w:highlight w:val="none"/>
        </w:rPr>
        <w:t xml:space="preserve">            </w:t>
      </w:r>
      <w:r>
        <w:rPr>
          <w:rFonts w:hint="eastAsia" w:ascii="宋体" w:hAnsi="宋体"/>
          <w:b/>
          <w:color w:val="auto"/>
          <w:szCs w:val="21"/>
          <w:highlight w:val="none"/>
        </w:rPr>
        <w:t>修改类型：修改</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s="宋体"/>
          <w:color w:val="auto"/>
          <w:szCs w:val="21"/>
          <w:highlight w:val="none"/>
          <w:lang w:eastAsia="zh-CN"/>
        </w:rPr>
        <w:t>详见最新版《广州市建设工程施工公开招标项目招标文件范本（适用于资格后审综合评分法、经评审的最低投标价法的施工电子招标项目）GZZB2018-3）》）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原范本附表一：《资格审查表》</w:t>
      </w:r>
      <w:r>
        <w:rPr>
          <w:rFonts w:hint="eastAsia" w:ascii="宋体" w:hAnsi="宋体" w:cs="宋体"/>
          <w:color w:val="auto"/>
          <w:szCs w:val="21"/>
          <w:highlight w:val="none"/>
          <w:lang w:eastAsia="zh-CN"/>
        </w:rPr>
        <w:t>、</w:t>
      </w:r>
      <w:r>
        <w:rPr>
          <w:rFonts w:hint="eastAsia" w:ascii="宋体" w:hAnsi="宋体" w:cs="宋体"/>
          <w:color w:val="auto"/>
          <w:szCs w:val="21"/>
          <w:highlight w:val="none"/>
        </w:rPr>
        <w:t>附表二：《技术标有效性审查表》</w:t>
      </w:r>
      <w:r>
        <w:rPr>
          <w:rFonts w:hint="eastAsia" w:ascii="宋体" w:hAnsi="宋体" w:cs="宋体"/>
          <w:color w:val="auto"/>
          <w:szCs w:val="21"/>
          <w:highlight w:val="none"/>
          <w:lang w:eastAsia="zh-CN"/>
        </w:rPr>
        <w:t>、</w:t>
      </w:r>
      <w:r>
        <w:rPr>
          <w:rFonts w:hint="eastAsia" w:ascii="宋体" w:hAnsi="宋体" w:cs="宋体"/>
          <w:color w:val="auto"/>
          <w:szCs w:val="21"/>
          <w:highlight w:val="none"/>
        </w:rPr>
        <w:t>附表三：《经济标有效性审查表》</w:t>
      </w:r>
      <w:r>
        <w:rPr>
          <w:rFonts w:hint="eastAsia" w:ascii="宋体" w:hAnsi="宋体" w:cs="宋体"/>
          <w:color w:val="auto"/>
          <w:szCs w:val="21"/>
          <w:highlight w:val="none"/>
          <w:lang w:eastAsia="zh-CN"/>
        </w:rPr>
        <w:t>、</w:t>
      </w:r>
      <w:r>
        <w:rPr>
          <w:rFonts w:hint="eastAsia" w:ascii="宋体" w:hAnsi="宋体" w:cs="宋体"/>
          <w:color w:val="auto"/>
          <w:szCs w:val="21"/>
          <w:highlight w:val="none"/>
        </w:rPr>
        <w:t>附表四：《技术标详细审查评分表》、附表五：（适用于区间抽取法）《经济标评分表》。</w:t>
      </w:r>
    </w:p>
    <w:p>
      <w:pPr>
        <w:pBdr>
          <w:bottom w:val="single" w:color="auto" w:sz="6" w:space="1"/>
        </w:pBdr>
        <w:spacing w:line="360" w:lineRule="auto"/>
        <w:ind w:firstLine="527" w:firstLineChars="250"/>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s="宋体"/>
          <w:color w:val="auto"/>
          <w:szCs w:val="21"/>
          <w:highlight w:val="none"/>
        </w:rPr>
        <w:t>详见本招标文件</w:t>
      </w:r>
      <w:r>
        <w:rPr>
          <w:rFonts w:hint="eastAsia" w:ascii="宋体" w:hAnsi="宋体" w:cs="宋体"/>
          <w:color w:val="auto"/>
          <w:szCs w:val="21"/>
          <w:highlight w:val="none"/>
          <w:u w:val="single"/>
        </w:rPr>
        <w:t>附表一：《资格审查表》</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附表二：《技术标有效性审查表》</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附表三：《经济标有效性审查表》</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附表四：《技术标详细审查评分表》、附表五：《经济标评分表》</w:t>
      </w:r>
      <w:r>
        <w:rPr>
          <w:rFonts w:hint="eastAsia" w:ascii="宋体" w:hAnsi="宋体" w:cs="宋体"/>
          <w:color w:val="auto"/>
          <w:szCs w:val="21"/>
          <w:highlight w:val="none"/>
          <w:u w:val="single"/>
        </w:rPr>
        <w:t>。</w:t>
      </w:r>
    </w:p>
    <w:p>
      <w:pPr>
        <w:keepNext w:val="0"/>
        <w:keepLines w:val="0"/>
        <w:pageBreakBefore w:val="0"/>
        <w:widowControl w:val="0"/>
        <w:pBdr>
          <w:bottom w:val="single" w:color="auto" w:sz="4" w:space="0"/>
        </w:pBdr>
        <w:kinsoku/>
        <w:wordWrap/>
        <w:overflowPunct/>
        <w:topLinePunct w:val="0"/>
        <w:autoSpaceDE/>
        <w:autoSpaceDN/>
        <w:bidi w:val="0"/>
        <w:adjustRightInd/>
        <w:snapToGrid/>
        <w:spacing w:before="0" w:beforeLines="0" w:line="360" w:lineRule="auto"/>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条款号：附表</w:t>
      </w:r>
      <w:r>
        <w:rPr>
          <w:rFonts w:hint="eastAsia" w:ascii="宋体" w:hAnsi="宋体" w:cs="宋体"/>
          <w:b/>
          <w:color w:val="auto"/>
          <w:szCs w:val="21"/>
          <w:highlight w:val="none"/>
          <w:lang w:eastAsia="zh-CN"/>
        </w:rPr>
        <w:t>七</w:t>
      </w:r>
      <w:r>
        <w:rPr>
          <w:rFonts w:hint="eastAsia" w:ascii="宋体" w:hAnsi="宋体" w:cs="宋体"/>
          <w:b/>
          <w:color w:val="auto"/>
          <w:szCs w:val="21"/>
          <w:highlight w:val="none"/>
        </w:rPr>
        <w:t>至附表十</w:t>
      </w:r>
      <w:r>
        <w:rPr>
          <w:rFonts w:hint="eastAsia" w:ascii="宋体" w:hAnsi="宋体" w:cs="宋体"/>
          <w:b/>
          <w:color w:val="auto"/>
          <w:szCs w:val="21"/>
          <w:highlight w:val="none"/>
          <w:lang w:eastAsia="zh-CN"/>
        </w:rPr>
        <w:t>四</w:t>
      </w:r>
      <w:r>
        <w:rPr>
          <w:rFonts w:hint="eastAsia" w:ascii="宋体" w:hAnsi="宋体" w:cs="宋体"/>
          <w:b/>
          <w:color w:val="auto"/>
          <w:szCs w:val="21"/>
          <w:highlight w:val="none"/>
        </w:rPr>
        <w:t xml:space="preserve">             修改类型：增加</w:t>
      </w:r>
    </w:p>
    <w:p>
      <w:pPr>
        <w:pBdr>
          <w:bottom w:val="single" w:color="auto" w:sz="4" w:space="0"/>
        </w:pBdr>
        <w:spacing w:line="360" w:lineRule="auto"/>
        <w:ind w:firstLine="422" w:firstLineChars="200"/>
        <w:rPr>
          <w:rFonts w:hint="eastAsia" w:ascii="宋体" w:hAnsi="宋体" w:cs="宋体"/>
          <w:b w:val="0"/>
          <w:bCs/>
          <w:color w:val="auto"/>
          <w:szCs w:val="21"/>
          <w:highlight w:val="none"/>
        </w:rPr>
      </w:pPr>
      <w:r>
        <w:rPr>
          <w:rFonts w:hint="eastAsia" w:ascii="宋体" w:hAnsi="宋体"/>
          <w:b/>
          <w:color w:val="auto"/>
          <w:szCs w:val="21"/>
          <w:highlight w:val="none"/>
        </w:rPr>
        <w:t>现文：</w:t>
      </w:r>
      <w:r>
        <w:rPr>
          <w:rFonts w:hint="eastAsia" w:ascii="宋体" w:hAnsi="宋体" w:cs="宋体"/>
          <w:b w:val="0"/>
          <w:bCs/>
          <w:color w:val="auto"/>
          <w:szCs w:val="21"/>
          <w:highlight w:val="none"/>
        </w:rPr>
        <w:t>具体详见招标文件正文附表。</w:t>
      </w:r>
    </w:p>
    <w:p>
      <w:pPr>
        <w:spacing w:line="360" w:lineRule="auto"/>
        <w:ind w:firstLine="422" w:firstLineChars="200"/>
        <w:rPr>
          <w:rFonts w:ascii="宋体" w:hAnsi="宋体"/>
          <w:b/>
          <w:strike/>
          <w:color w:val="auto"/>
          <w:szCs w:val="21"/>
          <w:highlight w:val="none"/>
        </w:rPr>
      </w:pPr>
      <w:r>
        <w:rPr>
          <w:rFonts w:hint="eastAsia" w:ascii="宋体" w:hAnsi="宋体"/>
          <w:b/>
          <w:strike/>
          <w:color w:val="auto"/>
          <w:szCs w:val="21"/>
          <w:highlight w:val="none"/>
        </w:rPr>
        <w:t>注：以上修改，仅限于本范本中有可供选择条款的情形。</w:t>
      </w:r>
    </w:p>
    <w:p>
      <w:pPr>
        <w:spacing w:line="360" w:lineRule="auto"/>
        <w:rPr>
          <w:rFonts w:ascii="宋体" w:hAnsi="宋体"/>
          <w:color w:val="auto"/>
          <w:szCs w:val="21"/>
          <w:highlight w:val="none"/>
        </w:rPr>
      </w:pPr>
      <w:r>
        <w:rPr>
          <w:rFonts w:hint="eastAsia" w:ascii="宋体" w:hAnsi="宋体"/>
          <w:b/>
          <w:color w:val="auto"/>
          <w:szCs w:val="21"/>
          <w:highlight w:val="none"/>
        </w:rPr>
        <w:t>（以下无正文）</w:t>
      </w:r>
    </w:p>
    <w:p>
      <w:pPr>
        <w:pBdr>
          <w:bottom w:val="single" w:color="auto" w:sz="6" w:space="1"/>
        </w:pBdr>
        <w:spacing w:line="360" w:lineRule="auto"/>
        <w:ind w:firstLine="443" w:firstLineChars="211"/>
        <w:rPr>
          <w:rFonts w:hint="eastAsia" w:ascii="宋体" w:hAnsi="宋体" w:cs="仿宋"/>
          <w:color w:val="auto"/>
          <w:szCs w:val="21"/>
          <w:highlight w:val="none"/>
          <w:u w:val="single"/>
        </w:rPr>
      </w:pPr>
      <w:r>
        <w:rPr>
          <w:rFonts w:ascii="宋体" w:hAnsi="宋体"/>
          <w:color w:val="auto"/>
          <w:szCs w:val="21"/>
          <w:highlight w:val="none"/>
        </w:rPr>
        <w:br w:type="page"/>
      </w:r>
    </w:p>
    <w:p>
      <w:pPr>
        <w:jc w:val="left"/>
        <w:rPr>
          <w:rFonts w:ascii="宋体" w:hAnsi="宋体"/>
          <w:b/>
          <w:color w:val="auto"/>
          <w:sz w:val="28"/>
          <w:szCs w:val="28"/>
          <w:highlight w:val="none"/>
        </w:rPr>
      </w:pPr>
      <w:r>
        <w:rPr>
          <w:rFonts w:hint="eastAsia" w:ascii="宋体" w:hAnsi="宋体"/>
          <w:b/>
          <w:color w:val="auto"/>
          <w:sz w:val="28"/>
          <w:szCs w:val="28"/>
          <w:highlight w:val="none"/>
        </w:rPr>
        <w:t>附件1</w:t>
      </w:r>
    </w:p>
    <w:p>
      <w:pPr>
        <w:jc w:val="center"/>
        <w:rPr>
          <w:rFonts w:ascii="宋体" w:hAnsi="宋体"/>
          <w:b/>
          <w:color w:val="auto"/>
          <w:sz w:val="36"/>
          <w:szCs w:val="36"/>
          <w:highlight w:val="none"/>
        </w:rPr>
      </w:pPr>
      <w:r>
        <w:rPr>
          <w:rFonts w:hint="eastAsia" w:ascii="宋体" w:hAnsi="宋体"/>
          <w:b/>
          <w:color w:val="auto"/>
          <w:sz w:val="36"/>
          <w:szCs w:val="36"/>
          <w:highlight w:val="none"/>
        </w:rPr>
        <w:t>评标委员会成员声明</w:t>
      </w:r>
    </w:p>
    <w:p>
      <w:pPr>
        <w:spacing w:line="360" w:lineRule="auto"/>
        <w:rPr>
          <w:rFonts w:ascii="宋体" w:hAnsi="宋体"/>
          <w:color w:val="auto"/>
          <w:sz w:val="24"/>
          <w:szCs w:val="24"/>
          <w:highlight w:val="none"/>
        </w:rPr>
      </w:pPr>
      <w:r>
        <w:rPr>
          <w:rFonts w:hint="eastAsia" w:ascii="宋体" w:hAnsi="宋体"/>
          <w:color w:val="auto"/>
          <w:sz w:val="24"/>
          <w:szCs w:val="24"/>
          <w:highlight w:val="none"/>
          <w:u w:val="single"/>
        </w:rPr>
        <w:t xml:space="preserve">   本项目招标人  </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本人就参与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项目的评标工作，作出郑重声明：</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如果本人违反上述声明内容，造成的后果由本人自行承担。</w:t>
      </w:r>
    </w:p>
    <w:p>
      <w:pPr>
        <w:spacing w:line="360" w:lineRule="auto"/>
        <w:ind w:firstLine="480" w:firstLineChars="200"/>
        <w:rPr>
          <w:rFonts w:ascii="宋体" w:hAnsi="宋体"/>
          <w:color w:val="auto"/>
          <w:sz w:val="24"/>
          <w:szCs w:val="24"/>
          <w:highlight w:val="none"/>
        </w:rPr>
      </w:pPr>
    </w:p>
    <w:p>
      <w:pPr>
        <w:spacing w:line="360" w:lineRule="auto"/>
        <w:ind w:firstLine="480" w:firstLineChars="200"/>
        <w:rPr>
          <w:rFonts w:ascii="宋体" w:hAnsi="宋体"/>
          <w:b/>
          <w:color w:val="auto"/>
          <w:sz w:val="24"/>
          <w:szCs w:val="24"/>
          <w:highlight w:val="none"/>
          <w:u w:val="single"/>
        </w:rPr>
      </w:pPr>
      <w:r>
        <w:rPr>
          <w:rFonts w:hint="eastAsia" w:ascii="宋体" w:hAnsi="宋体"/>
          <w:color w:val="auto"/>
          <w:sz w:val="24"/>
          <w:szCs w:val="24"/>
          <w:highlight w:val="none"/>
        </w:rPr>
        <w:t xml:space="preserve">                             </w:t>
      </w:r>
      <w:r>
        <w:rPr>
          <w:rFonts w:hint="eastAsia" w:ascii="宋体" w:hAnsi="宋体"/>
          <w:b/>
          <w:color w:val="auto"/>
          <w:sz w:val="24"/>
          <w:szCs w:val="24"/>
          <w:highlight w:val="none"/>
        </w:rPr>
        <w:t>声明人：</w:t>
      </w:r>
      <w:r>
        <w:rPr>
          <w:rFonts w:hint="eastAsia" w:ascii="宋体" w:hAnsi="宋体"/>
          <w:b/>
          <w:color w:val="auto"/>
          <w:sz w:val="24"/>
          <w:szCs w:val="24"/>
          <w:highlight w:val="none"/>
          <w:u w:val="single"/>
        </w:rPr>
        <w:t xml:space="preserve">（签名）  </w:t>
      </w:r>
    </w:p>
    <w:p>
      <w:pPr>
        <w:widowControl/>
        <w:snapToGrid w:val="0"/>
        <w:spacing w:line="360" w:lineRule="auto"/>
        <w:ind w:right="102"/>
        <w:jc w:val="left"/>
        <w:rPr>
          <w:rFonts w:ascii="宋体" w:hAnsi="宋体" w:cs="宋体"/>
          <w:color w:val="auto"/>
          <w:szCs w:val="21"/>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48" w:bottom="1247" w:left="1418" w:header="851" w:footer="907" w:gutter="0"/>
          <w:pgNumType w:start="0"/>
          <w:cols w:space="720" w:num="1"/>
          <w:titlePg/>
          <w:docGrid w:type="lines" w:linePitch="312" w:charSpace="0"/>
        </w:sectPr>
      </w:pPr>
    </w:p>
    <w:p>
      <w:pPr>
        <w:widowControl/>
        <w:snapToGrid w:val="0"/>
        <w:spacing w:line="360" w:lineRule="auto"/>
        <w:ind w:right="102"/>
        <w:jc w:val="left"/>
        <w:rPr>
          <w:rFonts w:ascii="宋体" w:hAnsi="宋体" w:cs="宋体"/>
          <w:color w:val="auto"/>
          <w:szCs w:val="21"/>
          <w:highlight w:val="none"/>
        </w:rPr>
      </w:pPr>
      <w:r>
        <w:rPr>
          <w:rFonts w:hint="eastAsia" w:ascii="宋体" w:hAnsi="宋体" w:cs="宋体"/>
          <w:color w:val="auto"/>
          <w:szCs w:val="21"/>
          <w:highlight w:val="none"/>
        </w:rPr>
        <w:t>附表一：</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b/>
          <w:color w:val="auto"/>
          <w:sz w:val="32"/>
          <w:szCs w:val="32"/>
          <w:highlight w:val="none"/>
        </w:rPr>
      </w:pPr>
      <w:r>
        <w:rPr>
          <w:rFonts w:hint="eastAsia" w:ascii="宋体" w:hAnsi="宋体" w:cs="宋体"/>
          <w:b/>
          <w:color w:val="auto"/>
          <w:sz w:val="32"/>
          <w:szCs w:val="32"/>
          <w:highlight w:val="none"/>
        </w:rPr>
        <w:t>资格审查表</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工程名称：</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投标人名称：</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6583"/>
        <w:gridCol w:w="6742"/>
        <w:gridCol w:w="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b/>
                <w:color w:val="auto"/>
                <w:szCs w:val="21"/>
                <w:highlight w:val="none"/>
              </w:rPr>
            </w:pPr>
            <w:r>
              <w:rPr>
                <w:rFonts w:hint="eastAsia" w:ascii="宋体" w:hAnsi="宋体" w:cs="宋体"/>
                <w:b/>
                <w:color w:val="auto"/>
                <w:szCs w:val="21"/>
                <w:highlight w:val="none"/>
              </w:rPr>
              <w:t>序号</w:t>
            </w:r>
          </w:p>
        </w:tc>
        <w:tc>
          <w:tcPr>
            <w:tcW w:w="658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b/>
                <w:color w:val="auto"/>
                <w:szCs w:val="21"/>
                <w:highlight w:val="none"/>
              </w:rPr>
            </w:pPr>
            <w:r>
              <w:rPr>
                <w:rFonts w:hint="eastAsia" w:ascii="宋体" w:hAnsi="宋体" w:cs="宋体"/>
                <w:b/>
                <w:color w:val="auto"/>
                <w:szCs w:val="21"/>
                <w:highlight w:val="none"/>
              </w:rPr>
              <w:t>审查项目</w:t>
            </w:r>
          </w:p>
        </w:tc>
        <w:tc>
          <w:tcPr>
            <w:tcW w:w="67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b/>
                <w:color w:val="auto"/>
                <w:szCs w:val="21"/>
                <w:highlight w:val="none"/>
              </w:rPr>
            </w:pPr>
            <w:r>
              <w:rPr>
                <w:rFonts w:hint="eastAsia" w:ascii="宋体" w:hAnsi="宋体" w:cs="宋体"/>
                <w:b/>
                <w:color w:val="auto"/>
                <w:szCs w:val="21"/>
                <w:highlight w:val="none"/>
              </w:rPr>
              <w:t>须审查的资料</w:t>
            </w:r>
          </w:p>
        </w:tc>
        <w:tc>
          <w:tcPr>
            <w:tcW w:w="6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b/>
                <w:color w:val="auto"/>
                <w:szCs w:val="21"/>
                <w:highlight w:val="none"/>
              </w:rPr>
            </w:pPr>
            <w:r>
              <w:rPr>
                <w:rFonts w:hint="eastAsia" w:ascii="宋体" w:hAnsi="宋体" w:cs="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blHeader/>
          <w:jc w:val="center"/>
        </w:trPr>
        <w:tc>
          <w:tcPr>
            <w:tcW w:w="67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658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（若为联合体投标，指联合体各方）</w:t>
            </w:r>
            <w:r>
              <w:rPr>
                <w:rFonts w:hint="eastAsia" w:ascii="宋体" w:hAnsi="宋体" w:eastAsia="宋体" w:cs="宋体"/>
                <w:color w:val="auto"/>
                <w:szCs w:val="21"/>
                <w:highlight w:val="none"/>
              </w:rPr>
              <w:t>参加投标的意思表达清楚，投标人代表被授权有效</w:t>
            </w:r>
            <w:r>
              <w:rPr>
                <w:rFonts w:hint="eastAsia" w:ascii="宋体" w:hAnsi="宋体" w:eastAsia="宋体" w:cs="宋体"/>
                <w:bCs/>
                <w:color w:val="auto"/>
                <w:szCs w:val="21"/>
                <w:highlight w:val="none"/>
                <w:u w:val="single"/>
              </w:rPr>
              <w:t>（若为联合体投标，由联合体主办方提供）</w:t>
            </w:r>
            <w:r>
              <w:rPr>
                <w:rFonts w:hint="eastAsia" w:ascii="宋体" w:hAnsi="宋体" w:eastAsia="宋体" w:cs="宋体"/>
                <w:color w:val="auto"/>
                <w:szCs w:val="21"/>
                <w:highlight w:val="none"/>
              </w:rPr>
              <w:t>。</w:t>
            </w:r>
          </w:p>
        </w:tc>
        <w:tc>
          <w:tcPr>
            <w:tcW w:w="6742" w:type="dxa"/>
            <w:tcBorders>
              <w:top w:val="single" w:color="auto" w:sz="4" w:space="0"/>
              <w:left w:val="single" w:color="auto" w:sz="4" w:space="0"/>
              <w:bottom w:val="single" w:color="auto" w:sz="4" w:space="0"/>
              <w:right w:val="single" w:color="auto" w:sz="4" w:space="0"/>
            </w:tcBorders>
            <w:noWrap/>
            <w:vAlign w:val="center"/>
          </w:tcPr>
          <w:p>
            <w:pPr>
              <w:spacing w:before="120" w:after="60"/>
              <w:rPr>
                <w:rFonts w:ascii="宋体" w:hAnsi="宋体" w:cs="宋体"/>
                <w:color w:val="auto"/>
                <w:szCs w:val="21"/>
                <w:highlight w:val="none"/>
              </w:rPr>
            </w:pPr>
            <w:r>
              <w:rPr>
                <w:rFonts w:hint="eastAsia" w:ascii="宋体" w:hAnsi="宋体" w:eastAsia="宋体" w:cs="宋体"/>
                <w:color w:val="auto"/>
                <w:szCs w:val="21"/>
                <w:highlight w:val="none"/>
                <w:u w:val="single"/>
              </w:rPr>
              <w:t>《投标人声明（适用于独立投标或联合体主办方）》</w:t>
            </w:r>
            <w:r>
              <w:rPr>
                <w:rFonts w:hint="eastAsia" w:ascii="宋体" w:hAnsi="宋体" w:eastAsia="宋体" w:cs="宋体"/>
                <w:bCs/>
                <w:color w:val="auto"/>
                <w:szCs w:val="21"/>
                <w:highlight w:val="none"/>
                <w:u w:val="single"/>
              </w:rPr>
              <w:t>及《投标人声明（适用于联合体成员方）》扫描件（若为联合体投标，成员方需提供《投标人声明（适用于联合体成员方）》；若为独立投标人，无需提供《投标人声明（适用于联合体成员方）》）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需提供</w:t>
            </w:r>
            <w:r>
              <w:rPr>
                <w:rFonts w:hint="eastAsia" w:ascii="宋体" w:hAnsi="宋体"/>
                <w:color w:val="auto"/>
                <w:szCs w:val="21"/>
                <w:highlight w:val="none"/>
              </w:rPr>
              <w:t>法定代表人证明书</w:t>
            </w:r>
            <w:r>
              <w:rPr>
                <w:rFonts w:hint="eastAsia" w:ascii="宋体" w:hAnsi="宋体"/>
                <w:color w:val="auto"/>
                <w:szCs w:val="21"/>
                <w:highlight w:val="none"/>
                <w:u w:val="single"/>
              </w:rPr>
              <w:t>扫描件</w:t>
            </w:r>
            <w:r>
              <w:rPr>
                <w:rFonts w:hint="eastAsia" w:ascii="宋体" w:hAnsi="宋体" w:eastAsia="宋体" w:cs="宋体"/>
                <w:bCs/>
                <w:color w:val="auto"/>
                <w:sz w:val="21"/>
                <w:szCs w:val="21"/>
                <w:highlight w:val="none"/>
                <w:u w:val="single"/>
                <w:lang w:val="en-US" w:eastAsia="zh-CN"/>
              </w:rPr>
              <w:t>及有效的法定代表人身份证扫描件</w:t>
            </w:r>
            <w:r>
              <w:rPr>
                <w:rFonts w:hint="eastAsia" w:ascii="宋体" w:hAnsi="宋体" w:cs="宋体"/>
                <w:bCs/>
                <w:color w:val="auto"/>
                <w:szCs w:val="21"/>
                <w:highlight w:val="none"/>
                <w:u w:val="single"/>
              </w:rPr>
              <w:t>（若为联合体投标，由联合体主办方提供）</w:t>
            </w:r>
            <w:r>
              <w:rPr>
                <w:rFonts w:hint="eastAsia" w:ascii="宋体" w:hAnsi="宋体"/>
                <w:color w:val="auto"/>
                <w:szCs w:val="21"/>
                <w:highlight w:val="none"/>
              </w:rPr>
              <w:t>；</w:t>
            </w:r>
            <w:r>
              <w:rPr>
                <w:rFonts w:hint="eastAsia" w:ascii="宋体" w:hAnsi="宋体"/>
                <w:color w:val="auto"/>
                <w:szCs w:val="21"/>
                <w:highlight w:val="none"/>
                <w:u w:val="single"/>
              </w:rPr>
              <w:t>委托投标的还应提供法人授权委托证明书扫描件</w:t>
            </w:r>
            <w:r>
              <w:rPr>
                <w:rFonts w:hint="eastAsia" w:ascii="宋体" w:hAnsi="宋体" w:eastAsia="宋体" w:cs="宋体"/>
                <w:bCs/>
                <w:color w:val="auto"/>
                <w:sz w:val="21"/>
                <w:szCs w:val="21"/>
                <w:highlight w:val="none"/>
                <w:u w:val="single"/>
                <w:lang w:val="en-US" w:eastAsia="zh-CN"/>
              </w:rPr>
              <w:t>及有效的被授权人身份证扫描件</w:t>
            </w:r>
            <w:r>
              <w:rPr>
                <w:rFonts w:hint="eastAsia" w:ascii="宋体" w:hAnsi="宋体" w:cs="宋体"/>
                <w:bCs/>
                <w:color w:val="auto"/>
                <w:szCs w:val="21"/>
                <w:highlight w:val="none"/>
                <w:u w:val="single"/>
              </w:rPr>
              <w:t>（若为联合体投标，由联合体主办方提供）</w:t>
            </w:r>
            <w:r>
              <w:rPr>
                <w:rFonts w:hint="eastAsia" w:ascii="宋体" w:hAnsi="宋体"/>
                <w:color w:val="auto"/>
                <w:szCs w:val="21"/>
                <w:highlight w:val="none"/>
                <w:u w:val="single"/>
              </w:rPr>
              <w:t>及被授权人离投标截止时间最近的至少</w:t>
            </w:r>
            <w:r>
              <w:rPr>
                <w:rFonts w:hint="eastAsia" w:ascii="宋体" w:hAnsi="宋体"/>
                <w:color w:val="auto"/>
                <w:szCs w:val="21"/>
                <w:highlight w:val="none"/>
                <w:u w:val="single"/>
                <w:lang w:val="en-US" w:eastAsia="zh-CN"/>
              </w:rPr>
              <w:t>一</w:t>
            </w:r>
            <w:r>
              <w:rPr>
                <w:rFonts w:hint="eastAsia" w:ascii="宋体" w:hAnsi="宋体"/>
                <w:color w:val="auto"/>
                <w:szCs w:val="21"/>
                <w:highlight w:val="none"/>
                <w:u w:val="single"/>
              </w:rPr>
              <w:t>个月（</w:t>
            </w:r>
            <w:r>
              <w:rPr>
                <w:rFonts w:hint="eastAsia" w:ascii="宋体" w:hAnsi="宋体"/>
                <w:color w:val="auto"/>
                <w:szCs w:val="21"/>
                <w:highlight w:val="none"/>
                <w:u w:val="single"/>
                <w:lang w:eastAsia="zh-CN"/>
              </w:rPr>
              <w:t>2025年7月或8月</w:t>
            </w:r>
            <w:r>
              <w:rPr>
                <w:rFonts w:hint="eastAsia" w:ascii="宋体" w:hAnsi="宋体"/>
                <w:color w:val="auto"/>
                <w:szCs w:val="21"/>
                <w:highlight w:val="none"/>
                <w:u w:val="single"/>
              </w:rPr>
              <w:t>）在本单位缴纳的社保证明文件。</w:t>
            </w:r>
          </w:p>
        </w:tc>
        <w:tc>
          <w:tcPr>
            <w:tcW w:w="67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jc w:val="center"/>
        </w:trPr>
        <w:tc>
          <w:tcPr>
            <w:tcW w:w="67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658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eastAsia="宋体" w:cs="宋体"/>
                <w:color w:val="auto"/>
                <w:szCs w:val="21"/>
                <w:highlight w:val="none"/>
                <w:u w:val="single"/>
              </w:rPr>
              <w:t>（若为联合体投标，指联合体各方）</w:t>
            </w:r>
            <w:r>
              <w:rPr>
                <w:rFonts w:hint="eastAsia" w:ascii="宋体" w:hAnsi="宋体" w:cs="宋体"/>
                <w:color w:val="auto"/>
                <w:szCs w:val="21"/>
                <w:highlight w:val="none"/>
              </w:rPr>
              <w:t>均具有独立法人资格，按国家法律经营；</w:t>
            </w:r>
          </w:p>
        </w:tc>
        <w:tc>
          <w:tcPr>
            <w:tcW w:w="6742" w:type="dxa"/>
            <w:tcBorders>
              <w:top w:val="single" w:color="auto" w:sz="4" w:space="0"/>
              <w:left w:val="single" w:color="auto" w:sz="4" w:space="0"/>
              <w:bottom w:val="single" w:color="auto" w:sz="4" w:space="0"/>
              <w:right w:val="single" w:color="auto" w:sz="4" w:space="0"/>
            </w:tcBorders>
            <w:noWrap/>
            <w:vAlign w:val="center"/>
          </w:tcPr>
          <w:p>
            <w:pPr>
              <w:spacing w:before="120" w:after="60"/>
              <w:rPr>
                <w:rFonts w:ascii="宋体" w:hAnsi="宋体" w:cs="宋体"/>
                <w:color w:val="auto"/>
                <w:szCs w:val="21"/>
                <w:highlight w:val="none"/>
              </w:rPr>
            </w:pPr>
            <w:r>
              <w:rPr>
                <w:rFonts w:hint="eastAsia" w:ascii="宋体" w:hAnsi="宋体" w:eastAsia="宋体" w:cs="宋体"/>
                <w:color w:val="auto"/>
                <w:szCs w:val="21"/>
                <w:highlight w:val="none"/>
              </w:rPr>
              <w:t>营业执照</w:t>
            </w:r>
            <w:r>
              <w:rPr>
                <w:rFonts w:hint="eastAsia" w:ascii="宋体" w:hAnsi="宋体" w:eastAsia="宋体" w:cs="宋体"/>
                <w:bCs/>
                <w:color w:val="auto"/>
                <w:szCs w:val="21"/>
                <w:highlight w:val="none"/>
                <w:u w:val="single"/>
              </w:rPr>
              <w:t>（在有效期内）扫描件或电子证照（若为联合体投标，由联合体各方提供）</w:t>
            </w:r>
          </w:p>
        </w:tc>
        <w:tc>
          <w:tcPr>
            <w:tcW w:w="67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7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658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eastAsia="宋体" w:cs="宋体"/>
                <w:color w:val="auto"/>
                <w:szCs w:val="21"/>
                <w:highlight w:val="none"/>
                <w:u w:val="single"/>
              </w:rPr>
              <w:t>（若为联合体投标，指联合体各方）</w:t>
            </w:r>
            <w:r>
              <w:rPr>
                <w:rFonts w:hint="eastAsia" w:ascii="宋体" w:hAnsi="宋体" w:cs="宋体"/>
                <w:color w:val="auto"/>
                <w:szCs w:val="21"/>
                <w:highlight w:val="none"/>
              </w:rPr>
              <w:t>均持有建设行政主管部门颁发的有效期内的企业资质证书</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lang w:val="en-US" w:eastAsia="zh-CN"/>
              </w:rPr>
              <w:t>《承装（修、试）电力设施许可证》承装类资格证书</w:t>
            </w:r>
            <w:r>
              <w:rPr>
                <w:rFonts w:hint="eastAsia" w:ascii="宋体" w:hAnsi="宋体" w:cs="宋体"/>
                <w:color w:val="auto"/>
                <w:szCs w:val="21"/>
                <w:highlight w:val="none"/>
              </w:rPr>
              <w:t>及安全生产许可证；投标人</w:t>
            </w:r>
            <w:r>
              <w:rPr>
                <w:rFonts w:hint="eastAsia" w:ascii="宋体" w:hAnsi="宋体" w:eastAsia="宋体" w:cs="宋体"/>
                <w:color w:val="auto"/>
                <w:szCs w:val="21"/>
                <w:highlight w:val="none"/>
                <w:u w:val="single"/>
              </w:rPr>
              <w:t>（若为联合体投标，指联合体各方）</w:t>
            </w:r>
            <w:r>
              <w:rPr>
                <w:rFonts w:hint="eastAsia" w:ascii="宋体" w:hAnsi="宋体" w:cs="宋体"/>
                <w:color w:val="auto"/>
                <w:szCs w:val="21"/>
                <w:highlight w:val="none"/>
              </w:rPr>
              <w:t>资质符合公告要求；</w:t>
            </w:r>
          </w:p>
        </w:tc>
        <w:tc>
          <w:tcPr>
            <w:tcW w:w="6742" w:type="dxa"/>
            <w:tcBorders>
              <w:top w:val="single" w:color="auto" w:sz="4" w:space="0"/>
              <w:left w:val="single" w:color="auto" w:sz="4" w:space="0"/>
              <w:bottom w:val="single" w:color="auto" w:sz="4" w:space="0"/>
              <w:right w:val="single" w:color="auto" w:sz="4" w:space="0"/>
            </w:tcBorders>
            <w:noWrap/>
            <w:vAlign w:val="center"/>
          </w:tcPr>
          <w:p>
            <w:pPr>
              <w:spacing w:before="120" w:after="60"/>
              <w:rPr>
                <w:rFonts w:ascii="宋体" w:hAnsi="宋体" w:cs="宋体"/>
                <w:color w:val="auto"/>
                <w:szCs w:val="21"/>
                <w:highlight w:val="none"/>
                <w:u w:val="single"/>
              </w:rPr>
            </w:pPr>
            <w:r>
              <w:rPr>
                <w:rFonts w:hint="eastAsia" w:ascii="宋体" w:hAnsi="宋体" w:cs="宋体"/>
                <w:color w:val="auto"/>
                <w:szCs w:val="21"/>
                <w:highlight w:val="none"/>
              </w:rPr>
              <w:t>资质证书</w:t>
            </w:r>
            <w:r>
              <w:rPr>
                <w:rFonts w:hint="eastAsia" w:ascii="宋体" w:hAnsi="宋体" w:cs="宋体"/>
                <w:color w:val="auto"/>
                <w:szCs w:val="21"/>
                <w:highlight w:val="none"/>
                <w:u w:val="single"/>
              </w:rPr>
              <w:t>（若为联合体投标，联合体各成员均需提供）</w:t>
            </w:r>
            <w:r>
              <w:rPr>
                <w:rFonts w:hint="eastAsia" w:ascii="宋体" w:hAnsi="宋体" w:cs="宋体"/>
                <w:color w:val="auto"/>
                <w:szCs w:val="21"/>
                <w:highlight w:val="none"/>
                <w:u w:val="single"/>
                <w:lang w:val="en-US" w:eastAsia="zh-CN"/>
              </w:rPr>
              <w:t>及《承装（修、试）电力设施许可证》承装类资格证书</w:t>
            </w:r>
            <w:r>
              <w:rPr>
                <w:rFonts w:hint="eastAsia" w:ascii="宋体" w:hAnsi="宋体" w:cs="宋体"/>
                <w:color w:val="auto"/>
                <w:szCs w:val="21"/>
                <w:highlight w:val="none"/>
              </w:rPr>
              <w:t>扫描件或电子证照，或符合招标公告规定的相关证明材料（如有）；安全生产许可证</w:t>
            </w:r>
            <w:r>
              <w:rPr>
                <w:rFonts w:hint="eastAsia" w:ascii="宋体" w:hAnsi="宋体" w:cs="宋体"/>
                <w:color w:val="auto"/>
                <w:szCs w:val="21"/>
                <w:highlight w:val="none"/>
                <w:u w:val="single"/>
              </w:rPr>
              <w:t>（若为联合体投标，联合体各成员均需提供）扫描件。</w:t>
            </w:r>
          </w:p>
        </w:tc>
        <w:tc>
          <w:tcPr>
            <w:tcW w:w="67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blHeader/>
          <w:jc w:val="center"/>
        </w:trPr>
        <w:tc>
          <w:tcPr>
            <w:tcW w:w="67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658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eastAsia="宋体" w:cs="宋体"/>
                <w:bCs/>
                <w:color w:val="auto"/>
                <w:szCs w:val="21"/>
                <w:highlight w:val="none"/>
                <w:u w:val="single"/>
              </w:rPr>
              <w:t>（若为联合体投标，由联合体主办方提供）</w:t>
            </w:r>
            <w:r>
              <w:rPr>
                <w:rFonts w:hint="eastAsia" w:ascii="宋体" w:hAnsi="宋体" w:cs="宋体"/>
                <w:color w:val="auto"/>
                <w:szCs w:val="21"/>
                <w:highlight w:val="none"/>
              </w:rPr>
              <w:t>拟担任本工程项目负责人符合公告要求；</w:t>
            </w:r>
          </w:p>
        </w:tc>
        <w:tc>
          <w:tcPr>
            <w:tcW w:w="6742" w:type="dxa"/>
            <w:tcBorders>
              <w:top w:val="single" w:color="auto" w:sz="4" w:space="0"/>
              <w:left w:val="single" w:color="auto" w:sz="4" w:space="0"/>
              <w:bottom w:val="single" w:color="auto" w:sz="4" w:space="0"/>
              <w:right w:val="single" w:color="auto" w:sz="4" w:space="0"/>
            </w:tcBorders>
            <w:noWrap/>
            <w:vAlign w:val="center"/>
          </w:tcPr>
          <w:p>
            <w:pPr>
              <w:spacing w:before="120" w:after="60"/>
              <w:rPr>
                <w:rFonts w:ascii="宋体" w:hAnsi="宋体" w:cs="宋体"/>
                <w:color w:val="auto"/>
                <w:szCs w:val="21"/>
                <w:highlight w:val="none"/>
              </w:rPr>
            </w:pPr>
            <w:r>
              <w:rPr>
                <w:rFonts w:hint="eastAsia" w:ascii="宋体" w:hAnsi="宋体" w:cs="宋体"/>
                <w:color w:val="auto"/>
                <w:szCs w:val="21"/>
                <w:highlight w:val="none"/>
              </w:rPr>
              <w:t>有效期内的建造师注册证书扫描件或电子证书（注：打印建造师电子证书后，在个人签名处手写本人签名再扫描提交。</w:t>
            </w:r>
            <w:r>
              <w:rPr>
                <w:rFonts w:hint="eastAsia" w:ascii="宋体" w:hAnsi="宋体" w:cs="宋体"/>
                <w:color w:val="auto"/>
                <w:szCs w:val="21"/>
                <w:highlight w:val="none"/>
                <w:u w:val="single"/>
              </w:rPr>
              <w:t>递交的注册建造师注册证书须符合招标公告第九条第4款注②的规定。若为联合体投标，由联合体主办方提供。）</w:t>
            </w:r>
          </w:p>
        </w:tc>
        <w:tc>
          <w:tcPr>
            <w:tcW w:w="67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75" w:type="dxa"/>
            <w:tcBorders>
              <w:top w:val="single" w:color="auto" w:sz="4" w:space="0"/>
              <w:left w:val="single" w:color="auto" w:sz="4" w:space="0"/>
              <w:bottom w:val="single" w:color="auto" w:sz="4" w:space="0"/>
              <w:right w:val="single" w:color="auto" w:sz="4" w:space="0"/>
            </w:tcBorders>
            <w:noWrap/>
            <w:vAlign w:val="center"/>
          </w:tcPr>
          <w:p>
            <w:pPr>
              <w:keepLine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6583" w:type="dxa"/>
            <w:tcBorders>
              <w:top w:val="single" w:color="auto" w:sz="4" w:space="0"/>
              <w:left w:val="single" w:color="auto" w:sz="4" w:space="0"/>
              <w:bottom w:val="single" w:color="auto" w:sz="4" w:space="0"/>
              <w:right w:val="single" w:color="auto" w:sz="4" w:space="0"/>
            </w:tcBorders>
            <w:noWrap/>
            <w:vAlign w:val="center"/>
          </w:tcPr>
          <w:p>
            <w:pPr>
              <w:keepLines/>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持有</w:t>
            </w:r>
            <w:r>
              <w:rPr>
                <w:rFonts w:hint="eastAsia" w:ascii="宋体" w:hAnsi="宋体" w:cs="宋体"/>
                <w:color w:val="auto"/>
                <w:szCs w:val="21"/>
                <w:highlight w:val="none"/>
                <w:u w:val="single"/>
              </w:rPr>
              <w:t>有效期内的</w:t>
            </w:r>
            <w:r>
              <w:rPr>
                <w:rFonts w:hint="eastAsia" w:ascii="宋体" w:hAnsi="宋体" w:cs="宋体"/>
                <w:color w:val="auto"/>
                <w:szCs w:val="21"/>
                <w:highlight w:val="none"/>
              </w:rPr>
              <w:t>项目负责人</w:t>
            </w:r>
            <w:r>
              <w:rPr>
                <w:rFonts w:hint="eastAsia" w:ascii="宋体" w:hAnsi="宋体" w:eastAsia="宋体" w:cs="宋体"/>
                <w:bCs/>
                <w:color w:val="auto"/>
                <w:szCs w:val="21"/>
                <w:highlight w:val="none"/>
                <w:u w:val="single"/>
              </w:rPr>
              <w:t>（若为联合体投标，由联合体主办方提供）</w:t>
            </w:r>
            <w:r>
              <w:rPr>
                <w:rFonts w:hint="eastAsia" w:ascii="宋体" w:hAnsi="宋体" w:cs="宋体"/>
                <w:color w:val="auto"/>
                <w:szCs w:val="21"/>
                <w:highlight w:val="none"/>
              </w:rPr>
              <w:t>安全生产考核合格证（B类）或建筑施工企业项目负责人安全生产考核合格证</w:t>
            </w:r>
            <w:r>
              <w:rPr>
                <w:rFonts w:hint="eastAsia" w:ascii="宋体" w:hAnsi="宋体" w:cs="宋体"/>
                <w:color w:val="auto"/>
                <w:szCs w:val="21"/>
                <w:highlight w:val="none"/>
                <w:lang w:val="en-US" w:eastAsia="zh-CN"/>
              </w:rPr>
              <w:t>；</w:t>
            </w:r>
          </w:p>
        </w:tc>
        <w:tc>
          <w:tcPr>
            <w:tcW w:w="6742" w:type="dxa"/>
            <w:tcBorders>
              <w:top w:val="single" w:color="auto" w:sz="4" w:space="0"/>
              <w:left w:val="single" w:color="auto" w:sz="4" w:space="0"/>
              <w:bottom w:val="single" w:color="auto" w:sz="4" w:space="0"/>
              <w:right w:val="single" w:color="auto" w:sz="4" w:space="0"/>
            </w:tcBorders>
            <w:noWrap/>
            <w:vAlign w:val="center"/>
          </w:tcPr>
          <w:p>
            <w:pPr>
              <w:keepLines/>
              <w:spacing w:before="120" w:after="60"/>
              <w:rPr>
                <w:rFonts w:ascii="宋体" w:hAnsi="宋体" w:cs="宋体"/>
                <w:color w:val="auto"/>
                <w:szCs w:val="21"/>
                <w:highlight w:val="none"/>
              </w:rPr>
            </w:pPr>
            <w:r>
              <w:rPr>
                <w:rFonts w:hint="eastAsia" w:ascii="宋体" w:hAnsi="宋体" w:cs="宋体"/>
                <w:color w:val="auto"/>
                <w:szCs w:val="21"/>
                <w:highlight w:val="none"/>
              </w:rPr>
              <w:t>项目负责人安全生产考核合格证（B类）或建筑施工企业项目负责人安全生产考核合格证证书扫描件或电子证书</w:t>
            </w:r>
            <w:r>
              <w:rPr>
                <w:rFonts w:hint="eastAsia" w:ascii="宋体" w:hAnsi="宋体" w:cs="宋体"/>
                <w:color w:val="auto"/>
                <w:szCs w:val="21"/>
                <w:highlight w:val="none"/>
                <w:u w:val="single"/>
              </w:rPr>
              <w:t>。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tc>
        <w:tc>
          <w:tcPr>
            <w:tcW w:w="673" w:type="dxa"/>
            <w:tcBorders>
              <w:top w:val="single" w:color="auto" w:sz="4" w:space="0"/>
              <w:left w:val="single" w:color="auto" w:sz="4" w:space="0"/>
              <w:bottom w:val="single" w:color="auto" w:sz="4" w:space="0"/>
              <w:right w:val="single" w:color="auto" w:sz="4" w:space="0"/>
            </w:tcBorders>
            <w:noWrap/>
            <w:vAlign w:val="center"/>
          </w:tcPr>
          <w:p>
            <w:pPr>
              <w:keepLines/>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7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658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投标人</w:t>
            </w:r>
            <w:r>
              <w:rPr>
                <w:rFonts w:hint="eastAsia" w:ascii="宋体" w:hAnsi="宋体" w:eastAsia="宋体" w:cs="宋体"/>
                <w:bCs/>
                <w:color w:val="auto"/>
                <w:szCs w:val="21"/>
                <w:highlight w:val="none"/>
                <w:u w:val="single"/>
              </w:rPr>
              <w:t>（若为联合体投标，由联合体主办方提供）</w:t>
            </w:r>
            <w:r>
              <w:rPr>
                <w:rFonts w:hint="eastAsia" w:ascii="宋体" w:hAnsi="宋体" w:cs="宋体"/>
                <w:color w:val="auto"/>
                <w:szCs w:val="21"/>
                <w:highlight w:val="none"/>
              </w:rPr>
              <w:t>拟担任本工程技术负责人符合公告要求</w:t>
            </w:r>
            <w:r>
              <w:rPr>
                <w:rFonts w:hint="eastAsia" w:ascii="宋体" w:hAnsi="宋体" w:cs="宋体"/>
                <w:color w:val="auto"/>
                <w:szCs w:val="21"/>
                <w:highlight w:val="none"/>
                <w:lang w:val="en-US" w:eastAsia="zh-CN"/>
              </w:rPr>
              <w:t>；</w:t>
            </w:r>
          </w:p>
        </w:tc>
        <w:tc>
          <w:tcPr>
            <w:tcW w:w="67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before="120" w:after="60" w:line="240" w:lineRule="auto"/>
              <w:textAlignment w:val="auto"/>
              <w:rPr>
                <w:rFonts w:ascii="宋体" w:hAnsi="宋体" w:cs="宋体"/>
                <w:color w:val="auto"/>
                <w:szCs w:val="21"/>
                <w:highlight w:val="none"/>
              </w:rPr>
            </w:pPr>
            <w:r>
              <w:rPr>
                <w:rFonts w:hint="eastAsia" w:ascii="宋体" w:hAnsi="宋体" w:cs="宋体"/>
                <w:color w:val="auto"/>
                <w:szCs w:val="21"/>
                <w:highlight w:val="none"/>
              </w:rPr>
              <w:t>拟委托技术负责人</w:t>
            </w:r>
            <w:r>
              <w:rPr>
                <w:rFonts w:hint="eastAsia" w:ascii="宋体" w:hAnsi="宋体" w:cs="宋体"/>
                <w:color w:val="auto"/>
                <w:szCs w:val="21"/>
                <w:highlight w:val="none"/>
                <w:u w:val="single"/>
              </w:rPr>
              <w:t>的职称证书</w:t>
            </w:r>
            <w:r>
              <w:rPr>
                <w:rFonts w:hint="eastAsia" w:ascii="宋体" w:hAnsi="宋体" w:cs="宋体"/>
                <w:color w:val="auto"/>
                <w:szCs w:val="21"/>
                <w:highlight w:val="none"/>
              </w:rPr>
              <w:t>扫描件</w:t>
            </w:r>
            <w:r>
              <w:rPr>
                <w:rFonts w:hint="eastAsia" w:ascii="宋体" w:hAnsi="宋体" w:cs="宋体"/>
                <w:color w:val="auto"/>
                <w:szCs w:val="21"/>
                <w:highlight w:val="none"/>
                <w:u w:val="single"/>
                <w:lang w:val="en-US" w:eastAsia="zh-CN"/>
              </w:rPr>
              <w:t>或电子证</w:t>
            </w:r>
            <w:r>
              <w:rPr>
                <w:rFonts w:hint="eastAsia" w:ascii="宋体" w:hAnsi="宋体" w:cs="宋体"/>
                <w:color w:val="auto"/>
                <w:szCs w:val="21"/>
                <w:highlight w:val="none"/>
                <w:u w:val="single"/>
              </w:rPr>
              <w:t>书（若为联合体投标，由联合体主办方提供）</w:t>
            </w:r>
            <w:r>
              <w:rPr>
                <w:rFonts w:hint="eastAsia" w:ascii="宋体" w:hAnsi="宋体" w:cs="宋体"/>
                <w:color w:val="auto"/>
                <w:szCs w:val="21"/>
                <w:highlight w:val="none"/>
                <w:lang w:val="en-US" w:eastAsia="zh-CN"/>
              </w:rPr>
              <w:t>。</w:t>
            </w:r>
          </w:p>
        </w:tc>
        <w:tc>
          <w:tcPr>
            <w:tcW w:w="67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7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658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专职安全员</w:t>
            </w:r>
            <w:r>
              <w:rPr>
                <w:rFonts w:hint="eastAsia" w:ascii="宋体" w:hAnsi="宋体" w:eastAsia="宋体" w:cs="宋体"/>
                <w:bCs/>
                <w:color w:val="auto"/>
                <w:szCs w:val="21"/>
                <w:highlight w:val="none"/>
                <w:u w:val="single"/>
              </w:rPr>
              <w:t>（若为联合体投标，由联合体主办方提供）</w:t>
            </w:r>
            <w:r>
              <w:rPr>
                <w:rFonts w:hint="eastAsia" w:ascii="宋体" w:hAnsi="宋体" w:cs="宋体"/>
                <w:color w:val="auto"/>
                <w:szCs w:val="21"/>
                <w:highlight w:val="none"/>
              </w:rPr>
              <w:t>须具有</w:t>
            </w:r>
            <w:r>
              <w:rPr>
                <w:rFonts w:hint="eastAsia" w:ascii="宋体" w:hAnsi="宋体" w:cs="宋体"/>
                <w:color w:val="auto"/>
                <w:szCs w:val="21"/>
                <w:highlight w:val="none"/>
                <w:u w:val="single"/>
              </w:rPr>
              <w:t>在有效期内的</w:t>
            </w:r>
            <w:r>
              <w:rPr>
                <w:rFonts w:hint="eastAsia" w:ascii="宋体" w:hAnsi="宋体" w:cs="宋体"/>
                <w:color w:val="auto"/>
                <w:szCs w:val="21"/>
                <w:highlight w:val="none"/>
              </w:rPr>
              <w:t>安全生产考核合格证（C证）或建筑施工企业专职安全生产管理人员安全生产考核合格证</w:t>
            </w:r>
            <w:r>
              <w:rPr>
                <w:rFonts w:hint="eastAsia" w:ascii="宋体" w:hAnsi="宋体" w:cs="宋体"/>
                <w:color w:val="auto"/>
                <w:szCs w:val="21"/>
                <w:highlight w:val="none"/>
                <w:u w:val="single"/>
              </w:rPr>
              <w:t>（C3）</w:t>
            </w:r>
            <w:r>
              <w:rPr>
                <w:rFonts w:hint="eastAsia" w:ascii="宋体" w:hAnsi="宋体" w:cs="宋体"/>
                <w:color w:val="auto"/>
                <w:szCs w:val="21"/>
                <w:highlight w:val="none"/>
              </w:rPr>
              <w:t>；</w:t>
            </w:r>
          </w:p>
        </w:tc>
        <w:tc>
          <w:tcPr>
            <w:tcW w:w="6742" w:type="dxa"/>
            <w:tcBorders>
              <w:top w:val="single" w:color="auto" w:sz="4" w:space="0"/>
              <w:left w:val="single" w:color="auto" w:sz="4" w:space="0"/>
              <w:bottom w:val="single" w:color="auto" w:sz="4" w:space="0"/>
              <w:right w:val="single" w:color="auto" w:sz="4" w:space="0"/>
            </w:tcBorders>
            <w:noWrap/>
            <w:vAlign w:val="center"/>
          </w:tcPr>
          <w:p>
            <w:pPr>
              <w:spacing w:before="120" w:after="60"/>
              <w:rPr>
                <w:rFonts w:ascii="宋体" w:hAnsi="宋体" w:cs="宋体"/>
                <w:color w:val="auto"/>
                <w:szCs w:val="21"/>
                <w:highlight w:val="none"/>
              </w:rPr>
            </w:pPr>
            <w:r>
              <w:rPr>
                <w:rFonts w:hint="eastAsia" w:ascii="宋体" w:hAnsi="宋体"/>
                <w:color w:val="auto"/>
                <w:szCs w:val="21"/>
                <w:highlight w:val="none"/>
              </w:rPr>
              <w:t>专职安全员的安全生产考核合格证（C类）或建筑施工企业专职安全生产管理人员安全生产考核合格证</w:t>
            </w:r>
            <w:r>
              <w:rPr>
                <w:rFonts w:hint="eastAsia" w:ascii="宋体" w:hAnsi="宋体"/>
                <w:color w:val="auto"/>
                <w:szCs w:val="21"/>
                <w:highlight w:val="none"/>
                <w:u w:val="single"/>
              </w:rPr>
              <w:t>（</w:t>
            </w:r>
            <w:r>
              <w:rPr>
                <w:rFonts w:ascii="宋体" w:hAnsi="宋体"/>
                <w:color w:val="auto"/>
                <w:szCs w:val="21"/>
                <w:highlight w:val="none"/>
                <w:u w:val="single"/>
              </w:rPr>
              <w:t>C3）</w:t>
            </w:r>
            <w:r>
              <w:rPr>
                <w:rFonts w:hint="eastAsia" w:ascii="宋体" w:hAnsi="宋体"/>
                <w:color w:val="auto"/>
                <w:szCs w:val="21"/>
                <w:highlight w:val="none"/>
              </w:rPr>
              <w:t>证书扫描件或电子证书</w:t>
            </w:r>
            <w:r>
              <w:rPr>
                <w:rFonts w:hint="eastAsia" w:ascii="宋体" w:hAnsi="宋体"/>
                <w:color w:val="auto"/>
                <w:szCs w:val="21"/>
                <w:highlight w:val="none"/>
                <w:u w:val="single"/>
              </w:rPr>
              <w:t>。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tc>
        <w:tc>
          <w:tcPr>
            <w:tcW w:w="67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7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8</w:t>
            </w:r>
          </w:p>
        </w:tc>
        <w:tc>
          <w:tcPr>
            <w:tcW w:w="658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eastAsia="宋体" w:cs="宋体"/>
                <w:color w:val="auto"/>
                <w:szCs w:val="21"/>
                <w:highlight w:val="none"/>
                <w:u w:val="single"/>
              </w:rPr>
              <w:t>（若为联合体投标，指联合体各方）</w:t>
            </w:r>
            <w:r>
              <w:rPr>
                <w:rFonts w:hint="eastAsia" w:ascii="宋体" w:hAnsi="宋体" w:cs="宋体"/>
                <w:color w:val="auto"/>
                <w:szCs w:val="21"/>
                <w:highlight w:val="none"/>
              </w:rPr>
              <w:t>提供的投标人声明符合公告要求；</w:t>
            </w:r>
          </w:p>
        </w:tc>
        <w:tc>
          <w:tcPr>
            <w:tcW w:w="6742" w:type="dxa"/>
            <w:tcBorders>
              <w:top w:val="single" w:color="auto" w:sz="4" w:space="0"/>
              <w:left w:val="single" w:color="auto" w:sz="4" w:space="0"/>
              <w:bottom w:val="single" w:color="auto" w:sz="4" w:space="0"/>
              <w:right w:val="single" w:color="auto" w:sz="4" w:space="0"/>
            </w:tcBorders>
            <w:noWrap/>
            <w:vAlign w:val="center"/>
          </w:tcPr>
          <w:p>
            <w:pPr>
              <w:spacing w:before="120" w:after="60"/>
              <w:jc w:val="left"/>
              <w:rPr>
                <w:rFonts w:ascii="宋体" w:hAnsi="宋体" w:cs="宋体"/>
                <w:color w:val="auto"/>
                <w:szCs w:val="21"/>
                <w:highlight w:val="none"/>
              </w:rPr>
            </w:pPr>
            <w:r>
              <w:rPr>
                <w:rFonts w:hint="eastAsia" w:ascii="宋体" w:hAnsi="宋体"/>
                <w:color w:val="auto"/>
                <w:szCs w:val="21"/>
                <w:highlight w:val="none"/>
              </w:rPr>
              <w:t>《投标人声明（适用于独立投标或联合体主办方）》及《投标人声明（适用于联合体成员方）》（若为联合体投标，成员方需提供《投标人声明（适用于联合体成员方）》；若为独立投标人，无需提供《投标人声明（适用于联合体成员方）》）扫描件。</w:t>
            </w:r>
          </w:p>
        </w:tc>
        <w:tc>
          <w:tcPr>
            <w:tcW w:w="67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7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9</w:t>
            </w:r>
          </w:p>
        </w:tc>
        <w:tc>
          <w:tcPr>
            <w:tcW w:w="658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投标人声明中签字的项目负责人和技术负责人与本项目拟派的项目负责人和技术负责人一致；</w:t>
            </w:r>
            <w:r>
              <w:rPr>
                <w:rFonts w:hint="eastAsia" w:ascii="宋体" w:hAnsi="宋体" w:eastAsia="宋体" w:cs="宋体"/>
                <w:color w:val="auto"/>
                <w:sz w:val="21"/>
                <w:szCs w:val="21"/>
                <w:highlight w:val="none"/>
                <w:u w:val="single"/>
              </w:rPr>
              <w:t>（若为联合体投标，由联合体主办方提供）</w:t>
            </w:r>
          </w:p>
        </w:tc>
        <w:tc>
          <w:tcPr>
            <w:tcW w:w="6742" w:type="dxa"/>
            <w:tcBorders>
              <w:top w:val="single" w:color="auto" w:sz="4" w:space="0"/>
              <w:left w:val="single" w:color="auto" w:sz="4" w:space="0"/>
              <w:bottom w:val="single" w:color="auto" w:sz="4" w:space="0"/>
              <w:right w:val="single" w:color="auto" w:sz="4" w:space="0"/>
            </w:tcBorders>
            <w:noWrap/>
            <w:vAlign w:val="center"/>
          </w:tcPr>
          <w:p>
            <w:pPr>
              <w:spacing w:before="120" w:after="60"/>
              <w:jc w:val="left"/>
              <w:rPr>
                <w:rFonts w:ascii="宋体" w:hAnsi="宋体" w:cs="宋体"/>
                <w:color w:val="auto"/>
                <w:szCs w:val="21"/>
                <w:highlight w:val="none"/>
              </w:rPr>
            </w:pPr>
            <w:r>
              <w:rPr>
                <w:rFonts w:hint="eastAsia" w:ascii="宋体" w:hAnsi="宋体"/>
                <w:color w:val="auto"/>
                <w:szCs w:val="21"/>
                <w:highlight w:val="none"/>
              </w:rPr>
              <w:t>网上投标时选择拟投标的项目负责人、资格审查文件中拟委派的技术负责人及</w:t>
            </w:r>
            <w:r>
              <w:rPr>
                <w:rFonts w:hint="eastAsia" w:ascii="宋体" w:hAnsi="宋体"/>
                <w:color w:val="auto"/>
                <w:szCs w:val="21"/>
                <w:highlight w:val="none"/>
                <w:u w:val="single"/>
              </w:rPr>
              <w:t>《投标人声明（适用于独立投标或联合体主办方）》</w:t>
            </w:r>
            <w:r>
              <w:rPr>
                <w:rFonts w:hint="eastAsia" w:ascii="宋体" w:hAnsi="宋体" w:cs="宋体"/>
                <w:bCs/>
                <w:color w:val="auto"/>
                <w:szCs w:val="21"/>
                <w:highlight w:val="none"/>
                <w:u w:val="single"/>
              </w:rPr>
              <w:t>扫描件</w:t>
            </w:r>
            <w:r>
              <w:rPr>
                <w:rFonts w:hint="eastAsia" w:ascii="宋体" w:hAnsi="宋体"/>
                <w:color w:val="auto"/>
                <w:szCs w:val="21"/>
                <w:highlight w:val="none"/>
                <w:u w:val="single"/>
              </w:rPr>
              <w:t>。</w:t>
            </w:r>
          </w:p>
        </w:tc>
        <w:tc>
          <w:tcPr>
            <w:tcW w:w="67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7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10</w:t>
            </w:r>
          </w:p>
        </w:tc>
        <w:tc>
          <w:tcPr>
            <w:tcW w:w="658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Style w:val="38"/>
                <w:rFonts w:hint="default" w:cs="宋体"/>
                <w:color w:val="auto"/>
                <w:sz w:val="21"/>
                <w:szCs w:val="21"/>
                <w:highlight w:val="none"/>
              </w:rPr>
              <w:t>关于联合体投标：本项目</w:t>
            </w:r>
            <w:r>
              <w:rPr>
                <w:rStyle w:val="38"/>
                <w:rFonts w:hint="default" w:cs="宋体"/>
                <w:b/>
                <w:bCs/>
                <w:color w:val="auto"/>
                <w:sz w:val="21"/>
                <w:szCs w:val="21"/>
                <w:highlight w:val="none"/>
              </w:rPr>
              <w:t>接受</w:t>
            </w:r>
            <w:r>
              <w:rPr>
                <w:rStyle w:val="38"/>
                <w:rFonts w:hint="default" w:cs="宋体"/>
                <w:color w:val="auto"/>
                <w:sz w:val="21"/>
                <w:szCs w:val="21"/>
                <w:highlight w:val="none"/>
              </w:rPr>
              <w:t>联合体投标；</w:t>
            </w:r>
          </w:p>
        </w:tc>
        <w:tc>
          <w:tcPr>
            <w:tcW w:w="6742" w:type="dxa"/>
            <w:tcBorders>
              <w:top w:val="single" w:color="auto" w:sz="4" w:space="0"/>
              <w:left w:val="single" w:color="auto" w:sz="4" w:space="0"/>
              <w:bottom w:val="single" w:color="auto" w:sz="4" w:space="0"/>
              <w:right w:val="single" w:color="auto" w:sz="4" w:space="0"/>
            </w:tcBorders>
            <w:noWrap/>
            <w:vAlign w:val="center"/>
          </w:tcPr>
          <w:p>
            <w:pPr>
              <w:spacing w:before="120" w:after="60"/>
              <w:jc w:val="left"/>
              <w:rPr>
                <w:rFonts w:ascii="宋体" w:hAnsi="宋体" w:cs="宋体"/>
                <w:strike/>
                <w:color w:val="auto"/>
                <w:szCs w:val="21"/>
                <w:highlight w:val="none"/>
                <w:u w:val="single"/>
              </w:rPr>
            </w:pPr>
            <w:r>
              <w:rPr>
                <w:rFonts w:hint="eastAsia" w:ascii="宋体" w:hAnsi="宋体" w:eastAsia="宋体" w:cs="宋体"/>
                <w:color w:val="auto"/>
                <w:sz w:val="21"/>
                <w:szCs w:val="21"/>
                <w:highlight w:val="none"/>
                <w:u w:val="single"/>
              </w:rPr>
              <w:t>联合体工作协议</w:t>
            </w:r>
            <w:r>
              <w:rPr>
                <w:rFonts w:hint="eastAsia" w:ascii="宋体" w:hAnsi="宋体" w:eastAsia="宋体" w:cs="宋体"/>
                <w:color w:val="auto"/>
                <w:sz w:val="21"/>
                <w:szCs w:val="21"/>
                <w:highlight w:val="none"/>
                <w:u w:val="single"/>
                <w:lang w:val="en-US" w:eastAsia="zh-CN"/>
              </w:rPr>
              <w:t>清</w:t>
            </w:r>
            <w:r>
              <w:rPr>
                <w:rFonts w:hint="eastAsia" w:ascii="宋体" w:hAnsi="宋体" w:eastAsia="宋体" w:cs="宋体"/>
                <w:color w:val="auto"/>
                <w:szCs w:val="21"/>
                <w:highlight w:val="none"/>
                <w:lang w:val="en-US" w:eastAsia="zh-CN"/>
              </w:rPr>
              <w:t>晰扫描件，</w:t>
            </w:r>
            <w:r>
              <w:rPr>
                <w:rFonts w:hint="eastAsia" w:ascii="宋体" w:hAnsi="宋体" w:cs="宋体"/>
                <w:color w:val="auto"/>
                <w:szCs w:val="21"/>
                <w:highlight w:val="none"/>
              </w:rPr>
              <w:t>符合招标公告要求。</w:t>
            </w:r>
          </w:p>
        </w:tc>
        <w:tc>
          <w:tcPr>
            <w:tcW w:w="67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blHeader/>
          <w:jc w:val="center"/>
        </w:trPr>
        <w:tc>
          <w:tcPr>
            <w:tcW w:w="67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11</w:t>
            </w:r>
          </w:p>
        </w:tc>
        <w:tc>
          <w:tcPr>
            <w:tcW w:w="658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tLeast"/>
              <w:rPr>
                <w:rFonts w:ascii="宋体" w:hAnsi="宋体" w:cs="宋体"/>
                <w:color w:val="auto"/>
                <w:szCs w:val="21"/>
                <w:highlight w:val="none"/>
              </w:rPr>
            </w:pPr>
            <w:r>
              <w:rPr>
                <w:rFonts w:hint="eastAsia" w:ascii="宋体" w:hAnsi="宋体" w:cs="宋体"/>
                <w:color w:val="auto"/>
                <w:szCs w:val="21"/>
                <w:highlight w:val="none"/>
                <w:u w:val="single"/>
              </w:rPr>
              <w:t>资格审查前，投标人（若为联合体投标，指联合体各方）须在广州市住房和城乡建设局建立企业信用档案，拟担任本工程项目负责人、专职安全员须是联合体主办方企业信用档案中的在册人员；</w:t>
            </w:r>
          </w:p>
        </w:tc>
        <w:tc>
          <w:tcPr>
            <w:tcW w:w="674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tLeast"/>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u w:val="single"/>
              </w:rPr>
              <w:t>投标人无需提供证明资料</w:t>
            </w:r>
            <w:r>
              <w:rPr>
                <w:rFonts w:hint="eastAsia" w:ascii="宋体" w:hAnsi="宋体" w:cs="宋体"/>
                <w:bCs/>
                <w:color w:val="auto"/>
                <w:szCs w:val="21"/>
                <w:highlight w:val="none"/>
                <w:u w:val="single"/>
              </w:rPr>
              <w:t>。</w:t>
            </w:r>
            <w:r>
              <w:rPr>
                <w:rFonts w:hint="eastAsia" w:ascii="宋体" w:hAnsi="宋体" w:cs="宋体"/>
                <w:bCs/>
                <w:color w:val="auto"/>
                <w:szCs w:val="21"/>
                <w:highlight w:val="none"/>
                <w:u w:val="single"/>
                <w:lang w:eastAsia="zh-CN"/>
              </w:rPr>
              <w:t>按</w:t>
            </w:r>
            <w:r>
              <w:rPr>
                <w:rFonts w:hint="eastAsia" w:ascii="宋体" w:hAnsi="宋体" w:cs="宋体"/>
                <w:color w:val="auto"/>
                <w:szCs w:val="21"/>
                <w:highlight w:val="none"/>
              </w:rPr>
              <w:t>投标人在广州市住建行业信用管理平台内企业信用档案的企业和人员信息。</w:t>
            </w:r>
          </w:p>
        </w:tc>
        <w:tc>
          <w:tcPr>
            <w:tcW w:w="67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7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12</w:t>
            </w:r>
          </w:p>
        </w:tc>
        <w:tc>
          <w:tcPr>
            <w:tcW w:w="6583" w:type="dxa"/>
            <w:tcBorders>
              <w:top w:val="single" w:color="auto" w:sz="4" w:space="0"/>
              <w:left w:val="single" w:color="auto" w:sz="4" w:space="0"/>
              <w:bottom w:val="single" w:color="auto" w:sz="4" w:space="0"/>
              <w:right w:val="single" w:color="auto" w:sz="4" w:space="0"/>
            </w:tcBorders>
            <w:noWrap/>
            <w:vAlign w:val="center"/>
          </w:tcPr>
          <w:p>
            <w:pPr>
              <w:shd w:val="clear" w:color="auto" w:fill="auto"/>
              <w:jc w:val="left"/>
              <w:rPr>
                <w:rFonts w:ascii="宋体" w:hAnsi="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（若为联合体投标，指联合体各方）</w:t>
            </w:r>
            <w:r>
              <w:rPr>
                <w:rFonts w:hint="eastAsia" w:ascii="宋体" w:hAnsi="宋体" w:eastAsia="宋体" w:cs="宋体"/>
                <w:color w:val="auto"/>
                <w:szCs w:val="21"/>
                <w:highlight w:val="none"/>
              </w:rPr>
              <w:t>未出现以下情形：与其它投标人的单位负责人为同一人或者存在控股、管理关系的（按投标人提供的《投标人声明（适用于独立投标或联合体主办方）》第</w:t>
            </w:r>
            <w:r>
              <w:rPr>
                <w:rFonts w:hint="eastAsia" w:ascii="宋体" w:hAnsi="宋体" w:cs="宋体"/>
                <w:color w:val="auto"/>
                <w:szCs w:val="21"/>
                <w:highlight w:val="none"/>
                <w:lang w:val="en-US" w:eastAsia="zh-CN"/>
              </w:rPr>
              <w:t>九</w:t>
            </w:r>
            <w:r>
              <w:rPr>
                <w:rFonts w:hint="eastAsia" w:ascii="宋体" w:hAnsi="宋体" w:eastAsia="宋体" w:cs="宋体"/>
                <w:color w:val="auto"/>
                <w:szCs w:val="21"/>
                <w:highlight w:val="none"/>
              </w:rPr>
              <w:t>条内容和《投标人声明（适用于联合体成员方）》第七条内容（若为联合体投标，成员方需提供；若为独立投标人，无需提供）进行评审）。如不同投标申请人出现单位负责人为同一人或者存在控股、管理关系的情形，则均按不符合投标人合格条件处理。</w:t>
            </w:r>
          </w:p>
        </w:tc>
        <w:tc>
          <w:tcPr>
            <w:tcW w:w="6742" w:type="dxa"/>
            <w:tcBorders>
              <w:top w:val="single" w:color="auto" w:sz="4" w:space="0"/>
              <w:left w:val="single" w:color="auto" w:sz="4" w:space="0"/>
              <w:bottom w:val="single" w:color="auto" w:sz="4" w:space="0"/>
              <w:right w:val="single" w:color="auto" w:sz="4" w:space="0"/>
            </w:tcBorders>
            <w:noWrap/>
            <w:vAlign w:val="center"/>
          </w:tcPr>
          <w:p>
            <w:pPr>
              <w:shd w:val="clear" w:color="auto" w:fill="auto"/>
              <w:jc w:val="left"/>
              <w:rPr>
                <w:rFonts w:ascii="宋体" w:hAnsi="宋体" w:cs="宋体"/>
                <w:color w:val="auto"/>
                <w:szCs w:val="21"/>
                <w:highlight w:val="none"/>
              </w:rPr>
            </w:pPr>
            <w:r>
              <w:rPr>
                <w:rFonts w:hint="eastAsia" w:ascii="宋体" w:hAnsi="宋体"/>
                <w:color w:val="auto"/>
                <w:szCs w:val="21"/>
                <w:highlight w:val="none"/>
                <w:u w:val="single"/>
              </w:rPr>
              <w:t>《投标人声明（适用于独立投标或联合体主办方）》</w:t>
            </w:r>
            <w:r>
              <w:rPr>
                <w:rFonts w:hint="eastAsia" w:ascii="宋体" w:hAnsi="宋体" w:cs="宋体"/>
                <w:bCs/>
                <w:color w:val="auto"/>
                <w:szCs w:val="21"/>
                <w:highlight w:val="none"/>
                <w:u w:val="single"/>
              </w:rPr>
              <w:t>及《投标人声明（适用于联合体成员方）》（若为联合体投标，成员方需提供《投标人声明（适用于联合体成员方）》；若为独立投标人，无需提供《投标人声明（适用于联合体成员方）》）扫描件</w:t>
            </w:r>
            <w:r>
              <w:rPr>
                <w:rFonts w:hint="eastAsia" w:ascii="宋体" w:hAnsi="宋体" w:cs="宋体"/>
                <w:bCs/>
                <w:color w:val="auto"/>
                <w:szCs w:val="21"/>
                <w:highlight w:val="none"/>
                <w:u w:val="single"/>
                <w:lang w:eastAsia="zh-CN"/>
              </w:rPr>
              <w:t>。</w:t>
            </w:r>
          </w:p>
        </w:tc>
        <w:tc>
          <w:tcPr>
            <w:tcW w:w="67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7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13</w:t>
            </w:r>
          </w:p>
        </w:tc>
        <w:tc>
          <w:tcPr>
            <w:tcW w:w="6583"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u w:val="single"/>
              </w:rPr>
              <w:t>投标人（若为联合体投标，指联合体各方）</w:t>
            </w:r>
            <w:r>
              <w:rPr>
                <w:rFonts w:hint="eastAsia" w:ascii="宋体" w:hAnsi="宋体" w:cs="宋体"/>
                <w:color w:val="auto"/>
                <w:szCs w:val="21"/>
                <w:highlight w:val="none"/>
              </w:rPr>
              <w:t>未被列入拖欠农民工工资失信联合惩戒对象名单和失信被执行人</w:t>
            </w:r>
            <w:r>
              <w:rPr>
                <w:rFonts w:hint="eastAsia" w:ascii="宋体" w:hAnsi="宋体" w:cs="宋体"/>
                <w:color w:val="auto"/>
                <w:szCs w:val="21"/>
                <w:highlight w:val="none"/>
                <w:lang w:eastAsia="zh-CN"/>
              </w:rPr>
              <w:t>。</w:t>
            </w:r>
          </w:p>
        </w:tc>
        <w:tc>
          <w:tcPr>
            <w:tcW w:w="6742" w:type="dxa"/>
            <w:tcBorders>
              <w:top w:val="single" w:color="auto" w:sz="4" w:space="0"/>
              <w:left w:val="single" w:color="auto" w:sz="4" w:space="0"/>
              <w:bottom w:val="single" w:color="auto" w:sz="4" w:space="0"/>
              <w:right w:val="single" w:color="auto" w:sz="4" w:space="0"/>
            </w:tcBorders>
            <w:noWrap/>
            <w:vAlign w:val="center"/>
          </w:tcPr>
          <w:p>
            <w:pPr>
              <w:spacing w:before="120" w:after="60"/>
              <w:jc w:val="left"/>
              <w:rPr>
                <w:rFonts w:hint="eastAsia" w:ascii="宋体" w:hAnsi="宋体" w:eastAsia="宋体" w:cs="宋体"/>
                <w:color w:val="auto"/>
                <w:szCs w:val="21"/>
                <w:highlight w:val="none"/>
                <w:u w:val="single"/>
                <w:lang w:val="en-US" w:eastAsia="zh-CN"/>
              </w:rPr>
            </w:pPr>
            <w:r>
              <w:rPr>
                <w:rFonts w:hint="eastAsia" w:ascii="宋体" w:hAnsi="宋体" w:cs="宋体"/>
                <w:color w:val="auto"/>
                <w:szCs w:val="21"/>
                <w:highlight w:val="none"/>
              </w:rPr>
              <w:t>投标人无需提供资料，</w:t>
            </w:r>
            <w:r>
              <w:rPr>
                <w:rFonts w:hint="eastAsia" w:ascii="宋体" w:hAnsi="宋体"/>
                <w:color w:val="auto"/>
                <w:szCs w:val="21"/>
                <w:highlight w:val="none"/>
                <w:u w:val="single"/>
              </w:rPr>
              <w:t>投标截止时间广州交易集团有限公司（广州公共资源交易中心）</w:t>
            </w:r>
            <w:r>
              <w:rPr>
                <w:rFonts w:hint="eastAsia" w:ascii="宋体" w:hAnsi="宋体" w:cs="宋体"/>
                <w:color w:val="auto"/>
                <w:szCs w:val="21"/>
                <w:highlight w:val="none"/>
              </w:rPr>
              <w:t>交易系统比对的结果进行评审</w:t>
            </w:r>
            <w:r>
              <w:rPr>
                <w:rFonts w:hint="eastAsia" w:ascii="宋体" w:hAnsi="宋体" w:cs="宋体"/>
                <w:color w:val="auto"/>
                <w:szCs w:val="21"/>
                <w:highlight w:val="none"/>
                <w:lang w:val="en-US" w:eastAsia="zh-CN"/>
              </w:rPr>
              <w:t>。</w:t>
            </w:r>
          </w:p>
        </w:tc>
        <w:tc>
          <w:tcPr>
            <w:tcW w:w="67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7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hint="eastAsia" w:ascii="宋体" w:hAnsi="宋体" w:eastAsia="宋体" w:cs="宋体"/>
                <w:color w:val="auto"/>
                <w:kern w:val="2"/>
                <w:sz w:val="21"/>
                <w:szCs w:val="21"/>
                <w:highlight w:val="none"/>
                <w:u w:val="single"/>
                <w:lang w:val="en-US" w:eastAsia="zh-CN" w:bidi="ar-SA"/>
              </w:rPr>
            </w:pPr>
            <w:r>
              <w:rPr>
                <w:rFonts w:hint="eastAsia" w:ascii="宋体" w:hAnsi="宋体" w:cs="宋体"/>
                <w:color w:val="auto"/>
                <w:szCs w:val="21"/>
                <w:highlight w:val="none"/>
                <w:u w:val="single"/>
                <w:lang w:val="en-US" w:eastAsia="zh-CN"/>
              </w:rPr>
              <w:t>14</w:t>
            </w:r>
          </w:p>
        </w:tc>
        <w:tc>
          <w:tcPr>
            <w:tcW w:w="6583"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kern w:val="2"/>
                <w:sz w:val="21"/>
                <w:szCs w:val="21"/>
                <w:highlight w:val="none"/>
                <w:u w:val="single"/>
                <w:lang w:val="en-US" w:eastAsia="zh-CN" w:bidi="ar-SA"/>
              </w:rPr>
            </w:pPr>
            <w:r>
              <w:rPr>
                <w:rFonts w:hint="eastAsia" w:ascii="宋体" w:hAnsi="宋体" w:cs="宋体"/>
                <w:bCs/>
                <w:color w:val="auto"/>
                <w:kern w:val="0"/>
                <w:szCs w:val="21"/>
                <w:highlight w:val="none"/>
                <w:u w:val="single"/>
              </w:rPr>
              <w:t>投标人</w:t>
            </w:r>
            <w:r>
              <w:rPr>
                <w:rFonts w:hint="eastAsia" w:ascii="宋体" w:hAnsi="宋体" w:cs="宋体"/>
                <w:color w:val="auto"/>
                <w:szCs w:val="21"/>
                <w:highlight w:val="none"/>
                <w:u w:val="single"/>
              </w:rPr>
              <w:t>（若为联合体投标，指联合体各方）</w:t>
            </w:r>
            <w:r>
              <w:rPr>
                <w:rFonts w:hint="eastAsia" w:ascii="宋体" w:hAnsi="宋体" w:cs="宋体"/>
                <w:bCs/>
                <w:color w:val="auto"/>
                <w:kern w:val="0"/>
                <w:szCs w:val="21"/>
                <w:highlight w:val="none"/>
              </w:rPr>
              <w:t>未在以往工程中因不充分履约行为被本项目招标人书面拒绝投标的</w:t>
            </w:r>
            <w:r>
              <w:rPr>
                <w:rFonts w:hint="eastAsia" w:ascii="宋体" w:hAnsi="宋体" w:cs="宋体"/>
                <w:bCs/>
                <w:color w:val="auto"/>
                <w:kern w:val="0"/>
                <w:szCs w:val="21"/>
                <w:highlight w:val="none"/>
                <w:lang w:val="en-US" w:eastAsia="zh-CN"/>
              </w:rPr>
              <w:t>。</w:t>
            </w:r>
          </w:p>
        </w:tc>
        <w:tc>
          <w:tcPr>
            <w:tcW w:w="6742" w:type="dxa"/>
            <w:tcBorders>
              <w:top w:val="single" w:color="auto" w:sz="4" w:space="0"/>
              <w:left w:val="single" w:color="auto" w:sz="4" w:space="0"/>
              <w:bottom w:val="single" w:color="auto" w:sz="4" w:space="0"/>
              <w:right w:val="single" w:color="auto" w:sz="4" w:space="0"/>
            </w:tcBorders>
            <w:noWrap/>
            <w:vAlign w:val="center"/>
          </w:tcPr>
          <w:p>
            <w:pPr>
              <w:spacing w:before="120" w:after="60"/>
              <w:jc w:val="left"/>
              <w:rPr>
                <w:rFonts w:hint="eastAsia" w:ascii="宋体" w:hAnsi="宋体" w:eastAsia="宋体" w:cs="宋体"/>
                <w:color w:val="auto"/>
                <w:kern w:val="2"/>
                <w:sz w:val="21"/>
                <w:szCs w:val="21"/>
                <w:highlight w:val="none"/>
                <w:u w:val="single"/>
                <w:lang w:val="en-US" w:eastAsia="zh-CN" w:bidi="ar-SA"/>
              </w:rPr>
            </w:pPr>
            <w:r>
              <w:rPr>
                <w:rFonts w:hint="eastAsia" w:ascii="宋体" w:hAnsi="宋体" w:cs="宋体"/>
                <w:bCs/>
                <w:color w:val="auto"/>
                <w:kern w:val="0"/>
                <w:szCs w:val="21"/>
                <w:highlight w:val="none"/>
                <w:u w:val="single"/>
              </w:rPr>
              <w:t>投标人无需提供资料，资格审查时，按招标公告附件</w:t>
            </w:r>
            <w:r>
              <w:rPr>
                <w:rFonts w:hint="eastAsia" w:ascii="宋体" w:hAnsi="宋体" w:cs="宋体"/>
                <w:bCs/>
                <w:color w:val="auto"/>
                <w:kern w:val="0"/>
                <w:szCs w:val="21"/>
                <w:highlight w:val="none"/>
                <w:u w:val="single"/>
                <w:lang w:val="en-US" w:eastAsia="zh-CN"/>
              </w:rPr>
              <w:t>三</w:t>
            </w:r>
            <w:r>
              <w:rPr>
                <w:rFonts w:hint="eastAsia" w:ascii="宋体" w:hAnsi="宋体" w:cs="宋体"/>
                <w:bCs/>
                <w:color w:val="auto"/>
                <w:kern w:val="0"/>
                <w:szCs w:val="21"/>
                <w:highlight w:val="none"/>
                <w:u w:val="single"/>
              </w:rPr>
              <w:t>《被招标人拒绝投标的企业名单》进行评审。</w:t>
            </w:r>
          </w:p>
        </w:tc>
        <w:tc>
          <w:tcPr>
            <w:tcW w:w="67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color w:val="auto"/>
                <w:szCs w:val="21"/>
                <w:highlight w:val="none"/>
              </w:rPr>
            </w:pPr>
          </w:p>
        </w:tc>
      </w:tr>
    </w:tbl>
    <w:p>
      <w:pPr>
        <w:snapToGrid w:val="0"/>
        <w:spacing w:line="36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备注：1.每一项目符合的打“○”，不符合的打“×”；</w:t>
      </w:r>
    </w:p>
    <w:p>
      <w:pPr>
        <w:snapToGrid w:val="0"/>
        <w:spacing w:line="36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2.若评委意见不一致时，则按少数服从多数的原则，作出评审结论。汇总后，出现一个“×”的结论为“不通过”。</w:t>
      </w:r>
    </w:p>
    <w:p>
      <w:pPr>
        <w:snapToGrid w:val="0"/>
        <w:spacing w:line="36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snapToGrid w:val="0"/>
        <w:spacing w:line="360" w:lineRule="auto"/>
        <w:rPr>
          <w:rFonts w:ascii="宋体" w:hAnsi="宋体" w:cs="宋体"/>
          <w:color w:val="auto"/>
          <w:highlight w:val="none"/>
        </w:rPr>
        <w:sectPr>
          <w:endnotePr>
            <w:numFmt w:val="decimal"/>
          </w:endnotePr>
          <w:pgSz w:w="16838" w:h="11906" w:orient="landscape"/>
          <w:pgMar w:top="1218" w:right="1134" w:bottom="1418" w:left="1247" w:header="851" w:footer="907" w:gutter="0"/>
          <w:cols w:space="720" w:num="1"/>
          <w:titlePg/>
          <w:docGrid w:type="linesAndChars" w:linePitch="312" w:charSpace="0"/>
        </w:sectPr>
      </w:pP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附表二</w:t>
      </w:r>
    </w:p>
    <w:p>
      <w:pPr>
        <w:snapToGrid w:val="0"/>
        <w:spacing w:line="276"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技术标有效性审查表</w:t>
      </w:r>
    </w:p>
    <w:p>
      <w:pPr>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工程名称：</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0181"/>
        <w:gridCol w:w="801"/>
        <w:gridCol w:w="801"/>
        <w:gridCol w:w="801"/>
        <w:gridCol w:w="801"/>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52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序号</w:t>
            </w:r>
          </w:p>
        </w:tc>
        <w:tc>
          <w:tcPr>
            <w:tcW w:w="10181" w:type="dxa"/>
            <w:tcBorders>
              <w:top w:val="single" w:color="auto" w:sz="4" w:space="0"/>
              <w:left w:val="single" w:color="auto" w:sz="4" w:space="0"/>
              <w:bottom w:val="single" w:color="auto" w:sz="4" w:space="0"/>
              <w:right w:val="single" w:color="auto" w:sz="4" w:space="0"/>
              <w:tl2br w:val="single" w:color="auto" w:sz="4" w:space="0"/>
            </w:tcBorders>
            <w:noWrap/>
          </w:tcPr>
          <w:p>
            <w:pPr>
              <w:adjustRightInd w:val="0"/>
              <w:snapToGrid w:val="0"/>
              <w:spacing w:line="360" w:lineRule="auto"/>
              <w:ind w:firstLine="6510" w:firstLineChars="3100"/>
              <w:rPr>
                <w:rFonts w:ascii="宋体" w:hAnsi="宋体" w:cs="宋体"/>
                <w:color w:val="auto"/>
                <w:szCs w:val="21"/>
                <w:highlight w:val="none"/>
              </w:rPr>
            </w:pPr>
            <w:r>
              <w:rPr>
                <w:rFonts w:hint="eastAsia" w:ascii="宋体" w:hAnsi="宋体" w:cs="宋体"/>
                <w:color w:val="auto"/>
                <w:szCs w:val="21"/>
                <w:highlight w:val="none"/>
              </w:rPr>
              <w:t>投标人</w:t>
            </w:r>
          </w:p>
          <w:p>
            <w:pPr>
              <w:adjustRightInd w:val="0"/>
              <w:snapToGrid w:val="0"/>
              <w:spacing w:line="360" w:lineRule="auto"/>
              <w:rPr>
                <w:rFonts w:ascii="宋体" w:hAnsi="宋体" w:cs="宋体"/>
                <w:color w:val="auto"/>
                <w:szCs w:val="21"/>
                <w:highlight w:val="none"/>
              </w:rPr>
            </w:pP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评审内容</w:t>
            </w:r>
          </w:p>
        </w:tc>
        <w:tc>
          <w:tcPr>
            <w:tcW w:w="80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2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w:t>
            </w:r>
          </w:p>
        </w:tc>
        <w:tc>
          <w:tcPr>
            <w:tcW w:w="1018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u w:val="single"/>
              </w:rPr>
            </w:pPr>
            <w:r>
              <w:rPr>
                <w:rFonts w:hint="eastAsia" w:ascii="宋体" w:hAnsi="宋体" w:cs="宋体"/>
                <w:color w:val="auto"/>
                <w:szCs w:val="21"/>
                <w:highlight w:val="none"/>
                <w:u w:val="single"/>
              </w:rPr>
              <w:t>《广州建设工程施工招标投标书（技术标）》中填报的投标总工期不符合招标文件要求的；</w:t>
            </w:r>
          </w:p>
        </w:tc>
        <w:tc>
          <w:tcPr>
            <w:tcW w:w="80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2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w:t>
            </w:r>
          </w:p>
        </w:tc>
        <w:tc>
          <w:tcPr>
            <w:tcW w:w="1018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u w:val="single"/>
              </w:rPr>
              <w:t>《广州建设工程施工招标投标书（技术标）》中填报的工程质量标准不符合招标文件要求的；</w:t>
            </w:r>
          </w:p>
        </w:tc>
        <w:tc>
          <w:tcPr>
            <w:tcW w:w="80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3</w:t>
            </w:r>
          </w:p>
        </w:tc>
        <w:tc>
          <w:tcPr>
            <w:tcW w:w="1018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投标文件中没有有效的法定代表人证明书，或由委托代理人签署的投标文件中没有法定代表人授权书；</w:t>
            </w:r>
          </w:p>
        </w:tc>
        <w:tc>
          <w:tcPr>
            <w:tcW w:w="80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4</w:t>
            </w:r>
          </w:p>
        </w:tc>
        <w:tc>
          <w:tcPr>
            <w:tcW w:w="1018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u w:val="single"/>
              </w:rPr>
            </w:pPr>
            <w:r>
              <w:rPr>
                <w:rFonts w:hint="eastAsia" w:ascii="宋体" w:hAnsi="宋体" w:cs="宋体"/>
                <w:color w:val="auto"/>
                <w:szCs w:val="21"/>
                <w:highlight w:val="none"/>
              </w:rPr>
              <w:t>投标文件未按规定的格式</w:t>
            </w:r>
            <w:r>
              <w:rPr>
                <w:rFonts w:hint="eastAsia" w:ascii="宋体" w:hAnsi="宋体" w:cs="宋体"/>
                <w:color w:val="auto"/>
                <w:szCs w:val="21"/>
                <w:highlight w:val="none"/>
                <w:u w:val="single"/>
              </w:rPr>
              <w:t>（指招标文件第四章提供格式的《广州建设工程施工招标投标书（技术标）》《投标函》《标函承诺书》《项目负责人驻场承诺书》《投入项目负责人及专职安全员承诺书》《危险性较大的分部分项工程安全管理措施》）</w:t>
            </w:r>
            <w:r>
              <w:rPr>
                <w:rFonts w:hint="eastAsia" w:ascii="宋体" w:hAnsi="宋体" w:cs="宋体"/>
                <w:color w:val="auto"/>
                <w:szCs w:val="21"/>
                <w:highlight w:val="none"/>
              </w:rPr>
              <w:t>填写，或主要内容（指投标文件组成内容）不全，或关键字迹模糊、无法辨认的；</w:t>
            </w:r>
          </w:p>
        </w:tc>
        <w:tc>
          <w:tcPr>
            <w:tcW w:w="80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5</w:t>
            </w:r>
          </w:p>
        </w:tc>
        <w:tc>
          <w:tcPr>
            <w:tcW w:w="1018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投标人之间存在《广东省实施&lt;中华人民共和国招标投标法&gt;》第十六条所禁止的情形的；</w:t>
            </w:r>
          </w:p>
        </w:tc>
        <w:tc>
          <w:tcPr>
            <w:tcW w:w="80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6</w:t>
            </w:r>
          </w:p>
        </w:tc>
        <w:tc>
          <w:tcPr>
            <w:tcW w:w="1018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无</w:t>
            </w:r>
            <w:r>
              <w:rPr>
                <w:rFonts w:hint="eastAsia" w:ascii="宋体" w:hAnsi="宋体" w:cs="宋体"/>
                <w:color w:val="auto"/>
                <w:szCs w:val="21"/>
                <w:highlight w:val="none"/>
                <w:u w:val="single"/>
              </w:rPr>
              <w:t>提交</w:t>
            </w:r>
            <w:r>
              <w:rPr>
                <w:rFonts w:hint="eastAsia" w:ascii="宋体" w:hAnsi="宋体" w:cs="宋体"/>
                <w:color w:val="auto"/>
                <w:szCs w:val="21"/>
                <w:highlight w:val="none"/>
              </w:rPr>
              <w:t>《参与编制技术标投标文件人员名单》</w:t>
            </w:r>
            <w:r>
              <w:rPr>
                <w:rFonts w:hint="eastAsia" w:ascii="宋体" w:hAnsi="宋体" w:cs="宋体"/>
                <w:color w:val="auto"/>
                <w:szCs w:val="21"/>
                <w:highlight w:val="none"/>
                <w:u w:val="single"/>
              </w:rPr>
              <w:t>或无按要求提供参与编制技术标投标文件人员有效社保证明材料</w:t>
            </w:r>
            <w:r>
              <w:rPr>
                <w:rFonts w:hint="eastAsia" w:ascii="宋体" w:hAnsi="宋体" w:cs="宋体"/>
                <w:color w:val="auto"/>
                <w:szCs w:val="21"/>
                <w:highlight w:val="none"/>
              </w:rPr>
              <w:t>的；</w:t>
            </w:r>
          </w:p>
        </w:tc>
        <w:tc>
          <w:tcPr>
            <w:tcW w:w="80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shd w:val="pct10" w:color="auto" w:fill="FFFFFF"/>
              </w:rPr>
            </w:pPr>
          </w:p>
        </w:tc>
        <w:tc>
          <w:tcPr>
            <w:tcW w:w="80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shd w:val="pct10" w:color="auto" w:fill="FFFFFF"/>
              </w:rPr>
            </w:pPr>
          </w:p>
        </w:tc>
        <w:tc>
          <w:tcPr>
            <w:tcW w:w="80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shd w:val="pct10" w:color="auto" w:fill="FFFFFF"/>
              </w:rPr>
            </w:pPr>
          </w:p>
        </w:tc>
        <w:tc>
          <w:tcPr>
            <w:tcW w:w="80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shd w:val="pct10" w:color="auto" w:fill="FFFFFF"/>
              </w:rPr>
            </w:pPr>
          </w:p>
        </w:tc>
        <w:tc>
          <w:tcPr>
            <w:tcW w:w="80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7</w:t>
            </w:r>
          </w:p>
        </w:tc>
        <w:tc>
          <w:tcPr>
            <w:tcW w:w="1018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投标人与本项目其他投标人加密打包投标文件电脑机器特征码一致的[以</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交易平台评标系统的检索信息为准]。</w:t>
            </w:r>
          </w:p>
        </w:tc>
        <w:tc>
          <w:tcPr>
            <w:tcW w:w="80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r>
    </w:tbl>
    <w:p>
      <w:pPr>
        <w:snapToGrid w:val="0"/>
        <w:rPr>
          <w:rFonts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pPr>
        <w:snapToGrid w:val="0"/>
        <w:rPr>
          <w:rFonts w:ascii="宋体" w:hAnsi="宋体" w:cs="宋体"/>
          <w:color w:val="auto"/>
          <w:szCs w:val="21"/>
          <w:highlight w:val="none"/>
        </w:rPr>
      </w:pPr>
      <w:r>
        <w:rPr>
          <w:rFonts w:hint="eastAsia" w:ascii="宋体" w:hAnsi="宋体" w:cs="宋体"/>
          <w:color w:val="auto"/>
          <w:szCs w:val="21"/>
          <w:highlight w:val="none"/>
        </w:rPr>
        <w:t xml:space="preserve">    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3.凡出现以上任何一项情形，结论均为无效，否则就为有效。</w:t>
      </w:r>
    </w:p>
    <w:p>
      <w:pPr>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4.如对本表中某种情形的评审意见不一致时，以评标委员会过半数成员的意见作为评标委员会对该情形的认定结论。</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评委签名：</w:t>
      </w:r>
      <w:r>
        <w:rPr>
          <w:rFonts w:hint="eastAsia" w:ascii="宋体" w:hAnsi="宋体" w:cs="宋体"/>
          <w:color w:val="auto"/>
          <w:szCs w:val="21"/>
          <w:highlight w:val="none"/>
          <w:lang w:val="en-US" w:eastAsia="zh-CN"/>
        </w:rPr>
        <w:t xml:space="preserve">                                        日期：</w:t>
      </w:r>
      <w:r>
        <w:rPr>
          <w:rFonts w:hint="eastAsia" w:ascii="宋体" w:hAnsi="宋体" w:cs="宋体"/>
          <w:color w:val="auto"/>
          <w:highlight w:val="none"/>
        </w:rPr>
        <w:br w:type="page"/>
      </w:r>
      <w:r>
        <w:rPr>
          <w:rFonts w:hint="eastAsia" w:ascii="宋体" w:hAnsi="宋体" w:cs="宋体"/>
          <w:color w:val="auto"/>
          <w:szCs w:val="21"/>
          <w:highlight w:val="none"/>
        </w:rPr>
        <w:t>附表三</w:t>
      </w:r>
    </w:p>
    <w:p>
      <w:pP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经济标有效性审查表</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工程名称：</w:t>
      </w:r>
    </w:p>
    <w:tbl>
      <w:tblPr>
        <w:tblStyle w:val="3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0775"/>
        <w:gridCol w:w="680"/>
        <w:gridCol w:w="680"/>
        <w:gridCol w:w="681"/>
        <w:gridCol w:w="680"/>
        <w:gridCol w:w="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序号</w:t>
            </w:r>
          </w:p>
        </w:tc>
        <w:tc>
          <w:tcPr>
            <w:tcW w:w="10775" w:type="dxa"/>
            <w:tcBorders>
              <w:top w:val="single" w:color="auto" w:sz="4" w:space="0"/>
              <w:left w:val="single" w:color="auto" w:sz="4" w:space="0"/>
              <w:bottom w:val="single" w:color="auto" w:sz="4" w:space="0"/>
              <w:right w:val="single" w:color="auto" w:sz="4" w:space="0"/>
              <w:tl2br w:val="single" w:color="auto" w:sz="4" w:space="0"/>
            </w:tcBorders>
            <w:noWrap/>
          </w:tcPr>
          <w:p>
            <w:pPr>
              <w:snapToGrid w:val="0"/>
              <w:spacing w:line="360" w:lineRule="auto"/>
              <w:ind w:firstLine="6720" w:firstLineChars="3200"/>
              <w:rPr>
                <w:rFonts w:ascii="宋体" w:hAnsi="宋体" w:cs="宋体"/>
                <w:color w:val="auto"/>
                <w:szCs w:val="21"/>
                <w:highlight w:val="none"/>
              </w:rPr>
            </w:pPr>
            <w:r>
              <w:rPr>
                <w:rFonts w:hint="eastAsia" w:ascii="宋体" w:hAnsi="宋体" w:cs="宋体"/>
                <w:color w:val="auto"/>
                <w:szCs w:val="21"/>
                <w:highlight w:val="none"/>
              </w:rPr>
              <w:t>投标人</w:t>
            </w:r>
          </w:p>
          <w:p>
            <w:pPr>
              <w:snapToGrid w:val="0"/>
              <w:spacing w:line="360" w:lineRule="auto"/>
              <w:rPr>
                <w:rFonts w:ascii="宋体" w:hAnsi="宋体" w:cs="宋体"/>
                <w:color w:val="auto"/>
                <w:szCs w:val="21"/>
                <w:highlight w:val="none"/>
              </w:rPr>
            </w:pP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评审内容</w:t>
            </w:r>
          </w:p>
        </w:tc>
        <w:tc>
          <w:tcPr>
            <w:tcW w:w="680"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680"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681"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680"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681"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pPr>
              <w:ind w:left="105" w:leftChars="50"/>
              <w:rPr>
                <w:rFonts w:ascii="宋体" w:hAnsi="宋体" w:cs="宋体"/>
                <w:color w:val="auto"/>
                <w:szCs w:val="21"/>
                <w:highlight w:val="none"/>
              </w:rPr>
            </w:pPr>
            <w:r>
              <w:rPr>
                <w:rFonts w:hint="eastAsia" w:ascii="宋体" w:hAnsi="宋体" w:cs="宋体"/>
                <w:color w:val="auto"/>
                <w:szCs w:val="21"/>
                <w:highlight w:val="none"/>
              </w:rPr>
              <w:t>1</w:t>
            </w:r>
          </w:p>
        </w:tc>
        <w:tc>
          <w:tcPr>
            <w:tcW w:w="10775"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对同一招标项目出现两个或以上的投标报价，且没有申明哪个有效；</w:t>
            </w:r>
          </w:p>
        </w:tc>
        <w:tc>
          <w:tcPr>
            <w:tcW w:w="680"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680"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681"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680"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681"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pPr>
              <w:ind w:left="105" w:leftChars="50"/>
              <w:rPr>
                <w:rFonts w:ascii="宋体" w:hAnsi="宋体" w:cs="宋体"/>
                <w:color w:val="auto"/>
                <w:szCs w:val="21"/>
                <w:highlight w:val="none"/>
              </w:rPr>
            </w:pPr>
            <w:r>
              <w:rPr>
                <w:rFonts w:hint="eastAsia" w:ascii="宋体" w:hAnsi="宋体" w:cs="宋体"/>
                <w:color w:val="auto"/>
                <w:szCs w:val="21"/>
                <w:highlight w:val="none"/>
              </w:rPr>
              <w:t>2</w:t>
            </w:r>
          </w:p>
        </w:tc>
        <w:tc>
          <w:tcPr>
            <w:tcW w:w="10775"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投标报价高于最高投标限价的；</w:t>
            </w:r>
          </w:p>
        </w:tc>
        <w:tc>
          <w:tcPr>
            <w:tcW w:w="680"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680"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681"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680"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681"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532" w:type="dxa"/>
            <w:tcBorders>
              <w:top w:val="single" w:color="auto" w:sz="4" w:space="0"/>
              <w:left w:val="single" w:color="auto" w:sz="4" w:space="0"/>
              <w:bottom w:val="single" w:color="auto" w:sz="4" w:space="0"/>
              <w:right w:val="single" w:color="auto" w:sz="4" w:space="0"/>
            </w:tcBorders>
            <w:noWrap/>
            <w:vAlign w:val="center"/>
          </w:tcPr>
          <w:p>
            <w:pPr>
              <w:ind w:left="105" w:leftChars="50"/>
              <w:rPr>
                <w:rFonts w:ascii="宋体" w:hAnsi="宋体" w:cs="宋体"/>
                <w:color w:val="auto"/>
                <w:szCs w:val="21"/>
                <w:highlight w:val="none"/>
              </w:rPr>
            </w:pPr>
            <w:r>
              <w:rPr>
                <w:rFonts w:hint="eastAsia" w:ascii="宋体" w:hAnsi="宋体" w:cs="宋体"/>
                <w:color w:val="auto"/>
                <w:szCs w:val="21"/>
                <w:highlight w:val="none"/>
              </w:rPr>
              <w:t>3</w:t>
            </w:r>
          </w:p>
        </w:tc>
        <w:tc>
          <w:tcPr>
            <w:tcW w:w="10775"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color w:val="auto"/>
                <w:szCs w:val="21"/>
                <w:highlight w:val="none"/>
              </w:rPr>
            </w:pPr>
            <w:r>
              <w:rPr>
                <w:rFonts w:hint="eastAsia" w:ascii="宋体" w:hAnsi="宋体" w:cs="宋体"/>
                <w:color w:val="auto"/>
                <w:szCs w:val="21"/>
                <w:highlight w:val="none"/>
              </w:rPr>
              <w:t>投标报价低于成本的</w:t>
            </w:r>
            <w:r>
              <w:rPr>
                <w:rFonts w:hint="eastAsia" w:ascii="宋体" w:hAnsi="宋体" w:cs="宋体"/>
                <w:color w:val="auto"/>
                <w:szCs w:val="21"/>
                <w:highlight w:val="none"/>
                <w:u w:val="single"/>
              </w:rPr>
              <w:t>（投标人的报价明显低于其他投标报价或者低于成本警</w:t>
            </w:r>
            <w:r>
              <w:rPr>
                <w:rFonts w:hint="eastAsia" w:ascii="宋体" w:hAnsi="宋体" w:cs="宋体"/>
                <w:color w:val="auto"/>
                <w:szCs w:val="21"/>
                <w:highlight w:val="none"/>
                <w:u w:val="single"/>
                <w:lang w:val="en-US" w:eastAsia="zh-CN"/>
              </w:rPr>
              <w:t>示</w:t>
            </w:r>
            <w:r>
              <w:rPr>
                <w:rFonts w:hint="eastAsia" w:ascii="宋体" w:hAnsi="宋体" w:cs="宋体"/>
                <w:color w:val="auto"/>
                <w:szCs w:val="21"/>
                <w:highlight w:val="none"/>
                <w:u w:val="single"/>
              </w:rPr>
              <w:t>价，使得其投标报价可能低于其个别成本的，应当要求该投标人作出书面说明并提供相关证明材料。投标人不能合理说明或者不能提供相关证明材料的，由评标委员会认定该投标人以低于成本报价竞标）；</w:t>
            </w:r>
          </w:p>
        </w:tc>
        <w:tc>
          <w:tcPr>
            <w:tcW w:w="680"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680"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681"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680"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681"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532" w:type="dxa"/>
            <w:tcBorders>
              <w:top w:val="single" w:color="auto" w:sz="4" w:space="0"/>
              <w:left w:val="single" w:color="auto" w:sz="4" w:space="0"/>
              <w:bottom w:val="single" w:color="auto" w:sz="4" w:space="0"/>
              <w:right w:val="single" w:color="auto" w:sz="4" w:space="0"/>
            </w:tcBorders>
            <w:noWrap/>
            <w:vAlign w:val="center"/>
          </w:tcPr>
          <w:p>
            <w:pPr>
              <w:ind w:left="105" w:leftChars="50"/>
              <w:rPr>
                <w:rFonts w:ascii="宋体" w:hAnsi="宋体" w:cs="宋体"/>
                <w:color w:val="auto"/>
                <w:szCs w:val="21"/>
                <w:highlight w:val="none"/>
              </w:rPr>
            </w:pPr>
            <w:r>
              <w:rPr>
                <w:rFonts w:hint="eastAsia" w:ascii="宋体" w:hAnsi="宋体" w:cs="宋体"/>
                <w:color w:val="auto"/>
                <w:szCs w:val="21"/>
                <w:highlight w:val="none"/>
              </w:rPr>
              <w:t>4</w:t>
            </w:r>
          </w:p>
        </w:tc>
        <w:tc>
          <w:tcPr>
            <w:tcW w:w="1077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color w:val="auto"/>
                <w:szCs w:val="21"/>
                <w:highlight w:val="none"/>
              </w:rPr>
            </w:pPr>
            <w:r>
              <w:rPr>
                <w:rFonts w:hint="eastAsia" w:ascii="宋体" w:hAnsi="宋体" w:cs="宋体"/>
                <w:color w:val="auto"/>
                <w:szCs w:val="21"/>
                <w:highlight w:val="none"/>
              </w:rPr>
              <w:t>投标文件未按规定的格式</w:t>
            </w:r>
            <w:r>
              <w:rPr>
                <w:rFonts w:hint="eastAsia" w:ascii="宋体" w:hAnsi="宋体" w:cs="宋体"/>
                <w:color w:val="auto"/>
                <w:szCs w:val="21"/>
                <w:highlight w:val="none"/>
                <w:u w:val="single"/>
              </w:rPr>
              <w:t>（指招标文件第四章提供格式的《广州建设工程施工招标投标书（经济标）》《对投标文件编制的承诺》）</w:t>
            </w:r>
            <w:r>
              <w:rPr>
                <w:rFonts w:hint="eastAsia" w:ascii="宋体" w:hAnsi="宋体" w:cs="宋体"/>
                <w:color w:val="auto"/>
                <w:szCs w:val="21"/>
                <w:highlight w:val="none"/>
              </w:rPr>
              <w:t>填写，或主要内容不全，或关键字迹模糊、无法辨认的；</w:t>
            </w:r>
          </w:p>
        </w:tc>
        <w:tc>
          <w:tcPr>
            <w:tcW w:w="680"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680"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681"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680"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681"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pPr>
              <w:ind w:left="105" w:leftChars="50"/>
              <w:rPr>
                <w:rFonts w:ascii="宋体" w:hAnsi="宋体" w:cs="宋体"/>
                <w:color w:val="auto"/>
                <w:szCs w:val="21"/>
                <w:highlight w:val="none"/>
              </w:rPr>
            </w:pPr>
            <w:r>
              <w:rPr>
                <w:rFonts w:hint="eastAsia" w:ascii="宋体" w:hAnsi="宋体" w:cs="宋体"/>
                <w:color w:val="auto"/>
                <w:szCs w:val="21"/>
                <w:highlight w:val="none"/>
              </w:rPr>
              <w:t>5</w:t>
            </w:r>
          </w:p>
        </w:tc>
        <w:tc>
          <w:tcPr>
            <w:tcW w:w="1077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投标人之间存在《广东省实施&lt;中华人民共和国招标投标法&gt;》第十六条所禁止的情形的；</w:t>
            </w:r>
          </w:p>
        </w:tc>
        <w:tc>
          <w:tcPr>
            <w:tcW w:w="680"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680"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681"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680"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681"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pPr>
              <w:ind w:left="105" w:leftChars="50"/>
              <w:rPr>
                <w:rFonts w:ascii="宋体" w:hAnsi="宋体" w:cs="宋体"/>
                <w:color w:val="auto"/>
                <w:szCs w:val="21"/>
                <w:highlight w:val="none"/>
              </w:rPr>
            </w:pPr>
            <w:r>
              <w:rPr>
                <w:rFonts w:hint="eastAsia" w:ascii="宋体" w:hAnsi="宋体" w:cs="宋体"/>
                <w:color w:val="auto"/>
                <w:szCs w:val="21"/>
                <w:highlight w:val="none"/>
              </w:rPr>
              <w:t>6</w:t>
            </w:r>
          </w:p>
        </w:tc>
        <w:tc>
          <w:tcPr>
            <w:tcW w:w="1077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color w:val="auto"/>
                <w:szCs w:val="21"/>
                <w:highlight w:val="none"/>
              </w:rPr>
            </w:pPr>
            <w:r>
              <w:rPr>
                <w:rFonts w:hint="eastAsia" w:ascii="宋体" w:hAnsi="宋体" w:cs="宋体"/>
                <w:color w:val="auto"/>
                <w:szCs w:val="21"/>
                <w:highlight w:val="none"/>
              </w:rPr>
              <w:t>无</w:t>
            </w:r>
            <w:r>
              <w:rPr>
                <w:rFonts w:hint="eastAsia" w:ascii="宋体" w:hAnsi="宋体" w:cs="宋体"/>
                <w:color w:val="auto"/>
                <w:szCs w:val="21"/>
                <w:highlight w:val="none"/>
                <w:u w:val="single"/>
              </w:rPr>
              <w:t>提交</w:t>
            </w:r>
            <w:r>
              <w:rPr>
                <w:rFonts w:hint="eastAsia" w:ascii="宋体" w:hAnsi="宋体" w:cs="宋体"/>
                <w:color w:val="auto"/>
                <w:szCs w:val="21"/>
                <w:highlight w:val="none"/>
              </w:rPr>
              <w:t>《参与编制经济标投标文件人员名单》</w:t>
            </w:r>
            <w:r>
              <w:rPr>
                <w:rFonts w:hint="eastAsia" w:ascii="宋体" w:hAnsi="宋体" w:cs="宋体"/>
                <w:color w:val="auto"/>
                <w:szCs w:val="21"/>
                <w:highlight w:val="none"/>
                <w:u w:val="single"/>
              </w:rPr>
              <w:t>或无按要求提供参与编制经济标投标文件人员有效社保证明材料</w:t>
            </w:r>
            <w:r>
              <w:rPr>
                <w:rFonts w:hint="eastAsia" w:ascii="宋体" w:hAnsi="宋体" w:cs="宋体"/>
                <w:color w:val="auto"/>
                <w:szCs w:val="21"/>
                <w:highlight w:val="none"/>
              </w:rPr>
              <w:t>的；</w:t>
            </w:r>
          </w:p>
        </w:tc>
        <w:tc>
          <w:tcPr>
            <w:tcW w:w="680"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680"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681"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680"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681"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pPr>
              <w:ind w:left="105" w:leftChars="50"/>
              <w:rPr>
                <w:rFonts w:ascii="宋体" w:hAnsi="宋体" w:cs="宋体"/>
                <w:color w:val="auto"/>
                <w:szCs w:val="21"/>
                <w:highlight w:val="none"/>
              </w:rPr>
            </w:pPr>
            <w:r>
              <w:rPr>
                <w:rFonts w:hint="eastAsia" w:ascii="宋体" w:hAnsi="宋体" w:cs="宋体"/>
                <w:color w:val="auto"/>
                <w:szCs w:val="21"/>
                <w:highlight w:val="none"/>
              </w:rPr>
              <w:t>7</w:t>
            </w:r>
          </w:p>
        </w:tc>
        <w:tc>
          <w:tcPr>
            <w:tcW w:w="1077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无《对投标文件编制的承诺》；</w:t>
            </w:r>
          </w:p>
        </w:tc>
        <w:tc>
          <w:tcPr>
            <w:tcW w:w="680"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680"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681"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680"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681"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532" w:type="dxa"/>
            <w:tcBorders>
              <w:top w:val="single" w:color="auto" w:sz="4" w:space="0"/>
              <w:left w:val="single" w:color="auto" w:sz="4" w:space="0"/>
              <w:bottom w:val="single" w:color="auto" w:sz="4" w:space="0"/>
              <w:right w:val="single" w:color="auto" w:sz="4" w:space="0"/>
            </w:tcBorders>
            <w:noWrap/>
            <w:vAlign w:val="center"/>
          </w:tcPr>
          <w:p>
            <w:pPr>
              <w:ind w:left="105" w:leftChars="50"/>
              <w:rPr>
                <w:rFonts w:hint="eastAsia" w:ascii="宋体" w:hAnsi="宋体" w:cs="宋体"/>
                <w:color w:val="auto"/>
                <w:szCs w:val="21"/>
                <w:highlight w:val="none"/>
              </w:rPr>
            </w:pPr>
            <w:r>
              <w:rPr>
                <w:rFonts w:hint="eastAsia" w:ascii="宋体" w:hAnsi="宋体"/>
                <w:color w:val="auto"/>
                <w:szCs w:val="21"/>
                <w:highlight w:val="none"/>
              </w:rPr>
              <w:t>8</w:t>
            </w:r>
          </w:p>
        </w:tc>
        <w:tc>
          <w:tcPr>
            <w:tcW w:w="1077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投标人与本项目其他投标人的投标文件工程量清单编制机器硬件信息一致的[以</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交易平台评标系统的检索信息为准]。</w:t>
            </w:r>
          </w:p>
        </w:tc>
        <w:tc>
          <w:tcPr>
            <w:tcW w:w="680"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680"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681"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680"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c>
          <w:tcPr>
            <w:tcW w:w="681"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宋体" w:hAnsi="宋体" w:cs="宋体"/>
                <w:color w:val="auto"/>
                <w:szCs w:val="21"/>
                <w:highlight w:val="none"/>
              </w:rPr>
            </w:pPr>
          </w:p>
        </w:tc>
      </w:tr>
    </w:tbl>
    <w:p>
      <w:pPr>
        <w:snapToGrid w:val="0"/>
        <w:ind w:firstLine="458"/>
        <w:rPr>
          <w:rFonts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w:t>
      </w:r>
    </w:p>
    <w:p>
      <w:pPr>
        <w:snapToGrid w:val="0"/>
        <w:ind w:firstLine="458"/>
        <w:rPr>
          <w:rFonts w:ascii="宋体" w:hAnsi="宋体" w:cs="宋体"/>
          <w:color w:val="auto"/>
          <w:szCs w:val="21"/>
          <w:highlight w:val="none"/>
        </w:rPr>
      </w:pPr>
      <w:r>
        <w:rPr>
          <w:rFonts w:hint="eastAsia" w:ascii="宋体" w:hAnsi="宋体" w:cs="宋体"/>
          <w:color w:val="auto"/>
          <w:szCs w:val="21"/>
          <w:highlight w:val="none"/>
        </w:rPr>
        <w:t>2.凡出现以上任何一项情形，结论均为无效，否则就为有效。</w:t>
      </w:r>
    </w:p>
    <w:p>
      <w:pPr>
        <w:snapToGrid w:val="0"/>
        <w:ind w:firstLine="458"/>
        <w:rPr>
          <w:rFonts w:ascii="宋体" w:hAnsi="宋体" w:cs="宋体"/>
          <w:color w:val="auto"/>
          <w:szCs w:val="21"/>
          <w:highlight w:val="none"/>
        </w:rPr>
      </w:pPr>
      <w:r>
        <w:rPr>
          <w:rFonts w:hint="eastAsia" w:ascii="宋体" w:hAnsi="宋体" w:cs="宋体"/>
          <w:color w:val="auto"/>
          <w:szCs w:val="21"/>
          <w:highlight w:val="none"/>
        </w:rPr>
        <w:t>3.如对本表中某种情形的评审意见不一致时，以评标委员会过半数成员的意见作为评标委员会对该情形的认定结论。</w:t>
      </w:r>
    </w:p>
    <w:p>
      <w:pPr>
        <w:snapToGrid w:val="0"/>
        <w:ind w:firstLine="458"/>
        <w:rPr>
          <w:rFonts w:ascii="宋体" w:hAnsi="宋体" w:cs="宋体"/>
          <w:bCs/>
          <w:color w:val="auto"/>
          <w:szCs w:val="21"/>
          <w:highlight w:val="none"/>
        </w:rPr>
      </w:pPr>
      <w:r>
        <w:rPr>
          <w:rFonts w:hint="eastAsia" w:ascii="宋体" w:hAnsi="宋体" w:cs="宋体"/>
          <w:bCs/>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11"/>
        <w:snapToGrid w:val="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评委签名：</w:t>
      </w:r>
      <w:r>
        <w:rPr>
          <w:rFonts w:hint="eastAsia" w:ascii="宋体" w:hAnsi="宋体" w:cs="宋体"/>
          <w:color w:val="auto"/>
          <w:szCs w:val="21"/>
          <w:highlight w:val="none"/>
          <w:lang w:val="en-US" w:eastAsia="zh-CN"/>
        </w:rPr>
        <w:t xml:space="preserve">                                        日期：</w:t>
      </w:r>
    </w:p>
    <w:p>
      <w:pPr>
        <w:snapToGrid w:val="0"/>
        <w:spacing w:line="360" w:lineRule="auto"/>
        <w:jc w:val="left"/>
        <w:rPr>
          <w:rFonts w:ascii="宋体" w:hAnsi="宋体" w:cs="宋体"/>
          <w:b/>
          <w:bCs/>
          <w:color w:val="auto"/>
          <w:sz w:val="24"/>
          <w:szCs w:val="24"/>
          <w:highlight w:val="none"/>
        </w:rPr>
        <w:sectPr>
          <w:footerReference r:id="rId9" w:type="default"/>
          <w:pgSz w:w="16840" w:h="11907" w:orient="landscape"/>
          <w:pgMar w:top="1418" w:right="1134" w:bottom="1418" w:left="1134" w:header="851" w:footer="992" w:gutter="0"/>
          <w:cols w:space="720" w:num="1"/>
          <w:docGrid w:type="lines" w:linePitch="312" w:charSpace="0"/>
        </w:sectPr>
      </w:pP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附表四</w:t>
      </w:r>
    </w:p>
    <w:p>
      <w:pPr>
        <w:snapToGrid w:val="0"/>
        <w:jc w:val="center"/>
        <w:rPr>
          <w:rFonts w:ascii="宋体" w:hAnsi="宋体" w:cs="宋体"/>
          <w:b/>
          <w:color w:val="auto"/>
          <w:sz w:val="36"/>
          <w:szCs w:val="36"/>
          <w:highlight w:val="none"/>
        </w:rPr>
      </w:pPr>
      <w:r>
        <w:rPr>
          <w:rFonts w:hint="eastAsia" w:ascii="宋体" w:hAnsi="宋体" w:cs="宋体"/>
          <w:b/>
          <w:color w:val="auto"/>
          <w:sz w:val="36"/>
          <w:szCs w:val="36"/>
          <w:highlight w:val="none"/>
        </w:rPr>
        <w:t>技术标详细审查评分表</w:t>
      </w:r>
    </w:p>
    <w:p>
      <w:pPr>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152"/>
        <w:tblW w:w="14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35"/>
        <w:gridCol w:w="467"/>
        <w:gridCol w:w="1474"/>
        <w:gridCol w:w="953"/>
        <w:gridCol w:w="2583"/>
        <w:gridCol w:w="2583"/>
        <w:gridCol w:w="2583"/>
        <w:gridCol w:w="2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noWrap w:val="0"/>
            <w:vAlign w:val="top"/>
          </w:tcPr>
          <w:p>
            <w:pPr>
              <w:jc w:val="center"/>
              <w:rPr>
                <w:rFonts w:ascii="Calibri" w:hAnsi="Calibri" w:eastAsia="楷体_GB2312" w:cs="Times New Roman"/>
                <w:color w:val="auto"/>
                <w:kern w:val="0"/>
                <w:sz w:val="20"/>
                <w:szCs w:val="20"/>
                <w:highlight w:val="none"/>
              </w:rPr>
            </w:pPr>
            <w:r>
              <w:rPr>
                <w:rFonts w:hint="eastAsia" w:ascii="宋体" w:hAnsi="宋体" w:eastAsia="宋体" w:cs="宋体"/>
                <w:b/>
                <w:color w:val="auto"/>
                <w:kern w:val="0"/>
                <w:sz w:val="20"/>
                <w:szCs w:val="21"/>
                <w:highlight w:val="none"/>
              </w:rPr>
              <w:t>评分项目</w:t>
            </w:r>
          </w:p>
        </w:tc>
        <w:tc>
          <w:tcPr>
            <w:tcW w:w="1976" w:type="dxa"/>
            <w:gridSpan w:val="3"/>
            <w:noWrap w:val="0"/>
            <w:vAlign w:val="top"/>
          </w:tcPr>
          <w:p>
            <w:pPr>
              <w:jc w:val="center"/>
              <w:rPr>
                <w:rFonts w:ascii="Calibri" w:hAnsi="Calibri" w:eastAsia="楷体_GB2312" w:cs="Times New Roman"/>
                <w:color w:val="auto"/>
                <w:kern w:val="0"/>
                <w:sz w:val="20"/>
                <w:szCs w:val="20"/>
                <w:highlight w:val="none"/>
              </w:rPr>
            </w:pPr>
            <w:r>
              <w:rPr>
                <w:rFonts w:hint="eastAsia" w:ascii="宋体" w:hAnsi="宋体" w:eastAsia="宋体" w:cs="宋体"/>
                <w:b/>
                <w:color w:val="auto"/>
                <w:kern w:val="0"/>
                <w:sz w:val="20"/>
                <w:szCs w:val="21"/>
                <w:highlight w:val="none"/>
              </w:rPr>
              <w:t>评分内容</w:t>
            </w:r>
          </w:p>
        </w:tc>
        <w:tc>
          <w:tcPr>
            <w:tcW w:w="953" w:type="dxa"/>
            <w:noWrap w:val="0"/>
            <w:vAlign w:val="top"/>
          </w:tcPr>
          <w:p>
            <w:pPr>
              <w:jc w:val="center"/>
              <w:rPr>
                <w:rFonts w:ascii="Calibri" w:hAnsi="Calibri" w:eastAsia="楷体_GB2312" w:cs="Times New Roman"/>
                <w:color w:val="auto"/>
                <w:kern w:val="0"/>
                <w:sz w:val="20"/>
                <w:szCs w:val="20"/>
                <w:highlight w:val="none"/>
              </w:rPr>
            </w:pPr>
            <w:r>
              <w:rPr>
                <w:rFonts w:hint="eastAsia" w:ascii="宋体" w:hAnsi="宋体" w:eastAsia="宋体" w:cs="宋体"/>
                <w:b/>
                <w:color w:val="auto"/>
                <w:kern w:val="0"/>
                <w:sz w:val="20"/>
                <w:szCs w:val="21"/>
                <w:highlight w:val="none"/>
              </w:rPr>
              <w:t>分值</w:t>
            </w:r>
          </w:p>
        </w:tc>
        <w:tc>
          <w:tcPr>
            <w:tcW w:w="10335" w:type="dxa"/>
            <w:gridSpan w:val="4"/>
            <w:noWrap w:val="0"/>
            <w:vAlign w:val="top"/>
          </w:tcPr>
          <w:p>
            <w:pPr>
              <w:ind w:firstLine="402" w:firstLineChars="200"/>
              <w:jc w:val="center"/>
              <w:rPr>
                <w:rFonts w:ascii="Calibri" w:hAnsi="Calibri" w:eastAsia="楷体_GB2312" w:cs="Times New Roman"/>
                <w:color w:val="auto"/>
                <w:kern w:val="0"/>
                <w:sz w:val="20"/>
                <w:szCs w:val="20"/>
                <w:highlight w:val="none"/>
              </w:rPr>
            </w:pPr>
            <w:r>
              <w:rPr>
                <w:rFonts w:hint="eastAsia" w:ascii="宋体" w:hAnsi="宋体" w:eastAsia="宋体" w:cs="宋体"/>
                <w:b/>
                <w:bCs/>
                <w:color w:val="auto"/>
                <w:kern w:val="0"/>
                <w:sz w:val="20"/>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3" w:type="dxa"/>
            <w:gridSpan w:val="5"/>
            <w:noWrap w:val="0"/>
            <w:vAlign w:val="top"/>
          </w:tcPr>
          <w:p>
            <w:pPr>
              <w:ind w:firstLine="400" w:firstLineChars="200"/>
              <w:rPr>
                <w:rFonts w:ascii="Calibri" w:hAnsi="Calibri" w:eastAsia="楷体_GB2312" w:cs="Times New Roman"/>
                <w:color w:val="auto"/>
                <w:kern w:val="0"/>
                <w:sz w:val="20"/>
                <w:szCs w:val="20"/>
                <w:highlight w:val="none"/>
              </w:rPr>
            </w:pPr>
          </w:p>
        </w:tc>
        <w:tc>
          <w:tcPr>
            <w:tcW w:w="2583" w:type="dxa"/>
            <w:noWrap w:val="0"/>
            <w:vAlign w:val="top"/>
          </w:tcPr>
          <w:p>
            <w:pPr>
              <w:ind w:firstLine="402" w:firstLineChars="200"/>
              <w:jc w:val="center"/>
              <w:rPr>
                <w:rFonts w:ascii="Calibri" w:hAnsi="Calibri" w:eastAsia="楷体_GB2312" w:cs="Times New Roman"/>
                <w:color w:val="auto"/>
                <w:kern w:val="0"/>
                <w:sz w:val="20"/>
                <w:szCs w:val="20"/>
                <w:highlight w:val="none"/>
              </w:rPr>
            </w:pPr>
            <w:r>
              <w:rPr>
                <w:rFonts w:hint="eastAsia" w:ascii="宋体" w:hAnsi="宋体" w:eastAsia="宋体" w:cs="宋体"/>
                <w:b/>
                <w:bCs/>
                <w:color w:val="auto"/>
                <w:kern w:val="0"/>
                <w:sz w:val="20"/>
                <w:szCs w:val="21"/>
                <w:highlight w:val="none"/>
              </w:rPr>
              <w:t>优</w:t>
            </w:r>
          </w:p>
        </w:tc>
        <w:tc>
          <w:tcPr>
            <w:tcW w:w="2583" w:type="dxa"/>
            <w:noWrap w:val="0"/>
            <w:vAlign w:val="top"/>
          </w:tcPr>
          <w:p>
            <w:pPr>
              <w:jc w:val="center"/>
              <w:rPr>
                <w:rFonts w:ascii="Calibri" w:hAnsi="Calibri" w:eastAsia="楷体_GB2312" w:cs="Times New Roman"/>
                <w:color w:val="auto"/>
                <w:kern w:val="0"/>
                <w:sz w:val="20"/>
                <w:szCs w:val="20"/>
                <w:highlight w:val="none"/>
              </w:rPr>
            </w:pPr>
            <w:r>
              <w:rPr>
                <w:rFonts w:hint="eastAsia" w:ascii="宋体" w:hAnsi="宋体" w:eastAsia="宋体" w:cs="宋体"/>
                <w:b/>
                <w:bCs/>
                <w:color w:val="auto"/>
                <w:kern w:val="0"/>
                <w:sz w:val="20"/>
                <w:szCs w:val="21"/>
                <w:highlight w:val="none"/>
              </w:rPr>
              <w:t xml:space="preserve">良 </w:t>
            </w:r>
          </w:p>
        </w:tc>
        <w:tc>
          <w:tcPr>
            <w:tcW w:w="2583" w:type="dxa"/>
            <w:noWrap w:val="0"/>
            <w:vAlign w:val="top"/>
          </w:tcPr>
          <w:p>
            <w:pPr>
              <w:jc w:val="center"/>
              <w:rPr>
                <w:rFonts w:ascii="Calibri" w:hAnsi="Calibri" w:eastAsia="楷体_GB2312" w:cs="Times New Roman"/>
                <w:color w:val="auto"/>
                <w:kern w:val="0"/>
                <w:sz w:val="20"/>
                <w:szCs w:val="20"/>
                <w:highlight w:val="none"/>
              </w:rPr>
            </w:pPr>
            <w:r>
              <w:rPr>
                <w:rFonts w:hint="eastAsia" w:ascii="宋体" w:hAnsi="宋体" w:eastAsia="宋体" w:cs="宋体"/>
                <w:b/>
                <w:bCs/>
                <w:color w:val="auto"/>
                <w:kern w:val="0"/>
                <w:sz w:val="20"/>
                <w:szCs w:val="21"/>
                <w:highlight w:val="none"/>
              </w:rPr>
              <w:t>一般</w:t>
            </w:r>
          </w:p>
        </w:tc>
        <w:tc>
          <w:tcPr>
            <w:tcW w:w="2586" w:type="dxa"/>
            <w:noWrap w:val="0"/>
            <w:vAlign w:val="top"/>
          </w:tcPr>
          <w:p>
            <w:pPr>
              <w:jc w:val="center"/>
              <w:rPr>
                <w:rFonts w:ascii="Calibri" w:hAnsi="Calibri" w:eastAsia="楷体_GB2312" w:cs="Times New Roman"/>
                <w:color w:val="auto"/>
                <w:kern w:val="0"/>
                <w:sz w:val="20"/>
                <w:szCs w:val="20"/>
                <w:highlight w:val="none"/>
              </w:rPr>
            </w:pPr>
            <w:r>
              <w:rPr>
                <w:rFonts w:hint="eastAsia" w:ascii="宋体" w:hAnsi="宋体" w:eastAsia="宋体" w:cs="宋体"/>
                <w:b/>
                <w:bCs/>
                <w:color w:val="auto"/>
                <w:kern w:val="0"/>
                <w:sz w:val="20"/>
                <w:szCs w:val="21"/>
                <w:highlight w:val="none"/>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trPr>
        <w:tc>
          <w:tcPr>
            <w:tcW w:w="1524" w:type="dxa"/>
            <w:vMerge w:val="restart"/>
            <w:noWrap w:val="0"/>
            <w:vAlign w:val="center"/>
          </w:tcPr>
          <w:p>
            <w:pPr>
              <w:rPr>
                <w:rFonts w:ascii="Calibri" w:hAnsi="Calibri" w:eastAsia="楷体_GB2312" w:cs="Times New Roman"/>
                <w:color w:val="auto"/>
                <w:kern w:val="0"/>
                <w:sz w:val="20"/>
                <w:szCs w:val="20"/>
                <w:highlight w:val="none"/>
              </w:rPr>
            </w:pPr>
            <w:r>
              <w:rPr>
                <w:rFonts w:hint="eastAsia" w:ascii="宋体" w:hAnsi="宋体" w:eastAsia="宋体" w:cs="宋体"/>
                <w:color w:val="auto"/>
                <w:kern w:val="0"/>
                <w:sz w:val="20"/>
                <w:szCs w:val="21"/>
                <w:highlight w:val="none"/>
              </w:rPr>
              <w:t>一、施工组织设计（30分）</w:t>
            </w:r>
          </w:p>
        </w:tc>
        <w:tc>
          <w:tcPr>
            <w:tcW w:w="1976" w:type="dxa"/>
            <w:gridSpan w:val="3"/>
            <w:noWrap w:val="0"/>
            <w:vAlign w:val="center"/>
          </w:tcPr>
          <w:p>
            <w:pPr>
              <w:rPr>
                <w:rFonts w:ascii="Calibri" w:hAnsi="Calibri" w:eastAsia="楷体_GB2312" w:cs="Times New Roman"/>
                <w:color w:val="auto"/>
                <w:kern w:val="0"/>
                <w:sz w:val="20"/>
                <w:szCs w:val="20"/>
                <w:highlight w:val="none"/>
              </w:rPr>
            </w:pPr>
            <w:r>
              <w:rPr>
                <w:rFonts w:hint="eastAsia" w:ascii="宋体" w:hAnsi="宋体" w:eastAsia="宋体" w:cs="宋体"/>
                <w:color w:val="auto"/>
                <w:kern w:val="0"/>
                <w:sz w:val="20"/>
                <w:szCs w:val="21"/>
                <w:highlight w:val="none"/>
              </w:rPr>
              <w:t>对工程重点、难点的分析及对策</w:t>
            </w:r>
          </w:p>
        </w:tc>
        <w:tc>
          <w:tcPr>
            <w:tcW w:w="953" w:type="dxa"/>
            <w:noWrap w:val="0"/>
            <w:vAlign w:val="center"/>
          </w:tcPr>
          <w:p>
            <w:pPr>
              <w:jc w:val="center"/>
              <w:rPr>
                <w:rFonts w:ascii="Calibri" w:hAnsi="Calibri" w:eastAsia="楷体_GB2312" w:cs="Times New Roman"/>
                <w:color w:val="auto"/>
                <w:kern w:val="0"/>
                <w:sz w:val="20"/>
                <w:szCs w:val="20"/>
                <w:highlight w:val="none"/>
              </w:rPr>
            </w:pPr>
            <w:r>
              <w:rPr>
                <w:rFonts w:hint="eastAsia" w:ascii="宋体" w:hAnsi="宋体" w:eastAsia="宋体" w:cs="宋体"/>
                <w:color w:val="auto"/>
                <w:kern w:val="0"/>
                <w:sz w:val="20"/>
                <w:szCs w:val="21"/>
                <w:highlight w:val="none"/>
              </w:rPr>
              <w:t>3</w:t>
            </w:r>
          </w:p>
        </w:tc>
        <w:tc>
          <w:tcPr>
            <w:tcW w:w="2583" w:type="dxa"/>
            <w:noWrap w:val="0"/>
            <w:vAlign w:val="top"/>
          </w:tcPr>
          <w:p>
            <w:pP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依据工程特点制定专项施工方案，对本项目工程重点、难点分析透切，制定的相应对策针对性强，可行性高，得</w:t>
            </w:r>
            <w:r>
              <w:rPr>
                <w:rFonts w:hint="eastAsia" w:ascii="宋体" w:hAnsi="宋体" w:eastAsia="宋体" w:cs="宋体"/>
                <w:color w:val="auto"/>
                <w:kern w:val="0"/>
                <w:sz w:val="20"/>
                <w:szCs w:val="21"/>
                <w:highlight w:val="none"/>
                <w:u w:val="single"/>
              </w:rPr>
              <w:t xml:space="preserve"> [3-2）</w:t>
            </w:r>
            <w:r>
              <w:rPr>
                <w:rFonts w:hint="eastAsia" w:ascii="宋体" w:hAnsi="宋体" w:eastAsia="宋体" w:cs="宋体"/>
                <w:color w:val="auto"/>
                <w:kern w:val="0"/>
                <w:sz w:val="20"/>
                <w:szCs w:val="21"/>
                <w:highlight w:val="none"/>
              </w:rPr>
              <w:t>分。</w:t>
            </w:r>
          </w:p>
        </w:tc>
        <w:tc>
          <w:tcPr>
            <w:tcW w:w="2583" w:type="dxa"/>
            <w:noWrap w:val="0"/>
            <w:vAlign w:val="top"/>
          </w:tcPr>
          <w:p>
            <w:pP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依据工程特点制定专项施工方案，对本项目工程重点、难点分析</w:t>
            </w:r>
            <w:r>
              <w:rPr>
                <w:rFonts w:hint="eastAsia" w:ascii="宋体" w:hAnsi="宋体" w:eastAsia="宋体" w:cs="Times New Roman"/>
                <w:color w:val="auto"/>
                <w:kern w:val="0"/>
                <w:sz w:val="20"/>
                <w:szCs w:val="20"/>
                <w:highlight w:val="none"/>
              </w:rPr>
              <w:t>较</w:t>
            </w:r>
            <w:r>
              <w:rPr>
                <w:rFonts w:hint="eastAsia" w:ascii="宋体" w:hAnsi="宋体" w:eastAsia="宋体" w:cs="宋体"/>
                <w:color w:val="auto"/>
                <w:kern w:val="0"/>
                <w:sz w:val="20"/>
                <w:szCs w:val="21"/>
                <w:highlight w:val="none"/>
              </w:rPr>
              <w:t>透切，制定的相应对策针对性较强，可行性较高，得</w:t>
            </w:r>
            <w:r>
              <w:rPr>
                <w:rFonts w:hint="eastAsia" w:ascii="宋体" w:hAnsi="宋体" w:eastAsia="宋体" w:cs="宋体"/>
                <w:color w:val="auto"/>
                <w:kern w:val="0"/>
                <w:sz w:val="20"/>
                <w:szCs w:val="21"/>
                <w:highlight w:val="none"/>
                <w:u w:val="single"/>
              </w:rPr>
              <w:t>[2-1）</w:t>
            </w:r>
            <w:r>
              <w:rPr>
                <w:rFonts w:hint="eastAsia" w:ascii="宋体" w:hAnsi="宋体" w:eastAsia="宋体" w:cs="宋体"/>
                <w:color w:val="auto"/>
                <w:kern w:val="0"/>
                <w:sz w:val="20"/>
                <w:szCs w:val="21"/>
                <w:highlight w:val="none"/>
              </w:rPr>
              <w:t>分。</w:t>
            </w:r>
          </w:p>
        </w:tc>
        <w:tc>
          <w:tcPr>
            <w:tcW w:w="2583" w:type="dxa"/>
            <w:noWrap w:val="0"/>
            <w:vAlign w:val="top"/>
          </w:tcPr>
          <w:p>
            <w:pP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依据工程特点制定专项施工方案，对本项目工程重点、难点分析一般，制定的相应对策针对性一般，基本可行，得</w:t>
            </w:r>
            <w:r>
              <w:rPr>
                <w:rFonts w:hint="eastAsia" w:ascii="宋体" w:hAnsi="宋体" w:eastAsia="宋体" w:cs="宋体"/>
                <w:color w:val="auto"/>
                <w:kern w:val="0"/>
                <w:sz w:val="20"/>
                <w:szCs w:val="21"/>
                <w:highlight w:val="none"/>
                <w:u w:val="single"/>
              </w:rPr>
              <w:t>[1-0）</w:t>
            </w:r>
            <w:r>
              <w:rPr>
                <w:rFonts w:hint="eastAsia" w:ascii="宋体" w:hAnsi="宋体" w:eastAsia="宋体" w:cs="宋体"/>
                <w:color w:val="auto"/>
                <w:kern w:val="0"/>
                <w:sz w:val="20"/>
                <w:szCs w:val="21"/>
                <w:highlight w:val="none"/>
              </w:rPr>
              <w:t>分。</w:t>
            </w:r>
          </w:p>
        </w:tc>
        <w:tc>
          <w:tcPr>
            <w:tcW w:w="2586" w:type="dxa"/>
            <w:noWrap w:val="0"/>
            <w:vAlign w:val="top"/>
          </w:tcPr>
          <w:p>
            <w:pPr>
              <w:rPr>
                <w:rFonts w:ascii="Calibri" w:hAnsi="Calibri" w:eastAsia="楷体_GB2312" w:cs="Times New Roman"/>
                <w:color w:val="auto"/>
                <w:kern w:val="0"/>
                <w:sz w:val="20"/>
                <w:szCs w:val="20"/>
                <w:highlight w:val="none"/>
              </w:rPr>
            </w:pPr>
            <w:r>
              <w:rPr>
                <w:rFonts w:hint="eastAsia" w:ascii="宋体" w:hAnsi="宋体" w:eastAsia="宋体" w:cs="宋体"/>
                <w:color w:val="auto"/>
                <w:kern w:val="0"/>
                <w:sz w:val="20"/>
                <w:szCs w:val="21"/>
                <w:highlight w:val="none"/>
              </w:rPr>
              <w:t>不满足前述要求者，得0分。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trPr>
        <w:tc>
          <w:tcPr>
            <w:tcW w:w="1524" w:type="dxa"/>
            <w:vMerge w:val="continue"/>
            <w:noWrap w:val="0"/>
            <w:vAlign w:val="top"/>
          </w:tcPr>
          <w:p>
            <w:pPr>
              <w:ind w:firstLine="400" w:firstLineChars="200"/>
              <w:rPr>
                <w:rFonts w:ascii="Calibri" w:hAnsi="Calibri" w:eastAsia="楷体_GB2312" w:cs="Times New Roman"/>
                <w:color w:val="auto"/>
                <w:kern w:val="0"/>
                <w:sz w:val="20"/>
                <w:szCs w:val="20"/>
                <w:highlight w:val="none"/>
              </w:rPr>
            </w:pPr>
          </w:p>
        </w:tc>
        <w:tc>
          <w:tcPr>
            <w:tcW w:w="1976" w:type="dxa"/>
            <w:gridSpan w:val="3"/>
            <w:noWrap w:val="0"/>
            <w:vAlign w:val="center"/>
          </w:tcPr>
          <w:p>
            <w:pPr>
              <w:rPr>
                <w:rFonts w:ascii="Calibri" w:hAnsi="Calibri" w:eastAsia="楷体_GB2312" w:cs="Times New Roman"/>
                <w:color w:val="auto"/>
                <w:kern w:val="0"/>
                <w:sz w:val="20"/>
                <w:szCs w:val="20"/>
                <w:highlight w:val="none"/>
              </w:rPr>
            </w:pPr>
            <w:r>
              <w:rPr>
                <w:rFonts w:hint="eastAsia" w:ascii="宋体" w:hAnsi="宋体" w:eastAsia="宋体" w:cs="宋体"/>
                <w:color w:val="auto"/>
                <w:kern w:val="0"/>
                <w:sz w:val="20"/>
                <w:szCs w:val="21"/>
                <w:highlight w:val="none"/>
              </w:rPr>
              <w:t>施工组织方案与技术措施</w:t>
            </w:r>
          </w:p>
        </w:tc>
        <w:tc>
          <w:tcPr>
            <w:tcW w:w="953" w:type="dxa"/>
            <w:noWrap w:val="0"/>
            <w:vAlign w:val="center"/>
          </w:tcPr>
          <w:p>
            <w:pPr>
              <w:jc w:val="center"/>
              <w:rPr>
                <w:rFonts w:ascii="Calibri" w:hAnsi="Calibri" w:eastAsia="楷体_GB2312" w:cs="Times New Roman"/>
                <w:color w:val="auto"/>
                <w:kern w:val="0"/>
                <w:sz w:val="20"/>
                <w:szCs w:val="20"/>
                <w:highlight w:val="none"/>
              </w:rPr>
            </w:pPr>
            <w:r>
              <w:rPr>
                <w:rFonts w:hint="eastAsia" w:ascii="宋体" w:hAnsi="宋体" w:eastAsia="宋体" w:cs="宋体"/>
                <w:color w:val="auto"/>
                <w:kern w:val="0"/>
                <w:sz w:val="20"/>
                <w:szCs w:val="21"/>
                <w:highlight w:val="none"/>
              </w:rPr>
              <w:t>6</w:t>
            </w:r>
          </w:p>
        </w:tc>
        <w:tc>
          <w:tcPr>
            <w:tcW w:w="2583" w:type="dxa"/>
            <w:noWrap w:val="0"/>
            <w:vAlign w:val="top"/>
          </w:tcPr>
          <w:p>
            <w:pP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施工组织方案及施工方法先进，工程重点难点、施工关键技术工艺把握及应用准确，技术措施可以充分保障工程质量、工期和施工安全生产，得</w:t>
            </w:r>
            <w:r>
              <w:rPr>
                <w:rFonts w:hint="eastAsia" w:ascii="宋体" w:hAnsi="宋体" w:eastAsia="宋体" w:cs="宋体"/>
                <w:color w:val="auto"/>
                <w:kern w:val="0"/>
                <w:sz w:val="20"/>
                <w:szCs w:val="21"/>
                <w:highlight w:val="none"/>
                <w:u w:val="single"/>
              </w:rPr>
              <w:t xml:space="preserve"> [6-4）</w:t>
            </w:r>
            <w:r>
              <w:rPr>
                <w:rFonts w:hint="eastAsia" w:ascii="宋体" w:hAnsi="宋体" w:eastAsia="宋体" w:cs="宋体"/>
                <w:color w:val="auto"/>
                <w:kern w:val="0"/>
                <w:sz w:val="20"/>
                <w:szCs w:val="21"/>
                <w:highlight w:val="none"/>
              </w:rPr>
              <w:t>分。</w:t>
            </w:r>
          </w:p>
        </w:tc>
        <w:tc>
          <w:tcPr>
            <w:tcW w:w="2583" w:type="dxa"/>
            <w:noWrap w:val="0"/>
            <w:vAlign w:val="top"/>
          </w:tcPr>
          <w:p>
            <w:pP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施工组织方案及施工方法较好，工程重点难点、施工关键技术工艺把握及应用较好，技术措施较能保障工程质量、工期和施工安全生产，得</w:t>
            </w:r>
            <w:r>
              <w:rPr>
                <w:rFonts w:hint="eastAsia" w:ascii="宋体" w:hAnsi="宋体" w:eastAsia="宋体" w:cs="宋体"/>
                <w:color w:val="auto"/>
                <w:kern w:val="0"/>
                <w:sz w:val="20"/>
                <w:szCs w:val="21"/>
                <w:highlight w:val="none"/>
                <w:u w:val="single"/>
              </w:rPr>
              <w:t>[4-2）</w:t>
            </w:r>
            <w:r>
              <w:rPr>
                <w:rFonts w:hint="eastAsia" w:ascii="宋体" w:hAnsi="宋体" w:eastAsia="宋体" w:cs="宋体"/>
                <w:color w:val="auto"/>
                <w:kern w:val="0"/>
                <w:sz w:val="20"/>
                <w:szCs w:val="21"/>
                <w:highlight w:val="none"/>
              </w:rPr>
              <w:t>分。</w:t>
            </w:r>
          </w:p>
        </w:tc>
        <w:tc>
          <w:tcPr>
            <w:tcW w:w="2583" w:type="dxa"/>
            <w:noWrap w:val="0"/>
            <w:vAlign w:val="top"/>
          </w:tcPr>
          <w:p>
            <w:pPr>
              <w:rPr>
                <w:rFonts w:ascii="宋体" w:hAnsi="宋体" w:eastAsia="宋体" w:cs="Times New Roman"/>
                <w:color w:val="auto"/>
                <w:kern w:val="0"/>
                <w:sz w:val="20"/>
                <w:szCs w:val="20"/>
                <w:highlight w:val="none"/>
              </w:rPr>
            </w:pPr>
            <w:r>
              <w:rPr>
                <w:rFonts w:hint="eastAsia" w:ascii="宋体" w:hAnsi="宋体" w:eastAsia="宋体" w:cs="Times New Roman"/>
                <w:color w:val="auto"/>
                <w:kern w:val="0"/>
                <w:sz w:val="20"/>
                <w:szCs w:val="20"/>
                <w:highlight w:val="none"/>
              </w:rPr>
              <w:t>施工组织方案或施工方法一般，工程重点难点、施工关键技术工艺把握及应用基本可行，技术措施基本能保障工程质量、工期和施工安全生产，得</w:t>
            </w:r>
            <w:r>
              <w:rPr>
                <w:rFonts w:hint="eastAsia" w:ascii="宋体" w:hAnsi="宋体" w:eastAsia="宋体" w:cs="宋体"/>
                <w:color w:val="auto"/>
                <w:kern w:val="0"/>
                <w:sz w:val="20"/>
                <w:szCs w:val="21"/>
                <w:highlight w:val="none"/>
                <w:u w:val="single"/>
              </w:rPr>
              <w:t>[2-0）</w:t>
            </w:r>
            <w:r>
              <w:rPr>
                <w:rFonts w:hint="eastAsia" w:ascii="宋体" w:hAnsi="宋体" w:eastAsia="宋体" w:cs="Times New Roman"/>
                <w:color w:val="auto"/>
                <w:kern w:val="0"/>
                <w:sz w:val="20"/>
                <w:szCs w:val="20"/>
                <w:highlight w:val="none"/>
              </w:rPr>
              <w:t>分。</w:t>
            </w:r>
          </w:p>
        </w:tc>
        <w:tc>
          <w:tcPr>
            <w:tcW w:w="2586" w:type="dxa"/>
            <w:noWrap w:val="0"/>
            <w:vAlign w:val="top"/>
          </w:tcPr>
          <w:p>
            <w:pPr>
              <w:rPr>
                <w:rFonts w:ascii="Calibri" w:hAnsi="Calibri" w:eastAsia="楷体_GB2312" w:cs="Times New Roman"/>
                <w:color w:val="auto"/>
                <w:kern w:val="0"/>
                <w:sz w:val="20"/>
                <w:szCs w:val="20"/>
                <w:highlight w:val="none"/>
              </w:rPr>
            </w:pPr>
            <w:r>
              <w:rPr>
                <w:rFonts w:hint="eastAsia" w:ascii="宋体" w:hAnsi="宋体" w:eastAsia="宋体" w:cs="宋体"/>
                <w:color w:val="auto"/>
                <w:kern w:val="0"/>
                <w:sz w:val="20"/>
                <w:szCs w:val="21"/>
                <w:highlight w:val="none"/>
              </w:rPr>
              <w:t>不满足前述要求者，得0分。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524" w:type="dxa"/>
            <w:vMerge w:val="continue"/>
            <w:noWrap w:val="0"/>
            <w:vAlign w:val="top"/>
          </w:tcPr>
          <w:p>
            <w:pPr>
              <w:ind w:firstLine="400" w:firstLineChars="200"/>
              <w:rPr>
                <w:rFonts w:ascii="Calibri" w:hAnsi="Calibri" w:eastAsia="楷体_GB2312" w:cs="Times New Roman"/>
                <w:color w:val="auto"/>
                <w:kern w:val="0"/>
                <w:sz w:val="20"/>
                <w:szCs w:val="20"/>
                <w:highlight w:val="none"/>
              </w:rPr>
            </w:pPr>
          </w:p>
        </w:tc>
        <w:tc>
          <w:tcPr>
            <w:tcW w:w="1976" w:type="dxa"/>
            <w:gridSpan w:val="3"/>
            <w:noWrap w:val="0"/>
            <w:vAlign w:val="center"/>
          </w:tcPr>
          <w:p>
            <w:pPr>
              <w:rPr>
                <w:rFonts w:ascii="Calibri" w:hAnsi="Calibri" w:eastAsia="楷体_GB2312" w:cs="Times New Roman"/>
                <w:color w:val="auto"/>
                <w:kern w:val="0"/>
                <w:sz w:val="20"/>
                <w:szCs w:val="20"/>
                <w:highlight w:val="none"/>
              </w:rPr>
            </w:pPr>
            <w:r>
              <w:rPr>
                <w:rFonts w:hint="eastAsia" w:ascii="宋体" w:hAnsi="宋体" w:eastAsia="宋体" w:cs="宋体"/>
                <w:color w:val="auto"/>
                <w:kern w:val="0"/>
                <w:sz w:val="20"/>
                <w:szCs w:val="21"/>
                <w:highlight w:val="none"/>
              </w:rPr>
              <w:t>施工总进度计划</w:t>
            </w:r>
          </w:p>
        </w:tc>
        <w:tc>
          <w:tcPr>
            <w:tcW w:w="953" w:type="dxa"/>
            <w:noWrap w:val="0"/>
            <w:vAlign w:val="center"/>
          </w:tcPr>
          <w:p>
            <w:pPr>
              <w:jc w:val="center"/>
              <w:rPr>
                <w:rFonts w:ascii="Calibri" w:hAnsi="Calibri" w:eastAsia="楷体_GB2312" w:cs="Times New Roman"/>
                <w:color w:val="auto"/>
                <w:kern w:val="0"/>
                <w:sz w:val="20"/>
                <w:szCs w:val="20"/>
                <w:highlight w:val="none"/>
              </w:rPr>
            </w:pPr>
            <w:r>
              <w:rPr>
                <w:rFonts w:hint="eastAsia" w:ascii="宋体" w:hAnsi="宋体" w:eastAsia="宋体" w:cs="宋体"/>
                <w:color w:val="auto"/>
                <w:kern w:val="0"/>
                <w:sz w:val="20"/>
                <w:szCs w:val="21"/>
                <w:highlight w:val="none"/>
              </w:rPr>
              <w:t>3</w:t>
            </w:r>
          </w:p>
        </w:tc>
        <w:tc>
          <w:tcPr>
            <w:tcW w:w="2583" w:type="dxa"/>
            <w:noWrap w:val="0"/>
            <w:vAlign w:val="top"/>
          </w:tcPr>
          <w:p>
            <w:pP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施工总进度计划逻辑性强、合理、可行，保证措施明确具体，得</w:t>
            </w:r>
            <w:r>
              <w:rPr>
                <w:rFonts w:hint="eastAsia" w:ascii="宋体" w:hAnsi="宋体" w:eastAsia="宋体" w:cs="宋体"/>
                <w:color w:val="auto"/>
                <w:kern w:val="0"/>
                <w:sz w:val="20"/>
                <w:szCs w:val="21"/>
                <w:highlight w:val="none"/>
                <w:u w:val="single"/>
              </w:rPr>
              <w:t>[3-2）</w:t>
            </w:r>
            <w:r>
              <w:rPr>
                <w:rFonts w:hint="eastAsia" w:ascii="宋体" w:hAnsi="宋体" w:eastAsia="宋体" w:cs="宋体"/>
                <w:color w:val="auto"/>
                <w:kern w:val="0"/>
                <w:sz w:val="20"/>
                <w:szCs w:val="21"/>
                <w:highlight w:val="none"/>
              </w:rPr>
              <w:t>分。</w:t>
            </w:r>
          </w:p>
        </w:tc>
        <w:tc>
          <w:tcPr>
            <w:tcW w:w="2583" w:type="dxa"/>
            <w:noWrap w:val="0"/>
            <w:vAlign w:val="top"/>
          </w:tcPr>
          <w:p>
            <w:pP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施工总进度计划逻辑性较强、较合理可行，有保证措施，得</w:t>
            </w:r>
            <w:r>
              <w:rPr>
                <w:rFonts w:hint="eastAsia" w:ascii="宋体" w:hAnsi="宋体" w:eastAsia="宋体" w:cs="宋体"/>
                <w:color w:val="auto"/>
                <w:kern w:val="0"/>
                <w:sz w:val="20"/>
                <w:szCs w:val="21"/>
                <w:highlight w:val="none"/>
                <w:u w:val="single"/>
              </w:rPr>
              <w:t>[2-1）</w:t>
            </w:r>
            <w:r>
              <w:rPr>
                <w:rFonts w:hint="eastAsia" w:ascii="宋体" w:hAnsi="宋体" w:eastAsia="宋体" w:cs="宋体"/>
                <w:color w:val="auto"/>
                <w:kern w:val="0"/>
                <w:sz w:val="20"/>
                <w:szCs w:val="21"/>
                <w:highlight w:val="none"/>
              </w:rPr>
              <w:t>分。</w:t>
            </w:r>
          </w:p>
        </w:tc>
        <w:tc>
          <w:tcPr>
            <w:tcW w:w="2583" w:type="dxa"/>
            <w:noWrap w:val="0"/>
            <w:vAlign w:val="top"/>
          </w:tcPr>
          <w:p>
            <w:pP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施工总进度计划逻辑性一般、基本合理可行，得</w:t>
            </w:r>
            <w:r>
              <w:rPr>
                <w:rFonts w:hint="eastAsia" w:ascii="宋体" w:hAnsi="宋体" w:eastAsia="宋体" w:cs="宋体"/>
                <w:color w:val="auto"/>
                <w:kern w:val="0"/>
                <w:sz w:val="20"/>
                <w:szCs w:val="21"/>
                <w:highlight w:val="none"/>
                <w:u w:val="single"/>
              </w:rPr>
              <w:t>[1-0）</w:t>
            </w:r>
            <w:r>
              <w:rPr>
                <w:rFonts w:hint="eastAsia" w:ascii="宋体" w:hAnsi="宋体" w:eastAsia="宋体" w:cs="宋体"/>
                <w:color w:val="auto"/>
                <w:kern w:val="0"/>
                <w:sz w:val="20"/>
                <w:szCs w:val="21"/>
                <w:highlight w:val="none"/>
              </w:rPr>
              <w:t>分。</w:t>
            </w:r>
          </w:p>
        </w:tc>
        <w:tc>
          <w:tcPr>
            <w:tcW w:w="2586" w:type="dxa"/>
            <w:noWrap w:val="0"/>
            <w:vAlign w:val="top"/>
          </w:tcPr>
          <w:p>
            <w:pPr>
              <w:rPr>
                <w:rFonts w:ascii="Calibri" w:hAnsi="Calibri" w:eastAsia="楷体_GB2312" w:cs="Times New Roman"/>
                <w:color w:val="auto"/>
                <w:kern w:val="0"/>
                <w:sz w:val="20"/>
                <w:szCs w:val="20"/>
                <w:highlight w:val="none"/>
              </w:rPr>
            </w:pPr>
            <w:r>
              <w:rPr>
                <w:rFonts w:hint="eastAsia" w:ascii="宋体" w:hAnsi="宋体" w:eastAsia="宋体" w:cs="宋体"/>
                <w:color w:val="auto"/>
                <w:kern w:val="0"/>
                <w:sz w:val="20"/>
                <w:szCs w:val="21"/>
                <w:highlight w:val="none"/>
              </w:rPr>
              <w:t>不满足前述要求者，得0分。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trPr>
        <w:tc>
          <w:tcPr>
            <w:tcW w:w="1524" w:type="dxa"/>
            <w:vMerge w:val="continue"/>
            <w:noWrap w:val="0"/>
            <w:vAlign w:val="top"/>
          </w:tcPr>
          <w:p>
            <w:pPr>
              <w:ind w:firstLine="400" w:firstLineChars="200"/>
              <w:rPr>
                <w:rFonts w:ascii="Calibri" w:hAnsi="Calibri" w:eastAsia="楷体_GB2312" w:cs="Times New Roman"/>
                <w:color w:val="auto"/>
                <w:kern w:val="0"/>
                <w:sz w:val="20"/>
                <w:szCs w:val="20"/>
                <w:highlight w:val="none"/>
              </w:rPr>
            </w:pPr>
          </w:p>
        </w:tc>
        <w:tc>
          <w:tcPr>
            <w:tcW w:w="1976" w:type="dxa"/>
            <w:gridSpan w:val="3"/>
            <w:noWrap w:val="0"/>
            <w:vAlign w:val="center"/>
          </w:tcPr>
          <w:p>
            <w:pPr>
              <w:rPr>
                <w:rFonts w:ascii="Calibri" w:hAnsi="Calibri" w:eastAsia="楷体_GB2312" w:cs="Times New Roman"/>
                <w:color w:val="auto"/>
                <w:kern w:val="0"/>
                <w:sz w:val="20"/>
                <w:szCs w:val="20"/>
                <w:highlight w:val="none"/>
              </w:rPr>
            </w:pPr>
            <w:r>
              <w:rPr>
                <w:rFonts w:hint="eastAsia" w:ascii="宋体" w:hAnsi="宋体" w:eastAsia="宋体" w:cs="宋体"/>
                <w:color w:val="auto"/>
                <w:kern w:val="0"/>
                <w:sz w:val="20"/>
                <w:szCs w:val="21"/>
                <w:highlight w:val="none"/>
              </w:rPr>
              <w:t>资源供应计划</w:t>
            </w:r>
          </w:p>
        </w:tc>
        <w:tc>
          <w:tcPr>
            <w:tcW w:w="953" w:type="dxa"/>
            <w:noWrap w:val="0"/>
            <w:vAlign w:val="center"/>
          </w:tcPr>
          <w:p>
            <w:pPr>
              <w:jc w:val="center"/>
              <w:rPr>
                <w:rFonts w:ascii="Calibri" w:hAnsi="Calibri" w:eastAsia="楷体_GB2312" w:cs="Times New Roman"/>
                <w:color w:val="auto"/>
                <w:kern w:val="0"/>
                <w:sz w:val="20"/>
                <w:szCs w:val="20"/>
                <w:highlight w:val="none"/>
              </w:rPr>
            </w:pPr>
            <w:r>
              <w:rPr>
                <w:rFonts w:hint="eastAsia" w:ascii="宋体" w:hAnsi="宋体" w:eastAsia="宋体" w:cs="宋体"/>
                <w:color w:val="auto"/>
                <w:kern w:val="0"/>
                <w:sz w:val="20"/>
                <w:szCs w:val="21"/>
                <w:highlight w:val="none"/>
              </w:rPr>
              <w:t>3</w:t>
            </w:r>
          </w:p>
        </w:tc>
        <w:tc>
          <w:tcPr>
            <w:tcW w:w="2583" w:type="dxa"/>
            <w:noWrap w:val="0"/>
            <w:vAlign w:val="top"/>
          </w:tcPr>
          <w:p>
            <w:pP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有劳动力需求计划及保障措施、机械设备需求计划及保障措施和材料需求计划及保障措施，措施合理、可行得</w:t>
            </w:r>
            <w:r>
              <w:rPr>
                <w:rFonts w:hint="eastAsia" w:ascii="宋体" w:hAnsi="宋体" w:eastAsia="宋体" w:cs="宋体"/>
                <w:color w:val="auto"/>
                <w:kern w:val="0"/>
                <w:sz w:val="20"/>
                <w:szCs w:val="21"/>
                <w:highlight w:val="none"/>
                <w:u w:val="single"/>
              </w:rPr>
              <w:t>[3-2）</w:t>
            </w:r>
            <w:r>
              <w:rPr>
                <w:rFonts w:hint="eastAsia" w:ascii="宋体" w:hAnsi="宋体" w:eastAsia="宋体" w:cs="宋体"/>
                <w:color w:val="auto"/>
                <w:kern w:val="0"/>
                <w:sz w:val="20"/>
                <w:szCs w:val="21"/>
                <w:highlight w:val="none"/>
              </w:rPr>
              <w:t>分。</w:t>
            </w:r>
          </w:p>
        </w:tc>
        <w:tc>
          <w:tcPr>
            <w:tcW w:w="2583" w:type="dxa"/>
            <w:noWrap w:val="0"/>
            <w:vAlign w:val="top"/>
          </w:tcPr>
          <w:p>
            <w:pP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有劳动力需求计划及保障措施、机械设备需求计划及保障措施和材料需求计划及保障措施，措施较合理、可行得</w:t>
            </w:r>
            <w:r>
              <w:rPr>
                <w:rFonts w:hint="eastAsia" w:ascii="宋体" w:hAnsi="宋体" w:eastAsia="宋体" w:cs="宋体"/>
                <w:color w:val="auto"/>
                <w:kern w:val="0"/>
                <w:sz w:val="20"/>
                <w:szCs w:val="21"/>
                <w:highlight w:val="none"/>
                <w:u w:val="single"/>
              </w:rPr>
              <w:t>[2-1）</w:t>
            </w:r>
            <w:r>
              <w:rPr>
                <w:rFonts w:hint="eastAsia" w:ascii="宋体" w:hAnsi="宋体" w:eastAsia="宋体" w:cs="宋体"/>
                <w:color w:val="auto"/>
                <w:kern w:val="0"/>
                <w:sz w:val="20"/>
                <w:szCs w:val="21"/>
                <w:highlight w:val="none"/>
              </w:rPr>
              <w:t>分。</w:t>
            </w:r>
          </w:p>
        </w:tc>
        <w:tc>
          <w:tcPr>
            <w:tcW w:w="2583" w:type="dxa"/>
            <w:noWrap w:val="0"/>
            <w:vAlign w:val="top"/>
          </w:tcPr>
          <w:p>
            <w:pP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有劳动力需求计划及保障措施、机械设备需求计划及保障措施和材料需求计划及保障措施，措施基本合理、可行得</w:t>
            </w:r>
            <w:r>
              <w:rPr>
                <w:rFonts w:hint="eastAsia" w:ascii="宋体" w:hAnsi="宋体" w:eastAsia="宋体" w:cs="宋体"/>
                <w:color w:val="auto"/>
                <w:kern w:val="0"/>
                <w:sz w:val="20"/>
                <w:szCs w:val="21"/>
                <w:highlight w:val="none"/>
                <w:u w:val="single"/>
              </w:rPr>
              <w:t xml:space="preserve"> [1-0）</w:t>
            </w:r>
            <w:r>
              <w:rPr>
                <w:rFonts w:hint="eastAsia" w:ascii="宋体" w:hAnsi="宋体" w:eastAsia="宋体" w:cs="宋体"/>
                <w:color w:val="auto"/>
                <w:kern w:val="0"/>
                <w:sz w:val="20"/>
                <w:szCs w:val="21"/>
                <w:highlight w:val="none"/>
              </w:rPr>
              <w:t>分。</w:t>
            </w:r>
          </w:p>
        </w:tc>
        <w:tc>
          <w:tcPr>
            <w:tcW w:w="2586" w:type="dxa"/>
            <w:noWrap w:val="0"/>
            <w:vAlign w:val="top"/>
          </w:tcPr>
          <w:p>
            <w:pP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不满足前述要求者，得0分。</w:t>
            </w:r>
          </w:p>
          <w:p>
            <w:pPr>
              <w:ind w:firstLine="400" w:firstLineChars="200"/>
              <w:rPr>
                <w:rFonts w:ascii="Calibri" w:hAnsi="Calibri" w:eastAsia="楷体_GB2312"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524" w:type="dxa"/>
            <w:vMerge w:val="continue"/>
            <w:noWrap w:val="0"/>
            <w:vAlign w:val="top"/>
          </w:tcPr>
          <w:p>
            <w:pPr>
              <w:ind w:left="218" w:leftChars="104"/>
              <w:rPr>
                <w:rFonts w:ascii="Calibri" w:hAnsi="Calibri" w:eastAsia="宋体" w:cs="Times New Roman"/>
                <w:color w:val="auto"/>
                <w:kern w:val="0"/>
                <w:sz w:val="20"/>
                <w:szCs w:val="20"/>
                <w:highlight w:val="none"/>
              </w:rPr>
            </w:pPr>
          </w:p>
        </w:tc>
        <w:tc>
          <w:tcPr>
            <w:tcW w:w="1976" w:type="dxa"/>
            <w:gridSpan w:val="3"/>
            <w:noWrap w:val="0"/>
            <w:vAlign w:val="center"/>
          </w:tcPr>
          <w:p>
            <w:pPr>
              <w:rPr>
                <w:rFonts w:ascii="Calibri" w:hAnsi="Calibri" w:eastAsia="楷体_GB2312" w:cs="Times New Roman"/>
                <w:color w:val="auto"/>
                <w:kern w:val="0"/>
                <w:sz w:val="20"/>
                <w:szCs w:val="20"/>
                <w:highlight w:val="none"/>
              </w:rPr>
            </w:pPr>
            <w:r>
              <w:rPr>
                <w:rFonts w:hint="eastAsia" w:ascii="宋体" w:hAnsi="宋体" w:eastAsia="宋体" w:cs="宋体"/>
                <w:color w:val="auto"/>
                <w:kern w:val="0"/>
                <w:sz w:val="20"/>
                <w:szCs w:val="21"/>
                <w:highlight w:val="none"/>
              </w:rPr>
              <w:t>施工质量目标</w:t>
            </w:r>
          </w:p>
        </w:tc>
        <w:tc>
          <w:tcPr>
            <w:tcW w:w="953" w:type="dxa"/>
            <w:noWrap w:val="0"/>
            <w:vAlign w:val="center"/>
          </w:tcPr>
          <w:p>
            <w:pPr>
              <w:jc w:val="center"/>
              <w:rPr>
                <w:rFonts w:ascii="Calibri" w:hAnsi="Calibri" w:eastAsia="楷体_GB2312" w:cs="Times New Roman"/>
                <w:color w:val="auto"/>
                <w:kern w:val="0"/>
                <w:sz w:val="20"/>
                <w:szCs w:val="20"/>
                <w:highlight w:val="none"/>
              </w:rPr>
            </w:pPr>
            <w:r>
              <w:rPr>
                <w:rFonts w:hint="eastAsia" w:ascii="宋体" w:hAnsi="宋体" w:eastAsia="宋体" w:cs="宋体"/>
                <w:color w:val="auto"/>
                <w:kern w:val="0"/>
                <w:sz w:val="20"/>
                <w:szCs w:val="21"/>
                <w:highlight w:val="none"/>
              </w:rPr>
              <w:t>5</w:t>
            </w:r>
          </w:p>
        </w:tc>
        <w:tc>
          <w:tcPr>
            <w:tcW w:w="2583" w:type="dxa"/>
            <w:noWrap w:val="0"/>
            <w:vAlign w:val="top"/>
          </w:tcPr>
          <w:p>
            <w:pP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有质量目标保证措施且质量目标符合招标文件要求，质量保证体系及质量事故应急预案合理、可行，得</w:t>
            </w:r>
            <w:r>
              <w:rPr>
                <w:rFonts w:hint="eastAsia" w:ascii="宋体" w:hAnsi="宋体" w:eastAsia="宋体" w:cs="宋体"/>
                <w:color w:val="auto"/>
                <w:kern w:val="0"/>
                <w:sz w:val="20"/>
                <w:szCs w:val="21"/>
                <w:highlight w:val="none"/>
                <w:u w:val="single"/>
              </w:rPr>
              <w:t>[5-3）</w:t>
            </w:r>
            <w:r>
              <w:rPr>
                <w:rFonts w:hint="eastAsia" w:ascii="宋体" w:hAnsi="宋体" w:eastAsia="宋体" w:cs="宋体"/>
                <w:color w:val="auto"/>
                <w:kern w:val="0"/>
                <w:sz w:val="20"/>
                <w:szCs w:val="21"/>
                <w:highlight w:val="none"/>
              </w:rPr>
              <w:t>分。</w:t>
            </w:r>
          </w:p>
        </w:tc>
        <w:tc>
          <w:tcPr>
            <w:tcW w:w="2583" w:type="dxa"/>
            <w:noWrap w:val="0"/>
            <w:vAlign w:val="top"/>
          </w:tcPr>
          <w:p>
            <w:pP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有质量目标保证措施且质量目标符合招标文件要求，质量保证体系及质量事故应急预案较合理可行，得</w:t>
            </w:r>
            <w:r>
              <w:rPr>
                <w:rFonts w:hint="eastAsia" w:ascii="宋体" w:hAnsi="宋体" w:eastAsia="宋体" w:cs="宋体"/>
                <w:color w:val="auto"/>
                <w:kern w:val="0"/>
                <w:sz w:val="20"/>
                <w:szCs w:val="21"/>
                <w:highlight w:val="none"/>
                <w:u w:val="single"/>
              </w:rPr>
              <w:t>[3-1）</w:t>
            </w:r>
            <w:r>
              <w:rPr>
                <w:rFonts w:hint="eastAsia" w:ascii="宋体" w:hAnsi="宋体" w:eastAsia="宋体" w:cs="宋体"/>
                <w:color w:val="auto"/>
                <w:kern w:val="0"/>
                <w:sz w:val="20"/>
                <w:szCs w:val="21"/>
                <w:highlight w:val="none"/>
              </w:rPr>
              <w:t>分。</w:t>
            </w:r>
          </w:p>
        </w:tc>
        <w:tc>
          <w:tcPr>
            <w:tcW w:w="2583" w:type="dxa"/>
            <w:noWrap w:val="0"/>
            <w:vAlign w:val="top"/>
          </w:tcPr>
          <w:p>
            <w:pP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有质量目标保证措施且质量目标符合招标文件要求，质量保证体系及质量事故应急预案基本合理可行，得</w:t>
            </w:r>
            <w:r>
              <w:rPr>
                <w:rFonts w:hint="eastAsia" w:ascii="宋体" w:hAnsi="宋体" w:eastAsia="宋体" w:cs="宋体"/>
                <w:color w:val="auto"/>
                <w:kern w:val="0"/>
                <w:sz w:val="20"/>
                <w:szCs w:val="21"/>
                <w:highlight w:val="none"/>
                <w:u w:val="single"/>
              </w:rPr>
              <w:t>[1-0）</w:t>
            </w:r>
            <w:r>
              <w:rPr>
                <w:rFonts w:hint="eastAsia" w:ascii="宋体" w:hAnsi="宋体" w:eastAsia="宋体" w:cs="宋体"/>
                <w:color w:val="auto"/>
                <w:kern w:val="0"/>
                <w:sz w:val="20"/>
                <w:szCs w:val="21"/>
                <w:highlight w:val="none"/>
              </w:rPr>
              <w:t>分。</w:t>
            </w:r>
          </w:p>
        </w:tc>
        <w:tc>
          <w:tcPr>
            <w:tcW w:w="2586" w:type="dxa"/>
            <w:noWrap w:val="0"/>
            <w:vAlign w:val="top"/>
          </w:tcPr>
          <w:p>
            <w:pP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不满足前述要求者，得0分。</w:t>
            </w:r>
          </w:p>
          <w:p>
            <w:pPr>
              <w:ind w:firstLine="400" w:firstLineChars="200"/>
              <w:rPr>
                <w:rFonts w:ascii="Calibri" w:hAnsi="Calibri" w:eastAsia="楷体_GB2312"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vMerge w:val="continue"/>
            <w:noWrap w:val="0"/>
            <w:vAlign w:val="top"/>
          </w:tcPr>
          <w:p>
            <w:pPr>
              <w:ind w:firstLine="400" w:firstLineChars="200"/>
              <w:rPr>
                <w:rFonts w:ascii="Calibri" w:hAnsi="Calibri" w:eastAsia="楷体_GB2312" w:cs="Times New Roman"/>
                <w:color w:val="auto"/>
                <w:kern w:val="0"/>
                <w:sz w:val="20"/>
                <w:szCs w:val="20"/>
                <w:highlight w:val="none"/>
              </w:rPr>
            </w:pPr>
          </w:p>
        </w:tc>
        <w:tc>
          <w:tcPr>
            <w:tcW w:w="1976" w:type="dxa"/>
            <w:gridSpan w:val="3"/>
            <w:noWrap w:val="0"/>
            <w:vAlign w:val="center"/>
          </w:tcPr>
          <w:p>
            <w:pPr>
              <w:rPr>
                <w:rFonts w:ascii="Calibri" w:hAnsi="Calibri" w:eastAsia="楷体_GB2312" w:cs="Times New Roman"/>
                <w:color w:val="auto"/>
                <w:kern w:val="0"/>
                <w:sz w:val="20"/>
                <w:szCs w:val="20"/>
                <w:highlight w:val="none"/>
              </w:rPr>
            </w:pPr>
            <w:r>
              <w:rPr>
                <w:rFonts w:hint="eastAsia" w:ascii="宋体" w:hAnsi="宋体" w:eastAsia="宋体" w:cs="宋体"/>
                <w:color w:val="auto"/>
                <w:kern w:val="0"/>
                <w:sz w:val="20"/>
                <w:szCs w:val="21"/>
                <w:highlight w:val="none"/>
              </w:rPr>
              <w:t>安全文明施工措施</w:t>
            </w:r>
          </w:p>
        </w:tc>
        <w:tc>
          <w:tcPr>
            <w:tcW w:w="953" w:type="dxa"/>
            <w:noWrap w:val="0"/>
            <w:vAlign w:val="center"/>
          </w:tcPr>
          <w:p>
            <w:pPr>
              <w:jc w:val="center"/>
              <w:rPr>
                <w:rFonts w:ascii="Calibri" w:hAnsi="Calibri" w:eastAsia="楷体_GB2312" w:cs="Times New Roman"/>
                <w:color w:val="auto"/>
                <w:kern w:val="0"/>
                <w:sz w:val="20"/>
                <w:szCs w:val="20"/>
                <w:highlight w:val="none"/>
              </w:rPr>
            </w:pPr>
            <w:r>
              <w:rPr>
                <w:rFonts w:hint="eastAsia" w:ascii="宋体" w:hAnsi="宋体" w:eastAsia="宋体" w:cs="宋体"/>
                <w:color w:val="auto"/>
                <w:kern w:val="0"/>
                <w:sz w:val="20"/>
                <w:szCs w:val="21"/>
                <w:highlight w:val="none"/>
              </w:rPr>
              <w:t>5</w:t>
            </w:r>
          </w:p>
        </w:tc>
        <w:tc>
          <w:tcPr>
            <w:tcW w:w="2583" w:type="dxa"/>
            <w:noWrap w:val="0"/>
            <w:vAlign w:val="top"/>
          </w:tcPr>
          <w:p>
            <w:pP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有安全文明施工目标、安全文明保障体系及安全文明施工保证措施，措施合理、 可行得</w:t>
            </w:r>
            <w:r>
              <w:rPr>
                <w:rFonts w:hint="eastAsia" w:ascii="宋体" w:hAnsi="宋体" w:eastAsia="宋体" w:cs="宋体"/>
                <w:color w:val="auto"/>
                <w:kern w:val="0"/>
                <w:sz w:val="20"/>
                <w:szCs w:val="21"/>
                <w:highlight w:val="none"/>
                <w:u w:val="single"/>
              </w:rPr>
              <w:t>[5-3）分。</w:t>
            </w:r>
          </w:p>
        </w:tc>
        <w:tc>
          <w:tcPr>
            <w:tcW w:w="2583" w:type="dxa"/>
            <w:noWrap w:val="0"/>
            <w:vAlign w:val="top"/>
          </w:tcPr>
          <w:p>
            <w:pP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有安全文明施工目标、安全文明保障体系及安全文明施工保证措施，措施较合理、 可行得</w:t>
            </w:r>
            <w:r>
              <w:rPr>
                <w:rFonts w:hint="eastAsia" w:ascii="宋体" w:hAnsi="宋体" w:eastAsia="宋体" w:cs="宋体"/>
                <w:color w:val="auto"/>
                <w:kern w:val="0"/>
                <w:sz w:val="20"/>
                <w:szCs w:val="21"/>
                <w:highlight w:val="none"/>
                <w:u w:val="single"/>
              </w:rPr>
              <w:t>[3-1）分。</w:t>
            </w:r>
          </w:p>
        </w:tc>
        <w:tc>
          <w:tcPr>
            <w:tcW w:w="2583" w:type="dxa"/>
            <w:noWrap w:val="0"/>
            <w:vAlign w:val="top"/>
          </w:tcPr>
          <w:p>
            <w:pP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有安全文明施工目标、安全文明保障体系及安全文明施工保证措施，措施基本合理、可行得</w:t>
            </w:r>
            <w:r>
              <w:rPr>
                <w:rFonts w:hint="eastAsia" w:ascii="宋体" w:hAnsi="宋体" w:eastAsia="宋体" w:cs="宋体"/>
                <w:color w:val="auto"/>
                <w:kern w:val="0"/>
                <w:sz w:val="20"/>
                <w:szCs w:val="21"/>
                <w:highlight w:val="none"/>
                <w:u w:val="single"/>
              </w:rPr>
              <w:t>[1-0）分。</w:t>
            </w:r>
          </w:p>
        </w:tc>
        <w:tc>
          <w:tcPr>
            <w:tcW w:w="2586" w:type="dxa"/>
            <w:noWrap w:val="0"/>
            <w:vAlign w:val="top"/>
          </w:tcPr>
          <w:p>
            <w:pPr>
              <w:rPr>
                <w:rFonts w:ascii="Calibri" w:hAnsi="Calibri" w:eastAsia="楷体_GB2312" w:cs="Times New Roman"/>
                <w:color w:val="auto"/>
                <w:kern w:val="0"/>
                <w:sz w:val="20"/>
                <w:szCs w:val="20"/>
                <w:highlight w:val="none"/>
              </w:rPr>
            </w:pPr>
            <w:r>
              <w:rPr>
                <w:rFonts w:hint="eastAsia" w:ascii="宋体" w:hAnsi="宋体" w:eastAsia="宋体" w:cs="宋体"/>
                <w:color w:val="auto"/>
                <w:kern w:val="0"/>
                <w:sz w:val="20"/>
                <w:szCs w:val="21"/>
                <w:highlight w:val="none"/>
              </w:rPr>
              <w:t>不满足前述要求者，得0分。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trPr>
        <w:tc>
          <w:tcPr>
            <w:tcW w:w="1524" w:type="dxa"/>
            <w:vMerge w:val="continue"/>
            <w:noWrap w:val="0"/>
            <w:vAlign w:val="top"/>
          </w:tcPr>
          <w:p>
            <w:pPr>
              <w:ind w:firstLine="400" w:firstLineChars="200"/>
              <w:rPr>
                <w:rFonts w:ascii="Calibri" w:hAnsi="Calibri" w:eastAsia="楷体_GB2312" w:cs="Times New Roman"/>
                <w:color w:val="auto"/>
                <w:kern w:val="0"/>
                <w:sz w:val="20"/>
                <w:szCs w:val="20"/>
                <w:highlight w:val="none"/>
              </w:rPr>
            </w:pPr>
          </w:p>
        </w:tc>
        <w:tc>
          <w:tcPr>
            <w:tcW w:w="1976" w:type="dxa"/>
            <w:gridSpan w:val="3"/>
            <w:noWrap w:val="0"/>
            <w:vAlign w:val="center"/>
          </w:tcPr>
          <w:p>
            <w:pPr>
              <w:rPr>
                <w:rFonts w:ascii="Calibri" w:hAnsi="Calibri" w:eastAsia="楷体_GB2312" w:cs="Times New Roman"/>
                <w:color w:val="auto"/>
                <w:kern w:val="0"/>
                <w:sz w:val="20"/>
                <w:szCs w:val="20"/>
                <w:highlight w:val="none"/>
              </w:rPr>
            </w:pPr>
            <w:r>
              <w:rPr>
                <w:rFonts w:hint="eastAsia" w:ascii="宋体" w:hAnsi="宋体" w:eastAsia="宋体" w:cs="宋体"/>
                <w:color w:val="auto"/>
                <w:kern w:val="0"/>
                <w:sz w:val="20"/>
                <w:szCs w:val="21"/>
                <w:highlight w:val="none"/>
              </w:rPr>
              <w:t>绿色施工措施</w:t>
            </w:r>
          </w:p>
        </w:tc>
        <w:tc>
          <w:tcPr>
            <w:tcW w:w="953" w:type="dxa"/>
            <w:noWrap w:val="0"/>
            <w:vAlign w:val="center"/>
          </w:tcPr>
          <w:p>
            <w:pPr>
              <w:jc w:val="center"/>
              <w:rPr>
                <w:rFonts w:ascii="Calibri" w:hAnsi="Calibri" w:eastAsia="楷体_GB2312" w:cs="Times New Roman"/>
                <w:color w:val="auto"/>
                <w:kern w:val="0"/>
                <w:sz w:val="20"/>
                <w:szCs w:val="20"/>
                <w:highlight w:val="none"/>
              </w:rPr>
            </w:pPr>
            <w:r>
              <w:rPr>
                <w:rFonts w:hint="eastAsia" w:ascii="宋体" w:hAnsi="宋体" w:eastAsia="宋体" w:cs="宋体"/>
                <w:color w:val="auto"/>
                <w:kern w:val="0"/>
                <w:sz w:val="20"/>
                <w:szCs w:val="21"/>
                <w:highlight w:val="none"/>
              </w:rPr>
              <w:t>5</w:t>
            </w:r>
          </w:p>
        </w:tc>
        <w:tc>
          <w:tcPr>
            <w:tcW w:w="2583" w:type="dxa"/>
            <w:noWrap w:val="0"/>
            <w:vAlign w:val="top"/>
          </w:tcPr>
          <w:p>
            <w:pPr>
              <w:rPr>
                <w:rFonts w:ascii="Calibri" w:hAnsi="Calibri" w:eastAsia="宋体" w:cs="Times New Roman"/>
                <w:color w:val="auto"/>
                <w:kern w:val="0"/>
                <w:sz w:val="20"/>
                <w:szCs w:val="20"/>
                <w:highlight w:val="none"/>
              </w:rPr>
            </w:pPr>
            <w:r>
              <w:rPr>
                <w:rFonts w:hint="eastAsia" w:ascii="宋体" w:hAnsi="宋体" w:eastAsia="宋体" w:cs="Times New Roman"/>
                <w:color w:val="auto"/>
                <w:kern w:val="0"/>
                <w:sz w:val="20"/>
                <w:szCs w:val="20"/>
                <w:highlight w:val="none"/>
              </w:rPr>
              <w:t>承诺在本项目投入使用燃料电池汽车等新能源车的数量占本项目投入建筑垃圾自卸车（渣土车）总数比例占总数比例50%或以上得</w:t>
            </w:r>
            <w:r>
              <w:rPr>
                <w:rFonts w:hint="eastAsia" w:ascii="宋体" w:hAnsi="宋体" w:eastAsia="宋体" w:cs="Times New Roman"/>
                <w:color w:val="auto"/>
                <w:kern w:val="0"/>
                <w:sz w:val="20"/>
                <w:szCs w:val="20"/>
                <w:highlight w:val="none"/>
                <w:u w:val="single"/>
              </w:rPr>
              <w:t xml:space="preserve">5 </w:t>
            </w:r>
            <w:r>
              <w:rPr>
                <w:rFonts w:hint="eastAsia" w:ascii="宋体" w:hAnsi="宋体" w:eastAsia="宋体" w:cs="Times New Roman"/>
                <w:color w:val="auto"/>
                <w:kern w:val="0"/>
                <w:sz w:val="20"/>
                <w:szCs w:val="20"/>
                <w:highlight w:val="none"/>
              </w:rPr>
              <w:t>分。（以《拟投入本工程施工的主要机械设备配备表》为准）</w:t>
            </w:r>
          </w:p>
        </w:tc>
        <w:tc>
          <w:tcPr>
            <w:tcW w:w="2583" w:type="dxa"/>
            <w:noWrap w:val="0"/>
            <w:vAlign w:val="top"/>
          </w:tcPr>
          <w:p>
            <w:pPr>
              <w:rPr>
                <w:rFonts w:ascii="Calibri" w:hAnsi="Calibri" w:eastAsia="宋体" w:cs="Times New Roman"/>
                <w:color w:val="auto"/>
                <w:kern w:val="0"/>
                <w:sz w:val="20"/>
                <w:szCs w:val="20"/>
                <w:highlight w:val="none"/>
              </w:rPr>
            </w:pPr>
            <w:r>
              <w:rPr>
                <w:rFonts w:hint="eastAsia" w:ascii="宋体" w:hAnsi="宋体" w:eastAsia="宋体" w:cs="Times New Roman"/>
                <w:color w:val="auto"/>
                <w:kern w:val="0"/>
                <w:sz w:val="20"/>
                <w:szCs w:val="20"/>
                <w:highlight w:val="none"/>
              </w:rPr>
              <w:t>承诺在本项目投入使用燃料电池汽车等新能源车的数量占本项目投入建筑垃圾自卸车（渣土车）总数比例[45%，50%）得</w:t>
            </w:r>
            <w:r>
              <w:rPr>
                <w:rFonts w:hint="eastAsia" w:ascii="宋体" w:hAnsi="宋体" w:eastAsia="宋体" w:cs="Times New Roman"/>
                <w:color w:val="auto"/>
                <w:kern w:val="0"/>
                <w:sz w:val="20"/>
                <w:szCs w:val="20"/>
                <w:highlight w:val="none"/>
                <w:u w:val="single"/>
              </w:rPr>
              <w:t xml:space="preserve"> 3</w:t>
            </w:r>
            <w:r>
              <w:rPr>
                <w:rFonts w:hint="eastAsia" w:ascii="宋体" w:hAnsi="宋体" w:eastAsia="宋体" w:cs="Times New Roman"/>
                <w:color w:val="auto"/>
                <w:kern w:val="0"/>
                <w:sz w:val="20"/>
                <w:szCs w:val="20"/>
                <w:highlight w:val="none"/>
              </w:rPr>
              <w:t>分。（以《拟投入本工程施工的主要机械设备配备表》为准）</w:t>
            </w:r>
          </w:p>
        </w:tc>
        <w:tc>
          <w:tcPr>
            <w:tcW w:w="2583" w:type="dxa"/>
            <w:noWrap w:val="0"/>
            <w:vAlign w:val="top"/>
          </w:tcPr>
          <w:p>
            <w:pPr>
              <w:rPr>
                <w:rFonts w:ascii="Calibri" w:hAnsi="Calibri" w:eastAsia="宋体" w:cs="Times New Roman"/>
                <w:color w:val="auto"/>
                <w:kern w:val="0"/>
                <w:sz w:val="20"/>
                <w:szCs w:val="20"/>
                <w:highlight w:val="none"/>
              </w:rPr>
            </w:pPr>
            <w:r>
              <w:rPr>
                <w:rFonts w:hint="eastAsia" w:ascii="宋体" w:hAnsi="宋体" w:eastAsia="宋体" w:cs="Times New Roman"/>
                <w:color w:val="auto"/>
                <w:kern w:val="0"/>
                <w:sz w:val="20"/>
                <w:szCs w:val="20"/>
                <w:highlight w:val="none"/>
              </w:rPr>
              <w:t>承诺在本项目投入使用燃料电池汽车等新能源车的数量占本项目投入建筑垃圾自卸车（渣土车）总数比例[40%，45%）得</w:t>
            </w:r>
            <w:r>
              <w:rPr>
                <w:rFonts w:hint="eastAsia" w:ascii="宋体" w:hAnsi="宋体" w:eastAsia="宋体" w:cs="Times New Roman"/>
                <w:color w:val="auto"/>
                <w:kern w:val="0"/>
                <w:sz w:val="20"/>
                <w:szCs w:val="20"/>
                <w:highlight w:val="none"/>
                <w:u w:val="single"/>
              </w:rPr>
              <w:t xml:space="preserve"> 1</w:t>
            </w:r>
            <w:r>
              <w:rPr>
                <w:rFonts w:hint="eastAsia" w:ascii="宋体" w:hAnsi="宋体" w:eastAsia="宋体" w:cs="Times New Roman"/>
                <w:color w:val="auto"/>
                <w:kern w:val="0"/>
                <w:sz w:val="20"/>
                <w:szCs w:val="20"/>
                <w:highlight w:val="none"/>
              </w:rPr>
              <w:t>分。（以《拟投入本工程施工的主要机械设备配备表》为准）</w:t>
            </w:r>
          </w:p>
        </w:tc>
        <w:tc>
          <w:tcPr>
            <w:tcW w:w="2586" w:type="dxa"/>
            <w:noWrap w:val="0"/>
            <w:vAlign w:val="top"/>
          </w:tcPr>
          <w:p>
            <w:pPr>
              <w:rPr>
                <w:rFonts w:ascii="Calibri" w:hAnsi="Calibri" w:eastAsia="宋体" w:cs="Times New Roman"/>
                <w:color w:val="auto"/>
                <w:kern w:val="0"/>
                <w:sz w:val="20"/>
                <w:szCs w:val="20"/>
                <w:highlight w:val="none"/>
              </w:rPr>
            </w:pPr>
            <w:r>
              <w:rPr>
                <w:rFonts w:hint="eastAsia" w:ascii="宋体" w:hAnsi="宋体" w:eastAsia="宋体" w:cs="Times New Roman"/>
                <w:color w:val="auto"/>
                <w:kern w:val="0"/>
                <w:sz w:val="20"/>
                <w:szCs w:val="20"/>
                <w:highlight w:val="none"/>
              </w:rPr>
              <w:t>承诺在本项目投入使用燃料电池汽车等新能源车的数量占本项目投入建筑垃圾自卸车（渣土车）总数比例40%以下，或未承诺在本项目投入使用燃料电池汽车等新能源车的得0分。（以《拟投入本工程施工的主要机械设备配备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1524" w:type="dxa"/>
            <w:vMerge w:val="restart"/>
            <w:noWrap w:val="0"/>
            <w:vAlign w:val="center"/>
          </w:tcPr>
          <w:p>
            <w:pPr>
              <w:spacing w:line="280" w:lineRule="exact"/>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二、项目组织管理机构能力</w:t>
            </w:r>
          </w:p>
          <w:p>
            <w:pPr>
              <w:spacing w:line="280" w:lineRule="exact"/>
              <w:rPr>
                <w:rFonts w:ascii="Calibri" w:hAnsi="Calibri" w:eastAsia="宋体" w:cs="Times New Roman"/>
                <w:color w:val="auto"/>
                <w:kern w:val="0"/>
                <w:sz w:val="20"/>
                <w:szCs w:val="20"/>
                <w:highlight w:val="none"/>
              </w:rPr>
            </w:pPr>
            <w:r>
              <w:rPr>
                <w:rFonts w:hint="eastAsia" w:ascii="宋体" w:hAnsi="宋体" w:eastAsia="宋体" w:cs="宋体"/>
                <w:color w:val="auto"/>
                <w:kern w:val="0"/>
                <w:sz w:val="20"/>
                <w:szCs w:val="21"/>
                <w:highlight w:val="none"/>
              </w:rPr>
              <w:t>（48分）</w:t>
            </w:r>
          </w:p>
        </w:tc>
        <w:tc>
          <w:tcPr>
            <w:tcW w:w="502" w:type="dxa"/>
            <w:gridSpan w:val="2"/>
            <w:vMerge w:val="restart"/>
            <w:noWrap w:val="0"/>
            <w:vAlign w:val="center"/>
          </w:tcPr>
          <w:p>
            <w:pPr>
              <w:widowControl/>
              <w:spacing w:line="280" w:lineRule="exact"/>
              <w:rPr>
                <w:rFonts w:ascii="Calibri" w:hAnsi="Calibri" w:eastAsia="宋体" w:cs="Times New Roman"/>
                <w:color w:val="auto"/>
                <w:kern w:val="0"/>
                <w:sz w:val="20"/>
                <w:szCs w:val="20"/>
                <w:highlight w:val="none"/>
              </w:rPr>
            </w:pPr>
            <w:r>
              <w:rPr>
                <w:rFonts w:hint="eastAsia" w:ascii="宋体" w:hAnsi="宋体" w:eastAsia="宋体" w:cs="宋体"/>
                <w:color w:val="auto"/>
                <w:kern w:val="0"/>
                <w:sz w:val="20"/>
                <w:szCs w:val="21"/>
                <w:highlight w:val="none"/>
              </w:rPr>
              <w:t>项目管理机构</w:t>
            </w:r>
          </w:p>
        </w:tc>
        <w:tc>
          <w:tcPr>
            <w:tcW w:w="1474" w:type="dxa"/>
            <w:noWrap w:val="0"/>
            <w:vAlign w:val="center"/>
          </w:tcPr>
          <w:p>
            <w:pPr>
              <w:widowControl/>
              <w:spacing w:line="280" w:lineRule="exact"/>
              <w:ind w:right="-8" w:rightChars="-4"/>
              <w:jc w:val="left"/>
              <w:rPr>
                <w:rFonts w:ascii="Calibri" w:hAnsi="Calibri" w:eastAsia="宋体" w:cs="Times New Roman"/>
                <w:color w:val="auto"/>
                <w:kern w:val="0"/>
                <w:sz w:val="20"/>
                <w:szCs w:val="20"/>
                <w:highlight w:val="none"/>
              </w:rPr>
            </w:pPr>
            <w:r>
              <w:rPr>
                <w:rFonts w:hint="eastAsia" w:ascii="宋体" w:hAnsi="宋体" w:eastAsia="宋体" w:cs="宋体"/>
                <w:color w:val="auto"/>
                <w:kern w:val="0"/>
                <w:sz w:val="20"/>
                <w:szCs w:val="21"/>
                <w:highlight w:val="none"/>
              </w:rPr>
              <w:t>项目负责人</w:t>
            </w:r>
          </w:p>
        </w:tc>
        <w:tc>
          <w:tcPr>
            <w:tcW w:w="953" w:type="dxa"/>
            <w:noWrap w:val="0"/>
            <w:vAlign w:val="center"/>
          </w:tcPr>
          <w:p>
            <w:pPr>
              <w:widowControl/>
              <w:spacing w:line="280" w:lineRule="exact"/>
              <w:jc w:val="center"/>
              <w:rPr>
                <w:rFonts w:hint="default" w:ascii="Calibri" w:hAnsi="Calibri" w:eastAsia="宋体" w:cs="Times New Roman"/>
                <w:color w:val="auto"/>
                <w:kern w:val="0"/>
                <w:sz w:val="20"/>
                <w:szCs w:val="20"/>
                <w:highlight w:val="none"/>
                <w:lang w:val="en-US" w:eastAsia="zh-CN"/>
              </w:rPr>
            </w:pPr>
            <w:r>
              <w:rPr>
                <w:rFonts w:hint="eastAsia" w:ascii="宋体" w:hAnsi="宋体" w:cs="宋体"/>
                <w:color w:val="auto"/>
                <w:kern w:val="0"/>
                <w:sz w:val="20"/>
                <w:szCs w:val="21"/>
                <w:highlight w:val="none"/>
                <w:lang w:val="en-US" w:eastAsia="zh-CN"/>
              </w:rPr>
              <w:t>17</w:t>
            </w:r>
          </w:p>
        </w:tc>
        <w:tc>
          <w:tcPr>
            <w:tcW w:w="10335" w:type="dxa"/>
            <w:gridSpan w:val="4"/>
            <w:noWrap w:val="0"/>
            <w:vAlign w:val="center"/>
          </w:tcPr>
          <w:p>
            <w:pPr>
              <w:ind w:firstLine="420" w:firstLineChars="200"/>
              <w:rPr>
                <w:color w:val="auto"/>
                <w:highlight w:val="none"/>
              </w:rPr>
            </w:pPr>
            <w:r>
              <w:rPr>
                <w:rFonts w:hint="eastAsia"/>
                <w:color w:val="auto"/>
                <w:highlight w:val="none"/>
              </w:rPr>
              <w:t>①从业能力：具有机电类或电气类专业副高级或以上技术职称，得</w:t>
            </w:r>
            <w:r>
              <w:rPr>
                <w:rFonts w:hint="eastAsia"/>
                <w:color w:val="auto"/>
                <w:highlight w:val="none"/>
                <w:u w:val="single"/>
                <w:lang w:val="en-US" w:eastAsia="zh-CN"/>
              </w:rPr>
              <w:t>6</w:t>
            </w:r>
            <w:r>
              <w:rPr>
                <w:rFonts w:hint="eastAsia"/>
                <w:color w:val="auto"/>
                <w:highlight w:val="none"/>
              </w:rPr>
              <w:t>分；具有机电类或电气类专业中级技术职称，得</w:t>
            </w:r>
            <w:r>
              <w:rPr>
                <w:rFonts w:hint="eastAsia"/>
                <w:color w:val="auto"/>
                <w:highlight w:val="none"/>
                <w:u w:val="single"/>
              </w:rPr>
              <w:t xml:space="preserve"> </w:t>
            </w:r>
            <w:r>
              <w:rPr>
                <w:rFonts w:hint="eastAsia"/>
                <w:color w:val="auto"/>
                <w:highlight w:val="none"/>
                <w:u w:val="single"/>
                <w:lang w:val="en-US" w:eastAsia="zh-CN"/>
              </w:rPr>
              <w:t xml:space="preserve">3 </w:t>
            </w:r>
            <w:r>
              <w:rPr>
                <w:rFonts w:hint="eastAsia"/>
                <w:color w:val="auto"/>
                <w:highlight w:val="none"/>
              </w:rPr>
              <w:t>分；本项最多得</w:t>
            </w:r>
            <w:r>
              <w:rPr>
                <w:rFonts w:hint="eastAsia"/>
                <w:color w:val="auto"/>
                <w:highlight w:val="none"/>
                <w:u w:val="single"/>
              </w:rPr>
              <w:t xml:space="preserve"> </w:t>
            </w:r>
            <w:r>
              <w:rPr>
                <w:rFonts w:hint="eastAsia"/>
                <w:color w:val="auto"/>
                <w:highlight w:val="none"/>
                <w:u w:val="single"/>
                <w:lang w:val="en-US" w:eastAsia="zh-CN"/>
              </w:rPr>
              <w:t>6</w:t>
            </w:r>
            <w:r>
              <w:rPr>
                <w:rFonts w:hint="eastAsia"/>
                <w:color w:val="auto"/>
                <w:highlight w:val="none"/>
                <w:u w:val="single"/>
              </w:rPr>
              <w:t xml:space="preserve"> </w:t>
            </w:r>
            <w:r>
              <w:rPr>
                <w:rFonts w:hint="eastAsia"/>
                <w:color w:val="auto"/>
                <w:highlight w:val="none"/>
              </w:rPr>
              <w:t>分。</w:t>
            </w:r>
          </w:p>
          <w:p>
            <w:pPr>
              <w:ind w:firstLine="420" w:firstLineChars="200"/>
              <w:rPr>
                <w:rFonts w:hint="eastAsia"/>
                <w:color w:val="auto"/>
                <w:highlight w:val="none"/>
              </w:rPr>
            </w:pPr>
            <w:r>
              <w:rPr>
                <w:rFonts w:hint="eastAsia"/>
                <w:color w:val="auto"/>
                <w:highlight w:val="none"/>
              </w:rPr>
              <w:t>②业绩：项目负责人自</w:t>
            </w:r>
            <w:r>
              <w:rPr>
                <w:rFonts w:hint="eastAsia"/>
                <w:color w:val="auto"/>
                <w:highlight w:val="none"/>
                <w:lang w:val="en-US" w:eastAsia="zh-CN"/>
              </w:rPr>
              <w:t>2020</w:t>
            </w:r>
            <w:r>
              <w:rPr>
                <w:rFonts w:hint="eastAsia"/>
                <w:color w:val="auto"/>
                <w:highlight w:val="none"/>
              </w:rPr>
              <w:t>年1月1日至今完成过质量合格的且工程造价金额大于或等于</w:t>
            </w:r>
            <w:r>
              <w:rPr>
                <w:rFonts w:hint="eastAsia"/>
                <w:color w:val="auto"/>
                <w:highlight w:val="none"/>
                <w:lang w:val="en-US" w:eastAsia="zh-CN"/>
              </w:rPr>
              <w:t>1400</w:t>
            </w:r>
            <w:r>
              <w:rPr>
                <w:rFonts w:hint="eastAsia"/>
                <w:color w:val="auto"/>
                <w:highlight w:val="none"/>
              </w:rPr>
              <w:t>万元的电力工程施工或建筑机电安装工程</w:t>
            </w:r>
            <w:r>
              <w:rPr>
                <w:rFonts w:hint="eastAsia"/>
                <w:color w:val="auto"/>
                <w:highlight w:val="none"/>
                <w:lang w:val="en-US" w:eastAsia="zh-CN"/>
              </w:rPr>
              <w:t>施工（含</w:t>
            </w:r>
            <w:r>
              <w:rPr>
                <w:rFonts w:hint="eastAsia"/>
                <w:color w:val="auto"/>
                <w:highlight w:val="none"/>
              </w:rPr>
              <w:t>工程总承包施工部分业绩</w:t>
            </w:r>
            <w:r>
              <w:rPr>
                <w:rFonts w:hint="eastAsia"/>
                <w:color w:val="auto"/>
                <w:highlight w:val="none"/>
                <w:lang w:eastAsia="zh-CN"/>
              </w:rPr>
              <w:t>）</w:t>
            </w:r>
            <w:r>
              <w:rPr>
                <w:rFonts w:hint="eastAsia"/>
                <w:color w:val="auto"/>
                <w:highlight w:val="none"/>
              </w:rPr>
              <w:t>，得</w:t>
            </w:r>
            <w:r>
              <w:rPr>
                <w:rFonts w:hint="eastAsia"/>
                <w:color w:val="auto"/>
                <w:highlight w:val="none"/>
                <w:u w:val="single"/>
              </w:rPr>
              <w:t xml:space="preserve"> 6 </w:t>
            </w:r>
            <w:r>
              <w:rPr>
                <w:rFonts w:hint="eastAsia"/>
                <w:color w:val="auto"/>
                <w:highlight w:val="none"/>
              </w:rPr>
              <w:t>分；本项最多得</w:t>
            </w:r>
            <w:r>
              <w:rPr>
                <w:rFonts w:hint="eastAsia"/>
                <w:color w:val="auto"/>
                <w:highlight w:val="none"/>
                <w:u w:val="single"/>
              </w:rPr>
              <w:t xml:space="preserve"> 6 </w:t>
            </w:r>
            <w:r>
              <w:rPr>
                <w:rFonts w:hint="eastAsia"/>
                <w:color w:val="auto"/>
                <w:highlight w:val="none"/>
              </w:rPr>
              <w:t>分。</w:t>
            </w:r>
          </w:p>
          <w:p>
            <w:pPr>
              <w:pStyle w:val="24"/>
              <w:snapToGrid/>
              <w:spacing w:line="240" w:lineRule="auto"/>
              <w:ind w:left="0" w:leftChars="0" w:firstLine="420" w:firstLineChars="200"/>
              <w:rPr>
                <w:color w:val="auto"/>
                <w:highlight w:val="none"/>
              </w:rPr>
            </w:pPr>
            <w:r>
              <w:rPr>
                <w:rFonts w:hint="eastAsia"/>
                <w:color w:val="auto"/>
                <w:sz w:val="21"/>
                <w:szCs w:val="21"/>
                <w:highlight w:val="none"/>
              </w:rPr>
              <w:t>③经历：具有10年或以上（含10年）施工管理工作经验，得</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5</w:t>
            </w:r>
            <w:r>
              <w:rPr>
                <w:rFonts w:hint="eastAsia"/>
                <w:color w:val="auto"/>
                <w:sz w:val="21"/>
                <w:szCs w:val="21"/>
                <w:highlight w:val="none"/>
                <w:u w:val="single"/>
              </w:rPr>
              <w:t xml:space="preserve"> </w:t>
            </w:r>
            <w:r>
              <w:rPr>
                <w:rFonts w:hint="eastAsia"/>
                <w:color w:val="auto"/>
                <w:sz w:val="21"/>
                <w:szCs w:val="21"/>
                <w:highlight w:val="none"/>
              </w:rPr>
              <w:t>分；具有5年（含5年）至10年（不含10年）施工管理工作经验，得</w:t>
            </w:r>
            <w:r>
              <w:rPr>
                <w:rFonts w:hint="eastAsia"/>
                <w:color w:val="auto"/>
                <w:sz w:val="21"/>
                <w:szCs w:val="21"/>
                <w:highlight w:val="none"/>
                <w:u w:val="single"/>
              </w:rPr>
              <w:t xml:space="preserve"> 3 </w:t>
            </w:r>
            <w:r>
              <w:rPr>
                <w:rFonts w:hint="eastAsia"/>
                <w:color w:val="auto"/>
                <w:sz w:val="21"/>
                <w:szCs w:val="21"/>
                <w:highlight w:val="none"/>
              </w:rPr>
              <w:t>分；本项最多得</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5</w:t>
            </w:r>
            <w:r>
              <w:rPr>
                <w:rFonts w:hint="eastAsia"/>
                <w:color w:val="auto"/>
                <w:sz w:val="21"/>
                <w:szCs w:val="21"/>
                <w:highlight w:val="none"/>
                <w:u w:val="single"/>
              </w:rPr>
              <w:t xml:space="preserve"> </w:t>
            </w:r>
            <w:r>
              <w:rPr>
                <w:rFonts w:hint="eastAsia"/>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524" w:type="dxa"/>
            <w:vMerge w:val="continue"/>
            <w:noWrap w:val="0"/>
            <w:vAlign w:val="center"/>
          </w:tcPr>
          <w:p>
            <w:pPr>
              <w:spacing w:line="280" w:lineRule="exact"/>
              <w:rPr>
                <w:rFonts w:ascii="Calibri" w:hAnsi="Calibri" w:eastAsia="宋体" w:cs="Times New Roman"/>
                <w:color w:val="auto"/>
                <w:kern w:val="0"/>
                <w:sz w:val="20"/>
                <w:szCs w:val="20"/>
                <w:highlight w:val="none"/>
              </w:rPr>
            </w:pPr>
          </w:p>
        </w:tc>
        <w:tc>
          <w:tcPr>
            <w:tcW w:w="502" w:type="dxa"/>
            <w:gridSpan w:val="2"/>
            <w:vMerge w:val="continue"/>
            <w:noWrap w:val="0"/>
            <w:vAlign w:val="center"/>
          </w:tcPr>
          <w:p>
            <w:pPr>
              <w:widowControl/>
              <w:spacing w:line="280" w:lineRule="exact"/>
              <w:rPr>
                <w:rFonts w:ascii="Calibri" w:hAnsi="Calibri" w:eastAsia="宋体" w:cs="Times New Roman"/>
                <w:color w:val="auto"/>
                <w:kern w:val="0"/>
                <w:sz w:val="20"/>
                <w:szCs w:val="20"/>
                <w:highlight w:val="none"/>
              </w:rPr>
            </w:pPr>
          </w:p>
        </w:tc>
        <w:tc>
          <w:tcPr>
            <w:tcW w:w="1474" w:type="dxa"/>
            <w:noWrap w:val="0"/>
            <w:vAlign w:val="center"/>
          </w:tcPr>
          <w:p>
            <w:pPr>
              <w:widowControl/>
              <w:spacing w:line="280" w:lineRule="exact"/>
              <w:ind w:right="-8" w:rightChars="-4"/>
              <w:jc w:val="left"/>
              <w:rPr>
                <w:rFonts w:ascii="Calibri" w:hAnsi="Calibri" w:eastAsia="宋体" w:cs="Times New Roman"/>
                <w:color w:val="auto"/>
                <w:kern w:val="0"/>
                <w:sz w:val="20"/>
                <w:szCs w:val="20"/>
                <w:highlight w:val="none"/>
              </w:rPr>
            </w:pPr>
            <w:r>
              <w:rPr>
                <w:rFonts w:hint="eastAsia" w:ascii="宋体" w:hAnsi="宋体" w:eastAsia="宋体" w:cs="宋体"/>
                <w:color w:val="auto"/>
                <w:kern w:val="0"/>
                <w:sz w:val="20"/>
                <w:szCs w:val="21"/>
                <w:highlight w:val="none"/>
              </w:rPr>
              <w:t>技术负责人</w:t>
            </w:r>
          </w:p>
        </w:tc>
        <w:tc>
          <w:tcPr>
            <w:tcW w:w="953" w:type="dxa"/>
            <w:noWrap w:val="0"/>
            <w:vAlign w:val="center"/>
          </w:tcPr>
          <w:p>
            <w:pPr>
              <w:widowControl/>
              <w:spacing w:line="280" w:lineRule="exact"/>
              <w:jc w:val="center"/>
              <w:rPr>
                <w:rFonts w:hint="eastAsia" w:ascii="Calibri" w:hAnsi="Calibri" w:eastAsia="宋体" w:cs="Times New Roman"/>
                <w:color w:val="auto"/>
                <w:kern w:val="0"/>
                <w:sz w:val="20"/>
                <w:szCs w:val="20"/>
                <w:highlight w:val="none"/>
                <w:lang w:eastAsia="zh-CN"/>
              </w:rPr>
            </w:pPr>
            <w:r>
              <w:rPr>
                <w:rFonts w:hint="eastAsia" w:ascii="宋体" w:hAnsi="宋体" w:cs="宋体"/>
                <w:color w:val="auto"/>
                <w:kern w:val="0"/>
                <w:sz w:val="20"/>
                <w:szCs w:val="21"/>
                <w:highlight w:val="none"/>
                <w:lang w:val="en-US" w:eastAsia="zh-CN"/>
              </w:rPr>
              <w:t>5</w:t>
            </w:r>
          </w:p>
        </w:tc>
        <w:tc>
          <w:tcPr>
            <w:tcW w:w="10335" w:type="dxa"/>
            <w:gridSpan w:val="4"/>
            <w:noWrap w:val="0"/>
            <w:vAlign w:val="center"/>
          </w:tcPr>
          <w:p>
            <w:pPr>
              <w:spacing w:beforeLines="25"/>
              <w:ind w:firstLine="420" w:firstLineChars="200"/>
              <w:rPr>
                <w:rFonts w:hint="eastAsia"/>
                <w:color w:val="auto"/>
                <w:highlight w:val="none"/>
              </w:rPr>
            </w:pPr>
            <w:r>
              <w:rPr>
                <w:rFonts w:hint="eastAsia"/>
                <w:color w:val="auto"/>
                <w:highlight w:val="none"/>
              </w:rPr>
              <w:t>①从业能力：具有机电类或电气类专业副高级或以上技术职称，得</w:t>
            </w:r>
            <w:r>
              <w:rPr>
                <w:rFonts w:hint="eastAsia"/>
                <w:color w:val="auto"/>
                <w:highlight w:val="none"/>
                <w:u w:val="single"/>
                <w:lang w:val="en-US" w:eastAsia="zh-CN"/>
              </w:rPr>
              <w:t xml:space="preserve"> 2</w:t>
            </w:r>
            <w:r>
              <w:rPr>
                <w:rFonts w:hint="eastAsia"/>
                <w:color w:val="auto"/>
                <w:highlight w:val="none"/>
              </w:rPr>
              <w:t>分。</w:t>
            </w:r>
          </w:p>
          <w:p>
            <w:pPr>
              <w:pStyle w:val="24"/>
              <w:snapToGrid/>
              <w:spacing w:line="240" w:lineRule="auto"/>
              <w:ind w:left="0" w:leftChars="0" w:firstLine="420" w:firstLineChars="200"/>
              <w:rPr>
                <w:color w:val="auto"/>
                <w:highlight w:val="none"/>
              </w:rPr>
            </w:pPr>
            <w:r>
              <w:rPr>
                <w:rFonts w:hint="eastAsia"/>
                <w:color w:val="auto"/>
                <w:sz w:val="21"/>
                <w:szCs w:val="21"/>
                <w:highlight w:val="none"/>
              </w:rPr>
              <w:t>②经历：具有10年或（含10年）以上施工管理工作经验，得</w:t>
            </w:r>
            <w:r>
              <w:rPr>
                <w:rFonts w:hint="eastAsia"/>
                <w:color w:val="auto"/>
                <w:sz w:val="21"/>
                <w:szCs w:val="21"/>
                <w:highlight w:val="none"/>
                <w:u w:val="single"/>
              </w:rPr>
              <w:t xml:space="preserve"> 3 </w:t>
            </w:r>
            <w:r>
              <w:rPr>
                <w:rFonts w:hint="eastAsia"/>
                <w:color w:val="auto"/>
                <w:sz w:val="21"/>
                <w:szCs w:val="21"/>
                <w:highlight w:val="none"/>
              </w:rPr>
              <w:t>分；具有5年（含5年）至10年（不含10年）施工管理工作经验，得</w:t>
            </w:r>
            <w:r>
              <w:rPr>
                <w:rFonts w:hint="eastAsia"/>
                <w:color w:val="auto"/>
                <w:sz w:val="21"/>
                <w:szCs w:val="21"/>
                <w:highlight w:val="none"/>
                <w:u w:val="single"/>
              </w:rPr>
              <w:t xml:space="preserve"> 1 </w:t>
            </w:r>
            <w:r>
              <w:rPr>
                <w:rFonts w:hint="eastAsia"/>
                <w:color w:val="auto"/>
                <w:sz w:val="21"/>
                <w:szCs w:val="21"/>
                <w:highlight w:val="none"/>
              </w:rPr>
              <w:t>分；本项最多得</w:t>
            </w:r>
            <w:r>
              <w:rPr>
                <w:rFonts w:hint="eastAsia"/>
                <w:color w:val="auto"/>
                <w:sz w:val="21"/>
                <w:szCs w:val="21"/>
                <w:highlight w:val="none"/>
                <w:u w:val="single"/>
              </w:rPr>
              <w:t xml:space="preserve"> 3 </w:t>
            </w:r>
            <w:r>
              <w:rPr>
                <w:rFonts w:hint="eastAsia"/>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1524" w:type="dxa"/>
            <w:vMerge w:val="continue"/>
            <w:noWrap w:val="0"/>
            <w:vAlign w:val="center"/>
          </w:tcPr>
          <w:p>
            <w:pPr>
              <w:spacing w:line="280" w:lineRule="exact"/>
              <w:rPr>
                <w:rFonts w:ascii="Calibri" w:hAnsi="Calibri" w:eastAsia="宋体" w:cs="Times New Roman"/>
                <w:color w:val="auto"/>
                <w:kern w:val="0"/>
                <w:sz w:val="20"/>
                <w:szCs w:val="20"/>
                <w:highlight w:val="none"/>
              </w:rPr>
            </w:pPr>
          </w:p>
        </w:tc>
        <w:tc>
          <w:tcPr>
            <w:tcW w:w="502" w:type="dxa"/>
            <w:gridSpan w:val="2"/>
            <w:vMerge w:val="continue"/>
            <w:noWrap w:val="0"/>
            <w:vAlign w:val="center"/>
          </w:tcPr>
          <w:p>
            <w:pPr>
              <w:widowControl/>
              <w:spacing w:line="280" w:lineRule="exact"/>
              <w:rPr>
                <w:rFonts w:ascii="Calibri" w:hAnsi="Calibri" w:eastAsia="宋体" w:cs="Times New Roman"/>
                <w:color w:val="auto"/>
                <w:kern w:val="0"/>
                <w:sz w:val="20"/>
                <w:szCs w:val="20"/>
                <w:highlight w:val="none"/>
              </w:rPr>
            </w:pPr>
          </w:p>
        </w:tc>
        <w:tc>
          <w:tcPr>
            <w:tcW w:w="1474" w:type="dxa"/>
            <w:noWrap w:val="0"/>
            <w:vAlign w:val="center"/>
          </w:tcPr>
          <w:p>
            <w:pPr>
              <w:widowControl/>
              <w:spacing w:line="280" w:lineRule="exact"/>
              <w:ind w:right="-8" w:rightChars="-4"/>
              <w:jc w:val="left"/>
              <w:rPr>
                <w:rFonts w:ascii="Calibri" w:hAnsi="Calibri" w:eastAsia="宋体" w:cs="Times New Roman"/>
                <w:color w:val="auto"/>
                <w:kern w:val="0"/>
                <w:sz w:val="20"/>
                <w:szCs w:val="20"/>
                <w:highlight w:val="none"/>
              </w:rPr>
            </w:pPr>
            <w:r>
              <w:rPr>
                <w:rFonts w:hint="eastAsia" w:ascii="宋体" w:hAnsi="宋体" w:eastAsia="宋体" w:cs="宋体"/>
                <w:color w:val="auto"/>
                <w:kern w:val="0"/>
                <w:sz w:val="20"/>
                <w:szCs w:val="21"/>
                <w:highlight w:val="none"/>
              </w:rPr>
              <w:t>质量负责人</w:t>
            </w:r>
          </w:p>
        </w:tc>
        <w:tc>
          <w:tcPr>
            <w:tcW w:w="953" w:type="dxa"/>
            <w:noWrap w:val="0"/>
            <w:vAlign w:val="center"/>
          </w:tcPr>
          <w:p>
            <w:pPr>
              <w:widowControl/>
              <w:spacing w:line="280" w:lineRule="exact"/>
              <w:jc w:val="center"/>
              <w:rPr>
                <w:rFonts w:hint="eastAsia" w:ascii="Calibri" w:hAnsi="Calibri" w:eastAsia="宋体" w:cs="Times New Roman"/>
                <w:color w:val="auto"/>
                <w:kern w:val="0"/>
                <w:sz w:val="20"/>
                <w:szCs w:val="20"/>
                <w:highlight w:val="none"/>
                <w:lang w:eastAsia="zh-CN"/>
              </w:rPr>
            </w:pPr>
            <w:r>
              <w:rPr>
                <w:rFonts w:hint="eastAsia" w:ascii="宋体" w:hAnsi="宋体" w:cs="宋体"/>
                <w:color w:val="auto"/>
                <w:kern w:val="0"/>
                <w:sz w:val="20"/>
                <w:szCs w:val="21"/>
                <w:highlight w:val="none"/>
                <w:lang w:val="en-US" w:eastAsia="zh-CN"/>
              </w:rPr>
              <w:t>5</w:t>
            </w:r>
          </w:p>
        </w:tc>
        <w:tc>
          <w:tcPr>
            <w:tcW w:w="10335" w:type="dxa"/>
            <w:gridSpan w:val="4"/>
            <w:noWrap w:val="0"/>
            <w:vAlign w:val="center"/>
          </w:tcPr>
          <w:p>
            <w:pPr>
              <w:spacing w:beforeLines="25"/>
              <w:ind w:firstLine="420" w:firstLineChars="200"/>
              <w:rPr>
                <w:rFonts w:hint="eastAsia"/>
                <w:color w:val="auto"/>
                <w:highlight w:val="none"/>
              </w:rPr>
            </w:pPr>
            <w:r>
              <w:rPr>
                <w:rFonts w:hint="eastAsia"/>
                <w:color w:val="auto"/>
                <w:highlight w:val="none"/>
              </w:rPr>
              <w:t>①从业能力：具有机电类或电气类专业副高级或以上技术职称，得</w:t>
            </w:r>
            <w:r>
              <w:rPr>
                <w:rFonts w:hint="eastAsia"/>
                <w:color w:val="auto"/>
                <w:highlight w:val="none"/>
                <w:u w:val="single"/>
              </w:rPr>
              <w:t xml:space="preserve"> </w:t>
            </w:r>
            <w:r>
              <w:rPr>
                <w:rFonts w:hint="eastAsia"/>
                <w:color w:val="auto"/>
                <w:highlight w:val="none"/>
                <w:u w:val="single"/>
                <w:lang w:val="en-US" w:eastAsia="zh-CN"/>
              </w:rPr>
              <w:t>3</w:t>
            </w:r>
            <w:r>
              <w:rPr>
                <w:rFonts w:hint="eastAsia"/>
                <w:color w:val="auto"/>
                <w:highlight w:val="none"/>
                <w:u w:val="single"/>
              </w:rPr>
              <w:t xml:space="preserve"> </w:t>
            </w:r>
            <w:r>
              <w:rPr>
                <w:rFonts w:hint="eastAsia"/>
                <w:color w:val="auto"/>
                <w:highlight w:val="none"/>
              </w:rPr>
              <w:t>分；具有机电类或电气类专业中级技术职称，得</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分；本项最多得</w:t>
            </w:r>
            <w:r>
              <w:rPr>
                <w:rFonts w:hint="eastAsia"/>
                <w:color w:val="auto"/>
                <w:highlight w:val="none"/>
                <w:u w:val="single"/>
              </w:rPr>
              <w:t xml:space="preserve"> </w:t>
            </w:r>
            <w:r>
              <w:rPr>
                <w:rFonts w:hint="eastAsia"/>
                <w:color w:val="auto"/>
                <w:highlight w:val="none"/>
                <w:u w:val="single"/>
                <w:lang w:val="en-US" w:eastAsia="zh-CN"/>
              </w:rPr>
              <w:t>3</w:t>
            </w:r>
            <w:r>
              <w:rPr>
                <w:rFonts w:hint="eastAsia"/>
                <w:color w:val="auto"/>
                <w:highlight w:val="none"/>
                <w:u w:val="single"/>
              </w:rPr>
              <w:t xml:space="preserve"> </w:t>
            </w:r>
            <w:r>
              <w:rPr>
                <w:rFonts w:hint="eastAsia"/>
                <w:color w:val="auto"/>
                <w:highlight w:val="none"/>
              </w:rPr>
              <w:t>分。</w:t>
            </w:r>
          </w:p>
          <w:p>
            <w:pPr>
              <w:pStyle w:val="24"/>
              <w:snapToGrid/>
              <w:spacing w:line="240" w:lineRule="auto"/>
              <w:ind w:left="0" w:leftChars="0" w:firstLine="420" w:firstLineChars="200"/>
              <w:rPr>
                <w:color w:val="auto"/>
                <w:highlight w:val="none"/>
              </w:rPr>
            </w:pPr>
            <w:r>
              <w:rPr>
                <w:rFonts w:hint="eastAsia" w:ascii="宋体" w:hAnsi="宋体" w:cs="宋体"/>
                <w:color w:val="auto"/>
                <w:sz w:val="21"/>
                <w:szCs w:val="21"/>
                <w:highlight w:val="none"/>
              </w:rPr>
              <w:t>②经历：具有10年或以上（含10年）施工管理工作经验，得</w:t>
            </w:r>
            <w:r>
              <w:rPr>
                <w:rFonts w:hint="eastAsia" w:ascii="宋体" w:hAnsi="宋体" w:cs="宋体"/>
                <w:color w:val="auto"/>
                <w:sz w:val="21"/>
                <w:szCs w:val="21"/>
                <w:highlight w:val="none"/>
                <w:u w:val="single"/>
              </w:rPr>
              <w:t xml:space="preserve"> 2 </w:t>
            </w:r>
            <w:r>
              <w:rPr>
                <w:rFonts w:hint="eastAsia" w:ascii="宋体" w:hAnsi="宋体" w:cs="宋体"/>
                <w:color w:val="auto"/>
                <w:sz w:val="21"/>
                <w:szCs w:val="21"/>
                <w:highlight w:val="none"/>
              </w:rPr>
              <w:t>分；具有5年（含5年）至10年（不含10年）施工管理工作经验，得</w:t>
            </w:r>
            <w:r>
              <w:rPr>
                <w:rFonts w:hint="eastAsia" w:ascii="宋体" w:hAnsi="宋体" w:cs="宋体"/>
                <w:color w:val="auto"/>
                <w:sz w:val="21"/>
                <w:szCs w:val="21"/>
                <w:highlight w:val="none"/>
                <w:u w:val="single"/>
              </w:rPr>
              <w:t xml:space="preserve"> 1 </w:t>
            </w:r>
            <w:r>
              <w:rPr>
                <w:rFonts w:hint="eastAsia" w:ascii="宋体" w:hAnsi="宋体" w:cs="宋体"/>
                <w:color w:val="auto"/>
                <w:sz w:val="21"/>
                <w:szCs w:val="21"/>
                <w:highlight w:val="none"/>
              </w:rPr>
              <w:t>分；本项最多得</w:t>
            </w:r>
            <w:r>
              <w:rPr>
                <w:rFonts w:hint="eastAsia" w:ascii="宋体" w:hAnsi="宋体" w:cs="宋体"/>
                <w:color w:val="auto"/>
                <w:sz w:val="21"/>
                <w:szCs w:val="21"/>
                <w:highlight w:val="none"/>
                <w:u w:val="single"/>
              </w:rPr>
              <w:t xml:space="preserve"> 2 </w:t>
            </w:r>
            <w:r>
              <w:rPr>
                <w:rFonts w:hint="eastAsia" w:ascii="宋体" w:hAnsi="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0" w:hRule="atLeast"/>
        </w:trPr>
        <w:tc>
          <w:tcPr>
            <w:tcW w:w="1524" w:type="dxa"/>
            <w:vMerge w:val="continue"/>
            <w:noWrap w:val="0"/>
            <w:vAlign w:val="center"/>
          </w:tcPr>
          <w:p>
            <w:pPr>
              <w:spacing w:line="280" w:lineRule="exact"/>
              <w:rPr>
                <w:rFonts w:ascii="Calibri" w:hAnsi="Calibri" w:eastAsia="宋体" w:cs="Times New Roman"/>
                <w:color w:val="auto"/>
                <w:kern w:val="0"/>
                <w:sz w:val="20"/>
                <w:szCs w:val="20"/>
                <w:highlight w:val="none"/>
              </w:rPr>
            </w:pPr>
          </w:p>
        </w:tc>
        <w:tc>
          <w:tcPr>
            <w:tcW w:w="502" w:type="dxa"/>
            <w:gridSpan w:val="2"/>
            <w:vMerge w:val="continue"/>
            <w:noWrap w:val="0"/>
            <w:vAlign w:val="center"/>
          </w:tcPr>
          <w:p>
            <w:pPr>
              <w:widowControl/>
              <w:spacing w:line="280" w:lineRule="exact"/>
              <w:rPr>
                <w:rFonts w:ascii="Calibri" w:hAnsi="Calibri" w:eastAsia="宋体" w:cs="Times New Roman"/>
                <w:color w:val="auto"/>
                <w:kern w:val="0"/>
                <w:sz w:val="20"/>
                <w:szCs w:val="20"/>
                <w:highlight w:val="none"/>
              </w:rPr>
            </w:pPr>
          </w:p>
        </w:tc>
        <w:tc>
          <w:tcPr>
            <w:tcW w:w="1474" w:type="dxa"/>
            <w:noWrap w:val="0"/>
            <w:vAlign w:val="center"/>
          </w:tcPr>
          <w:p>
            <w:pPr>
              <w:widowControl/>
              <w:spacing w:line="280" w:lineRule="exact"/>
              <w:ind w:right="-8" w:rightChars="-4"/>
              <w:jc w:val="left"/>
              <w:rPr>
                <w:rFonts w:ascii="Calibri" w:hAnsi="Calibri" w:eastAsia="宋体" w:cs="Times New Roman"/>
                <w:color w:val="auto"/>
                <w:kern w:val="0"/>
                <w:sz w:val="20"/>
                <w:szCs w:val="20"/>
                <w:highlight w:val="none"/>
              </w:rPr>
            </w:pPr>
            <w:r>
              <w:rPr>
                <w:rFonts w:hint="eastAsia" w:ascii="宋体" w:hAnsi="宋体" w:eastAsia="宋体" w:cs="宋体"/>
                <w:color w:val="auto"/>
                <w:kern w:val="0"/>
                <w:sz w:val="20"/>
                <w:szCs w:val="21"/>
                <w:highlight w:val="none"/>
              </w:rPr>
              <w:t>安全负责人</w:t>
            </w:r>
          </w:p>
        </w:tc>
        <w:tc>
          <w:tcPr>
            <w:tcW w:w="953" w:type="dxa"/>
            <w:noWrap w:val="0"/>
            <w:vAlign w:val="center"/>
          </w:tcPr>
          <w:p>
            <w:pPr>
              <w:widowControl/>
              <w:spacing w:line="280" w:lineRule="exact"/>
              <w:jc w:val="center"/>
              <w:rPr>
                <w:rFonts w:hint="eastAsia" w:ascii="Calibri" w:hAnsi="Calibri" w:eastAsia="宋体" w:cs="Times New Roman"/>
                <w:color w:val="auto"/>
                <w:kern w:val="0"/>
                <w:sz w:val="20"/>
                <w:szCs w:val="20"/>
                <w:highlight w:val="none"/>
                <w:lang w:eastAsia="zh-CN"/>
              </w:rPr>
            </w:pPr>
            <w:r>
              <w:rPr>
                <w:rFonts w:hint="eastAsia" w:ascii="宋体" w:hAnsi="宋体" w:cs="宋体"/>
                <w:color w:val="auto"/>
                <w:kern w:val="0"/>
                <w:sz w:val="20"/>
                <w:szCs w:val="21"/>
                <w:highlight w:val="none"/>
                <w:lang w:val="en-US" w:eastAsia="zh-CN"/>
              </w:rPr>
              <w:t>5</w:t>
            </w:r>
          </w:p>
        </w:tc>
        <w:tc>
          <w:tcPr>
            <w:tcW w:w="10335" w:type="dxa"/>
            <w:gridSpan w:val="4"/>
            <w:noWrap w:val="0"/>
            <w:vAlign w:val="center"/>
          </w:tcPr>
          <w:p>
            <w:pPr>
              <w:ind w:left="25" w:leftChars="12" w:right="123" w:firstLine="420" w:firstLineChars="200"/>
              <w:rPr>
                <w:rFonts w:ascii="宋体" w:hAnsi="宋体" w:eastAsia="宋体" w:cs="宋体"/>
                <w:color w:val="auto"/>
                <w:kern w:val="0"/>
                <w:sz w:val="20"/>
                <w:szCs w:val="20"/>
                <w:highlight w:val="none"/>
              </w:rPr>
            </w:pPr>
            <w:r>
              <w:rPr>
                <w:rFonts w:hint="eastAsia" w:ascii="宋体" w:hAnsi="宋体" w:cs="宋体"/>
                <w:color w:val="auto"/>
                <w:szCs w:val="21"/>
                <w:highlight w:val="none"/>
              </w:rPr>
              <w:t>①</w:t>
            </w:r>
            <w:r>
              <w:rPr>
                <w:rFonts w:hint="eastAsia" w:ascii="宋体" w:hAnsi="宋体" w:eastAsia="宋体" w:cs="宋体"/>
                <w:color w:val="auto"/>
                <w:kern w:val="0"/>
                <w:sz w:val="20"/>
                <w:szCs w:val="20"/>
                <w:highlight w:val="none"/>
              </w:rPr>
              <w:t>从业能力：具有安全工程专业副高级或以上技术职称、或机电类或电气类专业副高级或以上技术职称，且具有安全生产考核合格证（B类）或安全生产考核合格证（C类）或建筑施工企业项目负责人安全生产考核合格证书或建筑施工企业专职安全生产管理人员安全生产考核合格证书（C3），得</w:t>
            </w:r>
            <w:r>
              <w:rPr>
                <w:rFonts w:hint="eastAsia" w:ascii="宋体" w:hAnsi="宋体" w:eastAsia="宋体" w:cs="宋体"/>
                <w:color w:val="auto"/>
                <w:kern w:val="0"/>
                <w:sz w:val="20"/>
                <w:szCs w:val="20"/>
                <w:highlight w:val="none"/>
                <w:u w:val="single"/>
              </w:rPr>
              <w:t xml:space="preserve"> </w:t>
            </w:r>
            <w:r>
              <w:rPr>
                <w:rFonts w:hint="eastAsia" w:ascii="宋体" w:hAnsi="宋体" w:cs="宋体"/>
                <w:color w:val="auto"/>
                <w:kern w:val="0"/>
                <w:sz w:val="20"/>
                <w:szCs w:val="20"/>
                <w:highlight w:val="none"/>
                <w:u w:val="single"/>
                <w:lang w:val="en-US" w:eastAsia="zh-CN"/>
              </w:rPr>
              <w:t>3</w:t>
            </w:r>
            <w:r>
              <w:rPr>
                <w:rFonts w:hint="eastAsia" w:ascii="宋体" w:hAnsi="宋体" w:eastAsia="宋体" w:cs="宋体"/>
                <w:color w:val="auto"/>
                <w:kern w:val="0"/>
                <w:sz w:val="20"/>
                <w:szCs w:val="20"/>
                <w:highlight w:val="none"/>
                <w:u w:val="single"/>
              </w:rPr>
              <w:t xml:space="preserve"> </w:t>
            </w:r>
            <w:r>
              <w:rPr>
                <w:rFonts w:hint="eastAsia" w:ascii="宋体" w:hAnsi="宋体" w:eastAsia="宋体" w:cs="宋体"/>
                <w:color w:val="auto"/>
                <w:kern w:val="0"/>
                <w:sz w:val="20"/>
                <w:szCs w:val="20"/>
                <w:highlight w:val="none"/>
              </w:rPr>
              <w:t>分；</w:t>
            </w:r>
          </w:p>
          <w:p>
            <w:pPr>
              <w:ind w:left="25" w:leftChars="12" w:right="123" w:firstLine="400" w:firstLineChars="200"/>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具有安全工程专业中级技术职称、或机电类或电气类专业中级技术职称，且具有安全生产考核合格证（B类）或安全生产考核合格证（C类）或建筑施工企业项目负责人安全生产考核合格证书或建筑施工企业专职安全生产管理人员安全生产考核合格证书（C3），得</w:t>
            </w:r>
            <w:r>
              <w:rPr>
                <w:rFonts w:hint="eastAsia" w:ascii="宋体" w:hAnsi="宋体" w:eastAsia="宋体" w:cs="宋体"/>
                <w:color w:val="auto"/>
                <w:kern w:val="0"/>
                <w:sz w:val="20"/>
                <w:szCs w:val="20"/>
                <w:highlight w:val="none"/>
                <w:u w:val="single"/>
              </w:rPr>
              <w:t xml:space="preserve"> </w:t>
            </w:r>
            <w:r>
              <w:rPr>
                <w:rFonts w:hint="eastAsia" w:ascii="宋体" w:hAnsi="宋体" w:cs="宋体"/>
                <w:color w:val="auto"/>
                <w:kern w:val="0"/>
                <w:sz w:val="20"/>
                <w:szCs w:val="20"/>
                <w:highlight w:val="none"/>
                <w:u w:val="single"/>
                <w:lang w:val="en-US" w:eastAsia="zh-CN"/>
              </w:rPr>
              <w:t>1</w:t>
            </w:r>
            <w:r>
              <w:rPr>
                <w:rFonts w:hint="eastAsia" w:ascii="宋体" w:hAnsi="宋体" w:eastAsia="宋体" w:cs="宋体"/>
                <w:color w:val="auto"/>
                <w:kern w:val="0"/>
                <w:sz w:val="20"/>
                <w:szCs w:val="20"/>
                <w:highlight w:val="none"/>
                <w:u w:val="single"/>
              </w:rPr>
              <w:t xml:space="preserve"> </w:t>
            </w:r>
            <w:r>
              <w:rPr>
                <w:rFonts w:hint="eastAsia" w:ascii="宋体" w:hAnsi="宋体" w:eastAsia="宋体" w:cs="宋体"/>
                <w:color w:val="auto"/>
                <w:kern w:val="0"/>
                <w:sz w:val="20"/>
                <w:szCs w:val="20"/>
                <w:highlight w:val="none"/>
              </w:rPr>
              <w:t>分；</w:t>
            </w:r>
          </w:p>
          <w:p>
            <w:pPr>
              <w:ind w:left="25" w:leftChars="12" w:right="123" w:firstLine="400" w:firstLineChars="200"/>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本项最多得</w:t>
            </w:r>
            <w:r>
              <w:rPr>
                <w:rFonts w:hint="eastAsia" w:ascii="宋体" w:hAnsi="宋体" w:eastAsia="宋体" w:cs="宋体"/>
                <w:color w:val="auto"/>
                <w:kern w:val="0"/>
                <w:sz w:val="20"/>
                <w:szCs w:val="20"/>
                <w:highlight w:val="none"/>
                <w:u w:val="single"/>
              </w:rPr>
              <w:t xml:space="preserve"> </w:t>
            </w:r>
            <w:r>
              <w:rPr>
                <w:rFonts w:hint="eastAsia" w:ascii="宋体" w:hAnsi="宋体" w:cs="宋体"/>
                <w:color w:val="auto"/>
                <w:kern w:val="0"/>
                <w:sz w:val="20"/>
                <w:szCs w:val="20"/>
                <w:highlight w:val="none"/>
                <w:u w:val="single"/>
                <w:lang w:val="en-US" w:eastAsia="zh-CN"/>
              </w:rPr>
              <w:t>3</w:t>
            </w:r>
            <w:r>
              <w:rPr>
                <w:rFonts w:hint="eastAsia" w:ascii="宋体" w:hAnsi="宋体" w:eastAsia="宋体" w:cs="宋体"/>
                <w:color w:val="auto"/>
                <w:kern w:val="0"/>
                <w:sz w:val="20"/>
                <w:szCs w:val="20"/>
                <w:highlight w:val="none"/>
                <w:u w:val="single"/>
              </w:rPr>
              <w:t xml:space="preserve"> </w:t>
            </w:r>
            <w:r>
              <w:rPr>
                <w:rFonts w:hint="eastAsia" w:ascii="宋体" w:hAnsi="宋体" w:eastAsia="宋体" w:cs="宋体"/>
                <w:color w:val="auto"/>
                <w:kern w:val="0"/>
                <w:sz w:val="20"/>
                <w:szCs w:val="20"/>
                <w:highlight w:val="none"/>
              </w:rPr>
              <w:t>分。</w:t>
            </w:r>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②经历：具有10年或以上（含10年）施工管理工作经验，得</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分；具有5年（含5年）至10年（不含10年）施工管理工作经验，得</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分；本项最多得</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分。</w:t>
            </w:r>
          </w:p>
          <w:p>
            <w:pPr>
              <w:widowControl/>
              <w:ind w:firstLine="400" w:firstLineChars="200"/>
              <w:rPr>
                <w:rFonts w:ascii="Calibri" w:hAnsi="Calibri" w:eastAsia="宋体" w:cs="Times New Roman"/>
                <w:color w:val="auto"/>
                <w:kern w:val="0"/>
                <w:sz w:val="20"/>
                <w:szCs w:val="20"/>
                <w:highlight w:val="none"/>
              </w:rPr>
            </w:pPr>
            <w:r>
              <w:rPr>
                <w:rFonts w:hint="eastAsia" w:ascii="宋体" w:hAnsi="宋体" w:eastAsia="宋体" w:cs="宋体"/>
                <w:color w:val="auto"/>
                <w:kern w:val="0"/>
                <w:sz w:val="20"/>
                <w:szCs w:val="20"/>
                <w:highlight w:val="none"/>
              </w:rPr>
              <w:t>注：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1524" w:type="dxa"/>
            <w:vMerge w:val="continue"/>
            <w:noWrap w:val="0"/>
            <w:vAlign w:val="center"/>
          </w:tcPr>
          <w:p>
            <w:pPr>
              <w:spacing w:line="280" w:lineRule="exact"/>
              <w:rPr>
                <w:rFonts w:ascii="Calibri" w:hAnsi="Calibri" w:eastAsia="宋体" w:cs="Times New Roman"/>
                <w:color w:val="auto"/>
                <w:kern w:val="0"/>
                <w:sz w:val="20"/>
                <w:szCs w:val="20"/>
                <w:highlight w:val="none"/>
              </w:rPr>
            </w:pPr>
          </w:p>
        </w:tc>
        <w:tc>
          <w:tcPr>
            <w:tcW w:w="502" w:type="dxa"/>
            <w:gridSpan w:val="2"/>
            <w:vMerge w:val="continue"/>
            <w:noWrap w:val="0"/>
            <w:vAlign w:val="center"/>
          </w:tcPr>
          <w:p>
            <w:pPr>
              <w:widowControl/>
              <w:spacing w:line="280" w:lineRule="exact"/>
              <w:rPr>
                <w:rFonts w:ascii="Calibri" w:hAnsi="Calibri" w:eastAsia="宋体" w:cs="Times New Roman"/>
                <w:color w:val="auto"/>
                <w:kern w:val="0"/>
                <w:sz w:val="20"/>
                <w:szCs w:val="20"/>
                <w:highlight w:val="none"/>
              </w:rPr>
            </w:pPr>
          </w:p>
        </w:tc>
        <w:tc>
          <w:tcPr>
            <w:tcW w:w="1474" w:type="dxa"/>
            <w:noWrap w:val="0"/>
            <w:vAlign w:val="center"/>
          </w:tcPr>
          <w:p>
            <w:pPr>
              <w:widowControl/>
              <w:spacing w:line="280" w:lineRule="exact"/>
              <w:ind w:right="-8" w:rightChars="-4"/>
              <w:jc w:val="left"/>
              <w:rPr>
                <w:rFonts w:hint="eastAsia" w:ascii="Calibri" w:hAnsi="Calibri" w:eastAsia="宋体" w:cs="Times New Roman"/>
                <w:color w:val="auto"/>
                <w:kern w:val="0"/>
                <w:sz w:val="20"/>
                <w:szCs w:val="20"/>
                <w:highlight w:val="none"/>
                <w:lang w:val="en-US" w:eastAsia="zh-CN" w:bidi="ar-SA"/>
              </w:rPr>
            </w:pPr>
            <w:r>
              <w:rPr>
                <w:rFonts w:hint="eastAsia" w:ascii="宋体" w:hAnsi="宋体" w:eastAsia="宋体" w:cs="宋体"/>
                <w:color w:val="auto"/>
                <w:kern w:val="0"/>
                <w:sz w:val="20"/>
                <w:szCs w:val="21"/>
                <w:highlight w:val="none"/>
              </w:rPr>
              <w:t>造价负责人</w:t>
            </w:r>
          </w:p>
        </w:tc>
        <w:tc>
          <w:tcPr>
            <w:tcW w:w="953" w:type="dxa"/>
            <w:noWrap w:val="0"/>
            <w:vAlign w:val="center"/>
          </w:tcPr>
          <w:p>
            <w:pPr>
              <w:widowControl/>
              <w:spacing w:line="280" w:lineRule="exact"/>
              <w:jc w:val="center"/>
              <w:rPr>
                <w:rFonts w:hint="default" w:ascii="Calibri" w:hAnsi="Calibri" w:eastAsia="宋体" w:cs="Times New Roman"/>
                <w:color w:val="auto"/>
                <w:kern w:val="0"/>
                <w:sz w:val="20"/>
                <w:szCs w:val="20"/>
                <w:highlight w:val="none"/>
                <w:lang w:val="en-US" w:eastAsia="zh-CN" w:bidi="ar-SA"/>
              </w:rPr>
            </w:pPr>
            <w:r>
              <w:rPr>
                <w:rFonts w:hint="eastAsia" w:ascii="宋体" w:hAnsi="宋体" w:cs="宋体"/>
                <w:color w:val="auto"/>
                <w:kern w:val="0"/>
                <w:sz w:val="20"/>
                <w:szCs w:val="21"/>
                <w:highlight w:val="none"/>
                <w:lang w:val="en-US" w:eastAsia="zh-CN"/>
              </w:rPr>
              <w:t>4</w:t>
            </w:r>
          </w:p>
        </w:tc>
        <w:tc>
          <w:tcPr>
            <w:tcW w:w="10335" w:type="dxa"/>
            <w:gridSpan w:val="4"/>
            <w:noWrap w:val="0"/>
            <w:vAlign w:val="center"/>
          </w:tcPr>
          <w:p>
            <w:pPr>
              <w:spacing w:beforeLines="25"/>
              <w:ind w:firstLine="420" w:firstLineChars="200"/>
              <w:rPr>
                <w:rFonts w:hint="eastAsia" w:ascii="宋体" w:hAnsi="宋体" w:eastAsia="宋体" w:cs="宋体"/>
                <w:color w:val="auto"/>
                <w:kern w:val="0"/>
                <w:sz w:val="20"/>
                <w:szCs w:val="20"/>
                <w:highlight w:val="none"/>
              </w:rPr>
            </w:pPr>
            <w:r>
              <w:rPr>
                <w:rFonts w:hint="eastAsia" w:ascii="宋体" w:hAnsi="宋体" w:cs="宋体"/>
                <w:color w:val="auto"/>
                <w:szCs w:val="21"/>
                <w:highlight w:val="none"/>
              </w:rPr>
              <w:t>①</w:t>
            </w:r>
            <w:r>
              <w:rPr>
                <w:rFonts w:hint="eastAsia" w:ascii="宋体" w:hAnsi="宋体" w:eastAsia="宋体" w:cs="宋体"/>
                <w:color w:val="auto"/>
                <w:kern w:val="0"/>
                <w:sz w:val="20"/>
                <w:szCs w:val="20"/>
                <w:highlight w:val="none"/>
              </w:rPr>
              <w:t>从业能力：具有有效的注册造价工程师（或一级注册造价工程师）证书、或具有工程造价类专业副高级或以上技术职称，得</w:t>
            </w:r>
            <w:r>
              <w:rPr>
                <w:rFonts w:hint="eastAsia" w:ascii="宋体" w:hAnsi="宋体" w:eastAsia="宋体" w:cs="宋体"/>
                <w:color w:val="auto"/>
                <w:kern w:val="0"/>
                <w:sz w:val="20"/>
                <w:szCs w:val="20"/>
                <w:highlight w:val="none"/>
                <w:u w:val="single"/>
              </w:rPr>
              <w:t xml:space="preserve"> </w:t>
            </w:r>
            <w:r>
              <w:rPr>
                <w:rFonts w:hint="eastAsia" w:ascii="宋体" w:hAnsi="宋体" w:cs="宋体"/>
                <w:color w:val="auto"/>
                <w:kern w:val="0"/>
                <w:sz w:val="20"/>
                <w:szCs w:val="20"/>
                <w:highlight w:val="none"/>
                <w:u w:val="single"/>
                <w:lang w:val="en-US" w:eastAsia="zh-CN"/>
              </w:rPr>
              <w:t>2</w:t>
            </w:r>
            <w:r>
              <w:rPr>
                <w:rFonts w:hint="eastAsia" w:ascii="宋体" w:hAnsi="宋体" w:eastAsia="宋体" w:cs="宋体"/>
                <w:color w:val="auto"/>
                <w:kern w:val="0"/>
                <w:sz w:val="20"/>
                <w:szCs w:val="20"/>
                <w:highlight w:val="none"/>
                <w:u w:val="single"/>
              </w:rPr>
              <w:t xml:space="preserve"> </w:t>
            </w:r>
            <w:r>
              <w:rPr>
                <w:rFonts w:hint="eastAsia" w:ascii="宋体" w:hAnsi="宋体" w:eastAsia="宋体" w:cs="宋体"/>
                <w:color w:val="auto"/>
                <w:kern w:val="0"/>
                <w:sz w:val="20"/>
                <w:szCs w:val="20"/>
                <w:highlight w:val="none"/>
              </w:rPr>
              <w:t>分；具有工程造价类专业中级技术职称，得</w:t>
            </w:r>
            <w:r>
              <w:rPr>
                <w:rFonts w:hint="eastAsia" w:ascii="宋体" w:hAnsi="宋体" w:eastAsia="宋体" w:cs="宋体"/>
                <w:color w:val="auto"/>
                <w:kern w:val="0"/>
                <w:sz w:val="20"/>
                <w:szCs w:val="20"/>
                <w:highlight w:val="none"/>
                <w:u w:val="single"/>
              </w:rPr>
              <w:t xml:space="preserve"> </w:t>
            </w:r>
            <w:r>
              <w:rPr>
                <w:rFonts w:hint="eastAsia" w:ascii="宋体" w:hAnsi="宋体" w:cs="宋体"/>
                <w:color w:val="auto"/>
                <w:kern w:val="0"/>
                <w:sz w:val="20"/>
                <w:szCs w:val="20"/>
                <w:highlight w:val="none"/>
                <w:u w:val="single"/>
                <w:lang w:val="en-US" w:eastAsia="zh-CN"/>
              </w:rPr>
              <w:t>1</w:t>
            </w:r>
            <w:r>
              <w:rPr>
                <w:rFonts w:hint="eastAsia" w:ascii="宋体" w:hAnsi="宋体" w:eastAsia="宋体" w:cs="宋体"/>
                <w:color w:val="auto"/>
                <w:kern w:val="0"/>
                <w:sz w:val="20"/>
                <w:szCs w:val="20"/>
                <w:highlight w:val="none"/>
                <w:u w:val="single"/>
              </w:rPr>
              <w:t xml:space="preserve"> </w:t>
            </w:r>
            <w:r>
              <w:rPr>
                <w:rFonts w:hint="eastAsia" w:ascii="宋体" w:hAnsi="宋体" w:eastAsia="宋体" w:cs="宋体"/>
                <w:color w:val="auto"/>
                <w:kern w:val="0"/>
                <w:sz w:val="20"/>
                <w:szCs w:val="20"/>
                <w:highlight w:val="none"/>
              </w:rPr>
              <w:t>分；本项最多得</w:t>
            </w:r>
            <w:r>
              <w:rPr>
                <w:rFonts w:hint="eastAsia" w:ascii="宋体" w:hAnsi="宋体" w:eastAsia="宋体" w:cs="宋体"/>
                <w:color w:val="auto"/>
                <w:kern w:val="0"/>
                <w:sz w:val="20"/>
                <w:szCs w:val="20"/>
                <w:highlight w:val="none"/>
                <w:u w:val="single"/>
              </w:rPr>
              <w:t xml:space="preserve"> </w:t>
            </w:r>
            <w:r>
              <w:rPr>
                <w:rFonts w:hint="eastAsia" w:ascii="宋体" w:hAnsi="宋体" w:cs="宋体"/>
                <w:color w:val="auto"/>
                <w:kern w:val="0"/>
                <w:sz w:val="20"/>
                <w:szCs w:val="20"/>
                <w:highlight w:val="none"/>
                <w:u w:val="single"/>
                <w:lang w:val="en-US" w:eastAsia="zh-CN"/>
              </w:rPr>
              <w:t>2</w:t>
            </w:r>
            <w:r>
              <w:rPr>
                <w:rFonts w:hint="eastAsia" w:ascii="宋体" w:hAnsi="宋体" w:eastAsia="宋体" w:cs="宋体"/>
                <w:color w:val="auto"/>
                <w:kern w:val="0"/>
                <w:sz w:val="20"/>
                <w:szCs w:val="20"/>
                <w:highlight w:val="none"/>
                <w:u w:val="single"/>
              </w:rPr>
              <w:t xml:space="preserve"> </w:t>
            </w:r>
            <w:r>
              <w:rPr>
                <w:rFonts w:hint="eastAsia" w:ascii="宋体" w:hAnsi="宋体" w:eastAsia="宋体" w:cs="宋体"/>
                <w:color w:val="auto"/>
                <w:kern w:val="0"/>
                <w:sz w:val="20"/>
                <w:szCs w:val="20"/>
                <w:highlight w:val="none"/>
              </w:rPr>
              <w:t>分。</w:t>
            </w:r>
          </w:p>
          <w:p>
            <w:pPr>
              <w:spacing w:beforeLines="25"/>
              <w:ind w:firstLine="400" w:firstLineChars="20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②经历：具有10年或以上（含10年）工程管理工作经验，得</w:t>
            </w:r>
            <w:r>
              <w:rPr>
                <w:rFonts w:hint="eastAsia" w:ascii="宋体" w:hAnsi="宋体" w:eastAsia="宋体" w:cs="宋体"/>
                <w:color w:val="auto"/>
                <w:kern w:val="0"/>
                <w:sz w:val="20"/>
                <w:szCs w:val="20"/>
                <w:highlight w:val="none"/>
                <w:u w:val="single"/>
              </w:rPr>
              <w:t xml:space="preserve"> 2 </w:t>
            </w:r>
            <w:r>
              <w:rPr>
                <w:rFonts w:hint="eastAsia" w:ascii="宋体" w:hAnsi="宋体" w:eastAsia="宋体" w:cs="宋体"/>
                <w:color w:val="auto"/>
                <w:kern w:val="0"/>
                <w:sz w:val="20"/>
                <w:szCs w:val="20"/>
                <w:highlight w:val="none"/>
              </w:rPr>
              <w:t>分；具有5年（含5年）至10年（不含10年）工程管理工作经验，得</w:t>
            </w:r>
            <w:r>
              <w:rPr>
                <w:rFonts w:hint="eastAsia" w:ascii="宋体" w:hAnsi="宋体" w:eastAsia="宋体" w:cs="宋体"/>
                <w:color w:val="auto"/>
                <w:kern w:val="0"/>
                <w:sz w:val="20"/>
                <w:szCs w:val="20"/>
                <w:highlight w:val="none"/>
                <w:u w:val="single"/>
              </w:rPr>
              <w:t xml:space="preserve"> 1 </w:t>
            </w:r>
            <w:r>
              <w:rPr>
                <w:rFonts w:hint="eastAsia" w:ascii="宋体" w:hAnsi="宋体" w:eastAsia="宋体" w:cs="宋体"/>
                <w:color w:val="auto"/>
                <w:kern w:val="0"/>
                <w:sz w:val="20"/>
                <w:szCs w:val="20"/>
                <w:highlight w:val="none"/>
              </w:rPr>
              <w:t>分；本项最多得</w:t>
            </w:r>
            <w:r>
              <w:rPr>
                <w:rFonts w:hint="eastAsia" w:ascii="宋体" w:hAnsi="宋体" w:eastAsia="宋体" w:cs="宋体"/>
                <w:color w:val="auto"/>
                <w:kern w:val="0"/>
                <w:sz w:val="20"/>
                <w:szCs w:val="20"/>
                <w:highlight w:val="none"/>
                <w:u w:val="single"/>
              </w:rPr>
              <w:t xml:space="preserve"> 2 </w:t>
            </w:r>
            <w:r>
              <w:rPr>
                <w:rFonts w:hint="eastAsia" w:ascii="宋体" w:hAnsi="宋体" w:eastAsia="宋体" w:cs="宋体"/>
                <w:color w:val="auto"/>
                <w:kern w:val="0"/>
                <w:sz w:val="20"/>
                <w:szCs w:val="20"/>
                <w:highlight w:val="none"/>
              </w:rPr>
              <w:t>分。</w:t>
            </w:r>
          </w:p>
          <w:p>
            <w:pPr>
              <w:spacing w:beforeLines="25"/>
              <w:ind w:firstLine="400" w:firstLineChars="200"/>
              <w:rPr>
                <w:rFonts w:hint="eastAsia" w:ascii="Calibri" w:hAnsi="Calibri" w:eastAsia="宋体" w:cs="Times New Roman"/>
                <w:color w:val="auto"/>
                <w:kern w:val="0"/>
                <w:sz w:val="20"/>
                <w:szCs w:val="20"/>
                <w:highlight w:val="none"/>
                <w:lang w:val="en-US" w:eastAsia="zh-CN" w:bidi="ar-SA"/>
              </w:rPr>
            </w:pPr>
            <w:r>
              <w:rPr>
                <w:rFonts w:hint="eastAsia" w:ascii="宋体" w:hAnsi="宋体" w:eastAsia="宋体" w:cs="宋体"/>
                <w:color w:val="auto"/>
                <w:kern w:val="0"/>
                <w:sz w:val="20"/>
                <w:szCs w:val="20"/>
                <w:highlight w:val="none"/>
              </w:rPr>
              <w:t>注：有效的注册造价工程师指根据原人事部、原建设部发布的《造价工程师执业资格制度暂行规定》（人发〔1996〕77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vMerge w:val="continue"/>
            <w:noWrap w:val="0"/>
            <w:vAlign w:val="center"/>
          </w:tcPr>
          <w:p>
            <w:pPr>
              <w:spacing w:line="280" w:lineRule="exact"/>
              <w:rPr>
                <w:rFonts w:ascii="Calibri" w:hAnsi="Calibri" w:eastAsia="宋体" w:cs="Times New Roman"/>
                <w:color w:val="auto"/>
                <w:kern w:val="0"/>
                <w:sz w:val="20"/>
                <w:szCs w:val="20"/>
                <w:highlight w:val="none"/>
              </w:rPr>
            </w:pPr>
          </w:p>
        </w:tc>
        <w:tc>
          <w:tcPr>
            <w:tcW w:w="502" w:type="dxa"/>
            <w:gridSpan w:val="2"/>
            <w:vMerge w:val="continue"/>
            <w:noWrap w:val="0"/>
            <w:vAlign w:val="center"/>
          </w:tcPr>
          <w:p>
            <w:pPr>
              <w:widowControl/>
              <w:spacing w:line="280" w:lineRule="exact"/>
              <w:rPr>
                <w:rFonts w:ascii="Calibri" w:hAnsi="Calibri" w:eastAsia="宋体" w:cs="Times New Roman"/>
                <w:color w:val="auto"/>
                <w:kern w:val="0"/>
                <w:sz w:val="20"/>
                <w:szCs w:val="20"/>
                <w:highlight w:val="none"/>
              </w:rPr>
            </w:pPr>
          </w:p>
        </w:tc>
        <w:tc>
          <w:tcPr>
            <w:tcW w:w="1474" w:type="dxa"/>
            <w:noWrap w:val="0"/>
            <w:vAlign w:val="center"/>
          </w:tcPr>
          <w:p>
            <w:pPr>
              <w:widowControl/>
              <w:spacing w:line="280" w:lineRule="exact"/>
              <w:ind w:right="-8" w:rightChars="-4"/>
              <w:jc w:val="left"/>
              <w:rPr>
                <w:rFonts w:ascii="Calibri" w:hAnsi="Calibri" w:eastAsia="宋体" w:cs="Times New Roman"/>
                <w:color w:val="auto"/>
                <w:kern w:val="0"/>
                <w:sz w:val="20"/>
                <w:szCs w:val="20"/>
                <w:highlight w:val="none"/>
              </w:rPr>
            </w:pPr>
            <w:r>
              <w:rPr>
                <w:rFonts w:hint="eastAsia" w:ascii="宋体" w:hAnsi="宋体" w:cs="宋体"/>
                <w:color w:val="auto"/>
                <w:szCs w:val="21"/>
                <w:highlight w:val="none"/>
              </w:rPr>
              <w:t>其他专业工程师</w:t>
            </w:r>
          </w:p>
        </w:tc>
        <w:tc>
          <w:tcPr>
            <w:tcW w:w="953" w:type="dxa"/>
            <w:noWrap w:val="0"/>
            <w:vAlign w:val="center"/>
          </w:tcPr>
          <w:p>
            <w:pPr>
              <w:widowControl/>
              <w:spacing w:line="280" w:lineRule="exact"/>
              <w:jc w:val="center"/>
              <w:rPr>
                <w:rFonts w:hint="eastAsia" w:ascii="Calibri" w:hAnsi="Calibri" w:eastAsia="宋体" w:cs="Times New Roman"/>
                <w:color w:val="auto"/>
                <w:kern w:val="0"/>
                <w:sz w:val="20"/>
                <w:szCs w:val="20"/>
                <w:highlight w:val="none"/>
                <w:lang w:eastAsia="zh-CN"/>
              </w:rPr>
            </w:pPr>
            <w:r>
              <w:rPr>
                <w:rFonts w:hint="eastAsia" w:ascii="宋体" w:hAnsi="宋体" w:cs="宋体"/>
                <w:color w:val="auto"/>
                <w:kern w:val="0"/>
                <w:sz w:val="20"/>
                <w:szCs w:val="21"/>
                <w:highlight w:val="none"/>
                <w:lang w:val="en-US" w:eastAsia="zh-CN"/>
              </w:rPr>
              <w:t>12</w:t>
            </w:r>
          </w:p>
        </w:tc>
        <w:tc>
          <w:tcPr>
            <w:tcW w:w="10335" w:type="dxa"/>
            <w:gridSpan w:val="4"/>
            <w:noWrap w:val="0"/>
            <w:vAlign w:val="center"/>
          </w:tcPr>
          <w:p>
            <w:pPr>
              <w:spacing w:line="24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①从业能力：</w:t>
            </w:r>
            <w:r>
              <w:rPr>
                <w:rFonts w:hint="eastAsia" w:ascii="宋体" w:hAnsi="宋体" w:eastAsia="宋体" w:cs="宋体"/>
                <w:color w:val="auto"/>
                <w:kern w:val="2"/>
                <w:sz w:val="21"/>
                <w:szCs w:val="21"/>
                <w:highlight w:val="none"/>
              </w:rPr>
              <w:t>每个专业的工程师</w:t>
            </w:r>
            <w:r>
              <w:rPr>
                <w:rFonts w:hint="eastAsia" w:ascii="宋体" w:hAnsi="宋体" w:eastAsia="宋体" w:cs="宋体"/>
                <w:color w:val="auto"/>
                <w:sz w:val="21"/>
                <w:szCs w:val="21"/>
                <w:highlight w:val="none"/>
              </w:rPr>
              <w:t>（该专业有多名工程师的，只计1人）</w:t>
            </w:r>
            <w:r>
              <w:rPr>
                <w:rFonts w:hint="eastAsia" w:ascii="宋体" w:hAnsi="宋体" w:eastAsia="宋体" w:cs="宋体"/>
                <w:color w:val="auto"/>
                <w:kern w:val="2"/>
                <w:sz w:val="21"/>
                <w:szCs w:val="21"/>
                <w:highlight w:val="none"/>
              </w:rPr>
              <w:t>具有对应专业</w:t>
            </w:r>
            <w:r>
              <w:rPr>
                <w:rFonts w:hint="eastAsia" w:ascii="宋体" w:hAnsi="宋体" w:eastAsia="宋体" w:cs="宋体"/>
                <w:color w:val="auto"/>
                <w:sz w:val="21"/>
                <w:szCs w:val="21"/>
                <w:highlight w:val="none"/>
              </w:rPr>
              <w:t>中级或以上</w:t>
            </w:r>
            <w:r>
              <w:rPr>
                <w:rFonts w:hint="eastAsia" w:ascii="宋体" w:hAnsi="宋体" w:eastAsia="宋体" w:cs="宋体"/>
                <w:color w:val="auto"/>
                <w:kern w:val="2"/>
                <w:sz w:val="21"/>
                <w:szCs w:val="21"/>
                <w:highlight w:val="none"/>
              </w:rPr>
              <w:t>技术职称的，得</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2</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分，</w:t>
            </w:r>
            <w:r>
              <w:rPr>
                <w:rFonts w:hint="eastAsia" w:ascii="宋体" w:hAnsi="宋体" w:eastAsia="宋体" w:cs="宋体"/>
                <w:color w:val="auto"/>
                <w:sz w:val="21"/>
                <w:szCs w:val="21"/>
                <w:highlight w:val="none"/>
              </w:rPr>
              <w:t>本项最多</w:t>
            </w:r>
            <w:r>
              <w:rPr>
                <w:rFonts w:hint="eastAsia" w:ascii="宋体" w:hAnsi="宋体" w:eastAsia="宋体" w:cs="宋体"/>
                <w:color w:val="auto"/>
                <w:kern w:val="2"/>
                <w:sz w:val="21"/>
                <w:szCs w:val="21"/>
                <w:highlight w:val="none"/>
              </w:rPr>
              <w:t>得</w:t>
            </w:r>
            <w:r>
              <w:rPr>
                <w:rFonts w:hint="eastAsia" w:ascii="宋体" w:hAnsi="宋体" w:eastAsia="宋体" w:cs="宋体"/>
                <w:color w:val="auto"/>
                <w:kern w:val="2"/>
                <w:sz w:val="21"/>
                <w:szCs w:val="21"/>
                <w:highlight w:val="none"/>
                <w:u w:val="single"/>
              </w:rPr>
              <w:t xml:space="preserve"> 6 </w:t>
            </w:r>
            <w:r>
              <w:rPr>
                <w:rFonts w:hint="eastAsia" w:ascii="宋体" w:hAnsi="宋体" w:eastAsia="宋体" w:cs="宋体"/>
                <w:color w:val="auto"/>
                <w:kern w:val="2"/>
                <w:sz w:val="21"/>
                <w:szCs w:val="21"/>
                <w:highlight w:val="none"/>
              </w:rPr>
              <w:t>分；</w:t>
            </w:r>
          </w:p>
          <w:p>
            <w:pPr>
              <w:spacing w:line="240" w:lineRule="atLeast"/>
              <w:rPr>
                <w:rFonts w:hint="eastAsia" w:ascii="宋体" w:hAnsi="宋体" w:eastAsia="宋体" w:cs="宋体"/>
                <w:color w:val="auto"/>
                <w:sz w:val="21"/>
                <w:szCs w:val="21"/>
                <w:highlight w:val="none"/>
              </w:rPr>
            </w:pPr>
            <w:r>
              <w:rPr>
                <w:rFonts w:hint="eastAsia" w:ascii="宋体" w:hAnsi="宋体" w:cs="宋体"/>
                <w:color w:val="auto"/>
                <w:szCs w:val="21"/>
                <w:highlight w:val="none"/>
              </w:rPr>
              <w:t xml:space="preserve">    ②经历：每个专业的工程师（该专业有多名工程师的，只计1人）具有10年或以上（含10年）施工管理工作经验，得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分；具有5年（含5年）至10年（不含10年）施工管理工作经验，得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分；本项最多得</w:t>
            </w:r>
            <w:r>
              <w:rPr>
                <w:rFonts w:hint="eastAsia" w:ascii="宋体" w:hAnsi="宋体" w:cs="宋体"/>
                <w:color w:val="auto"/>
                <w:szCs w:val="21"/>
                <w:highlight w:val="none"/>
                <w:u w:val="single"/>
              </w:rPr>
              <w:t xml:space="preserve"> 6 </w:t>
            </w:r>
            <w:r>
              <w:rPr>
                <w:rFonts w:hint="eastAsia" w:ascii="宋体" w:hAnsi="宋体" w:cs="宋体"/>
                <w:color w:val="auto"/>
                <w:szCs w:val="21"/>
                <w:highlight w:val="none"/>
              </w:rPr>
              <w:t>分。</w:t>
            </w:r>
          </w:p>
          <w:p>
            <w:pPr>
              <w:spacing w:line="240" w:lineRule="atLeast"/>
              <w:ind w:firstLine="420" w:firstLineChars="200"/>
              <w:rPr>
                <w:rFonts w:hint="eastAsia" w:ascii="宋体" w:hAnsi="宋体" w:cs="宋体"/>
                <w:color w:val="auto"/>
                <w:szCs w:val="21"/>
                <w:highlight w:val="none"/>
              </w:rPr>
            </w:pPr>
            <w:r>
              <w:rPr>
                <w:rFonts w:hint="eastAsia" w:ascii="宋体" w:hAnsi="宋体" w:eastAsia="宋体" w:cs="宋体"/>
                <w:color w:val="auto"/>
                <w:kern w:val="2"/>
                <w:sz w:val="21"/>
                <w:szCs w:val="21"/>
                <w:highlight w:val="none"/>
              </w:rPr>
              <w:t>（其他专业指：</w:t>
            </w:r>
            <w:r>
              <w:rPr>
                <w:rFonts w:hint="eastAsia" w:ascii="宋体" w:hAnsi="宋体" w:cs="宋体"/>
                <w:color w:val="auto"/>
                <w:szCs w:val="21"/>
                <w:highlight w:val="none"/>
              </w:rPr>
              <w:t>□工民建（建筑、土木）类、</w:t>
            </w:r>
            <w:r>
              <w:rPr>
                <w:rFonts w:hint="eastAsia" w:ascii="宋体" w:hAnsi="宋体" w:cs="宋体"/>
                <w:color w:val="auto"/>
                <w:szCs w:val="21"/>
                <w:highlight w:val="none"/>
                <w:lang w:eastAsia="zh-CN"/>
              </w:rPr>
              <w:t>☑</w:t>
            </w:r>
            <w:r>
              <w:rPr>
                <w:rFonts w:hint="eastAsia" w:ascii="宋体" w:hAnsi="宋体" w:cs="宋体"/>
                <w:color w:val="auto"/>
                <w:szCs w:val="21"/>
                <w:highlight w:val="none"/>
              </w:rPr>
              <w:t>电气类、□给排水类、□供热通风与空调类、□弱电类、□建筑装饰类、□园林绿化类、□岩土（土石方、地基与基础）类、□测量类、</w:t>
            </w:r>
            <w:r>
              <w:rPr>
                <w:rFonts w:hint="eastAsia" w:ascii="宋体" w:hAnsi="宋体" w:cs="宋体"/>
                <w:color w:val="auto"/>
                <w:szCs w:val="21"/>
                <w:highlight w:val="none"/>
                <w:lang w:eastAsia="zh-CN"/>
              </w:rPr>
              <w:t>☑</w:t>
            </w:r>
            <w:r>
              <w:rPr>
                <w:rFonts w:hint="eastAsia" w:ascii="宋体" w:hAnsi="宋体" w:cs="宋体"/>
                <w:color w:val="auto"/>
                <w:szCs w:val="21"/>
                <w:highlight w:val="none"/>
              </w:rPr>
              <w:t>机电类、□检测类、□燃气类）</w:t>
            </w:r>
          </w:p>
          <w:p>
            <w:pPr>
              <w:spacing w:beforeLines="-2147483648" w:line="240" w:lineRule="atLeast"/>
              <w:ind w:firstLine="420" w:firstLineChars="200"/>
              <w:rPr>
                <w:rFonts w:ascii="Calibri" w:hAnsi="Calibri" w:eastAsia="宋体" w:cs="Times New Roman"/>
                <w:color w:val="auto"/>
                <w:kern w:val="0"/>
                <w:sz w:val="20"/>
                <w:szCs w:val="20"/>
                <w:highlight w:val="none"/>
              </w:rPr>
            </w:pPr>
            <w:r>
              <w:rPr>
                <w:rFonts w:hint="eastAsia" w:ascii="宋体" w:hAnsi="宋体" w:cs="宋体"/>
                <w:color w:val="auto"/>
                <w:szCs w:val="21"/>
                <w:highlight w:val="none"/>
              </w:rPr>
              <w:t>注</w:t>
            </w:r>
            <w:r>
              <w:rPr>
                <w:rFonts w:hint="eastAsia" w:ascii="宋体" w:hAnsi="宋体" w:cs="宋体"/>
                <w:color w:val="auto"/>
                <w:szCs w:val="21"/>
                <w:highlight w:val="none"/>
                <w:lang w:eastAsia="zh-CN"/>
              </w:rPr>
              <w:t>：</w:t>
            </w:r>
            <w:r>
              <w:rPr>
                <w:rFonts w:hint="eastAsia" w:ascii="宋体" w:hAnsi="宋体" w:cs="宋体"/>
                <w:color w:val="auto"/>
                <w:szCs w:val="21"/>
                <w:highlight w:val="none"/>
              </w:rPr>
              <w:t>具体专业名称按照职称证相关专业类别进行评审。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3" w:type="dxa"/>
            <w:gridSpan w:val="5"/>
            <w:noWrap w:val="0"/>
            <w:vAlign w:val="center"/>
          </w:tcPr>
          <w:p>
            <w:pPr>
              <w:widowControl/>
              <w:spacing w:line="280" w:lineRule="exact"/>
              <w:jc w:val="center"/>
              <w:rPr>
                <w:rFonts w:ascii="Calibri" w:hAnsi="Calibri" w:eastAsia="宋体" w:cs="Times New Roman"/>
                <w:color w:val="auto"/>
                <w:kern w:val="0"/>
                <w:sz w:val="20"/>
                <w:szCs w:val="20"/>
                <w:highlight w:val="none"/>
              </w:rPr>
            </w:pPr>
          </w:p>
        </w:tc>
        <w:tc>
          <w:tcPr>
            <w:tcW w:w="10335" w:type="dxa"/>
            <w:gridSpan w:val="4"/>
            <w:noWrap w:val="0"/>
            <w:vAlign w:val="center"/>
          </w:tcPr>
          <w:p>
            <w:pPr>
              <w:ind w:right="71" w:rightChars="34"/>
              <w:rPr>
                <w:color w:val="auto"/>
                <w:highlight w:val="none"/>
              </w:rPr>
            </w:pPr>
            <w:r>
              <w:rPr>
                <w:rFonts w:hint="eastAsia"/>
                <w:color w:val="auto"/>
                <w:highlight w:val="none"/>
              </w:rPr>
              <w:t>注：①上述人员须提供身份证、毕业证书</w:t>
            </w:r>
            <w:r>
              <w:rPr>
                <w:rFonts w:hint="eastAsia"/>
                <w:color w:val="auto"/>
                <w:highlight w:val="none"/>
                <w:lang w:eastAsia="zh-CN"/>
              </w:rPr>
              <w:t>（</w:t>
            </w:r>
            <w:r>
              <w:rPr>
                <w:rFonts w:hint="eastAsia"/>
                <w:color w:val="auto"/>
                <w:highlight w:val="none"/>
              </w:rPr>
              <w:t>大学专科（或以上）学历</w:t>
            </w:r>
            <w:r>
              <w:rPr>
                <w:rFonts w:hint="eastAsia"/>
                <w:color w:val="auto"/>
                <w:highlight w:val="none"/>
                <w:lang w:eastAsia="zh-CN"/>
              </w:rPr>
              <w:t>）</w:t>
            </w:r>
            <w:r>
              <w:rPr>
                <w:rFonts w:hint="eastAsia"/>
                <w:color w:val="auto"/>
                <w:highlight w:val="none"/>
              </w:rPr>
              <w:t>及离投标截止时间最近的至少一个月（2025年7月或8月）在本单位缴纳的社保证明文件，且须按相应要求提供职称证（若证书无法明确为相应专业，则需同时提供职称证书发证单位出具的证明材料，否则投标人需承担评委认定职称专业不符合评审标准的风险）、有效期内的注册证及有效期内的安全生产考核合格证（B类）或安全生产考核合格证（C类）或建筑施工企业项目负责人安全生产考核合格证书或建筑施工企业专职安全生产管理人员安全生产考核合格证书（C3），所有资料为扫描件并加盖投标人电子公章；</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②工作经验年限从毕业证书的核发时间（大学专科（或以上）学历）起计；</w:t>
            </w:r>
          </w:p>
          <w:p>
            <w:pPr>
              <w:adjustRightInd w:val="0"/>
              <w:snapToGrid/>
              <w:spacing w:beforeLines="0" w:line="240" w:lineRule="auto"/>
              <w:ind w:firstLine="420" w:firstLineChars="200"/>
              <w:rPr>
                <w:rFonts w:hint="eastAsia"/>
                <w:color w:val="auto"/>
                <w:highlight w:val="none"/>
              </w:rPr>
            </w:pPr>
            <w:r>
              <w:rPr>
                <w:rFonts w:hint="eastAsia" w:ascii="宋体" w:hAnsi="宋体" w:eastAsia="宋体" w:cs="宋体"/>
                <w:color w:val="auto"/>
                <w:sz w:val="21"/>
                <w:szCs w:val="21"/>
                <w:highlight w:val="none"/>
              </w:rPr>
              <w:t>③</w:t>
            </w:r>
            <w:r>
              <w:rPr>
                <w:rFonts w:hint="eastAsia"/>
                <w:color w:val="auto"/>
                <w:highlight w:val="none"/>
              </w:rPr>
              <w:t>项目负责人、技术负责人、质量负责人、安全负责人、造价负责人、其他专业工程师不得兼任，且安全负责人不能同时兼任专职安全员。</w:t>
            </w:r>
          </w:p>
          <w:p>
            <w:pPr>
              <w:pStyle w:val="2"/>
              <w:spacing w:before="0" w:after="0" w:line="240" w:lineRule="auto"/>
              <w:ind w:firstLine="420" w:firstLineChars="200"/>
              <w:rPr>
                <w:color w:val="auto"/>
                <w:highlight w:val="none"/>
              </w:rPr>
            </w:pPr>
            <w:r>
              <w:rPr>
                <w:rFonts w:hint="eastAsia"/>
                <w:b w:val="0"/>
                <w:bCs/>
                <w:color w:val="auto"/>
                <w:sz w:val="21"/>
                <w:szCs w:val="21"/>
                <w:highlight w:val="none"/>
              </w:rPr>
              <w:t>④若投标人为联合体，拟任本工程项目负责人、技术负责人、质量负责人、安全负责人、造价负责人须为联合体主办方人员。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559" w:type="dxa"/>
            <w:gridSpan w:val="2"/>
            <w:vMerge w:val="restart"/>
            <w:noWrap w:val="0"/>
            <w:vAlign w:val="center"/>
          </w:tcPr>
          <w:p>
            <w:pPr>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三、企业资信</w:t>
            </w:r>
          </w:p>
          <w:p>
            <w:pPr>
              <w:jc w:val="center"/>
              <w:rPr>
                <w:rFonts w:ascii="Calibri" w:hAnsi="Calibri" w:eastAsia="宋体" w:cs="Times New Roman"/>
                <w:color w:val="auto"/>
                <w:kern w:val="0"/>
                <w:sz w:val="20"/>
                <w:szCs w:val="20"/>
                <w:highlight w:val="none"/>
              </w:rPr>
            </w:pPr>
            <w:r>
              <w:rPr>
                <w:rFonts w:hint="eastAsia" w:ascii="宋体" w:hAnsi="宋体" w:eastAsia="宋体" w:cs="宋体"/>
                <w:color w:val="auto"/>
                <w:kern w:val="0"/>
                <w:sz w:val="20"/>
                <w:szCs w:val="21"/>
                <w:highlight w:val="none"/>
              </w:rPr>
              <w:t>（22分）</w:t>
            </w:r>
          </w:p>
        </w:tc>
        <w:tc>
          <w:tcPr>
            <w:tcW w:w="1941" w:type="dxa"/>
            <w:gridSpan w:val="2"/>
            <w:noWrap w:val="0"/>
            <w:vAlign w:val="center"/>
          </w:tcPr>
          <w:p>
            <w:pPr>
              <w:rPr>
                <w:rFonts w:ascii="Calibri" w:hAnsi="Calibri" w:eastAsia="楷体_GB2312" w:cs="Times New Roman"/>
                <w:color w:val="auto"/>
                <w:kern w:val="0"/>
                <w:sz w:val="20"/>
                <w:szCs w:val="20"/>
                <w:highlight w:val="none"/>
              </w:rPr>
            </w:pPr>
            <w:r>
              <w:rPr>
                <w:rFonts w:hint="eastAsia" w:ascii="宋体" w:hAnsi="宋体" w:eastAsia="宋体" w:cs="宋体"/>
                <w:color w:val="auto"/>
                <w:kern w:val="0"/>
                <w:sz w:val="20"/>
                <w:szCs w:val="21"/>
                <w:highlight w:val="none"/>
              </w:rPr>
              <w:t>企业类似工程业绩</w:t>
            </w:r>
          </w:p>
        </w:tc>
        <w:tc>
          <w:tcPr>
            <w:tcW w:w="953" w:type="dxa"/>
            <w:noWrap w:val="0"/>
            <w:vAlign w:val="center"/>
          </w:tcPr>
          <w:p>
            <w:pPr>
              <w:jc w:val="center"/>
              <w:rPr>
                <w:rFonts w:ascii="Calibri" w:hAnsi="Calibri" w:eastAsia="楷体_GB2312" w:cs="Times New Roman"/>
                <w:color w:val="auto"/>
                <w:kern w:val="0"/>
                <w:sz w:val="20"/>
                <w:szCs w:val="20"/>
                <w:highlight w:val="none"/>
              </w:rPr>
            </w:pPr>
            <w:r>
              <w:rPr>
                <w:rFonts w:hint="eastAsia" w:ascii="宋体" w:hAnsi="宋体" w:eastAsia="宋体" w:cs="宋体"/>
                <w:color w:val="auto"/>
                <w:kern w:val="0"/>
                <w:sz w:val="20"/>
                <w:szCs w:val="21"/>
                <w:highlight w:val="none"/>
              </w:rPr>
              <w:t>12</w:t>
            </w:r>
          </w:p>
        </w:tc>
        <w:tc>
          <w:tcPr>
            <w:tcW w:w="10335" w:type="dxa"/>
            <w:gridSpan w:val="4"/>
            <w:noWrap w:val="0"/>
            <w:vAlign w:val="center"/>
          </w:tcPr>
          <w:p>
            <w:pPr>
              <w:ind w:firstLine="400" w:firstLineChars="200"/>
              <w:rPr>
                <w:rFonts w:ascii="Calibri" w:hAnsi="Calibri" w:eastAsia="楷体_GB2312" w:cs="Times New Roman"/>
                <w:color w:val="auto"/>
                <w:kern w:val="0"/>
                <w:sz w:val="20"/>
                <w:szCs w:val="20"/>
                <w:highlight w:val="none"/>
              </w:rPr>
            </w:pPr>
            <w:r>
              <w:rPr>
                <w:rFonts w:hint="eastAsia" w:ascii="宋体" w:hAnsi="宋体" w:eastAsia="宋体" w:cs="宋体"/>
                <w:color w:val="auto"/>
                <w:kern w:val="0"/>
                <w:sz w:val="20"/>
                <w:szCs w:val="21"/>
                <w:highlight w:val="none"/>
              </w:rPr>
              <w:t>投标人自</w:t>
            </w:r>
            <w:r>
              <w:rPr>
                <w:rFonts w:hint="eastAsia" w:ascii="宋体" w:hAnsi="宋体" w:eastAsia="宋体" w:cs="宋体"/>
                <w:color w:val="auto"/>
                <w:kern w:val="0"/>
                <w:sz w:val="20"/>
                <w:szCs w:val="21"/>
                <w:highlight w:val="none"/>
                <w:u w:val="single"/>
              </w:rPr>
              <w:t>2022</w:t>
            </w:r>
            <w:r>
              <w:rPr>
                <w:rFonts w:hint="eastAsia" w:ascii="宋体" w:hAnsi="宋体" w:eastAsia="宋体" w:cs="宋体"/>
                <w:color w:val="auto"/>
                <w:kern w:val="0"/>
                <w:sz w:val="20"/>
                <w:szCs w:val="21"/>
                <w:highlight w:val="none"/>
              </w:rPr>
              <w:t>年1月1日至今完成过质量合格的且工程造价金额大于或等于</w:t>
            </w:r>
            <w:r>
              <w:rPr>
                <w:rFonts w:hint="eastAsia" w:ascii="宋体" w:hAnsi="宋体" w:cs="宋体"/>
                <w:color w:val="auto"/>
                <w:kern w:val="0"/>
                <w:sz w:val="20"/>
                <w:szCs w:val="21"/>
                <w:highlight w:val="none"/>
                <w:u w:val="single"/>
                <w:lang w:val="en-US" w:eastAsia="zh-CN"/>
              </w:rPr>
              <w:t>1400</w:t>
            </w:r>
            <w:r>
              <w:rPr>
                <w:rFonts w:hint="eastAsia" w:ascii="宋体" w:hAnsi="宋体" w:eastAsia="宋体" w:cs="宋体"/>
                <w:color w:val="auto"/>
                <w:kern w:val="0"/>
                <w:sz w:val="20"/>
                <w:szCs w:val="21"/>
                <w:highlight w:val="none"/>
              </w:rPr>
              <w:t>万元的</w:t>
            </w:r>
            <w:r>
              <w:rPr>
                <w:rFonts w:hint="eastAsia" w:ascii="宋体" w:hAnsi="宋体" w:eastAsia="宋体" w:cs="宋体"/>
                <w:color w:val="auto"/>
                <w:kern w:val="0"/>
                <w:sz w:val="20"/>
                <w:szCs w:val="21"/>
                <w:highlight w:val="none"/>
                <w:u w:val="single"/>
              </w:rPr>
              <w:t>电力工程施工或</w:t>
            </w:r>
            <w:r>
              <w:rPr>
                <w:rFonts w:hint="eastAsia"/>
                <w:color w:val="auto"/>
                <w:highlight w:val="none"/>
                <w:u w:val="single"/>
              </w:rPr>
              <w:t>建筑</w:t>
            </w:r>
            <w:r>
              <w:rPr>
                <w:rFonts w:hint="eastAsia" w:ascii="宋体" w:hAnsi="宋体" w:eastAsia="宋体" w:cs="宋体"/>
                <w:color w:val="auto"/>
                <w:kern w:val="0"/>
                <w:sz w:val="20"/>
                <w:szCs w:val="21"/>
                <w:highlight w:val="none"/>
                <w:u w:val="single"/>
              </w:rPr>
              <w:t>机电安装工程</w:t>
            </w:r>
            <w:r>
              <w:rPr>
                <w:rFonts w:hint="eastAsia" w:ascii="宋体" w:hAnsi="宋体" w:eastAsia="宋体" w:cs="宋体"/>
                <w:color w:val="auto"/>
                <w:kern w:val="0"/>
                <w:sz w:val="20"/>
                <w:szCs w:val="21"/>
                <w:highlight w:val="none"/>
                <w:u w:val="single"/>
                <w:lang w:val="en-US" w:eastAsia="zh-CN"/>
              </w:rPr>
              <w:t>施工</w:t>
            </w:r>
            <w:r>
              <w:rPr>
                <w:rFonts w:hint="eastAsia"/>
                <w:color w:val="auto"/>
                <w:highlight w:val="none"/>
                <w:lang w:val="en-US" w:eastAsia="zh-CN"/>
              </w:rPr>
              <w:t>（含</w:t>
            </w:r>
            <w:r>
              <w:rPr>
                <w:rFonts w:hint="eastAsia"/>
                <w:color w:val="auto"/>
                <w:highlight w:val="none"/>
              </w:rPr>
              <w:t>工程总承包施工部分业绩</w:t>
            </w:r>
            <w:r>
              <w:rPr>
                <w:rFonts w:hint="eastAsia"/>
                <w:color w:val="auto"/>
                <w:highlight w:val="none"/>
                <w:lang w:eastAsia="zh-CN"/>
              </w:rPr>
              <w:t>）</w:t>
            </w:r>
            <w:r>
              <w:rPr>
                <w:rFonts w:hint="eastAsia" w:ascii="宋体" w:hAnsi="宋体" w:eastAsia="宋体" w:cs="宋体"/>
                <w:color w:val="auto"/>
                <w:kern w:val="0"/>
                <w:sz w:val="20"/>
                <w:szCs w:val="21"/>
                <w:highlight w:val="none"/>
              </w:rPr>
              <w:t>一项得</w:t>
            </w:r>
            <w:r>
              <w:rPr>
                <w:rFonts w:hint="eastAsia" w:ascii="宋体" w:hAnsi="宋体" w:cs="宋体"/>
                <w:color w:val="auto"/>
                <w:kern w:val="0"/>
                <w:sz w:val="20"/>
                <w:szCs w:val="21"/>
                <w:highlight w:val="none"/>
                <w:u w:val="single"/>
                <w:lang w:val="en-US" w:eastAsia="zh-CN"/>
              </w:rPr>
              <w:t xml:space="preserve"> </w:t>
            </w:r>
            <w:r>
              <w:rPr>
                <w:rFonts w:hint="eastAsia" w:ascii="宋体" w:hAnsi="宋体" w:eastAsia="宋体" w:cs="宋体"/>
                <w:color w:val="auto"/>
                <w:kern w:val="0"/>
                <w:sz w:val="20"/>
                <w:szCs w:val="21"/>
                <w:highlight w:val="none"/>
                <w:u w:val="single"/>
                <w:lang w:val="en-US" w:eastAsia="zh-CN"/>
              </w:rPr>
              <w:t>6</w:t>
            </w:r>
            <w:r>
              <w:rPr>
                <w:rFonts w:hint="eastAsia" w:ascii="宋体" w:hAnsi="宋体" w:eastAsia="宋体" w:cs="宋体"/>
                <w:color w:val="auto"/>
                <w:kern w:val="0"/>
                <w:sz w:val="20"/>
                <w:szCs w:val="21"/>
                <w:highlight w:val="none"/>
              </w:rPr>
              <w:t>分；最多得</w:t>
            </w:r>
            <w:r>
              <w:rPr>
                <w:rFonts w:hint="eastAsia" w:ascii="宋体" w:hAnsi="宋体" w:eastAsia="宋体" w:cs="宋体"/>
                <w:color w:val="auto"/>
                <w:kern w:val="0"/>
                <w:sz w:val="20"/>
                <w:szCs w:val="21"/>
                <w:highlight w:val="none"/>
                <w:u w:val="single"/>
              </w:rPr>
              <w:t>12</w:t>
            </w:r>
            <w:r>
              <w:rPr>
                <w:rFonts w:hint="eastAsia" w:ascii="宋体" w:hAnsi="宋体" w:eastAsia="宋体" w:cs="宋体"/>
                <w:color w:val="auto"/>
                <w:kern w:val="0"/>
                <w:sz w:val="2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559" w:type="dxa"/>
            <w:gridSpan w:val="2"/>
            <w:vMerge w:val="continue"/>
            <w:noWrap w:val="0"/>
            <w:vAlign w:val="center"/>
          </w:tcPr>
          <w:p>
            <w:pPr>
              <w:ind w:firstLine="400"/>
              <w:jc w:val="center"/>
              <w:rPr>
                <w:rFonts w:ascii="Calibri" w:hAnsi="Calibri" w:eastAsia="宋体" w:cs="Times New Roman"/>
                <w:color w:val="auto"/>
                <w:kern w:val="0"/>
                <w:sz w:val="20"/>
                <w:szCs w:val="20"/>
                <w:highlight w:val="none"/>
              </w:rPr>
            </w:pPr>
          </w:p>
        </w:tc>
        <w:tc>
          <w:tcPr>
            <w:tcW w:w="1941" w:type="dxa"/>
            <w:gridSpan w:val="2"/>
            <w:noWrap w:val="0"/>
            <w:vAlign w:val="center"/>
          </w:tcPr>
          <w:p>
            <w:pPr>
              <w:rPr>
                <w:rFonts w:ascii="Calibri" w:hAnsi="Calibri" w:eastAsia="楷体_GB2312" w:cs="Times New Roman"/>
                <w:color w:val="auto"/>
                <w:kern w:val="0"/>
                <w:sz w:val="20"/>
                <w:szCs w:val="20"/>
                <w:highlight w:val="none"/>
              </w:rPr>
            </w:pPr>
            <w:r>
              <w:rPr>
                <w:rFonts w:hint="eastAsia" w:ascii="宋体" w:hAnsi="宋体" w:eastAsia="宋体" w:cs="宋体"/>
                <w:color w:val="auto"/>
                <w:kern w:val="0"/>
                <w:sz w:val="20"/>
                <w:szCs w:val="21"/>
                <w:highlight w:val="none"/>
              </w:rPr>
              <w:t>企业工程研发能力</w:t>
            </w:r>
          </w:p>
        </w:tc>
        <w:tc>
          <w:tcPr>
            <w:tcW w:w="953" w:type="dxa"/>
            <w:noWrap w:val="0"/>
            <w:vAlign w:val="center"/>
          </w:tcPr>
          <w:p>
            <w:pPr>
              <w:jc w:val="center"/>
              <w:rPr>
                <w:rFonts w:ascii="Calibri" w:hAnsi="Calibri" w:eastAsia="楷体_GB2312" w:cs="Times New Roman"/>
                <w:color w:val="auto"/>
                <w:kern w:val="0"/>
                <w:sz w:val="20"/>
                <w:szCs w:val="20"/>
                <w:highlight w:val="none"/>
              </w:rPr>
            </w:pPr>
            <w:r>
              <w:rPr>
                <w:rFonts w:hint="eastAsia" w:ascii="宋体" w:hAnsi="宋体" w:eastAsia="宋体" w:cs="宋体"/>
                <w:color w:val="auto"/>
                <w:kern w:val="0"/>
                <w:sz w:val="20"/>
                <w:szCs w:val="21"/>
                <w:highlight w:val="none"/>
              </w:rPr>
              <w:t>6</w:t>
            </w:r>
          </w:p>
        </w:tc>
        <w:tc>
          <w:tcPr>
            <w:tcW w:w="10335" w:type="dxa"/>
            <w:gridSpan w:val="4"/>
            <w:noWrap w:val="0"/>
            <w:vAlign w:val="center"/>
          </w:tcPr>
          <w:p>
            <w:pPr>
              <w:ind w:firstLine="400" w:firstLineChars="200"/>
              <w:rPr>
                <w:rFonts w:ascii="Calibri" w:hAnsi="Calibri" w:eastAsia="宋体" w:cs="Times New Roman"/>
                <w:color w:val="auto"/>
                <w:kern w:val="0"/>
                <w:sz w:val="20"/>
                <w:szCs w:val="20"/>
                <w:highlight w:val="none"/>
              </w:rPr>
            </w:pPr>
            <w:r>
              <w:rPr>
                <w:rFonts w:hint="eastAsia" w:ascii="宋体" w:hAnsi="宋体" w:eastAsia="宋体" w:cs="宋体"/>
                <w:color w:val="auto"/>
                <w:kern w:val="0"/>
                <w:sz w:val="20"/>
                <w:szCs w:val="21"/>
                <w:highlight w:val="none"/>
              </w:rPr>
              <w:t>投标人自</w:t>
            </w:r>
            <w:r>
              <w:rPr>
                <w:rFonts w:hint="eastAsia" w:ascii="宋体" w:hAnsi="宋体" w:eastAsia="宋体" w:cs="宋体"/>
                <w:color w:val="auto"/>
                <w:kern w:val="0"/>
                <w:sz w:val="20"/>
                <w:szCs w:val="21"/>
                <w:highlight w:val="none"/>
                <w:u w:val="single"/>
              </w:rPr>
              <w:t>2022</w:t>
            </w:r>
            <w:r>
              <w:rPr>
                <w:rFonts w:hint="eastAsia" w:ascii="宋体" w:hAnsi="宋体" w:eastAsia="宋体" w:cs="宋体"/>
                <w:color w:val="auto"/>
                <w:kern w:val="0"/>
                <w:sz w:val="20"/>
                <w:szCs w:val="21"/>
                <w:highlight w:val="none"/>
              </w:rPr>
              <w:t>年1月1日至今作为主要完成单位或独立完成单位获得市级或以上工法证书奖项，一项得</w:t>
            </w:r>
            <w:r>
              <w:rPr>
                <w:rFonts w:hint="eastAsia" w:ascii="宋体" w:hAnsi="宋体" w:eastAsia="宋体" w:cs="宋体"/>
                <w:color w:val="auto"/>
                <w:kern w:val="0"/>
                <w:sz w:val="20"/>
                <w:szCs w:val="21"/>
                <w:highlight w:val="none"/>
                <w:u w:val="single"/>
                <w:lang w:val="en-US" w:eastAsia="zh-CN"/>
              </w:rPr>
              <w:t>3</w:t>
            </w:r>
            <w:r>
              <w:rPr>
                <w:rFonts w:hint="eastAsia" w:ascii="宋体" w:hAnsi="宋体" w:eastAsia="宋体" w:cs="宋体"/>
                <w:color w:val="auto"/>
                <w:kern w:val="0"/>
                <w:sz w:val="20"/>
                <w:szCs w:val="21"/>
                <w:highlight w:val="none"/>
              </w:rPr>
              <w:t>分，最多得</w:t>
            </w:r>
            <w:r>
              <w:rPr>
                <w:rFonts w:hint="eastAsia" w:ascii="宋体" w:hAnsi="宋体" w:cs="宋体"/>
                <w:color w:val="auto"/>
                <w:kern w:val="0"/>
                <w:sz w:val="20"/>
                <w:szCs w:val="21"/>
                <w:highlight w:val="none"/>
                <w:u w:val="single"/>
                <w:lang w:val="en-US" w:eastAsia="zh-CN"/>
              </w:rPr>
              <w:t xml:space="preserve"> </w:t>
            </w:r>
            <w:r>
              <w:rPr>
                <w:rFonts w:hint="eastAsia" w:ascii="宋体" w:hAnsi="宋体" w:eastAsia="宋体" w:cs="宋体"/>
                <w:color w:val="auto"/>
                <w:kern w:val="0"/>
                <w:sz w:val="20"/>
                <w:szCs w:val="21"/>
                <w:highlight w:val="none"/>
                <w:u w:val="single"/>
              </w:rPr>
              <w:t>6</w:t>
            </w:r>
            <w:r>
              <w:rPr>
                <w:rFonts w:hint="eastAsia" w:ascii="宋体" w:hAnsi="宋体" w:eastAsia="宋体" w:cs="宋体"/>
                <w:color w:val="auto"/>
                <w:kern w:val="0"/>
                <w:sz w:val="20"/>
                <w:szCs w:val="21"/>
                <w:highlight w:val="none"/>
              </w:rPr>
              <w:t>分。注：时间以发证日期为准。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559" w:type="dxa"/>
            <w:gridSpan w:val="2"/>
            <w:vMerge w:val="continue"/>
            <w:noWrap w:val="0"/>
            <w:vAlign w:val="center"/>
          </w:tcPr>
          <w:p>
            <w:pPr>
              <w:ind w:firstLine="400"/>
              <w:jc w:val="center"/>
              <w:rPr>
                <w:rFonts w:ascii="Calibri" w:hAnsi="Calibri" w:eastAsia="宋体" w:cs="Times New Roman"/>
                <w:color w:val="auto"/>
                <w:kern w:val="0"/>
                <w:sz w:val="20"/>
                <w:szCs w:val="20"/>
                <w:highlight w:val="none"/>
              </w:rPr>
            </w:pPr>
          </w:p>
        </w:tc>
        <w:tc>
          <w:tcPr>
            <w:tcW w:w="1941" w:type="dxa"/>
            <w:gridSpan w:val="2"/>
            <w:noWrap w:val="0"/>
            <w:vAlign w:val="center"/>
          </w:tcPr>
          <w:p>
            <w:pPr>
              <w:jc w:val="left"/>
              <w:rPr>
                <w:rFonts w:ascii="Calibri" w:hAnsi="Calibri" w:eastAsia="楷体_GB2312" w:cs="Times New Roman"/>
                <w:color w:val="auto"/>
                <w:kern w:val="0"/>
                <w:sz w:val="20"/>
                <w:szCs w:val="20"/>
                <w:highlight w:val="none"/>
              </w:rPr>
            </w:pPr>
            <w:r>
              <w:rPr>
                <w:rFonts w:hint="eastAsia" w:ascii="宋体" w:hAnsi="宋体" w:eastAsia="宋体" w:cs="宋体"/>
                <w:color w:val="auto"/>
                <w:kern w:val="0"/>
                <w:sz w:val="20"/>
                <w:szCs w:val="21"/>
                <w:highlight w:val="none"/>
              </w:rPr>
              <w:t>第三方评价</w:t>
            </w:r>
          </w:p>
        </w:tc>
        <w:tc>
          <w:tcPr>
            <w:tcW w:w="953" w:type="dxa"/>
            <w:noWrap w:val="0"/>
            <w:vAlign w:val="center"/>
          </w:tcPr>
          <w:p>
            <w:pPr>
              <w:jc w:val="center"/>
              <w:rPr>
                <w:rFonts w:ascii="Calibri" w:hAnsi="Calibri" w:eastAsia="楷体_GB2312" w:cs="Times New Roman"/>
                <w:color w:val="auto"/>
                <w:kern w:val="0"/>
                <w:sz w:val="20"/>
                <w:szCs w:val="20"/>
                <w:highlight w:val="none"/>
              </w:rPr>
            </w:pPr>
            <w:r>
              <w:rPr>
                <w:rFonts w:hint="eastAsia" w:ascii="宋体" w:hAnsi="宋体" w:eastAsia="宋体" w:cs="宋体"/>
                <w:color w:val="auto"/>
                <w:kern w:val="0"/>
                <w:sz w:val="20"/>
                <w:szCs w:val="21"/>
                <w:highlight w:val="none"/>
              </w:rPr>
              <w:t>4</w:t>
            </w:r>
          </w:p>
        </w:tc>
        <w:tc>
          <w:tcPr>
            <w:tcW w:w="10335" w:type="dxa"/>
            <w:gridSpan w:val="4"/>
            <w:noWrap w:val="0"/>
            <w:vAlign w:val="center"/>
          </w:tcPr>
          <w:p>
            <w:pPr>
              <w:ind w:firstLine="400" w:firstLineChars="200"/>
              <w:rPr>
                <w:rFonts w:ascii="Calibri" w:hAnsi="Calibri" w:eastAsia="宋体" w:cs="Times New Roman"/>
                <w:color w:val="auto"/>
                <w:kern w:val="0"/>
                <w:sz w:val="20"/>
                <w:szCs w:val="20"/>
                <w:highlight w:val="none"/>
              </w:rPr>
            </w:pPr>
            <w:r>
              <w:rPr>
                <w:rFonts w:hint="eastAsia" w:ascii="宋体" w:hAnsi="宋体" w:eastAsia="宋体" w:cs="宋体"/>
                <w:color w:val="auto"/>
                <w:kern w:val="0"/>
                <w:sz w:val="20"/>
                <w:szCs w:val="21"/>
                <w:highlight w:val="none"/>
              </w:rPr>
              <w:t>按投标人自</w:t>
            </w:r>
            <w:r>
              <w:rPr>
                <w:rFonts w:hint="eastAsia" w:ascii="宋体" w:hAnsi="宋体" w:eastAsia="宋体" w:cs="宋体"/>
                <w:color w:val="auto"/>
                <w:kern w:val="0"/>
                <w:sz w:val="20"/>
                <w:szCs w:val="21"/>
                <w:highlight w:val="none"/>
                <w:u w:val="single"/>
              </w:rPr>
              <w:t>2022</w:t>
            </w:r>
            <w:r>
              <w:rPr>
                <w:rFonts w:hint="eastAsia" w:ascii="宋体" w:hAnsi="宋体" w:eastAsia="宋体" w:cs="宋体"/>
                <w:color w:val="auto"/>
                <w:kern w:val="0"/>
                <w:sz w:val="20"/>
                <w:szCs w:val="21"/>
                <w:highlight w:val="none"/>
              </w:rPr>
              <w:t>年至今获得过税务机关评定的“A级纳税人”称号得</w:t>
            </w:r>
            <w:r>
              <w:rPr>
                <w:rFonts w:hint="eastAsia" w:ascii="宋体" w:hAnsi="宋体" w:cs="宋体"/>
                <w:color w:val="auto"/>
                <w:kern w:val="0"/>
                <w:sz w:val="20"/>
                <w:szCs w:val="21"/>
                <w:highlight w:val="none"/>
                <w:u w:val="single"/>
                <w:lang w:val="en-US" w:eastAsia="zh-CN"/>
              </w:rPr>
              <w:t xml:space="preserve"> </w:t>
            </w:r>
            <w:r>
              <w:rPr>
                <w:rFonts w:hint="eastAsia" w:ascii="宋体" w:hAnsi="宋体" w:eastAsia="宋体" w:cs="宋体"/>
                <w:color w:val="auto"/>
                <w:kern w:val="0"/>
                <w:sz w:val="20"/>
                <w:szCs w:val="21"/>
                <w:highlight w:val="none"/>
                <w:u w:val="single"/>
              </w:rPr>
              <w:t>4</w:t>
            </w:r>
            <w:r>
              <w:rPr>
                <w:rFonts w:hint="eastAsia" w:ascii="宋体" w:hAnsi="宋体" w:eastAsia="宋体" w:cs="宋体"/>
                <w:color w:val="auto"/>
                <w:kern w:val="0"/>
                <w:sz w:val="20"/>
                <w:szCs w:val="21"/>
                <w:highlight w:val="none"/>
              </w:rPr>
              <w:t>分；获得过税务机关评定的“B级纳税人”称号得</w:t>
            </w:r>
            <w:r>
              <w:rPr>
                <w:rFonts w:hint="eastAsia" w:ascii="宋体" w:hAnsi="宋体" w:cs="宋体"/>
                <w:color w:val="auto"/>
                <w:kern w:val="0"/>
                <w:sz w:val="20"/>
                <w:szCs w:val="21"/>
                <w:highlight w:val="none"/>
                <w:u w:val="single"/>
                <w:lang w:val="en-US" w:eastAsia="zh-CN"/>
              </w:rPr>
              <w:t xml:space="preserve"> </w:t>
            </w:r>
            <w:r>
              <w:rPr>
                <w:rFonts w:hint="eastAsia" w:ascii="宋体" w:hAnsi="宋体" w:eastAsia="宋体" w:cs="宋体"/>
                <w:color w:val="auto"/>
                <w:kern w:val="0"/>
                <w:sz w:val="20"/>
                <w:szCs w:val="21"/>
                <w:highlight w:val="none"/>
                <w:u w:val="single"/>
              </w:rPr>
              <w:t>2</w:t>
            </w:r>
            <w:r>
              <w:rPr>
                <w:rFonts w:hint="eastAsia" w:ascii="宋体" w:hAnsi="宋体" w:eastAsia="宋体" w:cs="宋体"/>
                <w:color w:val="auto"/>
                <w:kern w:val="0"/>
                <w:sz w:val="20"/>
                <w:szCs w:val="21"/>
                <w:highlight w:val="none"/>
              </w:rPr>
              <w:t>分；获得过税务机关评定的“M级纳税人”称号得</w:t>
            </w:r>
            <w:r>
              <w:rPr>
                <w:rFonts w:hint="eastAsia" w:ascii="宋体" w:hAnsi="宋体" w:cs="宋体"/>
                <w:color w:val="auto"/>
                <w:kern w:val="0"/>
                <w:sz w:val="20"/>
                <w:szCs w:val="21"/>
                <w:highlight w:val="none"/>
                <w:u w:val="single"/>
                <w:lang w:val="en-US" w:eastAsia="zh-CN"/>
              </w:rPr>
              <w:t xml:space="preserve"> </w:t>
            </w:r>
            <w:r>
              <w:rPr>
                <w:rFonts w:hint="eastAsia" w:ascii="宋体" w:hAnsi="宋体" w:eastAsia="宋体" w:cs="宋体"/>
                <w:color w:val="auto"/>
                <w:kern w:val="0"/>
                <w:sz w:val="20"/>
                <w:szCs w:val="21"/>
                <w:highlight w:val="none"/>
                <w:u w:val="single"/>
              </w:rPr>
              <w:t>1</w:t>
            </w:r>
            <w:r>
              <w:rPr>
                <w:rFonts w:hint="eastAsia" w:ascii="宋体" w:hAnsi="宋体" w:eastAsia="宋体" w:cs="宋体"/>
                <w:color w:val="auto"/>
                <w:kern w:val="0"/>
                <w:sz w:val="20"/>
                <w:szCs w:val="21"/>
                <w:highlight w:val="none"/>
              </w:rPr>
              <w:t>分。最多得</w:t>
            </w:r>
            <w:r>
              <w:rPr>
                <w:rFonts w:hint="eastAsia" w:ascii="宋体" w:hAnsi="宋体" w:cs="宋体"/>
                <w:color w:val="auto"/>
                <w:kern w:val="0"/>
                <w:sz w:val="20"/>
                <w:szCs w:val="21"/>
                <w:highlight w:val="none"/>
                <w:u w:val="single"/>
                <w:lang w:val="en-US" w:eastAsia="zh-CN"/>
              </w:rPr>
              <w:t xml:space="preserve"> </w:t>
            </w:r>
            <w:r>
              <w:rPr>
                <w:rFonts w:hint="eastAsia" w:ascii="宋体" w:hAnsi="宋体" w:eastAsia="宋体" w:cs="宋体"/>
                <w:color w:val="auto"/>
                <w:kern w:val="0"/>
                <w:sz w:val="20"/>
                <w:szCs w:val="21"/>
                <w:highlight w:val="none"/>
                <w:u w:val="single"/>
              </w:rPr>
              <w:t>4</w:t>
            </w:r>
            <w:r>
              <w:rPr>
                <w:rFonts w:hint="eastAsia" w:ascii="宋体" w:hAnsi="宋体" w:eastAsia="宋体" w:cs="宋体"/>
                <w:color w:val="auto"/>
                <w:kern w:val="0"/>
                <w:sz w:val="2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500" w:type="dxa"/>
            <w:gridSpan w:val="4"/>
            <w:noWrap w:val="0"/>
            <w:vAlign w:val="center"/>
          </w:tcPr>
          <w:p>
            <w:pPr>
              <w:jc w:val="center"/>
              <w:rPr>
                <w:rFonts w:ascii="Calibri" w:hAnsi="Calibri" w:eastAsia="楷体_GB2312" w:cs="Times New Roman"/>
                <w:color w:val="auto"/>
                <w:kern w:val="0"/>
                <w:sz w:val="20"/>
                <w:szCs w:val="20"/>
                <w:highlight w:val="none"/>
              </w:rPr>
            </w:pPr>
            <w:r>
              <w:rPr>
                <w:rFonts w:hint="eastAsia" w:ascii="宋体" w:hAnsi="宋体" w:eastAsia="宋体" w:cs="宋体"/>
                <w:color w:val="auto"/>
                <w:kern w:val="0"/>
                <w:sz w:val="20"/>
                <w:szCs w:val="21"/>
                <w:highlight w:val="none"/>
              </w:rPr>
              <w:t>合计（一+二+三）</w:t>
            </w:r>
          </w:p>
        </w:tc>
        <w:tc>
          <w:tcPr>
            <w:tcW w:w="953" w:type="dxa"/>
            <w:noWrap w:val="0"/>
            <w:vAlign w:val="center"/>
          </w:tcPr>
          <w:p>
            <w:pPr>
              <w:jc w:val="center"/>
              <w:rPr>
                <w:rFonts w:ascii="Calibri" w:hAnsi="Calibri" w:eastAsia="楷体_GB2312" w:cs="Times New Roman"/>
                <w:color w:val="auto"/>
                <w:kern w:val="0"/>
                <w:sz w:val="20"/>
                <w:szCs w:val="20"/>
                <w:highlight w:val="none"/>
              </w:rPr>
            </w:pPr>
            <w:r>
              <w:rPr>
                <w:rFonts w:hint="eastAsia" w:ascii="宋体" w:hAnsi="宋体" w:eastAsia="宋体" w:cs="宋体"/>
                <w:color w:val="auto"/>
                <w:kern w:val="0"/>
                <w:sz w:val="20"/>
                <w:szCs w:val="21"/>
                <w:highlight w:val="none"/>
              </w:rPr>
              <w:t>100</w:t>
            </w:r>
          </w:p>
        </w:tc>
        <w:tc>
          <w:tcPr>
            <w:tcW w:w="10335" w:type="dxa"/>
            <w:gridSpan w:val="4"/>
            <w:noWrap w:val="0"/>
            <w:vAlign w:val="center"/>
          </w:tcPr>
          <w:p>
            <w:pPr>
              <w:ind w:firstLine="400" w:firstLineChars="200"/>
              <w:jc w:val="center"/>
              <w:rPr>
                <w:rFonts w:ascii="Calibri" w:hAnsi="Calibri" w:eastAsia="楷体_GB2312" w:cs="Times New Roman"/>
                <w:color w:val="auto"/>
                <w:kern w:val="0"/>
                <w:sz w:val="20"/>
                <w:szCs w:val="20"/>
                <w:highlight w:val="none"/>
              </w:rPr>
            </w:pPr>
          </w:p>
        </w:tc>
      </w:tr>
    </w:tbl>
    <w:p>
      <w:pPr>
        <w:widowControl/>
        <w:jc w:val="left"/>
        <w:rPr>
          <w:rFonts w:ascii="宋体" w:hAnsi="宋体" w:eastAsia="宋体" w:cs="宋体"/>
          <w:color w:val="auto"/>
          <w:szCs w:val="21"/>
          <w:highlight w:val="none"/>
        </w:rPr>
      </w:pPr>
      <w:r>
        <w:rPr>
          <w:rFonts w:hint="eastAsia" w:ascii="宋体" w:hAnsi="宋体" w:eastAsia="宋体" w:cs="宋体"/>
          <w:b/>
          <w:color w:val="auto"/>
          <w:szCs w:val="21"/>
          <w:highlight w:val="none"/>
        </w:rPr>
        <w:t>备注</w:t>
      </w:r>
      <w:r>
        <w:rPr>
          <w:rFonts w:hint="eastAsia" w:ascii="宋体" w:hAnsi="宋体" w:eastAsia="宋体" w:cs="宋体"/>
          <w:color w:val="auto"/>
          <w:szCs w:val="21"/>
          <w:highlight w:val="none"/>
        </w:rPr>
        <w:t>：</w:t>
      </w:r>
    </w:p>
    <w:p>
      <w:pPr>
        <w:ind w:firstLine="422" w:firstLineChars="200"/>
        <w:rPr>
          <w:rFonts w:ascii="宋体" w:hAnsi="宋体" w:eastAsia="宋体" w:cs="仿宋"/>
          <w:color w:val="auto"/>
          <w:szCs w:val="21"/>
          <w:highlight w:val="none"/>
        </w:rPr>
      </w:pPr>
      <w:bookmarkStart w:id="16" w:name="OLE_LINK6"/>
      <w:r>
        <w:rPr>
          <w:rFonts w:hint="eastAsia" w:ascii="宋体" w:hAnsi="宋体" w:eastAsia="宋体" w:cs="仿宋"/>
          <w:b/>
          <w:bCs/>
          <w:color w:val="auto"/>
          <w:szCs w:val="21"/>
          <w:highlight w:val="none"/>
        </w:rPr>
        <w:t>1.</w:t>
      </w:r>
      <w:r>
        <w:rPr>
          <w:rFonts w:hint="eastAsia" w:ascii="宋体" w:hAnsi="宋体" w:eastAsia="宋体" w:cs="仿宋"/>
          <w:b w:val="0"/>
          <w:bCs w:val="0"/>
          <w:color w:val="auto"/>
          <w:szCs w:val="21"/>
          <w:highlight w:val="none"/>
        </w:rPr>
        <w:t xml:space="preserve">评委对业绩认定意见不一致时，则由招标人解释招标文件后，评委讨论业绩认定标准；经讨论后标准仍不一致时，则按少数服从多数处理。按少数服从多数仍不能形成一致意见时，对评标结果有不同意见的评标委员会成员应当以书面形式说明其不同意见和理由，评标报告应当注明该不同意见。评标委员会成员拒绝在评标报告上签字又不书面说明其不同意见和理由的，视为同意评标结果。 </w:t>
      </w:r>
    </w:p>
    <w:p>
      <w:pPr>
        <w:ind w:firstLine="422" w:firstLineChars="200"/>
        <w:rPr>
          <w:rFonts w:ascii="宋体" w:hAnsi="宋体" w:eastAsia="宋体" w:cs="仿宋"/>
          <w:b/>
          <w:color w:val="auto"/>
          <w:kern w:val="0"/>
          <w:szCs w:val="21"/>
          <w:highlight w:val="none"/>
        </w:rPr>
      </w:pPr>
      <w:r>
        <w:rPr>
          <w:rFonts w:ascii="宋体" w:hAnsi="宋体" w:eastAsia="宋体" w:cs="仿宋"/>
          <w:b/>
          <w:color w:val="auto"/>
          <w:kern w:val="0"/>
          <w:szCs w:val="21"/>
          <w:highlight w:val="none"/>
        </w:rPr>
        <w:t>2</w:t>
      </w:r>
      <w:r>
        <w:rPr>
          <w:rFonts w:ascii="宋体" w:hAnsi="宋体" w:eastAsia="宋体" w:cs="仿宋"/>
          <w:b/>
          <w:bCs/>
          <w:color w:val="auto"/>
          <w:kern w:val="0"/>
          <w:szCs w:val="21"/>
          <w:highlight w:val="none"/>
        </w:rPr>
        <w:t>.</w:t>
      </w:r>
      <w:r>
        <w:rPr>
          <w:rFonts w:hint="eastAsia" w:ascii="宋体" w:hAnsi="宋体" w:eastAsia="宋体" w:cs="仿宋"/>
          <w:b/>
          <w:bCs/>
          <w:color w:val="auto"/>
          <w:kern w:val="0"/>
          <w:szCs w:val="21"/>
          <w:highlight w:val="none"/>
        </w:rPr>
        <w:t>项目负责人业绩：</w:t>
      </w:r>
    </w:p>
    <w:p>
      <w:pPr>
        <w:ind w:firstLine="420" w:firstLineChars="200"/>
        <w:rPr>
          <w:rFonts w:ascii="宋体" w:hAnsi="宋体" w:eastAsia="宋体" w:cs="仿宋"/>
          <w:color w:val="auto"/>
          <w:szCs w:val="21"/>
          <w:highlight w:val="none"/>
        </w:rPr>
      </w:pPr>
      <w:r>
        <w:rPr>
          <w:rFonts w:hint="eastAsia" w:ascii="宋体" w:hAnsi="宋体" w:eastAsia="宋体" w:cs="仿宋"/>
          <w:color w:val="auto"/>
          <w:szCs w:val="21"/>
          <w:highlight w:val="none"/>
        </w:rPr>
        <w:t>业绩需提供相关证明材料。其中：工程总承包业绩包括勘察设计施工总承包或设计施工总承包或设计采购施工总承包或勘察设计采购施工总承包业绩等。投标人须提供业绩的中标通知书或免招标的相关证明、施工合同或工程总承包合同（不含补充合同）、竣工验收证明文件（验收文件至少具有建设单位、设计、施工和监理单位盖章）。完成时间以竣工验收证明材料为准。业绩金额以业绩中标通知书为准，若中标通知书没有显示中标金额或免招标的，以施工合同或工程总承包合同的施工费合同金额为准（不含补充合同）。上述资料显示的内容须一致且工程业绩须为</w:t>
      </w:r>
      <w:r>
        <w:rPr>
          <w:rFonts w:hint="eastAsia" w:ascii="宋体" w:hAnsi="宋体" w:eastAsia="宋体" w:cs="仿宋"/>
          <w:color w:val="auto"/>
          <w:szCs w:val="21"/>
          <w:highlight w:val="none"/>
          <w:u w:val="single"/>
        </w:rPr>
        <w:t>电力工程施工</w:t>
      </w:r>
      <w:r>
        <w:rPr>
          <w:rFonts w:hint="eastAsia" w:ascii="宋体" w:hAnsi="宋体" w:eastAsia="宋体" w:cs="仿宋"/>
          <w:color w:val="auto"/>
          <w:kern w:val="0"/>
          <w:szCs w:val="21"/>
          <w:highlight w:val="none"/>
          <w:u w:val="single"/>
        </w:rPr>
        <w:t>或建筑机电安装工程</w:t>
      </w:r>
      <w:r>
        <w:rPr>
          <w:rFonts w:hint="eastAsia" w:ascii="宋体" w:hAnsi="宋体" w:eastAsia="宋体" w:cs="仿宋"/>
          <w:color w:val="auto"/>
          <w:kern w:val="0"/>
          <w:szCs w:val="21"/>
          <w:highlight w:val="none"/>
          <w:u w:val="single"/>
          <w:lang w:val="en-US" w:eastAsia="zh-CN"/>
        </w:rPr>
        <w:t>施工</w:t>
      </w:r>
      <w:r>
        <w:rPr>
          <w:rFonts w:hint="eastAsia"/>
          <w:color w:val="auto"/>
          <w:highlight w:val="none"/>
          <w:lang w:val="en-US" w:eastAsia="zh-CN"/>
        </w:rPr>
        <w:t>（含</w:t>
      </w:r>
      <w:r>
        <w:rPr>
          <w:rFonts w:hint="eastAsia"/>
          <w:color w:val="auto"/>
          <w:highlight w:val="none"/>
        </w:rPr>
        <w:t>工程总承包施工部分业绩</w:t>
      </w:r>
      <w:r>
        <w:rPr>
          <w:rFonts w:hint="eastAsia"/>
          <w:color w:val="auto"/>
          <w:highlight w:val="none"/>
          <w:lang w:eastAsia="zh-CN"/>
        </w:rPr>
        <w:t>）</w:t>
      </w:r>
      <w:r>
        <w:rPr>
          <w:rFonts w:hint="eastAsia" w:ascii="宋体" w:hAnsi="宋体" w:eastAsia="宋体" w:cs="仿宋"/>
          <w:color w:val="auto"/>
          <w:szCs w:val="21"/>
          <w:highlight w:val="none"/>
        </w:rPr>
        <w:t>。</w:t>
      </w:r>
      <w:r>
        <w:rPr>
          <w:rFonts w:hint="eastAsia" w:ascii="宋体" w:hAnsi="宋体" w:eastAsia="宋体" w:cs="仿宋"/>
          <w:color w:val="auto"/>
          <w:szCs w:val="21"/>
          <w:highlight w:val="none"/>
          <w:u w:val="single"/>
        </w:rPr>
        <w:t>竣工验收证明文件须有对应职位及该人员的姓名（如竣工验收证明文件无对应职位及该人员姓名的，则投标人需提供体现该人员以对应职位参与过该项目的其他经建设单位盖章确认的证明材料扫描件并加盖投标人电子印章，无提供证明材料不计分）。</w:t>
      </w:r>
      <w:r>
        <w:rPr>
          <w:rFonts w:hint="eastAsia" w:ascii="宋体" w:hAnsi="宋体" w:eastAsia="宋体" w:cs="仿宋"/>
          <w:color w:val="auto"/>
          <w:szCs w:val="21"/>
          <w:highlight w:val="none"/>
        </w:rPr>
        <w:t>不符合上述条件或提供的资料不齐全的业绩不予评审。</w:t>
      </w:r>
    </w:p>
    <w:p>
      <w:pPr>
        <w:ind w:firstLine="420" w:firstLineChars="200"/>
        <w:rPr>
          <w:rFonts w:ascii="宋体" w:hAnsi="宋体" w:eastAsia="宋体" w:cs="仿宋"/>
          <w:color w:val="auto"/>
          <w:szCs w:val="21"/>
          <w:highlight w:val="none"/>
        </w:rPr>
      </w:pPr>
      <w:r>
        <w:rPr>
          <w:rFonts w:hint="eastAsia" w:ascii="宋体" w:hAnsi="宋体" w:eastAsia="宋体" w:cs="仿宋"/>
          <w:color w:val="auto"/>
          <w:szCs w:val="21"/>
          <w:highlight w:val="none"/>
        </w:rPr>
        <w:t>评标委员会对业绩的评审以投标人提供的完整的证明资料为依据（提供相关证明材料的，中标单位须准备相关证明材料的原件待查，如原件不齐或与投标文件不符的，招标人有权取消其中标人资格，并上报建设行政主管部门）。</w:t>
      </w:r>
    </w:p>
    <w:p>
      <w:pPr>
        <w:ind w:firstLine="422" w:firstLineChars="200"/>
        <w:rPr>
          <w:rFonts w:ascii="宋体" w:hAnsi="宋体" w:eastAsia="宋体" w:cs="仿宋"/>
          <w:color w:val="auto"/>
          <w:szCs w:val="21"/>
          <w:highlight w:val="none"/>
        </w:rPr>
      </w:pPr>
      <w:r>
        <w:rPr>
          <w:rFonts w:ascii="宋体" w:hAnsi="宋体" w:eastAsia="宋体" w:cs="仿宋"/>
          <w:b/>
          <w:color w:val="auto"/>
          <w:szCs w:val="21"/>
          <w:highlight w:val="none"/>
        </w:rPr>
        <w:t>3</w:t>
      </w:r>
      <w:r>
        <w:rPr>
          <w:rFonts w:ascii="宋体" w:hAnsi="宋体" w:eastAsia="宋体" w:cs="仿宋"/>
          <w:b/>
          <w:bCs/>
          <w:color w:val="auto"/>
          <w:szCs w:val="21"/>
          <w:highlight w:val="none"/>
        </w:rPr>
        <w:t>.</w:t>
      </w:r>
      <w:r>
        <w:rPr>
          <w:rFonts w:hint="eastAsia" w:ascii="宋体" w:hAnsi="宋体" w:eastAsia="宋体" w:cs="仿宋"/>
          <w:b/>
          <w:bCs/>
          <w:color w:val="auto"/>
          <w:szCs w:val="21"/>
          <w:highlight w:val="none"/>
        </w:rPr>
        <w:t>企业类似工程业绩：</w:t>
      </w:r>
    </w:p>
    <w:p>
      <w:pPr>
        <w:ind w:firstLine="420" w:firstLineChars="200"/>
        <w:rPr>
          <w:rFonts w:ascii="宋体" w:hAnsi="宋体" w:eastAsia="宋体" w:cs="仿宋"/>
          <w:color w:val="auto"/>
          <w:kern w:val="0"/>
          <w:szCs w:val="21"/>
          <w:highlight w:val="none"/>
        </w:rPr>
      </w:pPr>
      <w:r>
        <w:rPr>
          <w:rFonts w:hint="eastAsia" w:ascii="宋体" w:hAnsi="宋体" w:eastAsia="宋体" w:cs="仿宋"/>
          <w:color w:val="auto"/>
          <w:kern w:val="0"/>
          <w:szCs w:val="21"/>
          <w:highlight w:val="none"/>
        </w:rPr>
        <w:t>业绩需提供相关证明材料。其中：工程总承包业绩包括勘察设计施工总承包或设计施工总承包或设计采购施工总承包或勘察设计采购施工总承包业绩等。投标人须提供业绩的中标通知书或免招标的相关证明、施工合同或工程总承包合同（不含补充合同）、竣工验收证明文件（验收文件至少具有建设单位、设计、施工和监理单位盖章）。完成时间以竣工验收证明材料为准。业绩金额以业绩中标通知书为准，若中标通知书没有显示中标金额或免招标的，以施工合同或工程总承包合同的施工费合同金额为准（不含补充合同）。上述资料显示的内容须一致且工程业绩须为</w:t>
      </w:r>
      <w:r>
        <w:rPr>
          <w:rFonts w:hint="eastAsia" w:ascii="宋体" w:hAnsi="宋体" w:eastAsia="宋体" w:cs="仿宋"/>
          <w:color w:val="auto"/>
          <w:kern w:val="0"/>
          <w:szCs w:val="21"/>
          <w:highlight w:val="none"/>
          <w:u w:val="single"/>
        </w:rPr>
        <w:t>电力工程施工或建筑机电安装工程</w:t>
      </w:r>
      <w:r>
        <w:rPr>
          <w:rFonts w:hint="eastAsia" w:ascii="宋体" w:hAnsi="宋体" w:eastAsia="宋体" w:cs="仿宋"/>
          <w:color w:val="auto"/>
          <w:kern w:val="0"/>
          <w:szCs w:val="21"/>
          <w:highlight w:val="none"/>
          <w:u w:val="single"/>
          <w:lang w:val="en-US" w:eastAsia="zh-CN"/>
        </w:rPr>
        <w:t>施工</w:t>
      </w:r>
      <w:r>
        <w:rPr>
          <w:rFonts w:hint="eastAsia"/>
          <w:color w:val="auto"/>
          <w:highlight w:val="none"/>
          <w:lang w:val="en-US" w:eastAsia="zh-CN"/>
        </w:rPr>
        <w:t>（含</w:t>
      </w:r>
      <w:r>
        <w:rPr>
          <w:rFonts w:hint="eastAsia"/>
          <w:color w:val="auto"/>
          <w:highlight w:val="none"/>
        </w:rPr>
        <w:t>工程总承包施工部分业绩</w:t>
      </w:r>
      <w:r>
        <w:rPr>
          <w:rFonts w:hint="eastAsia"/>
          <w:color w:val="auto"/>
          <w:highlight w:val="none"/>
          <w:lang w:eastAsia="zh-CN"/>
        </w:rPr>
        <w:t>）</w:t>
      </w:r>
      <w:r>
        <w:rPr>
          <w:rFonts w:hint="eastAsia" w:ascii="宋体" w:hAnsi="宋体" w:eastAsia="宋体" w:cs="仿宋"/>
          <w:color w:val="auto"/>
          <w:kern w:val="0"/>
          <w:szCs w:val="21"/>
          <w:highlight w:val="none"/>
        </w:rPr>
        <w:t>。不符合上述条件或提供的资料不齐全的业绩不予评审。评标委员会对业绩的评审以投标人提供的完整的证明资料为依据（提供相关证明材料的，中标单位须准备相关证明材料的原件待查，如原件不齐或与投标文件不符的，招标人有权取消其中标人资格，并上报建设行政主管部门）。</w:t>
      </w:r>
    </w:p>
    <w:p>
      <w:pPr>
        <w:ind w:firstLine="422" w:firstLineChars="200"/>
        <w:rPr>
          <w:rFonts w:ascii="宋体" w:hAnsi="宋体" w:eastAsia="宋体" w:cs="仿宋"/>
          <w:b/>
          <w:bCs/>
          <w:color w:val="auto"/>
          <w:kern w:val="0"/>
          <w:szCs w:val="21"/>
          <w:highlight w:val="none"/>
        </w:rPr>
      </w:pPr>
      <w:r>
        <w:rPr>
          <w:rFonts w:hint="eastAsia" w:ascii="宋体" w:hAnsi="宋体" w:eastAsia="宋体" w:cs="仿宋"/>
          <w:b/>
          <w:bCs/>
          <w:color w:val="auto"/>
          <w:kern w:val="0"/>
          <w:szCs w:val="21"/>
          <w:highlight w:val="none"/>
        </w:rPr>
        <w:t>4.企业工程研发能力：</w:t>
      </w:r>
    </w:p>
    <w:p>
      <w:pPr>
        <w:wordWrap w:val="0"/>
        <w:ind w:firstLine="420" w:firstLineChars="200"/>
        <w:jc w:val="left"/>
        <w:rPr>
          <w:rFonts w:hint="eastAsia" w:ascii="宋体" w:hAnsi="宋体" w:eastAsia="宋体" w:cs="仿宋"/>
          <w:b w:val="0"/>
          <w:bCs w:val="0"/>
          <w:color w:val="auto"/>
          <w:kern w:val="0"/>
          <w:szCs w:val="21"/>
          <w:highlight w:val="none"/>
        </w:rPr>
      </w:pPr>
      <w:r>
        <w:rPr>
          <w:rFonts w:hint="eastAsia" w:ascii="宋体" w:hAnsi="宋体" w:eastAsia="宋体" w:cs="仿宋"/>
          <w:b w:val="0"/>
          <w:bCs w:val="0"/>
          <w:color w:val="auto"/>
          <w:kern w:val="0"/>
          <w:szCs w:val="21"/>
          <w:highlight w:val="none"/>
        </w:rPr>
        <w:t>工法证书奖项：以投标人所提供的工法证书等证明材料为准，时间以工法证书颁发时间为准。投标人所提供的工法科技成果须成功应用于具体的</w:t>
      </w:r>
      <w:bookmarkStart w:id="17" w:name="_Hlk192966299"/>
      <w:r>
        <w:rPr>
          <w:rFonts w:hint="eastAsia" w:ascii="宋体" w:hAnsi="宋体" w:cs="仿宋"/>
          <w:b w:val="0"/>
          <w:bCs w:val="0"/>
          <w:color w:val="auto"/>
          <w:kern w:val="0"/>
          <w:szCs w:val="21"/>
          <w:highlight w:val="none"/>
          <w:u w:val="single"/>
          <w:lang w:val="en-US" w:eastAsia="zh-CN"/>
        </w:rPr>
        <w:t>电力</w:t>
      </w:r>
      <w:r>
        <w:rPr>
          <w:rFonts w:hint="eastAsia" w:ascii="宋体" w:hAnsi="宋体" w:eastAsia="宋体" w:cs="仿宋"/>
          <w:b w:val="0"/>
          <w:bCs w:val="0"/>
          <w:color w:val="auto"/>
          <w:kern w:val="0"/>
          <w:szCs w:val="21"/>
          <w:highlight w:val="none"/>
          <w:u w:val="single"/>
        </w:rPr>
        <w:t>工程</w:t>
      </w:r>
      <w:bookmarkEnd w:id="17"/>
      <w:r>
        <w:rPr>
          <w:rFonts w:hint="eastAsia" w:ascii="宋体" w:hAnsi="宋体" w:cs="仿宋"/>
          <w:b w:val="0"/>
          <w:bCs w:val="0"/>
          <w:color w:val="auto"/>
          <w:kern w:val="0"/>
          <w:szCs w:val="21"/>
          <w:highlight w:val="none"/>
          <w:u w:val="single"/>
          <w:lang w:val="en-US" w:eastAsia="zh-CN"/>
        </w:rPr>
        <w:t>类或机电工程类</w:t>
      </w:r>
      <w:r>
        <w:rPr>
          <w:rFonts w:hint="eastAsia" w:ascii="宋体" w:hAnsi="宋体" w:eastAsia="宋体" w:cs="仿宋"/>
          <w:b w:val="0"/>
          <w:bCs w:val="0"/>
          <w:color w:val="auto"/>
          <w:kern w:val="0"/>
          <w:szCs w:val="21"/>
          <w:highlight w:val="none"/>
        </w:rPr>
        <w:t>项目，须提交建设行政主管部门或行业协会（行业协会须在民政管理部门登记备案）或其他工法主管部门颁发的工法证书扫描件及可反映工法科技成果成功应用在具体</w:t>
      </w:r>
      <w:r>
        <w:rPr>
          <w:rFonts w:hint="eastAsia" w:ascii="宋体" w:hAnsi="宋体" w:cs="仿宋"/>
          <w:b w:val="0"/>
          <w:bCs w:val="0"/>
          <w:color w:val="auto"/>
          <w:kern w:val="0"/>
          <w:szCs w:val="21"/>
          <w:highlight w:val="none"/>
          <w:u w:val="single"/>
          <w:lang w:val="en-US" w:eastAsia="zh-CN"/>
        </w:rPr>
        <w:t>电力</w:t>
      </w:r>
      <w:r>
        <w:rPr>
          <w:rFonts w:hint="eastAsia" w:ascii="宋体" w:hAnsi="宋体" w:eastAsia="宋体" w:cs="仿宋"/>
          <w:b w:val="0"/>
          <w:bCs w:val="0"/>
          <w:color w:val="auto"/>
          <w:kern w:val="0"/>
          <w:szCs w:val="21"/>
          <w:highlight w:val="none"/>
          <w:u w:val="single"/>
        </w:rPr>
        <w:t>工程</w:t>
      </w:r>
      <w:r>
        <w:rPr>
          <w:rFonts w:hint="eastAsia" w:ascii="宋体" w:hAnsi="宋体" w:cs="仿宋"/>
          <w:b w:val="0"/>
          <w:bCs w:val="0"/>
          <w:color w:val="auto"/>
          <w:kern w:val="0"/>
          <w:szCs w:val="21"/>
          <w:highlight w:val="none"/>
          <w:u w:val="single"/>
          <w:lang w:val="en-US" w:eastAsia="zh-CN"/>
        </w:rPr>
        <w:t>类或机电工程类</w:t>
      </w:r>
      <w:r>
        <w:rPr>
          <w:rFonts w:hint="eastAsia" w:ascii="宋体" w:hAnsi="宋体" w:eastAsia="宋体" w:cs="仿宋"/>
          <w:b w:val="0"/>
          <w:bCs w:val="0"/>
          <w:color w:val="auto"/>
          <w:kern w:val="0"/>
          <w:szCs w:val="21"/>
          <w:highlight w:val="none"/>
        </w:rPr>
        <w:t>项目的科学技术成果鉴定证书扫描件或其他能证明应用于投标人</w:t>
      </w:r>
      <w:r>
        <w:rPr>
          <w:rFonts w:hint="eastAsia" w:ascii="宋体" w:hAnsi="宋体" w:cs="仿宋"/>
          <w:b w:val="0"/>
          <w:bCs w:val="0"/>
          <w:color w:val="auto"/>
          <w:kern w:val="0"/>
          <w:szCs w:val="21"/>
          <w:highlight w:val="none"/>
          <w:u w:val="single"/>
          <w:lang w:val="en-US" w:eastAsia="zh-CN"/>
        </w:rPr>
        <w:t>电力</w:t>
      </w:r>
      <w:r>
        <w:rPr>
          <w:rFonts w:hint="eastAsia" w:ascii="宋体" w:hAnsi="宋体" w:eastAsia="宋体" w:cs="仿宋"/>
          <w:b w:val="0"/>
          <w:bCs w:val="0"/>
          <w:color w:val="auto"/>
          <w:kern w:val="0"/>
          <w:szCs w:val="21"/>
          <w:highlight w:val="none"/>
          <w:u w:val="single"/>
        </w:rPr>
        <w:t>工程</w:t>
      </w:r>
      <w:r>
        <w:rPr>
          <w:rFonts w:hint="eastAsia" w:ascii="宋体" w:hAnsi="宋体" w:cs="仿宋"/>
          <w:b w:val="0"/>
          <w:bCs w:val="0"/>
          <w:color w:val="auto"/>
          <w:kern w:val="0"/>
          <w:szCs w:val="21"/>
          <w:highlight w:val="none"/>
          <w:u w:val="single"/>
          <w:lang w:val="en-US" w:eastAsia="zh-CN"/>
        </w:rPr>
        <w:t>类或机电工程类</w:t>
      </w:r>
      <w:r>
        <w:rPr>
          <w:rFonts w:hint="eastAsia" w:ascii="宋体" w:hAnsi="宋体" w:eastAsia="宋体" w:cs="仿宋"/>
          <w:b w:val="0"/>
          <w:bCs w:val="0"/>
          <w:color w:val="auto"/>
          <w:kern w:val="0"/>
          <w:szCs w:val="21"/>
          <w:highlight w:val="none"/>
        </w:rPr>
        <w:t>项目的证明材料扫描件，如颁奖单位为协会的，还须提供其在“中国社会组织政务服务平台（全国社会组织信用信息公示平台）”网站（https://xxgs.chinanpo.mca.gov.cn/gsxt/newList）（注：平台名称及网址若有更新，以最新发布的为准。）“社会组织”栏查询结果网页截图（需显示网址），同时须提供其查询结果必须为“正常”，证明其有登记备案，以上扫描件或截图均需加盖投标单位电子印章。以上要求提供的扫描件缺一不可，否则该工法不能计算有效工法。同一工法获得多个奖项的，该工法奖项只按其中一个奖项所在最高级别计算一次分数，不得重复计算。</w:t>
      </w:r>
    </w:p>
    <w:p>
      <w:pPr>
        <w:ind w:firstLine="420" w:firstLineChars="200"/>
        <w:jc w:val="left"/>
        <w:rPr>
          <w:rFonts w:hint="eastAsia" w:ascii="宋体" w:hAnsi="宋体" w:eastAsia="宋体" w:cs="仿宋"/>
          <w:b w:val="0"/>
          <w:bCs w:val="0"/>
          <w:color w:val="auto"/>
          <w:kern w:val="0"/>
          <w:szCs w:val="21"/>
          <w:highlight w:val="none"/>
        </w:rPr>
      </w:pPr>
      <w:r>
        <w:rPr>
          <w:rFonts w:hint="eastAsia" w:ascii="宋体" w:hAnsi="宋体" w:eastAsia="宋体" w:cs="仿宋"/>
          <w:b w:val="0"/>
          <w:bCs w:val="0"/>
          <w:color w:val="auto"/>
          <w:kern w:val="0"/>
          <w:szCs w:val="21"/>
          <w:highlight w:val="none"/>
        </w:rPr>
        <w:t>不符合上述条件或未提供上述资料的奖项不计分。</w:t>
      </w:r>
    </w:p>
    <w:p>
      <w:pPr>
        <w:ind w:firstLine="422" w:firstLineChars="200"/>
        <w:jc w:val="left"/>
        <w:rPr>
          <w:rFonts w:ascii="宋体" w:hAnsi="宋体" w:eastAsia="宋体" w:cs="仿宋"/>
          <w:b/>
          <w:bCs/>
          <w:color w:val="auto"/>
          <w:kern w:val="0"/>
          <w:szCs w:val="21"/>
          <w:highlight w:val="none"/>
        </w:rPr>
      </w:pPr>
      <w:r>
        <w:rPr>
          <w:rFonts w:hint="eastAsia" w:ascii="宋体" w:hAnsi="宋体" w:eastAsia="宋体" w:cs="仿宋"/>
          <w:b/>
          <w:bCs/>
          <w:color w:val="auto"/>
          <w:kern w:val="0"/>
          <w:szCs w:val="21"/>
          <w:highlight w:val="none"/>
        </w:rPr>
        <w:t>5.第三方评价：</w:t>
      </w:r>
    </w:p>
    <w:p>
      <w:pPr>
        <w:ind w:firstLine="420" w:firstLineChars="200"/>
        <w:rPr>
          <w:rFonts w:ascii="宋体" w:hAnsi="宋体" w:eastAsia="宋体" w:cs="仿宋"/>
          <w:color w:val="auto"/>
          <w:kern w:val="0"/>
          <w:szCs w:val="21"/>
          <w:highlight w:val="none"/>
        </w:rPr>
      </w:pPr>
      <w:r>
        <w:rPr>
          <w:rFonts w:hint="eastAsia" w:ascii="宋体" w:hAnsi="宋体" w:eastAsia="宋体" w:cs="仿宋"/>
          <w:color w:val="auto"/>
          <w:kern w:val="0"/>
          <w:szCs w:val="21"/>
          <w:highlight w:val="none"/>
        </w:rPr>
        <w:t>“纳税信用A级纳税人”须提供国家税务总局官网（http://www.chinatax.gov.cn/）“纳税信用A级纳税人名单公布栏”查询结果网页截图或其省级（含自治区、直辖市）税务局官网“纳税信用A级纳税人名单公布栏”查询结果网页截图。时间以国家税务总局或其省级（含自治区、直辖市）税务局网站纳税信用信息查询结果的网页截图公布的评价年度为准。“B级纳税人”和“M级纳税人”须提供证书扫描件或须提供在电子税务局系统上查询的年度纳税信用证明信息扫描件。时间以证书或网页截图公布的评价年度为准。若投标人满足多个档次的，按最高档计分一次，不累计。上述资料显示的纳税人全称须与投标人名称一致，否则不得分。不满足上述要求或无提交上述资料不得分。</w:t>
      </w:r>
    </w:p>
    <w:p>
      <w:pPr>
        <w:ind w:firstLine="422" w:firstLineChars="200"/>
        <w:rPr>
          <w:rFonts w:hint="eastAsia" w:ascii="宋体" w:hAnsi="宋体" w:eastAsia="宋体" w:cs="仿宋"/>
          <w:b w:val="0"/>
          <w:bCs w:val="0"/>
          <w:color w:val="auto"/>
          <w:kern w:val="0"/>
          <w:szCs w:val="21"/>
          <w:highlight w:val="none"/>
        </w:rPr>
      </w:pPr>
      <w:r>
        <w:rPr>
          <w:rFonts w:hint="eastAsia" w:ascii="宋体" w:hAnsi="宋体" w:eastAsia="宋体" w:cs="仿宋"/>
          <w:b/>
          <w:bCs/>
          <w:color w:val="auto"/>
          <w:kern w:val="0"/>
          <w:szCs w:val="21"/>
          <w:highlight w:val="none"/>
        </w:rPr>
        <w:t>6.</w:t>
      </w:r>
      <w:r>
        <w:rPr>
          <w:rFonts w:hint="eastAsia" w:ascii="宋体" w:hAnsi="宋体" w:eastAsia="宋体" w:cs="仿宋"/>
          <w:b w:val="0"/>
          <w:bCs w:val="0"/>
          <w:color w:val="auto"/>
          <w:kern w:val="0"/>
          <w:szCs w:val="21"/>
          <w:highlight w:val="none"/>
        </w:rPr>
        <w:t>本表按百分制评分，所有评委每个分项的分数汇总后去掉一个最高分和一个最低分的算术平均值为投标人的最终得分。分数出现小数点，保留小数点后二位小数，第三位小数四舍五入</w:t>
      </w:r>
      <w:r>
        <w:rPr>
          <w:rFonts w:hint="eastAsia" w:ascii="宋体" w:hAnsi="宋体" w:cs="仿宋"/>
          <w:b w:val="0"/>
          <w:bCs w:val="0"/>
          <w:color w:val="auto"/>
          <w:kern w:val="0"/>
          <w:szCs w:val="21"/>
          <w:highlight w:val="none"/>
          <w:lang w:eastAsia="zh-CN"/>
        </w:rPr>
        <w:t>，</w:t>
      </w:r>
      <w:r>
        <w:rPr>
          <w:rFonts w:hint="eastAsia" w:ascii="宋体" w:hAnsi="宋体" w:eastAsia="宋体" w:cs="仿宋"/>
          <w:b w:val="0"/>
          <w:bCs w:val="0"/>
          <w:color w:val="auto"/>
          <w:kern w:val="0"/>
          <w:szCs w:val="21"/>
          <w:highlight w:val="none"/>
        </w:rPr>
        <w:t>若投标人满足多个档次的，按最高档计分一次，不累计。</w:t>
      </w:r>
    </w:p>
    <w:p>
      <w:pPr>
        <w:ind w:firstLine="420"/>
        <w:rPr>
          <w:rFonts w:ascii="宋体" w:hAnsi="宋体" w:eastAsia="宋体" w:cs="仿宋"/>
          <w:color w:val="auto"/>
          <w:kern w:val="0"/>
          <w:szCs w:val="21"/>
          <w:highlight w:val="none"/>
        </w:rPr>
      </w:pPr>
      <w:r>
        <w:rPr>
          <w:rFonts w:hint="eastAsia" w:ascii="宋体" w:hAnsi="宋体" w:eastAsia="宋体" w:cs="仿宋"/>
          <w:b/>
          <w:bCs/>
          <w:color w:val="auto"/>
          <w:kern w:val="0"/>
          <w:szCs w:val="21"/>
          <w:highlight w:val="none"/>
        </w:rPr>
        <w:t>7.</w:t>
      </w:r>
      <w:r>
        <w:rPr>
          <w:rFonts w:hint="eastAsia" w:ascii="宋体" w:hAnsi="宋体" w:eastAsia="宋体" w:cs="仿宋"/>
          <w:b w:val="0"/>
          <w:bCs w:val="0"/>
          <w:color w:val="auto"/>
          <w:kern w:val="0"/>
          <w:szCs w:val="21"/>
          <w:highlight w:val="none"/>
        </w:rPr>
        <w:t>项目管理机构人员不得兼任。</w:t>
      </w:r>
    </w:p>
    <w:p>
      <w:pPr>
        <w:ind w:firstLine="420"/>
        <w:rPr>
          <w:rFonts w:hint="eastAsia" w:ascii="宋体" w:hAnsi="宋体" w:eastAsia="宋体" w:cs="仿宋"/>
          <w:b w:val="0"/>
          <w:bCs w:val="0"/>
          <w:color w:val="auto"/>
          <w:kern w:val="0"/>
          <w:szCs w:val="21"/>
          <w:highlight w:val="none"/>
          <w:u w:val="none"/>
        </w:rPr>
      </w:pPr>
      <w:r>
        <w:rPr>
          <w:rFonts w:hint="eastAsia" w:ascii="宋体" w:hAnsi="宋体" w:eastAsia="宋体" w:cs="仿宋"/>
          <w:b/>
          <w:bCs/>
          <w:color w:val="auto"/>
          <w:kern w:val="0"/>
          <w:szCs w:val="21"/>
          <w:highlight w:val="none"/>
          <w:u w:val="none"/>
        </w:rPr>
        <w:t>8.</w:t>
      </w:r>
      <w:r>
        <w:rPr>
          <w:rFonts w:hint="eastAsia" w:ascii="宋体" w:hAnsi="宋体" w:eastAsia="宋体" w:cs="仿宋"/>
          <w:b w:val="0"/>
          <w:bCs w:val="0"/>
          <w:color w:val="auto"/>
          <w:kern w:val="0"/>
          <w:szCs w:val="21"/>
          <w:highlight w:val="none"/>
          <w:u w:val="none"/>
        </w:rPr>
        <w:t>除了项目组织管理机构能力可计算投标人的分公司（不具备独立法人）或投标人的分支机构（不具备独立法人）外，评分表内其他评分项目只计算投标人自身（不计算投标人的分公司、子公司和分支机构），否则不得分。</w:t>
      </w:r>
    </w:p>
    <w:p>
      <w:pPr>
        <w:pStyle w:val="39"/>
        <w:ind w:firstLine="420"/>
        <w:rPr>
          <w:rFonts w:hint="eastAsia" w:ascii="宋体" w:hAnsi="宋体" w:eastAsia="宋体" w:cs="宋体"/>
          <w:color w:val="auto"/>
          <w:sz w:val="21"/>
          <w:szCs w:val="21"/>
          <w:highlight w:val="none"/>
          <w:u w:val="none"/>
        </w:rPr>
      </w:pPr>
      <w:r>
        <w:rPr>
          <w:rFonts w:hint="eastAsia" w:ascii="宋体" w:hAnsi="宋体" w:eastAsia="宋体" w:cs="宋体"/>
          <w:b/>
          <w:bCs/>
          <w:color w:val="auto"/>
          <w:sz w:val="21"/>
          <w:szCs w:val="21"/>
          <w:highlight w:val="none"/>
          <w:u w:val="none"/>
        </w:rPr>
        <w:t>9.</w:t>
      </w:r>
      <w:r>
        <w:rPr>
          <w:rFonts w:hint="eastAsia" w:ascii="宋体" w:hAnsi="宋体" w:eastAsia="宋体" w:cs="宋体"/>
          <w:color w:val="auto"/>
          <w:sz w:val="21"/>
          <w:szCs w:val="21"/>
          <w:highlight w:val="none"/>
          <w:u w:val="none"/>
        </w:rPr>
        <w:t>若为联合体，除了其他专业工程师可计算联合体各方得分外，其他评分内容只计算主办方得分。</w:t>
      </w:r>
    </w:p>
    <w:p>
      <w:pPr>
        <w:pStyle w:val="39"/>
        <w:spacing w:line="240" w:lineRule="auto"/>
        <w:ind w:firstLine="420"/>
        <w:rPr>
          <w:rFonts w:hint="eastAsia" w:ascii="宋体" w:hAnsi="宋体" w:eastAsia="宋体" w:cs="宋体"/>
          <w:color w:val="auto"/>
          <w:sz w:val="21"/>
          <w:szCs w:val="21"/>
          <w:highlight w:val="none"/>
          <w:u w:val="none"/>
        </w:rPr>
      </w:pPr>
      <w:r>
        <w:rPr>
          <w:rFonts w:hint="eastAsia" w:ascii="宋体" w:hAnsi="宋体" w:eastAsia="宋体" w:cs="宋体"/>
          <w:b/>
          <w:bCs/>
          <w:color w:val="auto"/>
          <w:sz w:val="21"/>
          <w:szCs w:val="21"/>
          <w:highlight w:val="none"/>
          <w:u w:val="none"/>
        </w:rPr>
        <w:t>10.</w:t>
      </w:r>
      <w:r>
        <w:rPr>
          <w:rFonts w:hint="eastAsia" w:ascii="宋体" w:hAnsi="宋体" w:eastAsia="宋体" w:cs="宋体"/>
          <w:color w:val="auto"/>
          <w:sz w:val="21"/>
          <w:szCs w:val="21"/>
          <w:highlight w:val="none"/>
          <w:u w:val="none"/>
        </w:rPr>
        <w:t>投标人提供的网页信息截图或证明材料扫描件内容必须清晰可辨，如因网页信息截图或证明材料扫描件内容模糊导致评标时无法判断的，后果由投标人自负。</w:t>
      </w:r>
    </w:p>
    <w:bookmarkEnd w:id="16"/>
    <w:p>
      <w:pPr>
        <w:ind w:firstLine="420"/>
        <w:rPr>
          <w:rFonts w:hint="eastAsia" w:ascii="宋体" w:hAnsi="宋体" w:eastAsia="宋体" w:cs="仿宋"/>
          <w:b w:val="0"/>
          <w:bCs w:val="0"/>
          <w:color w:val="auto"/>
          <w:kern w:val="0"/>
          <w:szCs w:val="21"/>
          <w:highlight w:val="none"/>
        </w:rPr>
      </w:pPr>
    </w:p>
    <w:p>
      <w:pPr>
        <w:pStyle w:val="39"/>
        <w:ind w:firstLine="420" w:firstLineChars="200"/>
        <w:rPr>
          <w:rFonts w:hint="default" w:cs="仿宋" w:asciiTheme="minorEastAsia" w:hAnsiTheme="minorEastAsia" w:eastAsiaTheme="minorEastAsia"/>
          <w:color w:val="auto"/>
          <w:sz w:val="21"/>
          <w:szCs w:val="21"/>
          <w:highlight w:val="none"/>
          <w:lang w:val="en-US" w:eastAsia="zh-CN"/>
        </w:rPr>
      </w:pPr>
      <w:r>
        <w:rPr>
          <w:rFonts w:cs="仿宋" w:asciiTheme="minorEastAsia" w:hAnsiTheme="minorEastAsia" w:eastAsiaTheme="minorEastAsia"/>
          <w:color w:val="auto"/>
          <w:sz w:val="21"/>
          <w:szCs w:val="21"/>
          <w:highlight w:val="none"/>
        </w:rPr>
        <w:t xml:space="preserve"> </w:t>
      </w:r>
      <w:r>
        <w:rPr>
          <w:rFonts w:hint="eastAsia" w:cs="仿宋" w:asciiTheme="minorEastAsia" w:hAnsiTheme="minorEastAsia" w:eastAsiaTheme="minorEastAsia"/>
          <w:color w:val="auto"/>
          <w:sz w:val="21"/>
          <w:szCs w:val="21"/>
          <w:highlight w:val="none"/>
        </w:rPr>
        <w:t>评委签名：</w:t>
      </w:r>
      <w:r>
        <w:rPr>
          <w:rFonts w:hint="eastAsia" w:cs="仿宋" w:asciiTheme="minorEastAsia" w:hAnsiTheme="minorEastAsia" w:eastAsiaTheme="minorEastAsia"/>
          <w:color w:val="auto"/>
          <w:sz w:val="21"/>
          <w:szCs w:val="21"/>
          <w:highlight w:val="none"/>
          <w:lang w:val="en-US" w:eastAsia="zh-CN"/>
        </w:rPr>
        <w:t xml:space="preserve">                                       日期：</w:t>
      </w:r>
    </w:p>
    <w:p>
      <w:pPr>
        <w:widowControl/>
        <w:jc w:val="left"/>
        <w:rPr>
          <w:rFonts w:ascii="宋体" w:hAnsi="宋体" w:cs="宋体"/>
          <w:b/>
          <w:bCs/>
          <w:color w:val="auto"/>
          <w:sz w:val="24"/>
          <w:szCs w:val="24"/>
          <w:highlight w:val="none"/>
        </w:rPr>
      </w:pPr>
      <w:r>
        <w:rPr>
          <w:rFonts w:ascii="宋体" w:hAnsi="宋体" w:cs="宋体"/>
          <w:b/>
          <w:bCs/>
          <w:color w:val="auto"/>
          <w:sz w:val="24"/>
          <w:szCs w:val="24"/>
          <w:highlight w:val="none"/>
        </w:rPr>
        <w:br w:type="page"/>
      </w:r>
    </w:p>
    <w:p>
      <w:pPr>
        <w:snapToGrid w:val="0"/>
        <w:spacing w:line="360" w:lineRule="auto"/>
        <w:rPr>
          <w:rFonts w:hint="eastAsia" w:ascii="宋体" w:hAnsi="宋体" w:eastAsia="宋体" w:cs="宋体"/>
          <w:b/>
          <w:bCs/>
          <w:color w:val="auto"/>
          <w:sz w:val="24"/>
          <w:szCs w:val="24"/>
          <w:highlight w:val="none"/>
          <w:lang w:eastAsia="zh-CN"/>
        </w:rPr>
      </w:pPr>
      <w:r>
        <w:rPr>
          <w:rFonts w:hint="eastAsia" w:ascii="宋体" w:hAnsi="宋体" w:cs="宋体"/>
          <w:color w:val="auto"/>
          <w:szCs w:val="21"/>
          <w:highlight w:val="none"/>
        </w:rPr>
        <w:t>附表五</w:t>
      </w:r>
    </w:p>
    <w:p>
      <w:pP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经济标评分表</w:t>
      </w:r>
    </w:p>
    <w:p>
      <w:pPr>
        <w:rPr>
          <w:color w:val="auto"/>
          <w:szCs w:val="21"/>
          <w:highlight w:val="none"/>
        </w:rPr>
      </w:pPr>
      <w:r>
        <w:rPr>
          <w:rFonts w:hint="eastAsia"/>
          <w:color w:val="auto"/>
          <w:szCs w:val="21"/>
          <w:highlight w:val="none"/>
        </w:rPr>
        <w:t>工程名称：</w:t>
      </w:r>
    </w:p>
    <w:tbl>
      <w:tblPr>
        <w:tblStyle w:val="30"/>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031"/>
        <w:gridCol w:w="1031"/>
        <w:gridCol w:w="1031"/>
        <w:gridCol w:w="1031"/>
        <w:gridCol w:w="1031"/>
        <w:gridCol w:w="1031"/>
        <w:gridCol w:w="1031"/>
        <w:gridCol w:w="1031"/>
        <w:gridCol w:w="1031"/>
        <w:gridCol w:w="1031"/>
        <w:gridCol w:w="1031"/>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投标人名称</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w:t>
            </w:r>
            <w:r>
              <w:rPr>
                <w:rFonts w:ascii="宋体" w:hAnsi="宋体"/>
                <w:color w:val="auto"/>
                <w:szCs w:val="21"/>
                <w:highlight w:val="none"/>
              </w:rPr>
              <w:t>PT</w:t>
            </w:r>
            <w:r>
              <w:rPr>
                <w:rFonts w:hint="eastAsia" w:ascii="宋体" w:hAnsi="宋体"/>
                <w:color w:val="auto"/>
                <w:szCs w:val="21"/>
                <w:highlight w:val="none"/>
              </w:rPr>
              <w:t>（元）</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评标参考价PC（元）</w:t>
            </w:r>
          </w:p>
        </w:tc>
        <w:tc>
          <w:tcPr>
            <w:tcW w:w="12373"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偏差（（</w:t>
            </w:r>
            <w:r>
              <w:rPr>
                <w:rFonts w:ascii="宋体" w:hAnsi="宋体"/>
                <w:color w:val="auto"/>
                <w:szCs w:val="21"/>
                <w:highlight w:val="none"/>
              </w:rPr>
              <w:t>PT-PC</w:t>
            </w:r>
            <w:r>
              <w:rPr>
                <w:rFonts w:hint="eastAsia" w:ascii="宋体" w:hAnsi="宋体"/>
                <w:color w:val="auto"/>
                <w:szCs w:val="21"/>
                <w:highlight w:val="none"/>
              </w:rPr>
              <w:t>）</w:t>
            </w:r>
            <w:r>
              <w:rPr>
                <w:rFonts w:ascii="宋体" w:hAnsi="宋体"/>
                <w:color w:val="auto"/>
                <w:szCs w:val="21"/>
                <w:highlight w:val="none"/>
              </w:rPr>
              <w:t>/PC</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减分（</w:t>
            </w:r>
            <w:r>
              <w:rPr>
                <w:rFonts w:ascii="宋体" w:hAnsi="宋体"/>
                <w:color w:val="auto"/>
                <w:szCs w:val="21"/>
                <w:highlight w:val="none"/>
              </w:rPr>
              <w:t>A</w:t>
            </w:r>
            <w:r>
              <w:rPr>
                <w:rFonts w:hint="eastAsia" w:ascii="宋体" w:hAnsi="宋体"/>
                <w:color w:val="auto"/>
                <w:szCs w:val="21"/>
                <w:highlight w:val="none"/>
              </w:rPr>
              <w:t>）</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w:t>
            </w:r>
            <w:r>
              <w:rPr>
                <w:rFonts w:ascii="宋体" w:hAnsi="宋体"/>
                <w:color w:val="auto"/>
                <w:szCs w:val="21"/>
                <w:highlight w:val="none"/>
              </w:rPr>
              <w:t>I=100-A)</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bl>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eastAsia="宋体"/>
          <w:color w:val="auto"/>
          <w:szCs w:val="21"/>
          <w:highlight w:val="none"/>
          <w:lang w:val="en-US" w:eastAsia="zh-CN"/>
        </w:rPr>
      </w:pPr>
      <w:r>
        <w:rPr>
          <w:rFonts w:hint="eastAsia"/>
          <w:color w:val="auto"/>
          <w:szCs w:val="21"/>
          <w:highlight w:val="none"/>
        </w:rPr>
        <w:t>评委签名：</w:t>
      </w:r>
      <w:r>
        <w:rPr>
          <w:rFonts w:hint="eastAsia"/>
          <w:color w:val="auto"/>
          <w:szCs w:val="21"/>
          <w:highlight w:val="none"/>
          <w:lang w:val="en-US" w:eastAsia="zh-CN"/>
        </w:rPr>
        <w:t xml:space="preserve">                                  日期：</w:t>
      </w:r>
    </w:p>
    <w:p>
      <w:pPr>
        <w:snapToGrid w:val="0"/>
        <w:spacing w:line="360" w:lineRule="auto"/>
        <w:rPr>
          <w:rFonts w:ascii="宋体" w:hAnsi="宋体" w:cs="宋体"/>
          <w:color w:val="auto"/>
          <w:szCs w:val="21"/>
          <w:highlight w:val="none"/>
        </w:rPr>
      </w:pPr>
    </w:p>
    <w:p>
      <w:pPr>
        <w:snapToGrid w:val="0"/>
        <w:spacing w:line="360" w:lineRule="auto"/>
        <w:jc w:val="left"/>
        <w:rPr>
          <w:rFonts w:ascii="宋体" w:hAnsi="宋体" w:cs="宋体"/>
          <w:b/>
          <w:bCs/>
          <w:color w:val="auto"/>
          <w:sz w:val="24"/>
          <w:szCs w:val="24"/>
          <w:highlight w:val="none"/>
        </w:rPr>
        <w:sectPr>
          <w:pgSz w:w="16840" w:h="11907" w:orient="landscape"/>
          <w:pgMar w:top="1418" w:right="1134" w:bottom="1418" w:left="1134" w:header="851" w:footer="992" w:gutter="0"/>
          <w:cols w:space="720" w:num="1"/>
          <w:docGrid w:type="lines" w:linePitch="312" w:charSpace="0"/>
        </w:sectPr>
      </w:pPr>
    </w:p>
    <w:p>
      <w:pPr>
        <w:rPr>
          <w:b/>
          <w:color w:val="auto"/>
          <w:szCs w:val="21"/>
          <w:highlight w:val="none"/>
        </w:rPr>
      </w:pPr>
      <w:r>
        <w:rPr>
          <w:rFonts w:hint="eastAsia"/>
          <w:color w:val="auto"/>
          <w:szCs w:val="21"/>
          <w:highlight w:val="none"/>
        </w:rPr>
        <w:t>附表六</w:t>
      </w:r>
    </w:p>
    <w:p>
      <w:pPr>
        <w:jc w:val="center"/>
        <w:rPr>
          <w:b/>
          <w:color w:val="auto"/>
          <w:sz w:val="36"/>
          <w:szCs w:val="36"/>
          <w:highlight w:val="none"/>
        </w:rPr>
      </w:pPr>
      <w:r>
        <w:rPr>
          <w:rFonts w:hint="eastAsia"/>
          <w:b/>
          <w:color w:val="auto"/>
          <w:sz w:val="36"/>
          <w:szCs w:val="36"/>
          <w:highlight w:val="none"/>
        </w:rPr>
        <w:t>算术复核表</w:t>
      </w:r>
    </w:p>
    <w:p>
      <w:pPr>
        <w:rPr>
          <w:rFonts w:ascii="宋体" w:hAnsi="宋体"/>
          <w:color w:val="auto"/>
          <w:kern w:val="0"/>
          <w:szCs w:val="21"/>
          <w:highlight w:val="none"/>
        </w:rPr>
      </w:pPr>
      <w:r>
        <w:rPr>
          <w:rFonts w:hint="eastAsia"/>
          <w:color w:val="auto"/>
          <w:kern w:val="0"/>
          <w:szCs w:val="21"/>
          <w:highlight w:val="none"/>
        </w:rPr>
        <w:t>工程名称：</w:t>
      </w:r>
      <w:r>
        <w:rPr>
          <w:color w:val="auto"/>
          <w:kern w:val="0"/>
          <w:szCs w:val="21"/>
          <w:highlight w:val="non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投标人：</w:t>
      </w:r>
      <w:r>
        <w:rPr>
          <w:rFonts w:ascii="宋体" w:hAnsi="宋体"/>
          <w:color w:val="auto"/>
          <w:kern w:val="0"/>
          <w:szCs w:val="21"/>
          <w:highlight w:val="none"/>
        </w:rPr>
        <w:t xml:space="preserve">                                                  </w:t>
      </w:r>
      <w:r>
        <w:rPr>
          <w:rFonts w:hint="eastAsia" w:ascii="宋体" w:hAnsi="宋体"/>
          <w:color w:val="auto"/>
          <w:kern w:val="0"/>
          <w:szCs w:val="21"/>
          <w:highlight w:val="none"/>
        </w:rPr>
        <w:t>单位：元</w:t>
      </w:r>
    </w:p>
    <w:tbl>
      <w:tblPr>
        <w:tblStyle w:val="30"/>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修正前投标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修正后投标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B</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修正率</w:t>
            </w:r>
          </w:p>
          <w:p>
            <w:pPr>
              <w:rPr>
                <w:rFonts w:ascii="宋体" w:hAnsi="宋体"/>
                <w:color w:val="auto"/>
                <w:kern w:val="0"/>
                <w:szCs w:val="21"/>
                <w:highlight w:val="none"/>
              </w:rPr>
            </w:pPr>
            <w:r>
              <w:rPr>
                <w:rFonts w:ascii="宋体" w:hAnsi="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当</w:t>
            </w:r>
            <w:r>
              <w:rPr>
                <w:rFonts w:ascii="宋体" w:hAnsi="宋体"/>
                <w:color w:val="auto"/>
                <w:kern w:val="0"/>
                <w:szCs w:val="21"/>
                <w:highlight w:val="none"/>
              </w:rPr>
              <w:t>B&gt;A</w:t>
            </w:r>
            <w:r>
              <w:rPr>
                <w:rFonts w:hint="eastAsia" w:ascii="宋体" w:hAnsi="宋体"/>
                <w:color w:val="auto"/>
                <w:kern w:val="0"/>
                <w:szCs w:val="21"/>
                <w:highlight w:val="none"/>
              </w:rPr>
              <w:t>时，修正后报价与原报价的差额；当</w:t>
            </w:r>
            <w:r>
              <w:rPr>
                <w:rFonts w:ascii="宋体" w:hAnsi="宋体"/>
                <w:color w:val="auto"/>
                <w:kern w:val="0"/>
                <w:szCs w:val="21"/>
                <w:highlight w:val="none"/>
              </w:rPr>
              <w:t>B</w:t>
            </w:r>
            <w:r>
              <w:rPr>
                <w:rFonts w:hint="eastAsia" w:ascii="宋体" w:hAnsi="宋体"/>
                <w:color w:val="auto"/>
                <w:kern w:val="0"/>
                <w:szCs w:val="21"/>
                <w:highlight w:val="none"/>
              </w:rPr>
              <w:t>≤</w:t>
            </w:r>
            <w:r>
              <w:rPr>
                <w:rFonts w:ascii="宋体" w:hAnsi="宋体"/>
                <w:color w:val="auto"/>
                <w:kern w:val="0"/>
                <w:szCs w:val="21"/>
                <w:highlight w:val="none"/>
              </w:rPr>
              <w:t>A</w:t>
            </w:r>
            <w:r>
              <w:rPr>
                <w:rFonts w:hint="eastAsia" w:ascii="宋体" w:hAnsi="宋体"/>
                <w:color w:val="auto"/>
                <w:kern w:val="0"/>
                <w:szCs w:val="21"/>
                <w:highlight w:val="none"/>
              </w:rPr>
              <w:t>时，</w:t>
            </w:r>
            <w:r>
              <w:rPr>
                <w:rFonts w:ascii="宋体" w:hAnsi="宋体"/>
                <w:color w:val="auto"/>
                <w:kern w:val="0"/>
                <w:szCs w:val="21"/>
                <w:highlight w:val="none"/>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1]</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2]</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n]</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A=A</w:t>
            </w:r>
            <w:r>
              <w:rPr>
                <w:rFonts w:ascii="宋体" w:hAnsi="宋体"/>
                <w:color w:val="auto"/>
                <w:kern w:val="0"/>
                <w:szCs w:val="21"/>
                <w:highlight w:val="none"/>
                <w:vertAlign w:val="subscript"/>
              </w:rPr>
              <w:t>1</w:t>
            </w:r>
            <w:r>
              <w:rPr>
                <w:rFonts w:ascii="宋体" w:hAnsi="宋体"/>
                <w:color w:val="auto"/>
                <w:kern w:val="0"/>
                <w:szCs w:val="21"/>
                <w:highlight w:val="none"/>
              </w:rPr>
              <w:t>+A</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An</w:t>
            </w:r>
            <w:r>
              <w:rPr>
                <w:rFonts w:hint="eastAsia" w:ascii="宋体" w:hAnsi="宋体"/>
                <w:color w:val="auto"/>
                <w:kern w:val="0"/>
                <w:szCs w:val="21"/>
                <w:highlight w:val="none"/>
              </w:rPr>
              <w:t>；∑</w:t>
            </w:r>
            <w:r>
              <w:rPr>
                <w:rFonts w:ascii="宋体" w:hAnsi="宋体"/>
                <w:color w:val="auto"/>
                <w:kern w:val="0"/>
                <w:szCs w:val="21"/>
                <w:highlight w:val="none"/>
              </w:rPr>
              <w:t>B=B</w:t>
            </w:r>
            <w:r>
              <w:rPr>
                <w:rFonts w:ascii="宋体" w:hAnsi="宋体"/>
                <w:color w:val="auto"/>
                <w:kern w:val="0"/>
                <w:szCs w:val="21"/>
                <w:highlight w:val="none"/>
                <w:vertAlign w:val="subscript"/>
              </w:rPr>
              <w:t>1</w:t>
            </w:r>
            <w:r>
              <w:rPr>
                <w:rFonts w:ascii="宋体" w:hAnsi="宋体"/>
                <w:color w:val="auto"/>
                <w:kern w:val="0"/>
                <w:szCs w:val="21"/>
                <w:highlight w:val="none"/>
              </w:rPr>
              <w:t>+B</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Bn</w:t>
            </w:r>
          </w:p>
        </w:tc>
      </w:tr>
    </w:tbl>
    <w:p>
      <w:pPr>
        <w:rPr>
          <w:rFonts w:cs="宋体"/>
          <w:color w:val="auto"/>
          <w:kern w:val="0"/>
          <w:szCs w:val="21"/>
          <w:highlight w:val="none"/>
        </w:rPr>
      </w:pPr>
      <w:r>
        <w:rPr>
          <w:rFonts w:hint="eastAsia" w:cs="宋体"/>
          <w:b/>
          <w:bCs/>
          <w:color w:val="auto"/>
          <w:kern w:val="0"/>
          <w:szCs w:val="21"/>
          <w:highlight w:val="none"/>
        </w:rPr>
        <w:t>修正原则：</w:t>
      </w:r>
      <w:r>
        <w:rPr>
          <w:rFonts w:hint="eastAsia"/>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cs="宋体"/>
          <w:color w:val="auto"/>
          <w:kern w:val="0"/>
          <w:szCs w:val="21"/>
          <w:highlight w:val="none"/>
        </w:rPr>
        <w:tab/>
      </w:r>
    </w:p>
    <w:p>
      <w:pPr>
        <w:snapToGrid w:val="0"/>
        <w:spacing w:line="360" w:lineRule="auto"/>
        <w:rPr>
          <w:rFonts w:hint="eastAsia"/>
          <w:color w:val="auto"/>
          <w:kern w:val="0"/>
          <w:szCs w:val="21"/>
          <w:highlight w:val="none"/>
        </w:rPr>
      </w:pPr>
    </w:p>
    <w:p>
      <w:pPr>
        <w:snapToGrid w:val="0"/>
        <w:spacing w:line="360" w:lineRule="auto"/>
        <w:rPr>
          <w:rFonts w:ascii="宋体" w:hAnsi="宋体" w:cs="宋体"/>
          <w:color w:val="auto"/>
          <w:kern w:val="0"/>
          <w:sz w:val="24"/>
          <w:szCs w:val="24"/>
          <w:highlight w:val="none"/>
        </w:rPr>
      </w:pPr>
      <w:r>
        <w:rPr>
          <w:rFonts w:hint="eastAsia"/>
          <w:color w:val="auto"/>
          <w:kern w:val="0"/>
          <w:szCs w:val="21"/>
          <w:highlight w:val="none"/>
        </w:rPr>
        <w:t>评委签名：</w:t>
      </w:r>
      <w:r>
        <w:rPr>
          <w:color w:val="auto"/>
          <w:kern w:val="0"/>
          <w:szCs w:val="21"/>
          <w:highlight w:val="none"/>
        </w:rPr>
        <w:tab/>
      </w:r>
      <w:r>
        <w:rPr>
          <w:color w:val="auto"/>
          <w:kern w:val="0"/>
          <w:szCs w:val="21"/>
          <w:highlight w:val="none"/>
        </w:rPr>
        <w:tab/>
      </w:r>
      <w:r>
        <w:rPr>
          <w:color w:val="auto"/>
          <w:kern w:val="0"/>
          <w:szCs w:val="21"/>
          <w:highlight w:val="none"/>
        </w:rPr>
        <w:tab/>
      </w:r>
      <w:r>
        <w:rPr>
          <w:rFonts w:hint="eastAsia"/>
          <w:color w:val="auto"/>
          <w:kern w:val="0"/>
          <w:szCs w:val="21"/>
          <w:highlight w:val="none"/>
          <w:lang w:val="en-US" w:eastAsia="zh-CN"/>
        </w:rPr>
        <w:t xml:space="preserve">                                                                            </w:t>
      </w:r>
      <w:r>
        <w:rPr>
          <w:color w:val="auto"/>
          <w:kern w:val="0"/>
          <w:szCs w:val="21"/>
          <w:highlight w:val="none"/>
        </w:rPr>
        <w:tab/>
      </w:r>
      <w:r>
        <w:rPr>
          <w:color w:val="auto"/>
          <w:kern w:val="0"/>
          <w:szCs w:val="21"/>
          <w:highlight w:val="none"/>
        </w:rPr>
        <w:tab/>
      </w:r>
      <w:r>
        <w:rPr>
          <w:rFonts w:hint="eastAsia"/>
          <w:color w:val="auto"/>
          <w:kern w:val="0"/>
          <w:szCs w:val="21"/>
          <w:highlight w:val="none"/>
        </w:rPr>
        <w:t>日期：</w:t>
      </w:r>
    </w:p>
    <w:p>
      <w:pPr>
        <w:snapToGrid w:val="0"/>
        <w:spacing w:line="360" w:lineRule="auto"/>
        <w:jc w:val="left"/>
        <w:rPr>
          <w:rFonts w:ascii="宋体" w:hAnsi="宋体" w:cs="宋体"/>
          <w:b/>
          <w:bCs/>
          <w:color w:val="auto"/>
          <w:sz w:val="24"/>
          <w:szCs w:val="24"/>
          <w:highlight w:val="none"/>
        </w:rPr>
        <w:sectPr>
          <w:pgSz w:w="16840" w:h="11907" w:orient="landscape"/>
          <w:pgMar w:top="1418" w:right="1134" w:bottom="1418" w:left="1134" w:header="851" w:footer="992" w:gutter="0"/>
          <w:cols w:space="720" w:num="1"/>
          <w:docGrid w:type="lines" w:linePitch="312" w:charSpace="0"/>
        </w:sectPr>
      </w:pPr>
    </w:p>
    <w:p>
      <w:pPr>
        <w:jc w:val="center"/>
        <w:rPr>
          <w:b/>
          <w:color w:val="auto"/>
          <w:sz w:val="36"/>
          <w:szCs w:val="36"/>
          <w:highlight w:val="none"/>
        </w:rPr>
      </w:pPr>
      <w:r>
        <w:rPr>
          <w:rFonts w:hint="eastAsia"/>
          <w:b/>
          <w:color w:val="auto"/>
          <w:sz w:val="36"/>
          <w:szCs w:val="36"/>
          <w:highlight w:val="none"/>
        </w:rPr>
        <w:t>算术复核表</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Cs w:val="21"/>
          <w:highlight w:val="none"/>
        </w:rPr>
      </w:pPr>
      <w:r>
        <w:rPr>
          <w:rFonts w:hint="eastAsia"/>
          <w:color w:val="auto"/>
          <w:szCs w:val="21"/>
          <w:highlight w:val="none"/>
        </w:rPr>
        <w:t>工程名称：</w:t>
      </w:r>
    </w:p>
    <w:tbl>
      <w:tblPr>
        <w:tblStyle w:val="30"/>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23" w:type="dxa"/>
            <w:tcBorders>
              <w:top w:val="single" w:color="auto" w:sz="4" w:space="0"/>
              <w:left w:val="single" w:color="auto" w:sz="4" w:space="0"/>
              <w:bottom w:val="single" w:color="auto" w:sz="4" w:space="0"/>
              <w:right w:val="single" w:color="auto" w:sz="4" w:space="0"/>
            </w:tcBorders>
            <w:vAlign w:val="center"/>
          </w:tcPr>
          <w:p>
            <w:pPr>
              <w:jc w:val="center"/>
              <w:rPr>
                <w:b/>
                <w:color w:val="auto"/>
                <w:sz w:val="21"/>
                <w:szCs w:val="21"/>
                <w:highlight w:val="none"/>
              </w:rPr>
            </w:pPr>
            <w:r>
              <w:rPr>
                <w:rFonts w:hint="eastAsia"/>
                <w:b/>
                <w:color w:val="auto"/>
                <w:sz w:val="21"/>
                <w:szCs w:val="21"/>
                <w:highlight w:val="none"/>
              </w:rPr>
              <w:t>编号</w:t>
            </w:r>
          </w:p>
        </w:tc>
        <w:tc>
          <w:tcPr>
            <w:tcW w:w="4297" w:type="dxa"/>
            <w:tcBorders>
              <w:top w:val="single" w:color="auto" w:sz="4" w:space="0"/>
              <w:left w:val="single" w:color="auto" w:sz="4" w:space="0"/>
              <w:bottom w:val="single" w:color="auto" w:sz="4" w:space="0"/>
              <w:right w:val="single" w:color="auto" w:sz="4" w:space="0"/>
            </w:tcBorders>
            <w:vAlign w:val="center"/>
          </w:tcPr>
          <w:p>
            <w:pPr>
              <w:jc w:val="center"/>
              <w:rPr>
                <w:b/>
                <w:color w:val="auto"/>
                <w:sz w:val="21"/>
                <w:szCs w:val="21"/>
                <w:highlight w:val="none"/>
              </w:rPr>
            </w:pPr>
            <w:r>
              <w:rPr>
                <w:rFonts w:hint="eastAsia"/>
                <w:b/>
                <w:color w:val="auto"/>
                <w:sz w:val="21"/>
                <w:szCs w:val="21"/>
                <w:highlight w:val="none"/>
              </w:rPr>
              <w:t>投标人名称</w:t>
            </w: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b/>
                <w:color w:val="auto"/>
                <w:sz w:val="21"/>
                <w:szCs w:val="21"/>
                <w:highlight w:val="none"/>
              </w:rPr>
            </w:pPr>
            <w:r>
              <w:rPr>
                <w:rFonts w:hint="eastAsia"/>
                <w:b/>
                <w:color w:val="auto"/>
                <w:sz w:val="21"/>
                <w:szCs w:val="21"/>
                <w:highlight w:val="none"/>
              </w:rPr>
              <w:t>原投标报价（</w:t>
            </w:r>
            <w:r>
              <w:rPr>
                <w:b/>
                <w:color w:val="auto"/>
                <w:sz w:val="21"/>
                <w:szCs w:val="21"/>
                <w:highlight w:val="none"/>
              </w:rPr>
              <w:t>A</w:t>
            </w:r>
            <w:r>
              <w:rPr>
                <w:rFonts w:hint="eastAsia"/>
                <w:b/>
                <w:color w:val="auto"/>
                <w:sz w:val="21"/>
                <w:szCs w:val="21"/>
                <w:highlight w:val="none"/>
              </w:rPr>
              <w:t>）</w:t>
            </w:r>
          </w:p>
        </w:tc>
        <w:tc>
          <w:tcPr>
            <w:tcW w:w="3101" w:type="dxa"/>
            <w:tcBorders>
              <w:top w:val="single" w:color="auto" w:sz="4" w:space="0"/>
              <w:left w:val="single" w:color="auto" w:sz="4" w:space="0"/>
              <w:bottom w:val="single" w:color="auto" w:sz="4" w:space="0"/>
              <w:right w:val="single" w:color="auto" w:sz="4" w:space="0"/>
            </w:tcBorders>
            <w:vAlign w:val="center"/>
          </w:tcPr>
          <w:p>
            <w:pPr>
              <w:jc w:val="center"/>
              <w:rPr>
                <w:b/>
                <w:color w:val="auto"/>
                <w:sz w:val="21"/>
                <w:szCs w:val="21"/>
                <w:highlight w:val="none"/>
              </w:rPr>
            </w:pPr>
            <w:r>
              <w:rPr>
                <w:rFonts w:hint="eastAsia"/>
                <w:b/>
                <w:color w:val="auto"/>
                <w:sz w:val="21"/>
                <w:szCs w:val="21"/>
                <w:highlight w:val="none"/>
              </w:rPr>
              <w:t>算数复核后投标报价（</w:t>
            </w:r>
            <w:r>
              <w:rPr>
                <w:b/>
                <w:color w:val="auto"/>
                <w:sz w:val="21"/>
                <w:szCs w:val="21"/>
                <w:highlight w:val="none"/>
              </w:rPr>
              <w:t>B</w:t>
            </w:r>
            <w:r>
              <w:rPr>
                <w:rFonts w:hint="eastAsia"/>
                <w:b/>
                <w:color w:val="auto"/>
                <w:sz w:val="21"/>
                <w:szCs w:val="21"/>
                <w:highlight w:val="none"/>
              </w:rPr>
              <w:t>）</w:t>
            </w: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b/>
                <w:color w:val="auto"/>
                <w:sz w:val="21"/>
                <w:szCs w:val="21"/>
                <w:highlight w:val="none"/>
              </w:rPr>
            </w:pPr>
            <w:r>
              <w:rPr>
                <w:rFonts w:hint="eastAsia"/>
                <w:b/>
                <w:color w:val="auto"/>
                <w:sz w:val="21"/>
                <w:szCs w:val="21"/>
                <w:highlight w:val="none"/>
              </w:rPr>
              <w:t>误差率（</w:t>
            </w:r>
            <w:r>
              <w:rPr>
                <w:b/>
                <w:color w:val="auto"/>
                <w:sz w:val="21"/>
                <w:szCs w:val="21"/>
                <w:highlight w:val="none"/>
              </w:rPr>
              <w:t>r=|A-B|/A*100%</w:t>
            </w:r>
            <w:r>
              <w:rPr>
                <w:rFonts w:hint="eastAsia"/>
                <w:b/>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23" w:type="dxa"/>
            <w:tcBorders>
              <w:top w:val="single" w:color="auto" w:sz="4" w:space="0"/>
              <w:left w:val="single" w:color="auto" w:sz="4" w:space="0"/>
              <w:bottom w:val="single" w:color="auto" w:sz="4" w:space="0"/>
              <w:right w:val="single" w:color="auto" w:sz="4" w:space="0"/>
            </w:tcBorders>
            <w:vAlign w:val="top"/>
          </w:tcPr>
          <w:p>
            <w:pPr>
              <w:rPr>
                <w:color w:val="auto"/>
                <w:sz w:val="21"/>
                <w:szCs w:val="21"/>
                <w:highlight w:val="none"/>
              </w:rPr>
            </w:pPr>
          </w:p>
        </w:tc>
        <w:tc>
          <w:tcPr>
            <w:tcW w:w="4297" w:type="dxa"/>
            <w:tcBorders>
              <w:top w:val="single" w:color="auto" w:sz="4" w:space="0"/>
              <w:left w:val="single" w:color="auto" w:sz="4" w:space="0"/>
              <w:bottom w:val="single" w:color="auto" w:sz="4" w:space="0"/>
              <w:right w:val="single" w:color="auto" w:sz="4" w:space="0"/>
            </w:tcBorders>
            <w:vAlign w:val="top"/>
          </w:tcPr>
          <w:p>
            <w:pPr>
              <w:rPr>
                <w:color w:val="auto"/>
                <w:sz w:val="21"/>
                <w:szCs w:val="21"/>
                <w:highlight w:val="none"/>
              </w:rPr>
            </w:pPr>
          </w:p>
        </w:tc>
        <w:tc>
          <w:tcPr>
            <w:tcW w:w="2330" w:type="dxa"/>
            <w:tcBorders>
              <w:top w:val="single" w:color="auto" w:sz="4" w:space="0"/>
              <w:left w:val="single" w:color="auto" w:sz="4" w:space="0"/>
              <w:bottom w:val="single" w:color="auto" w:sz="4" w:space="0"/>
              <w:right w:val="single" w:color="auto" w:sz="4" w:space="0"/>
            </w:tcBorders>
            <w:vAlign w:val="top"/>
          </w:tcPr>
          <w:p>
            <w:pPr>
              <w:rPr>
                <w:color w:val="auto"/>
                <w:sz w:val="21"/>
                <w:szCs w:val="21"/>
                <w:highlight w:val="none"/>
              </w:rPr>
            </w:pPr>
          </w:p>
        </w:tc>
        <w:tc>
          <w:tcPr>
            <w:tcW w:w="3101" w:type="dxa"/>
            <w:tcBorders>
              <w:top w:val="single" w:color="auto" w:sz="4" w:space="0"/>
              <w:left w:val="single" w:color="auto" w:sz="4" w:space="0"/>
              <w:bottom w:val="single" w:color="auto" w:sz="4" w:space="0"/>
              <w:right w:val="single" w:color="auto" w:sz="4" w:space="0"/>
            </w:tcBorders>
            <w:vAlign w:val="top"/>
          </w:tcPr>
          <w:p>
            <w:pPr>
              <w:rPr>
                <w:color w:val="auto"/>
                <w:sz w:val="21"/>
                <w:szCs w:val="21"/>
                <w:highlight w:val="none"/>
              </w:rPr>
            </w:pPr>
          </w:p>
        </w:tc>
        <w:tc>
          <w:tcPr>
            <w:tcW w:w="3423" w:type="dxa"/>
            <w:tcBorders>
              <w:top w:val="single" w:color="auto" w:sz="4" w:space="0"/>
              <w:left w:val="single" w:color="auto" w:sz="4" w:space="0"/>
              <w:bottom w:val="single" w:color="auto" w:sz="4" w:space="0"/>
              <w:right w:val="single" w:color="auto" w:sz="4" w:space="0"/>
            </w:tcBorders>
            <w:vAlign w:val="top"/>
          </w:tcPr>
          <w:p>
            <w:pP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23" w:type="dxa"/>
            <w:tcBorders>
              <w:top w:val="single" w:color="auto" w:sz="4" w:space="0"/>
              <w:left w:val="single" w:color="auto" w:sz="4" w:space="0"/>
              <w:bottom w:val="single" w:color="auto" w:sz="4" w:space="0"/>
              <w:right w:val="single" w:color="auto" w:sz="4" w:space="0"/>
            </w:tcBorders>
            <w:vAlign w:val="top"/>
          </w:tcPr>
          <w:p>
            <w:pPr>
              <w:rPr>
                <w:color w:val="auto"/>
                <w:sz w:val="21"/>
                <w:szCs w:val="21"/>
                <w:highlight w:val="none"/>
              </w:rPr>
            </w:pPr>
          </w:p>
        </w:tc>
        <w:tc>
          <w:tcPr>
            <w:tcW w:w="4297" w:type="dxa"/>
            <w:tcBorders>
              <w:top w:val="single" w:color="auto" w:sz="4" w:space="0"/>
              <w:left w:val="single" w:color="auto" w:sz="4" w:space="0"/>
              <w:bottom w:val="single" w:color="auto" w:sz="4" w:space="0"/>
              <w:right w:val="single" w:color="auto" w:sz="4" w:space="0"/>
            </w:tcBorders>
            <w:vAlign w:val="top"/>
          </w:tcPr>
          <w:p>
            <w:pPr>
              <w:rPr>
                <w:color w:val="auto"/>
                <w:sz w:val="21"/>
                <w:szCs w:val="21"/>
                <w:highlight w:val="none"/>
              </w:rPr>
            </w:pPr>
          </w:p>
        </w:tc>
        <w:tc>
          <w:tcPr>
            <w:tcW w:w="2330" w:type="dxa"/>
            <w:tcBorders>
              <w:top w:val="single" w:color="auto" w:sz="4" w:space="0"/>
              <w:left w:val="single" w:color="auto" w:sz="4" w:space="0"/>
              <w:bottom w:val="single" w:color="auto" w:sz="4" w:space="0"/>
              <w:right w:val="single" w:color="auto" w:sz="4" w:space="0"/>
            </w:tcBorders>
            <w:vAlign w:val="top"/>
          </w:tcPr>
          <w:p>
            <w:pPr>
              <w:rPr>
                <w:color w:val="auto"/>
                <w:sz w:val="21"/>
                <w:szCs w:val="21"/>
                <w:highlight w:val="none"/>
              </w:rPr>
            </w:pPr>
          </w:p>
        </w:tc>
        <w:tc>
          <w:tcPr>
            <w:tcW w:w="3101" w:type="dxa"/>
            <w:tcBorders>
              <w:top w:val="single" w:color="auto" w:sz="4" w:space="0"/>
              <w:left w:val="single" w:color="auto" w:sz="4" w:space="0"/>
              <w:bottom w:val="single" w:color="auto" w:sz="4" w:space="0"/>
              <w:right w:val="single" w:color="auto" w:sz="4" w:space="0"/>
            </w:tcBorders>
            <w:vAlign w:val="top"/>
          </w:tcPr>
          <w:p>
            <w:pPr>
              <w:rPr>
                <w:color w:val="auto"/>
                <w:sz w:val="21"/>
                <w:szCs w:val="21"/>
                <w:highlight w:val="none"/>
              </w:rPr>
            </w:pPr>
          </w:p>
        </w:tc>
        <w:tc>
          <w:tcPr>
            <w:tcW w:w="3423" w:type="dxa"/>
            <w:tcBorders>
              <w:top w:val="single" w:color="auto" w:sz="4" w:space="0"/>
              <w:left w:val="single" w:color="auto" w:sz="4" w:space="0"/>
              <w:bottom w:val="single" w:color="auto" w:sz="4" w:space="0"/>
              <w:right w:val="single" w:color="auto" w:sz="4" w:space="0"/>
            </w:tcBorders>
            <w:vAlign w:val="top"/>
          </w:tcPr>
          <w:p>
            <w:pP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23" w:type="dxa"/>
            <w:tcBorders>
              <w:top w:val="single" w:color="auto" w:sz="4" w:space="0"/>
              <w:left w:val="single" w:color="auto" w:sz="4" w:space="0"/>
              <w:bottom w:val="single" w:color="auto" w:sz="4" w:space="0"/>
              <w:right w:val="single" w:color="auto" w:sz="4" w:space="0"/>
            </w:tcBorders>
            <w:vAlign w:val="top"/>
          </w:tcPr>
          <w:p>
            <w:pPr>
              <w:rPr>
                <w:color w:val="auto"/>
                <w:sz w:val="21"/>
                <w:szCs w:val="21"/>
                <w:highlight w:val="none"/>
              </w:rPr>
            </w:pPr>
          </w:p>
        </w:tc>
        <w:tc>
          <w:tcPr>
            <w:tcW w:w="4297" w:type="dxa"/>
            <w:tcBorders>
              <w:top w:val="single" w:color="auto" w:sz="4" w:space="0"/>
              <w:left w:val="single" w:color="auto" w:sz="4" w:space="0"/>
              <w:bottom w:val="single" w:color="auto" w:sz="4" w:space="0"/>
              <w:right w:val="single" w:color="auto" w:sz="4" w:space="0"/>
            </w:tcBorders>
            <w:vAlign w:val="top"/>
          </w:tcPr>
          <w:p>
            <w:pPr>
              <w:rPr>
                <w:color w:val="auto"/>
                <w:sz w:val="21"/>
                <w:szCs w:val="21"/>
                <w:highlight w:val="none"/>
              </w:rPr>
            </w:pPr>
          </w:p>
        </w:tc>
        <w:tc>
          <w:tcPr>
            <w:tcW w:w="2330" w:type="dxa"/>
            <w:tcBorders>
              <w:top w:val="single" w:color="auto" w:sz="4" w:space="0"/>
              <w:left w:val="single" w:color="auto" w:sz="4" w:space="0"/>
              <w:bottom w:val="single" w:color="auto" w:sz="4" w:space="0"/>
              <w:right w:val="single" w:color="auto" w:sz="4" w:space="0"/>
            </w:tcBorders>
            <w:vAlign w:val="top"/>
          </w:tcPr>
          <w:p>
            <w:pPr>
              <w:rPr>
                <w:color w:val="auto"/>
                <w:sz w:val="21"/>
                <w:szCs w:val="21"/>
                <w:highlight w:val="none"/>
              </w:rPr>
            </w:pPr>
          </w:p>
        </w:tc>
        <w:tc>
          <w:tcPr>
            <w:tcW w:w="3101" w:type="dxa"/>
            <w:tcBorders>
              <w:top w:val="single" w:color="auto" w:sz="4" w:space="0"/>
              <w:left w:val="single" w:color="auto" w:sz="4" w:space="0"/>
              <w:bottom w:val="single" w:color="auto" w:sz="4" w:space="0"/>
              <w:right w:val="single" w:color="auto" w:sz="4" w:space="0"/>
            </w:tcBorders>
            <w:vAlign w:val="top"/>
          </w:tcPr>
          <w:p>
            <w:pPr>
              <w:rPr>
                <w:color w:val="auto"/>
                <w:sz w:val="21"/>
                <w:szCs w:val="21"/>
                <w:highlight w:val="none"/>
              </w:rPr>
            </w:pPr>
          </w:p>
        </w:tc>
        <w:tc>
          <w:tcPr>
            <w:tcW w:w="3423" w:type="dxa"/>
            <w:tcBorders>
              <w:top w:val="single" w:color="auto" w:sz="4" w:space="0"/>
              <w:left w:val="single" w:color="auto" w:sz="4" w:space="0"/>
              <w:bottom w:val="single" w:color="auto" w:sz="4" w:space="0"/>
              <w:right w:val="single" w:color="auto" w:sz="4" w:space="0"/>
            </w:tcBorders>
            <w:vAlign w:val="top"/>
          </w:tcPr>
          <w:p>
            <w:pP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23" w:type="dxa"/>
            <w:tcBorders>
              <w:top w:val="single" w:color="auto" w:sz="4" w:space="0"/>
              <w:left w:val="single" w:color="auto" w:sz="4" w:space="0"/>
              <w:bottom w:val="single" w:color="auto" w:sz="4" w:space="0"/>
              <w:right w:val="single" w:color="auto" w:sz="4" w:space="0"/>
            </w:tcBorders>
            <w:vAlign w:val="top"/>
          </w:tcPr>
          <w:p>
            <w:pPr>
              <w:rPr>
                <w:color w:val="auto"/>
                <w:sz w:val="21"/>
                <w:szCs w:val="21"/>
                <w:highlight w:val="none"/>
              </w:rPr>
            </w:pPr>
          </w:p>
        </w:tc>
        <w:tc>
          <w:tcPr>
            <w:tcW w:w="4297" w:type="dxa"/>
            <w:tcBorders>
              <w:top w:val="single" w:color="auto" w:sz="4" w:space="0"/>
              <w:left w:val="single" w:color="auto" w:sz="4" w:space="0"/>
              <w:bottom w:val="single" w:color="auto" w:sz="4" w:space="0"/>
              <w:right w:val="single" w:color="auto" w:sz="4" w:space="0"/>
            </w:tcBorders>
            <w:vAlign w:val="top"/>
          </w:tcPr>
          <w:p>
            <w:pPr>
              <w:rPr>
                <w:color w:val="auto"/>
                <w:sz w:val="21"/>
                <w:szCs w:val="21"/>
                <w:highlight w:val="none"/>
              </w:rPr>
            </w:pPr>
          </w:p>
        </w:tc>
        <w:tc>
          <w:tcPr>
            <w:tcW w:w="2330" w:type="dxa"/>
            <w:tcBorders>
              <w:top w:val="single" w:color="auto" w:sz="4" w:space="0"/>
              <w:left w:val="single" w:color="auto" w:sz="4" w:space="0"/>
              <w:bottom w:val="single" w:color="auto" w:sz="4" w:space="0"/>
              <w:right w:val="single" w:color="auto" w:sz="4" w:space="0"/>
            </w:tcBorders>
            <w:vAlign w:val="top"/>
          </w:tcPr>
          <w:p>
            <w:pPr>
              <w:rPr>
                <w:color w:val="auto"/>
                <w:sz w:val="21"/>
                <w:szCs w:val="21"/>
                <w:highlight w:val="none"/>
              </w:rPr>
            </w:pPr>
          </w:p>
        </w:tc>
        <w:tc>
          <w:tcPr>
            <w:tcW w:w="3101" w:type="dxa"/>
            <w:tcBorders>
              <w:top w:val="single" w:color="auto" w:sz="4" w:space="0"/>
              <w:left w:val="single" w:color="auto" w:sz="4" w:space="0"/>
              <w:bottom w:val="single" w:color="auto" w:sz="4" w:space="0"/>
              <w:right w:val="single" w:color="auto" w:sz="4" w:space="0"/>
            </w:tcBorders>
            <w:vAlign w:val="top"/>
          </w:tcPr>
          <w:p>
            <w:pPr>
              <w:rPr>
                <w:color w:val="auto"/>
                <w:sz w:val="21"/>
                <w:szCs w:val="21"/>
                <w:highlight w:val="none"/>
              </w:rPr>
            </w:pPr>
          </w:p>
        </w:tc>
        <w:tc>
          <w:tcPr>
            <w:tcW w:w="3423" w:type="dxa"/>
            <w:tcBorders>
              <w:top w:val="single" w:color="auto" w:sz="4" w:space="0"/>
              <w:left w:val="single" w:color="auto" w:sz="4" w:space="0"/>
              <w:bottom w:val="single" w:color="auto" w:sz="4" w:space="0"/>
              <w:right w:val="single" w:color="auto" w:sz="4" w:space="0"/>
            </w:tcBorders>
            <w:vAlign w:val="top"/>
          </w:tcPr>
          <w:p>
            <w:pP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23" w:type="dxa"/>
            <w:tcBorders>
              <w:top w:val="single" w:color="auto" w:sz="4" w:space="0"/>
              <w:left w:val="single" w:color="auto" w:sz="4" w:space="0"/>
              <w:bottom w:val="single" w:color="auto" w:sz="4" w:space="0"/>
              <w:right w:val="single" w:color="auto" w:sz="4" w:space="0"/>
            </w:tcBorders>
            <w:vAlign w:val="top"/>
          </w:tcPr>
          <w:p>
            <w:pPr>
              <w:rPr>
                <w:color w:val="auto"/>
                <w:sz w:val="21"/>
                <w:szCs w:val="21"/>
                <w:highlight w:val="none"/>
              </w:rPr>
            </w:pPr>
          </w:p>
        </w:tc>
        <w:tc>
          <w:tcPr>
            <w:tcW w:w="4297" w:type="dxa"/>
            <w:tcBorders>
              <w:top w:val="single" w:color="auto" w:sz="4" w:space="0"/>
              <w:left w:val="single" w:color="auto" w:sz="4" w:space="0"/>
              <w:bottom w:val="single" w:color="auto" w:sz="4" w:space="0"/>
              <w:right w:val="single" w:color="auto" w:sz="4" w:space="0"/>
            </w:tcBorders>
            <w:vAlign w:val="top"/>
          </w:tcPr>
          <w:p>
            <w:pPr>
              <w:rPr>
                <w:color w:val="auto"/>
                <w:sz w:val="21"/>
                <w:szCs w:val="21"/>
                <w:highlight w:val="none"/>
              </w:rPr>
            </w:pPr>
          </w:p>
        </w:tc>
        <w:tc>
          <w:tcPr>
            <w:tcW w:w="2330" w:type="dxa"/>
            <w:tcBorders>
              <w:top w:val="single" w:color="auto" w:sz="4" w:space="0"/>
              <w:left w:val="single" w:color="auto" w:sz="4" w:space="0"/>
              <w:bottom w:val="single" w:color="auto" w:sz="4" w:space="0"/>
              <w:right w:val="single" w:color="auto" w:sz="4" w:space="0"/>
            </w:tcBorders>
            <w:vAlign w:val="top"/>
          </w:tcPr>
          <w:p>
            <w:pPr>
              <w:rPr>
                <w:color w:val="auto"/>
                <w:sz w:val="21"/>
                <w:szCs w:val="21"/>
                <w:highlight w:val="none"/>
              </w:rPr>
            </w:pPr>
          </w:p>
        </w:tc>
        <w:tc>
          <w:tcPr>
            <w:tcW w:w="3101" w:type="dxa"/>
            <w:tcBorders>
              <w:top w:val="single" w:color="auto" w:sz="4" w:space="0"/>
              <w:left w:val="single" w:color="auto" w:sz="4" w:space="0"/>
              <w:bottom w:val="single" w:color="auto" w:sz="4" w:space="0"/>
              <w:right w:val="single" w:color="auto" w:sz="4" w:space="0"/>
            </w:tcBorders>
            <w:vAlign w:val="top"/>
          </w:tcPr>
          <w:p>
            <w:pPr>
              <w:rPr>
                <w:color w:val="auto"/>
                <w:sz w:val="21"/>
                <w:szCs w:val="21"/>
                <w:highlight w:val="none"/>
              </w:rPr>
            </w:pPr>
          </w:p>
        </w:tc>
        <w:tc>
          <w:tcPr>
            <w:tcW w:w="3423" w:type="dxa"/>
            <w:tcBorders>
              <w:top w:val="single" w:color="auto" w:sz="4" w:space="0"/>
              <w:left w:val="single" w:color="auto" w:sz="4" w:space="0"/>
              <w:bottom w:val="single" w:color="auto" w:sz="4" w:space="0"/>
              <w:right w:val="single" w:color="auto" w:sz="4" w:space="0"/>
            </w:tcBorders>
            <w:vAlign w:val="top"/>
          </w:tcPr>
          <w:p>
            <w:pP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23" w:type="dxa"/>
            <w:tcBorders>
              <w:top w:val="single" w:color="auto" w:sz="4" w:space="0"/>
              <w:left w:val="single" w:color="auto" w:sz="4" w:space="0"/>
              <w:bottom w:val="single" w:color="auto" w:sz="4" w:space="0"/>
              <w:right w:val="single" w:color="auto" w:sz="4" w:space="0"/>
            </w:tcBorders>
            <w:vAlign w:val="top"/>
          </w:tcPr>
          <w:p>
            <w:pPr>
              <w:rPr>
                <w:color w:val="auto"/>
                <w:sz w:val="21"/>
                <w:szCs w:val="21"/>
                <w:highlight w:val="none"/>
              </w:rPr>
            </w:pPr>
          </w:p>
        </w:tc>
        <w:tc>
          <w:tcPr>
            <w:tcW w:w="4297" w:type="dxa"/>
            <w:tcBorders>
              <w:top w:val="single" w:color="auto" w:sz="4" w:space="0"/>
              <w:left w:val="single" w:color="auto" w:sz="4" w:space="0"/>
              <w:bottom w:val="single" w:color="auto" w:sz="4" w:space="0"/>
              <w:right w:val="single" w:color="auto" w:sz="4" w:space="0"/>
            </w:tcBorders>
            <w:vAlign w:val="top"/>
          </w:tcPr>
          <w:p>
            <w:pPr>
              <w:rPr>
                <w:color w:val="auto"/>
                <w:sz w:val="21"/>
                <w:szCs w:val="21"/>
                <w:highlight w:val="none"/>
              </w:rPr>
            </w:pPr>
          </w:p>
        </w:tc>
        <w:tc>
          <w:tcPr>
            <w:tcW w:w="2330" w:type="dxa"/>
            <w:tcBorders>
              <w:top w:val="single" w:color="auto" w:sz="4" w:space="0"/>
              <w:left w:val="single" w:color="auto" w:sz="4" w:space="0"/>
              <w:bottom w:val="single" w:color="auto" w:sz="4" w:space="0"/>
              <w:right w:val="single" w:color="auto" w:sz="4" w:space="0"/>
            </w:tcBorders>
            <w:vAlign w:val="top"/>
          </w:tcPr>
          <w:p>
            <w:pPr>
              <w:rPr>
                <w:color w:val="auto"/>
                <w:sz w:val="21"/>
                <w:szCs w:val="21"/>
                <w:highlight w:val="none"/>
              </w:rPr>
            </w:pPr>
          </w:p>
        </w:tc>
        <w:tc>
          <w:tcPr>
            <w:tcW w:w="3101" w:type="dxa"/>
            <w:tcBorders>
              <w:top w:val="single" w:color="auto" w:sz="4" w:space="0"/>
              <w:left w:val="single" w:color="auto" w:sz="4" w:space="0"/>
              <w:bottom w:val="single" w:color="auto" w:sz="4" w:space="0"/>
              <w:right w:val="single" w:color="auto" w:sz="4" w:space="0"/>
            </w:tcBorders>
            <w:vAlign w:val="top"/>
          </w:tcPr>
          <w:p>
            <w:pPr>
              <w:rPr>
                <w:color w:val="auto"/>
                <w:sz w:val="21"/>
                <w:szCs w:val="21"/>
                <w:highlight w:val="none"/>
              </w:rPr>
            </w:pPr>
          </w:p>
        </w:tc>
        <w:tc>
          <w:tcPr>
            <w:tcW w:w="3423" w:type="dxa"/>
            <w:tcBorders>
              <w:top w:val="single" w:color="auto" w:sz="4" w:space="0"/>
              <w:left w:val="single" w:color="auto" w:sz="4" w:space="0"/>
              <w:bottom w:val="single" w:color="auto" w:sz="4" w:space="0"/>
              <w:right w:val="single" w:color="auto" w:sz="4" w:space="0"/>
            </w:tcBorders>
            <w:vAlign w:val="top"/>
          </w:tcPr>
          <w:p>
            <w:pP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23" w:type="dxa"/>
            <w:tcBorders>
              <w:top w:val="single" w:color="auto" w:sz="4" w:space="0"/>
              <w:left w:val="single" w:color="auto" w:sz="4" w:space="0"/>
              <w:bottom w:val="single" w:color="auto" w:sz="4" w:space="0"/>
              <w:right w:val="single" w:color="auto" w:sz="4" w:space="0"/>
            </w:tcBorders>
            <w:vAlign w:val="top"/>
          </w:tcPr>
          <w:p>
            <w:pPr>
              <w:rPr>
                <w:color w:val="auto"/>
                <w:sz w:val="21"/>
                <w:szCs w:val="21"/>
                <w:highlight w:val="none"/>
              </w:rPr>
            </w:pPr>
          </w:p>
        </w:tc>
        <w:tc>
          <w:tcPr>
            <w:tcW w:w="4297" w:type="dxa"/>
            <w:tcBorders>
              <w:top w:val="single" w:color="auto" w:sz="4" w:space="0"/>
              <w:left w:val="single" w:color="auto" w:sz="4" w:space="0"/>
              <w:bottom w:val="single" w:color="auto" w:sz="4" w:space="0"/>
              <w:right w:val="single" w:color="auto" w:sz="4" w:space="0"/>
            </w:tcBorders>
            <w:vAlign w:val="top"/>
          </w:tcPr>
          <w:p>
            <w:pPr>
              <w:rPr>
                <w:color w:val="auto"/>
                <w:sz w:val="21"/>
                <w:szCs w:val="21"/>
                <w:highlight w:val="none"/>
              </w:rPr>
            </w:pPr>
          </w:p>
        </w:tc>
        <w:tc>
          <w:tcPr>
            <w:tcW w:w="2330" w:type="dxa"/>
            <w:tcBorders>
              <w:top w:val="single" w:color="auto" w:sz="4" w:space="0"/>
              <w:left w:val="single" w:color="auto" w:sz="4" w:space="0"/>
              <w:bottom w:val="single" w:color="auto" w:sz="4" w:space="0"/>
              <w:right w:val="single" w:color="auto" w:sz="4" w:space="0"/>
            </w:tcBorders>
            <w:vAlign w:val="top"/>
          </w:tcPr>
          <w:p>
            <w:pPr>
              <w:rPr>
                <w:color w:val="auto"/>
                <w:sz w:val="21"/>
                <w:szCs w:val="21"/>
                <w:highlight w:val="none"/>
              </w:rPr>
            </w:pPr>
          </w:p>
        </w:tc>
        <w:tc>
          <w:tcPr>
            <w:tcW w:w="3101" w:type="dxa"/>
            <w:tcBorders>
              <w:top w:val="single" w:color="auto" w:sz="4" w:space="0"/>
              <w:left w:val="single" w:color="auto" w:sz="4" w:space="0"/>
              <w:bottom w:val="single" w:color="auto" w:sz="4" w:space="0"/>
              <w:right w:val="single" w:color="auto" w:sz="4" w:space="0"/>
            </w:tcBorders>
            <w:vAlign w:val="top"/>
          </w:tcPr>
          <w:p>
            <w:pPr>
              <w:rPr>
                <w:color w:val="auto"/>
                <w:sz w:val="21"/>
                <w:szCs w:val="21"/>
                <w:highlight w:val="none"/>
              </w:rPr>
            </w:pPr>
          </w:p>
        </w:tc>
        <w:tc>
          <w:tcPr>
            <w:tcW w:w="3423" w:type="dxa"/>
            <w:tcBorders>
              <w:top w:val="single" w:color="auto" w:sz="4" w:space="0"/>
              <w:left w:val="single" w:color="auto" w:sz="4" w:space="0"/>
              <w:bottom w:val="single" w:color="auto" w:sz="4" w:space="0"/>
              <w:right w:val="single" w:color="auto" w:sz="4" w:space="0"/>
            </w:tcBorders>
            <w:vAlign w:val="top"/>
          </w:tcPr>
          <w:p>
            <w:pP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23" w:type="dxa"/>
            <w:tcBorders>
              <w:top w:val="single" w:color="auto" w:sz="4" w:space="0"/>
              <w:left w:val="single" w:color="auto" w:sz="4" w:space="0"/>
              <w:bottom w:val="single" w:color="auto" w:sz="4" w:space="0"/>
              <w:right w:val="single" w:color="auto" w:sz="4" w:space="0"/>
            </w:tcBorders>
            <w:vAlign w:val="top"/>
          </w:tcPr>
          <w:p>
            <w:pPr>
              <w:rPr>
                <w:color w:val="auto"/>
                <w:sz w:val="21"/>
                <w:szCs w:val="21"/>
                <w:highlight w:val="none"/>
              </w:rPr>
            </w:pPr>
          </w:p>
        </w:tc>
        <w:tc>
          <w:tcPr>
            <w:tcW w:w="4297" w:type="dxa"/>
            <w:tcBorders>
              <w:top w:val="single" w:color="auto" w:sz="4" w:space="0"/>
              <w:left w:val="single" w:color="auto" w:sz="4" w:space="0"/>
              <w:bottom w:val="single" w:color="auto" w:sz="4" w:space="0"/>
              <w:right w:val="single" w:color="auto" w:sz="4" w:space="0"/>
            </w:tcBorders>
            <w:vAlign w:val="top"/>
          </w:tcPr>
          <w:p>
            <w:pPr>
              <w:rPr>
                <w:color w:val="auto"/>
                <w:sz w:val="21"/>
                <w:szCs w:val="21"/>
                <w:highlight w:val="none"/>
              </w:rPr>
            </w:pPr>
          </w:p>
        </w:tc>
        <w:tc>
          <w:tcPr>
            <w:tcW w:w="2330" w:type="dxa"/>
            <w:tcBorders>
              <w:top w:val="single" w:color="auto" w:sz="4" w:space="0"/>
              <w:left w:val="single" w:color="auto" w:sz="4" w:space="0"/>
              <w:bottom w:val="single" w:color="auto" w:sz="4" w:space="0"/>
              <w:right w:val="single" w:color="auto" w:sz="4" w:space="0"/>
            </w:tcBorders>
            <w:vAlign w:val="top"/>
          </w:tcPr>
          <w:p>
            <w:pPr>
              <w:rPr>
                <w:color w:val="auto"/>
                <w:sz w:val="21"/>
                <w:szCs w:val="21"/>
                <w:highlight w:val="none"/>
              </w:rPr>
            </w:pPr>
          </w:p>
        </w:tc>
        <w:tc>
          <w:tcPr>
            <w:tcW w:w="3101" w:type="dxa"/>
            <w:tcBorders>
              <w:top w:val="single" w:color="auto" w:sz="4" w:space="0"/>
              <w:left w:val="single" w:color="auto" w:sz="4" w:space="0"/>
              <w:bottom w:val="single" w:color="auto" w:sz="4" w:space="0"/>
              <w:right w:val="single" w:color="auto" w:sz="4" w:space="0"/>
            </w:tcBorders>
            <w:vAlign w:val="top"/>
          </w:tcPr>
          <w:p>
            <w:pPr>
              <w:rPr>
                <w:color w:val="auto"/>
                <w:sz w:val="21"/>
                <w:szCs w:val="21"/>
                <w:highlight w:val="none"/>
              </w:rPr>
            </w:pPr>
          </w:p>
        </w:tc>
        <w:tc>
          <w:tcPr>
            <w:tcW w:w="3423" w:type="dxa"/>
            <w:tcBorders>
              <w:top w:val="single" w:color="auto" w:sz="4" w:space="0"/>
              <w:left w:val="single" w:color="auto" w:sz="4" w:space="0"/>
              <w:bottom w:val="single" w:color="auto" w:sz="4" w:space="0"/>
              <w:right w:val="single" w:color="auto" w:sz="4" w:space="0"/>
            </w:tcBorders>
            <w:vAlign w:val="top"/>
          </w:tcPr>
          <w:p>
            <w:pPr>
              <w:rPr>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spacing w:before="157" w:beforeLines="50"/>
        <w:textAlignment w:val="auto"/>
        <w:rPr>
          <w:color w:val="auto"/>
          <w:szCs w:val="21"/>
          <w:highlight w:val="none"/>
        </w:rPr>
      </w:pPr>
      <w:r>
        <w:rPr>
          <w:rFonts w:hint="eastAsia"/>
          <w:color w:val="auto"/>
          <w:szCs w:val="21"/>
          <w:highlight w:val="none"/>
        </w:rPr>
        <w:t>评委签名：</w:t>
      </w:r>
      <w:r>
        <w:rPr>
          <w:rFonts w:hint="eastAsia"/>
          <w:color w:val="auto"/>
          <w:szCs w:val="21"/>
          <w:highlight w:val="none"/>
          <w:lang w:val="en-US" w:eastAsia="zh-CN"/>
        </w:rPr>
        <w:t xml:space="preserve">                                           </w:t>
      </w:r>
      <w:r>
        <w:rPr>
          <w:rFonts w:hint="eastAsia"/>
          <w:color w:val="auto"/>
          <w:kern w:val="0"/>
          <w:szCs w:val="21"/>
          <w:highlight w:val="none"/>
        </w:rPr>
        <w:t>日期：</w:t>
      </w:r>
    </w:p>
    <w:p>
      <w:pPr>
        <w:keepNext w:val="0"/>
        <w:keepLines w:val="0"/>
        <w:pageBreakBefore w:val="0"/>
        <w:widowControl w:val="0"/>
        <w:kinsoku/>
        <w:wordWrap/>
        <w:overflowPunct/>
        <w:topLinePunct w:val="0"/>
        <w:autoSpaceDE/>
        <w:autoSpaceDN/>
        <w:bidi w:val="0"/>
        <w:adjustRightInd/>
        <w:snapToGrid w:val="0"/>
        <w:spacing w:before="157" w:beforeLines="50" w:line="360" w:lineRule="auto"/>
        <w:jc w:val="left"/>
        <w:textAlignment w:val="auto"/>
        <w:rPr>
          <w:rFonts w:hint="eastAsia" w:ascii="宋体" w:hAnsi="宋体" w:eastAsia="宋体" w:cs="宋体"/>
          <w:b/>
          <w:bCs/>
          <w:color w:val="auto"/>
          <w:sz w:val="24"/>
          <w:szCs w:val="24"/>
          <w:highlight w:val="none"/>
          <w:lang w:val="en-US" w:eastAsia="zh-CN"/>
        </w:rPr>
        <w:sectPr>
          <w:pgSz w:w="16840" w:h="11907" w:orient="landscape"/>
          <w:pgMar w:top="1440" w:right="1440" w:bottom="1440" w:left="1440" w:header="851" w:footer="992" w:gutter="0"/>
          <w:cols w:space="720" w:num="1"/>
          <w:docGrid w:type="lines" w:linePitch="312" w:charSpace="0"/>
        </w:sectPr>
      </w:pPr>
      <w:r>
        <w:rPr>
          <w:rFonts w:hint="eastAsia" w:ascii="宋体" w:hAnsi="宋体" w:cs="宋体"/>
          <w:b/>
          <w:bCs/>
          <w:color w:val="auto"/>
          <w:sz w:val="24"/>
          <w:szCs w:val="24"/>
          <w:highlight w:val="none"/>
          <w:lang w:val="en-US" w:eastAsia="zh-CN"/>
        </w:rPr>
        <w:t xml:space="preserve"> </w:t>
      </w:r>
    </w:p>
    <w:p>
      <w:pPr>
        <w:snapToGrid w:val="0"/>
        <w:ind w:firstLine="0" w:firstLineChars="0"/>
        <w:rPr>
          <w:rFonts w:hint="default" w:hAnsi="宋体" w:eastAsia="宋体" w:cs="宋体"/>
          <w:b w:val="0"/>
          <w:bCs w:val="0"/>
          <w:color w:val="auto"/>
          <w:sz w:val="24"/>
          <w:szCs w:val="24"/>
          <w:highlight w:val="none"/>
          <w:lang w:val="en-US" w:eastAsia="zh-CN"/>
        </w:rPr>
      </w:pPr>
      <w:bookmarkStart w:id="18" w:name="_Toc154575292"/>
      <w:bookmarkStart w:id="19" w:name="_Toc500249621"/>
      <w:bookmarkStart w:id="20" w:name="_Toc504053942"/>
      <w:bookmarkStart w:id="21" w:name="_Toc504659100"/>
      <w:bookmarkStart w:id="22" w:name="_Toc194090353"/>
      <w:r>
        <w:rPr>
          <w:rFonts w:hint="eastAsia" w:hAnsi="宋体" w:cs="宋体"/>
          <w:b w:val="0"/>
          <w:bCs w:val="0"/>
          <w:color w:val="auto"/>
          <w:sz w:val="24"/>
          <w:szCs w:val="24"/>
          <w:highlight w:val="none"/>
          <w:lang w:val="en-US" w:eastAsia="zh-CN"/>
        </w:rPr>
        <w:t>附表七：</w:t>
      </w:r>
    </w:p>
    <w:p>
      <w:pPr>
        <w:ind w:firstLine="643"/>
        <w:jc w:val="center"/>
        <w:rPr>
          <w:rFonts w:hint="eastAsia" w:hAnsi="宋体" w:cs="宋体"/>
          <w:b/>
          <w:color w:val="auto"/>
          <w:sz w:val="32"/>
          <w:szCs w:val="32"/>
          <w:highlight w:val="none"/>
        </w:rPr>
      </w:pPr>
      <w:r>
        <w:rPr>
          <w:rFonts w:hint="eastAsia" w:hAnsi="宋体" w:cs="宋体"/>
          <w:b/>
          <w:color w:val="auto"/>
          <w:sz w:val="32"/>
          <w:szCs w:val="32"/>
          <w:highlight w:val="none"/>
        </w:rPr>
        <w:t>定标因素表（定标阶段用表）</w:t>
      </w:r>
    </w:p>
    <w:p>
      <w:pPr>
        <w:ind w:firstLine="420" w:firstLineChars="200"/>
        <w:rPr>
          <w:rFonts w:hint="eastAsia" w:hAnsi="宋体" w:cs="宋体"/>
          <w:color w:val="auto"/>
          <w:highlight w:val="none"/>
        </w:rPr>
      </w:pPr>
      <w:r>
        <w:rPr>
          <w:rFonts w:hint="eastAsia" w:hAnsi="宋体" w:cs="宋体"/>
          <w:color w:val="auto"/>
          <w:highlight w:val="none"/>
        </w:rPr>
        <w:t>项目名称：</w:t>
      </w:r>
    </w:p>
    <w:tbl>
      <w:tblPr>
        <w:tblStyle w:val="30"/>
        <w:tblW w:w="9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890"/>
        <w:gridCol w:w="749"/>
        <w:gridCol w:w="7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r>
              <w:rPr>
                <w:rFonts w:hint="eastAsia" w:ascii="宋体" w:hAnsi="宋体" w:eastAsia="宋体" w:cs="宋体"/>
                <w:b/>
                <w:bCs/>
                <w:color w:val="auto"/>
                <w:szCs w:val="21"/>
                <w:highlight w:val="none"/>
              </w:rPr>
              <w:t>序号</w:t>
            </w:r>
          </w:p>
        </w:tc>
        <w:tc>
          <w:tcPr>
            <w:tcW w:w="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评价项目</w:t>
            </w:r>
          </w:p>
        </w:tc>
        <w:tc>
          <w:tcPr>
            <w:tcW w:w="7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分值</w:t>
            </w:r>
          </w:p>
        </w:tc>
        <w:tc>
          <w:tcPr>
            <w:tcW w:w="71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定标评价的内容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493"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shd w:val="clear" w:color="auto" w:fill="FFFFFF"/>
              </w:rPr>
              <w:t>1</w:t>
            </w:r>
          </w:p>
        </w:tc>
        <w:tc>
          <w:tcPr>
            <w:tcW w:w="890"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shd w:val="clear" w:color="auto" w:fill="FFFFFF"/>
              </w:rPr>
              <w:t>方案因素</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100</w:t>
            </w:r>
            <w:r>
              <w:rPr>
                <w:rFonts w:hint="eastAsia" w:ascii="宋体" w:hAnsi="宋体" w:eastAsia="宋体" w:cs="宋体"/>
                <w:color w:val="auto"/>
                <w:szCs w:val="21"/>
                <w:highlight w:val="none"/>
                <w:shd w:val="clear" w:color="auto" w:fill="FFFFFF"/>
                <w:lang w:eastAsia="zh-CN"/>
              </w:rPr>
              <w:t>）</w:t>
            </w:r>
          </w:p>
        </w:tc>
        <w:tc>
          <w:tcPr>
            <w:tcW w:w="7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shd w:val="clear" w:color="auto" w:fill="FFFFFF"/>
                <w:lang w:val="en-US" w:eastAsia="zh-CN"/>
              </w:rPr>
              <w:t>25</w:t>
            </w:r>
          </w:p>
        </w:tc>
        <w:tc>
          <w:tcPr>
            <w:tcW w:w="7114" w:type="dxa"/>
            <w:tcBorders>
              <w:top w:val="single" w:color="auto" w:sz="4" w:space="0"/>
              <w:left w:val="single" w:color="auto" w:sz="4" w:space="0"/>
              <w:bottom w:val="single" w:color="auto" w:sz="4" w:space="0"/>
              <w:right w:val="single" w:color="auto" w:sz="4" w:space="0"/>
            </w:tcBorders>
            <w:noWrap w:val="0"/>
            <w:vAlign w:val="center"/>
          </w:tcPr>
          <w:p>
            <w:pPr>
              <w:pStyle w:val="16"/>
              <w:rPr>
                <w:rFonts w:hint="eastAsia" w:ascii="宋体" w:hAnsi="宋体" w:eastAsia="宋体" w:cs="宋体"/>
                <w:b/>
                <w:bCs/>
                <w:color w:val="auto"/>
                <w:sz w:val="21"/>
                <w:szCs w:val="21"/>
                <w:highlight w:val="none"/>
                <w:shd w:val="clear" w:color="auto" w:fill="FFFFFF"/>
                <w:lang w:val="en-US" w:eastAsia="zh-CN"/>
              </w:rPr>
            </w:pPr>
            <w:r>
              <w:rPr>
                <w:rFonts w:hint="eastAsia" w:hAnsi="宋体" w:eastAsia="宋体" w:cs="宋体"/>
                <w:b/>
                <w:bCs/>
                <w:color w:val="auto"/>
                <w:sz w:val="21"/>
                <w:szCs w:val="21"/>
                <w:highlight w:val="none"/>
                <w:shd w:val="clear" w:color="auto" w:fill="FFFFFF"/>
                <w:lang w:val="zh-CN"/>
              </w:rPr>
              <w:t>对拟投入本项目的团队配置</w:t>
            </w:r>
            <w:r>
              <w:rPr>
                <w:rFonts w:hint="eastAsia" w:ascii="宋体" w:hAnsi="宋体" w:eastAsia="宋体" w:cs="宋体"/>
                <w:b/>
                <w:bCs/>
                <w:color w:val="auto"/>
                <w:sz w:val="21"/>
                <w:szCs w:val="21"/>
                <w:highlight w:val="none"/>
                <w:shd w:val="clear" w:color="auto" w:fill="FFFFFF"/>
                <w:lang w:val="zh-CN"/>
              </w:rPr>
              <w:t>进行评审：</w:t>
            </w:r>
            <w:r>
              <w:rPr>
                <w:rFonts w:hint="eastAsia" w:ascii="宋体" w:hAnsi="宋体" w:eastAsia="宋体" w:cs="宋体"/>
                <w:b/>
                <w:bCs/>
                <w:color w:val="auto"/>
                <w:sz w:val="21"/>
                <w:szCs w:val="21"/>
                <w:highlight w:val="none"/>
                <w:shd w:val="clear" w:color="auto" w:fill="FFFFFF"/>
                <w:lang w:val="en-US" w:eastAsia="zh-CN"/>
              </w:rPr>
              <w:t xml:space="preserve"> </w:t>
            </w:r>
          </w:p>
          <w:p>
            <w:pPr>
              <w:rPr>
                <w:rFonts w:hint="eastAsia" w:ascii="宋体" w:hAnsi="宋体" w:eastAsia="宋体" w:cs="宋体"/>
                <w:color w:val="auto"/>
                <w:szCs w:val="21"/>
                <w:highlight w:val="none"/>
                <w:lang w:val="zh-CN"/>
              </w:rPr>
            </w:pPr>
            <w:r>
              <w:rPr>
                <w:rFonts w:hint="eastAsia" w:ascii="宋体" w:hAnsi="宋体" w:eastAsia="宋体" w:cs="宋体"/>
                <w:b/>
                <w:bCs/>
                <w:color w:val="auto"/>
                <w:szCs w:val="21"/>
                <w:highlight w:val="none"/>
                <w:shd w:val="clear" w:color="auto" w:fill="FFFFFF"/>
                <w:lang w:val="zh-CN"/>
              </w:rPr>
              <w:t>（团队配置应能体现投入充分满足项目需求的管理力量和技术力量，包括不限于：人员资质、专业匹配度、类似项目经验、团队稳定性等内容）</w:t>
            </w:r>
          </w:p>
          <w:p>
            <w:pPr>
              <w:jc w:val="left"/>
              <w:rPr>
                <w:rFonts w:hint="eastAsia"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优得【</w:t>
            </w:r>
            <w:r>
              <w:rPr>
                <w:rFonts w:hint="eastAsia" w:ascii="宋体" w:hAnsi="宋体" w:eastAsia="宋体" w:cs="宋体"/>
                <w:color w:val="auto"/>
                <w:szCs w:val="21"/>
                <w:highlight w:val="none"/>
                <w:shd w:val="clear" w:color="auto" w:fill="FFFFFF"/>
                <w:lang w:val="en-US" w:eastAsia="zh-CN"/>
              </w:rPr>
              <w:t>19</w:t>
            </w:r>
            <w:r>
              <w:rPr>
                <w:rFonts w:hint="eastAsia" w:ascii="宋体" w:hAnsi="宋体" w:eastAsia="宋体" w:cs="宋体"/>
                <w:color w:val="auto"/>
                <w:szCs w:val="21"/>
                <w:highlight w:val="none"/>
                <w:shd w:val="clear" w:color="auto" w:fill="FFFFFF"/>
                <w:lang w:val="zh-CN"/>
              </w:rPr>
              <w:t>，</w:t>
            </w:r>
            <w:r>
              <w:rPr>
                <w:rFonts w:hint="eastAsia" w:ascii="宋体" w:hAnsi="宋体" w:eastAsia="宋体" w:cs="宋体"/>
                <w:color w:val="auto"/>
                <w:szCs w:val="21"/>
                <w:highlight w:val="none"/>
                <w:shd w:val="clear" w:color="auto" w:fill="FFFFFF"/>
                <w:lang w:val="en-US" w:eastAsia="zh-CN"/>
              </w:rPr>
              <w:t>25</w:t>
            </w:r>
            <w:r>
              <w:rPr>
                <w:rFonts w:hint="eastAsia" w:ascii="宋体" w:hAnsi="宋体" w:eastAsia="宋体" w:cs="宋体"/>
                <w:color w:val="auto"/>
                <w:szCs w:val="21"/>
                <w:highlight w:val="none"/>
                <w:shd w:val="clear" w:color="auto" w:fill="FFFFFF"/>
                <w:lang w:val="zh-CN"/>
              </w:rPr>
              <w:t>】分</w:t>
            </w:r>
          </w:p>
          <w:p>
            <w:pPr>
              <w:jc w:val="left"/>
              <w:rPr>
                <w:rFonts w:hint="eastAsia"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良得【</w:t>
            </w:r>
            <w:r>
              <w:rPr>
                <w:rFonts w:hint="eastAsia" w:ascii="宋体" w:hAnsi="宋体" w:eastAsia="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lang w:val="zh-CN"/>
              </w:rPr>
              <w:t>，</w:t>
            </w:r>
            <w:r>
              <w:rPr>
                <w:rFonts w:hint="eastAsia" w:ascii="宋体" w:hAnsi="宋体" w:eastAsia="宋体" w:cs="宋体"/>
                <w:color w:val="auto"/>
                <w:szCs w:val="21"/>
                <w:highlight w:val="none"/>
                <w:shd w:val="clear" w:color="auto" w:fill="FFFFFF"/>
                <w:lang w:val="en-US" w:eastAsia="zh-CN"/>
              </w:rPr>
              <w:t>18</w:t>
            </w:r>
            <w:r>
              <w:rPr>
                <w:rFonts w:hint="eastAsia" w:ascii="宋体" w:hAnsi="宋体" w:eastAsia="宋体" w:cs="宋体"/>
                <w:color w:val="auto"/>
                <w:szCs w:val="21"/>
                <w:highlight w:val="none"/>
                <w:shd w:val="clear" w:color="auto" w:fill="FFFFFF"/>
                <w:lang w:val="zh-CN"/>
              </w:rPr>
              <w:t>】分</w:t>
            </w:r>
          </w:p>
          <w:p>
            <w:pPr>
              <w:jc w:val="left"/>
              <w:rPr>
                <w:rFonts w:hint="eastAsia"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中得【</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zh-CN"/>
              </w:rPr>
              <w:t>，</w:t>
            </w:r>
            <w:r>
              <w:rPr>
                <w:rFonts w:hint="eastAsia" w:ascii="宋体" w:hAnsi="宋体" w:eastAsia="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lang w:val="zh-CN"/>
              </w:rPr>
              <w:t>】分</w:t>
            </w:r>
          </w:p>
          <w:p>
            <w:pPr>
              <w:jc w:val="left"/>
              <w:rPr>
                <w:rFonts w:hint="eastAsia"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差得【1，</w:t>
            </w:r>
            <w:r>
              <w:rPr>
                <w:rFonts w:hint="eastAsia" w:ascii="宋体" w:hAnsi="宋体" w:eastAsia="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zh-CN"/>
              </w:rPr>
              <w:t>】分</w:t>
            </w:r>
          </w:p>
          <w:p>
            <w:pPr>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shd w:val="clear" w:color="auto" w:fill="FFFFFF"/>
              </w:rPr>
              <w:t>不满足或</w:t>
            </w:r>
            <w:r>
              <w:rPr>
                <w:rFonts w:hint="eastAsia" w:ascii="宋体" w:hAnsi="宋体" w:eastAsia="宋体" w:cs="宋体"/>
                <w:color w:val="auto"/>
                <w:szCs w:val="21"/>
                <w:highlight w:val="none"/>
                <w:shd w:val="clear" w:color="auto" w:fill="FFFFFF"/>
                <w:lang w:val="zh-CN"/>
              </w:rPr>
              <w:t>未能按要求</w:t>
            </w:r>
            <w:r>
              <w:rPr>
                <w:rFonts w:hint="eastAsia" w:ascii="宋体" w:hAnsi="宋体" w:eastAsia="宋体" w:cs="宋体"/>
                <w:color w:val="auto"/>
                <w:szCs w:val="21"/>
                <w:highlight w:val="none"/>
                <w:shd w:val="clear" w:color="auto" w:fill="FFFFFF"/>
              </w:rPr>
              <w:t>提供相关资料</w:t>
            </w:r>
            <w:r>
              <w:rPr>
                <w:rFonts w:hint="eastAsia" w:ascii="宋体" w:hAnsi="宋体" w:eastAsia="宋体" w:cs="宋体"/>
                <w:color w:val="auto"/>
                <w:szCs w:val="21"/>
                <w:highlight w:val="none"/>
                <w:shd w:val="clear" w:color="auto" w:fill="FFFFFF"/>
                <w:lang w:val="zh-CN"/>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493"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FFFFFF"/>
              </w:rPr>
            </w:pPr>
          </w:p>
        </w:tc>
        <w:tc>
          <w:tcPr>
            <w:tcW w:w="890"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FFFFFF"/>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25</w:t>
            </w:r>
          </w:p>
        </w:tc>
        <w:tc>
          <w:tcPr>
            <w:tcW w:w="7114" w:type="dxa"/>
            <w:tcBorders>
              <w:top w:val="single" w:color="auto" w:sz="4" w:space="0"/>
              <w:left w:val="single" w:color="auto" w:sz="4" w:space="0"/>
              <w:bottom w:val="single" w:color="auto" w:sz="4" w:space="0"/>
              <w:right w:val="single" w:color="auto" w:sz="4" w:space="0"/>
            </w:tcBorders>
            <w:noWrap w:val="0"/>
            <w:vAlign w:val="center"/>
          </w:tcPr>
          <w:p>
            <w:pPr>
              <w:pStyle w:val="16"/>
              <w:rPr>
                <w:rFonts w:hint="eastAsia" w:ascii="宋体" w:hAnsi="宋体" w:eastAsia="宋体" w:cs="宋体"/>
                <w:b/>
                <w:bCs/>
                <w:color w:val="auto"/>
                <w:sz w:val="21"/>
                <w:szCs w:val="21"/>
                <w:highlight w:val="none"/>
                <w:shd w:val="clear" w:color="auto" w:fill="FFFFFF"/>
                <w:lang w:val="en-US" w:eastAsia="zh-CN"/>
              </w:rPr>
            </w:pPr>
            <w:r>
              <w:rPr>
                <w:rFonts w:hint="eastAsia" w:ascii="宋体" w:hAnsi="宋体" w:eastAsia="宋体" w:cs="宋体"/>
                <w:b/>
                <w:bCs/>
                <w:color w:val="auto"/>
                <w:kern w:val="0"/>
                <w:sz w:val="21"/>
                <w:szCs w:val="21"/>
                <w:highlight w:val="none"/>
                <w:lang w:eastAsia="zh-CN"/>
              </w:rPr>
              <w:t>对本项目施工管理措施进行</w:t>
            </w:r>
            <w:r>
              <w:rPr>
                <w:rFonts w:hint="eastAsia" w:ascii="宋体" w:hAnsi="宋体" w:eastAsia="宋体" w:cs="宋体"/>
                <w:b/>
                <w:bCs/>
                <w:color w:val="auto"/>
                <w:sz w:val="21"/>
                <w:szCs w:val="21"/>
                <w:highlight w:val="none"/>
                <w:shd w:val="clear" w:color="auto" w:fill="FFFFFF"/>
                <w:lang w:val="zh-CN"/>
              </w:rPr>
              <w:t>评审：</w:t>
            </w:r>
            <w:r>
              <w:rPr>
                <w:rFonts w:hint="eastAsia" w:ascii="宋体" w:hAnsi="宋体" w:eastAsia="宋体" w:cs="宋体"/>
                <w:b/>
                <w:bCs/>
                <w:color w:val="auto"/>
                <w:sz w:val="21"/>
                <w:szCs w:val="21"/>
                <w:highlight w:val="none"/>
                <w:shd w:val="clear" w:color="auto" w:fill="FFFFFF"/>
                <w:lang w:val="en-US" w:eastAsia="zh-CN"/>
              </w:rPr>
              <w:t xml:space="preserve"> </w:t>
            </w:r>
          </w:p>
          <w:p>
            <w:pPr>
              <w:rPr>
                <w:rFonts w:hint="eastAsia" w:ascii="宋体" w:hAnsi="宋体" w:eastAsia="宋体" w:cs="宋体"/>
                <w:color w:val="auto"/>
                <w:szCs w:val="21"/>
                <w:highlight w:val="none"/>
                <w:lang w:val="zh-CN"/>
              </w:rPr>
            </w:pPr>
            <w:r>
              <w:rPr>
                <w:rFonts w:hint="eastAsia" w:ascii="宋体" w:hAnsi="宋体" w:eastAsia="宋体" w:cs="宋体"/>
                <w:b/>
                <w:bCs/>
                <w:color w:val="auto"/>
                <w:szCs w:val="21"/>
                <w:highlight w:val="none"/>
                <w:shd w:val="clear" w:color="auto" w:fill="FFFFFF"/>
                <w:lang w:val="zh-CN"/>
              </w:rPr>
              <w:t>（</w:t>
            </w:r>
            <w:r>
              <w:rPr>
                <w:rFonts w:hint="eastAsia" w:ascii="宋体" w:hAnsi="宋体" w:eastAsia="宋体" w:cs="宋体"/>
                <w:b/>
                <w:bCs/>
                <w:color w:val="auto"/>
                <w:kern w:val="0"/>
                <w:szCs w:val="21"/>
                <w:highlight w:val="none"/>
                <w:lang w:eastAsia="zh-CN"/>
              </w:rPr>
              <w:t>施工管理措施应根据本项目实际、结合企业优势编制，应响应项目需求、具备</w:t>
            </w:r>
            <w:r>
              <w:rPr>
                <w:rFonts w:hint="eastAsia" w:ascii="宋体" w:hAnsi="宋体" w:eastAsia="宋体" w:cs="宋体"/>
                <w:b/>
                <w:bCs/>
                <w:color w:val="auto"/>
                <w:szCs w:val="21"/>
                <w:highlight w:val="none"/>
                <w:shd w:val="clear" w:color="auto" w:fill="FFFFFF"/>
                <w:lang w:val="zh-CN"/>
              </w:rPr>
              <w:t>针对性、可行性、创新性</w:t>
            </w:r>
            <w:r>
              <w:rPr>
                <w:rFonts w:hint="eastAsia" w:ascii="宋体" w:hAnsi="宋体" w:eastAsia="宋体" w:cs="宋体"/>
                <w:b/>
                <w:bCs/>
                <w:color w:val="auto"/>
                <w:kern w:val="0"/>
                <w:szCs w:val="21"/>
                <w:highlight w:val="none"/>
                <w:lang w:eastAsia="zh-CN"/>
              </w:rPr>
              <w:t>。包括不限于：</w:t>
            </w:r>
            <w:r>
              <w:rPr>
                <w:rFonts w:hint="eastAsia" w:ascii="宋体" w:hAnsi="宋体" w:eastAsia="宋体" w:cs="宋体"/>
                <w:b/>
                <w:bCs/>
                <w:color w:val="auto"/>
                <w:szCs w:val="21"/>
                <w:highlight w:val="none"/>
                <w:shd w:val="clear" w:color="auto" w:fill="FFFFFF"/>
                <w:lang w:val="zh-CN"/>
              </w:rPr>
              <w:t>确保本工程质量、安全、进度目标的管理措施、危大分部分项管理措施、技术难点解决措施、应急响应措施等内容）</w:t>
            </w:r>
          </w:p>
          <w:p>
            <w:pPr>
              <w:jc w:val="left"/>
              <w:rPr>
                <w:rFonts w:hint="eastAsia"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优得【</w:t>
            </w:r>
            <w:r>
              <w:rPr>
                <w:rFonts w:hint="eastAsia" w:ascii="宋体" w:hAnsi="宋体" w:eastAsia="宋体" w:cs="宋体"/>
                <w:color w:val="auto"/>
                <w:szCs w:val="21"/>
                <w:highlight w:val="none"/>
                <w:shd w:val="clear" w:color="auto" w:fill="FFFFFF"/>
                <w:lang w:val="en-US" w:eastAsia="zh-CN"/>
              </w:rPr>
              <w:t>19</w:t>
            </w:r>
            <w:r>
              <w:rPr>
                <w:rFonts w:hint="eastAsia" w:ascii="宋体" w:hAnsi="宋体" w:eastAsia="宋体" w:cs="宋体"/>
                <w:color w:val="auto"/>
                <w:szCs w:val="21"/>
                <w:highlight w:val="none"/>
                <w:shd w:val="clear" w:color="auto" w:fill="FFFFFF"/>
                <w:lang w:val="zh-CN"/>
              </w:rPr>
              <w:t>，</w:t>
            </w:r>
            <w:r>
              <w:rPr>
                <w:rFonts w:hint="eastAsia" w:ascii="宋体" w:hAnsi="宋体" w:eastAsia="宋体" w:cs="宋体"/>
                <w:color w:val="auto"/>
                <w:szCs w:val="21"/>
                <w:highlight w:val="none"/>
                <w:shd w:val="clear" w:color="auto" w:fill="FFFFFF"/>
                <w:lang w:val="en-US" w:eastAsia="zh-CN"/>
              </w:rPr>
              <w:t>25</w:t>
            </w:r>
            <w:r>
              <w:rPr>
                <w:rFonts w:hint="eastAsia" w:ascii="宋体" w:hAnsi="宋体" w:eastAsia="宋体" w:cs="宋体"/>
                <w:color w:val="auto"/>
                <w:szCs w:val="21"/>
                <w:highlight w:val="none"/>
                <w:shd w:val="clear" w:color="auto" w:fill="FFFFFF"/>
                <w:lang w:val="zh-CN"/>
              </w:rPr>
              <w:t>】分</w:t>
            </w:r>
          </w:p>
          <w:p>
            <w:pPr>
              <w:jc w:val="left"/>
              <w:rPr>
                <w:rFonts w:hint="eastAsia"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良得【</w:t>
            </w:r>
            <w:r>
              <w:rPr>
                <w:rFonts w:hint="eastAsia" w:ascii="宋体" w:hAnsi="宋体" w:eastAsia="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lang w:val="zh-CN"/>
              </w:rPr>
              <w:t>，</w:t>
            </w:r>
            <w:r>
              <w:rPr>
                <w:rFonts w:hint="eastAsia" w:ascii="宋体" w:hAnsi="宋体" w:eastAsia="宋体" w:cs="宋体"/>
                <w:color w:val="auto"/>
                <w:szCs w:val="21"/>
                <w:highlight w:val="none"/>
                <w:shd w:val="clear" w:color="auto" w:fill="FFFFFF"/>
                <w:lang w:val="en-US" w:eastAsia="zh-CN"/>
              </w:rPr>
              <w:t>18</w:t>
            </w:r>
            <w:r>
              <w:rPr>
                <w:rFonts w:hint="eastAsia" w:ascii="宋体" w:hAnsi="宋体" w:eastAsia="宋体" w:cs="宋体"/>
                <w:color w:val="auto"/>
                <w:szCs w:val="21"/>
                <w:highlight w:val="none"/>
                <w:shd w:val="clear" w:color="auto" w:fill="FFFFFF"/>
                <w:lang w:val="zh-CN"/>
              </w:rPr>
              <w:t>】分</w:t>
            </w:r>
          </w:p>
          <w:p>
            <w:pPr>
              <w:jc w:val="left"/>
              <w:rPr>
                <w:rFonts w:hint="eastAsia"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中得【</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zh-CN"/>
              </w:rPr>
              <w:t>，</w:t>
            </w:r>
            <w:r>
              <w:rPr>
                <w:rFonts w:hint="eastAsia" w:ascii="宋体" w:hAnsi="宋体" w:eastAsia="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lang w:val="zh-CN"/>
              </w:rPr>
              <w:t>】分</w:t>
            </w:r>
          </w:p>
          <w:p>
            <w:pPr>
              <w:jc w:val="left"/>
              <w:rPr>
                <w:rFonts w:hint="eastAsia"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差得【1，</w:t>
            </w:r>
            <w:r>
              <w:rPr>
                <w:rFonts w:hint="eastAsia" w:ascii="宋体" w:hAnsi="宋体" w:eastAsia="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zh-CN"/>
              </w:rPr>
              <w:t>】分</w:t>
            </w:r>
          </w:p>
          <w:p>
            <w:pPr>
              <w:jc w:val="left"/>
              <w:rPr>
                <w:rFonts w:hint="eastAsia"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rPr>
              <w:t>不满足或</w:t>
            </w:r>
            <w:r>
              <w:rPr>
                <w:rFonts w:hint="eastAsia" w:ascii="宋体" w:hAnsi="宋体" w:eastAsia="宋体" w:cs="宋体"/>
                <w:color w:val="auto"/>
                <w:szCs w:val="21"/>
                <w:highlight w:val="none"/>
                <w:shd w:val="clear" w:color="auto" w:fill="FFFFFF"/>
                <w:lang w:val="zh-CN"/>
              </w:rPr>
              <w:t>未能按要求</w:t>
            </w:r>
            <w:r>
              <w:rPr>
                <w:rFonts w:hint="eastAsia" w:ascii="宋体" w:hAnsi="宋体" w:eastAsia="宋体" w:cs="宋体"/>
                <w:color w:val="auto"/>
                <w:szCs w:val="21"/>
                <w:highlight w:val="none"/>
                <w:shd w:val="clear" w:color="auto" w:fill="FFFFFF"/>
              </w:rPr>
              <w:t>提供相关资料</w:t>
            </w:r>
            <w:r>
              <w:rPr>
                <w:rFonts w:hint="eastAsia" w:ascii="宋体" w:hAnsi="宋体" w:eastAsia="宋体" w:cs="宋体"/>
                <w:color w:val="auto"/>
                <w:szCs w:val="21"/>
                <w:highlight w:val="none"/>
                <w:shd w:val="clear" w:color="auto" w:fill="FFFFFF"/>
                <w:lang w:val="zh-CN"/>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493"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FFFFFF"/>
              </w:rPr>
            </w:pPr>
          </w:p>
        </w:tc>
        <w:tc>
          <w:tcPr>
            <w:tcW w:w="890"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FFFFFF"/>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25</w:t>
            </w:r>
          </w:p>
        </w:tc>
        <w:tc>
          <w:tcPr>
            <w:tcW w:w="7114"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bCs/>
                <w:color w:val="auto"/>
                <w:szCs w:val="21"/>
                <w:highlight w:val="none"/>
                <w:shd w:val="clear" w:color="auto" w:fill="FFFFFF"/>
                <w:lang w:val="en-US" w:eastAsia="zh-CN"/>
              </w:rPr>
            </w:pPr>
            <w:r>
              <w:rPr>
                <w:rFonts w:hint="eastAsia" w:ascii="宋体" w:hAnsi="宋体" w:eastAsia="宋体" w:cs="宋体"/>
                <w:b/>
                <w:bCs/>
                <w:color w:val="auto"/>
                <w:szCs w:val="21"/>
                <w:highlight w:val="none"/>
                <w:shd w:val="clear" w:color="auto" w:fill="FFFFFF"/>
                <w:lang w:val="zh-CN"/>
              </w:rPr>
              <w:t>对本项目成本控制措施</w:t>
            </w:r>
            <w:r>
              <w:rPr>
                <w:rFonts w:hint="eastAsia" w:ascii="宋体" w:hAnsi="宋体" w:eastAsia="宋体" w:cs="宋体"/>
                <w:b/>
                <w:bCs/>
                <w:color w:val="auto"/>
                <w:kern w:val="0"/>
                <w:szCs w:val="21"/>
                <w:highlight w:val="none"/>
                <w:lang w:eastAsia="zh-CN"/>
              </w:rPr>
              <w:t>进行</w:t>
            </w:r>
            <w:r>
              <w:rPr>
                <w:rFonts w:hint="eastAsia" w:ascii="宋体" w:hAnsi="宋体" w:eastAsia="宋体" w:cs="宋体"/>
                <w:b/>
                <w:bCs/>
                <w:color w:val="auto"/>
                <w:szCs w:val="21"/>
                <w:highlight w:val="none"/>
                <w:shd w:val="clear" w:color="auto" w:fill="FFFFFF"/>
                <w:lang w:val="zh-CN"/>
              </w:rPr>
              <w:t>评审：</w:t>
            </w:r>
            <w:r>
              <w:rPr>
                <w:rFonts w:hint="eastAsia" w:ascii="宋体" w:hAnsi="宋体" w:eastAsia="宋体" w:cs="宋体"/>
                <w:b/>
                <w:bCs/>
                <w:color w:val="auto"/>
                <w:szCs w:val="21"/>
                <w:highlight w:val="none"/>
                <w:shd w:val="clear" w:color="auto" w:fill="FFFFFF"/>
                <w:lang w:val="en-US" w:eastAsia="zh-CN"/>
              </w:rPr>
              <w:t xml:space="preserve"> </w:t>
            </w:r>
          </w:p>
          <w:p>
            <w:pPr>
              <w:jc w:val="left"/>
              <w:rPr>
                <w:rFonts w:hint="eastAsia" w:ascii="宋体" w:hAnsi="宋体" w:eastAsia="宋体" w:cs="宋体"/>
                <w:b/>
                <w:bCs/>
                <w:color w:val="auto"/>
                <w:szCs w:val="21"/>
                <w:highlight w:val="none"/>
                <w:shd w:val="clear" w:color="auto" w:fill="FFFFFF"/>
                <w:lang w:val="zh-CN"/>
              </w:rPr>
            </w:pPr>
            <w:r>
              <w:rPr>
                <w:rFonts w:hint="eastAsia" w:ascii="宋体" w:hAnsi="宋体" w:eastAsia="宋体" w:cs="宋体"/>
                <w:b/>
                <w:bCs/>
                <w:color w:val="auto"/>
                <w:szCs w:val="21"/>
                <w:highlight w:val="none"/>
                <w:shd w:val="clear" w:color="auto" w:fill="FFFFFF"/>
                <w:lang w:val="zh-CN"/>
              </w:rPr>
              <w:t>（成本控制措施包括不限于：成本控制目标、变更管理措施、成本控制风险防范措施等）</w:t>
            </w:r>
          </w:p>
          <w:p>
            <w:pPr>
              <w:jc w:val="left"/>
              <w:rPr>
                <w:rFonts w:hint="eastAsia"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优得【</w:t>
            </w:r>
            <w:r>
              <w:rPr>
                <w:rFonts w:hint="eastAsia" w:ascii="宋体" w:hAnsi="宋体" w:eastAsia="宋体" w:cs="宋体"/>
                <w:color w:val="auto"/>
                <w:szCs w:val="21"/>
                <w:highlight w:val="none"/>
                <w:shd w:val="clear" w:color="auto" w:fill="FFFFFF"/>
                <w:lang w:val="en-US" w:eastAsia="zh-CN"/>
              </w:rPr>
              <w:t>19</w:t>
            </w:r>
            <w:r>
              <w:rPr>
                <w:rFonts w:hint="eastAsia" w:ascii="宋体" w:hAnsi="宋体" w:eastAsia="宋体" w:cs="宋体"/>
                <w:color w:val="auto"/>
                <w:szCs w:val="21"/>
                <w:highlight w:val="none"/>
                <w:shd w:val="clear" w:color="auto" w:fill="FFFFFF"/>
                <w:lang w:val="zh-CN"/>
              </w:rPr>
              <w:t>，</w:t>
            </w:r>
            <w:r>
              <w:rPr>
                <w:rFonts w:hint="eastAsia" w:ascii="宋体" w:hAnsi="宋体" w:eastAsia="宋体" w:cs="宋体"/>
                <w:color w:val="auto"/>
                <w:szCs w:val="21"/>
                <w:highlight w:val="none"/>
                <w:shd w:val="clear" w:color="auto" w:fill="FFFFFF"/>
                <w:lang w:val="en-US" w:eastAsia="zh-CN"/>
              </w:rPr>
              <w:t>25</w:t>
            </w:r>
            <w:r>
              <w:rPr>
                <w:rFonts w:hint="eastAsia" w:ascii="宋体" w:hAnsi="宋体" w:eastAsia="宋体" w:cs="宋体"/>
                <w:color w:val="auto"/>
                <w:szCs w:val="21"/>
                <w:highlight w:val="none"/>
                <w:shd w:val="clear" w:color="auto" w:fill="FFFFFF"/>
                <w:lang w:val="zh-CN"/>
              </w:rPr>
              <w:t>】分</w:t>
            </w:r>
          </w:p>
          <w:p>
            <w:pPr>
              <w:jc w:val="left"/>
              <w:rPr>
                <w:rFonts w:hint="eastAsia"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良得【</w:t>
            </w:r>
            <w:r>
              <w:rPr>
                <w:rFonts w:hint="eastAsia" w:ascii="宋体" w:hAnsi="宋体" w:eastAsia="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lang w:val="zh-CN"/>
              </w:rPr>
              <w:t>，</w:t>
            </w:r>
            <w:r>
              <w:rPr>
                <w:rFonts w:hint="eastAsia" w:ascii="宋体" w:hAnsi="宋体" w:eastAsia="宋体" w:cs="宋体"/>
                <w:color w:val="auto"/>
                <w:szCs w:val="21"/>
                <w:highlight w:val="none"/>
                <w:shd w:val="clear" w:color="auto" w:fill="FFFFFF"/>
                <w:lang w:val="en-US" w:eastAsia="zh-CN"/>
              </w:rPr>
              <w:t>18</w:t>
            </w:r>
            <w:r>
              <w:rPr>
                <w:rFonts w:hint="eastAsia" w:ascii="宋体" w:hAnsi="宋体" w:eastAsia="宋体" w:cs="宋体"/>
                <w:color w:val="auto"/>
                <w:szCs w:val="21"/>
                <w:highlight w:val="none"/>
                <w:shd w:val="clear" w:color="auto" w:fill="FFFFFF"/>
                <w:lang w:val="zh-CN"/>
              </w:rPr>
              <w:t>】分</w:t>
            </w:r>
          </w:p>
          <w:p>
            <w:pPr>
              <w:jc w:val="left"/>
              <w:rPr>
                <w:rFonts w:hint="eastAsia"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中得【</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zh-CN"/>
              </w:rPr>
              <w:t>，</w:t>
            </w:r>
            <w:r>
              <w:rPr>
                <w:rFonts w:hint="eastAsia" w:ascii="宋体" w:hAnsi="宋体" w:eastAsia="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lang w:val="zh-CN"/>
              </w:rPr>
              <w:t>】分</w:t>
            </w:r>
          </w:p>
          <w:p>
            <w:pPr>
              <w:jc w:val="left"/>
              <w:rPr>
                <w:rFonts w:hint="eastAsia"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差得【1，</w:t>
            </w:r>
            <w:r>
              <w:rPr>
                <w:rFonts w:hint="eastAsia" w:ascii="宋体" w:hAnsi="宋体" w:eastAsia="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zh-CN"/>
              </w:rPr>
              <w:t>】分</w:t>
            </w:r>
          </w:p>
          <w:p>
            <w:pPr>
              <w:pStyle w:val="16"/>
              <w:rPr>
                <w:rFonts w:hint="eastAsia" w:hAnsi="宋体" w:eastAsia="宋体" w:cs="宋体"/>
                <w:color w:val="auto"/>
                <w:sz w:val="21"/>
                <w:szCs w:val="21"/>
                <w:highlight w:val="none"/>
                <w:lang w:val="zh-CN"/>
              </w:rPr>
            </w:pPr>
            <w:r>
              <w:rPr>
                <w:rFonts w:hint="eastAsia" w:hAnsi="宋体" w:eastAsia="宋体" w:cs="宋体"/>
                <w:color w:val="auto"/>
                <w:sz w:val="21"/>
                <w:szCs w:val="21"/>
                <w:highlight w:val="none"/>
                <w:shd w:val="clear" w:color="auto" w:fill="FFFFFF"/>
              </w:rPr>
              <w:t>不满足或</w:t>
            </w:r>
            <w:r>
              <w:rPr>
                <w:rFonts w:hint="eastAsia" w:hAnsi="宋体" w:eastAsia="宋体" w:cs="宋体"/>
                <w:color w:val="auto"/>
                <w:sz w:val="21"/>
                <w:szCs w:val="21"/>
                <w:highlight w:val="none"/>
                <w:shd w:val="clear" w:color="auto" w:fill="FFFFFF"/>
                <w:lang w:val="zh-CN"/>
              </w:rPr>
              <w:t>未能按要求</w:t>
            </w:r>
            <w:r>
              <w:rPr>
                <w:rFonts w:hint="eastAsia" w:hAnsi="宋体" w:eastAsia="宋体" w:cs="宋体"/>
                <w:color w:val="auto"/>
                <w:sz w:val="21"/>
                <w:szCs w:val="21"/>
                <w:highlight w:val="none"/>
                <w:shd w:val="clear" w:color="auto" w:fill="FFFFFF"/>
              </w:rPr>
              <w:t>提供相关资料</w:t>
            </w:r>
            <w:r>
              <w:rPr>
                <w:rFonts w:hint="eastAsia" w:hAnsi="宋体" w:eastAsia="宋体" w:cs="宋体"/>
                <w:color w:val="auto"/>
                <w:sz w:val="21"/>
                <w:szCs w:val="21"/>
                <w:highlight w:val="none"/>
                <w:shd w:val="clear" w:color="auto" w:fill="FFFFFF"/>
                <w:lang w:val="zh-CN"/>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493"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FFFFFF"/>
              </w:rPr>
            </w:pPr>
          </w:p>
        </w:tc>
        <w:tc>
          <w:tcPr>
            <w:tcW w:w="890"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FFFFFF"/>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Cs w:val="21"/>
                <w:highlight w:val="none"/>
                <w:shd w:val="clear" w:color="auto" w:fill="FFFFFF"/>
                <w:lang w:val="en-US" w:eastAsia="zh-CN"/>
              </w:rPr>
              <w:t>25</w:t>
            </w:r>
          </w:p>
        </w:tc>
        <w:tc>
          <w:tcPr>
            <w:tcW w:w="711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对本项目资金管理</w:t>
            </w:r>
            <w:r>
              <w:rPr>
                <w:rFonts w:hint="eastAsia" w:ascii="宋体" w:hAnsi="宋体" w:eastAsia="宋体" w:cs="宋体"/>
                <w:b/>
                <w:bCs/>
                <w:color w:val="auto"/>
                <w:szCs w:val="21"/>
                <w:highlight w:val="none"/>
              </w:rPr>
              <w:t>措施</w:t>
            </w:r>
            <w:r>
              <w:rPr>
                <w:rFonts w:hint="eastAsia" w:ascii="宋体" w:hAnsi="宋体" w:eastAsia="宋体" w:cs="宋体"/>
                <w:b/>
                <w:bCs/>
                <w:color w:val="auto"/>
                <w:szCs w:val="21"/>
                <w:highlight w:val="none"/>
                <w:lang w:eastAsia="zh-CN"/>
              </w:rPr>
              <w:t>进行评审：</w:t>
            </w:r>
          </w:p>
          <w:p>
            <w:pPr>
              <w:spacing w:line="24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（资金管理</w:t>
            </w:r>
            <w:r>
              <w:rPr>
                <w:rFonts w:hint="eastAsia" w:ascii="宋体" w:hAnsi="宋体" w:eastAsia="宋体" w:cs="宋体"/>
                <w:b/>
                <w:bCs/>
                <w:color w:val="auto"/>
                <w:szCs w:val="21"/>
                <w:highlight w:val="none"/>
              </w:rPr>
              <w:t>措施</w:t>
            </w:r>
            <w:r>
              <w:rPr>
                <w:rFonts w:hint="eastAsia" w:ascii="宋体" w:hAnsi="宋体" w:eastAsia="宋体" w:cs="宋体"/>
                <w:b/>
                <w:bCs/>
                <w:color w:val="auto"/>
                <w:szCs w:val="21"/>
                <w:highlight w:val="none"/>
                <w:lang w:eastAsia="zh-CN"/>
              </w:rPr>
              <w:t>包括不限于：工程款专款专用、</w:t>
            </w:r>
            <w:r>
              <w:rPr>
                <w:rFonts w:hint="eastAsia" w:ascii="宋体" w:hAnsi="宋体" w:eastAsia="宋体" w:cs="宋体"/>
                <w:b/>
                <w:bCs/>
                <w:color w:val="auto"/>
                <w:szCs w:val="21"/>
                <w:highlight w:val="none"/>
              </w:rPr>
              <w:t>项目资金投入规划</w:t>
            </w:r>
            <w:r>
              <w:rPr>
                <w:rFonts w:hint="eastAsia" w:ascii="宋体" w:hAnsi="宋体" w:eastAsia="宋体" w:cs="宋体"/>
                <w:b/>
                <w:bCs/>
                <w:color w:val="auto"/>
                <w:szCs w:val="21"/>
                <w:highlight w:val="none"/>
                <w:lang w:eastAsia="zh-CN"/>
              </w:rPr>
              <w:t>、农民工工资保障、</w:t>
            </w:r>
            <w:r>
              <w:rPr>
                <w:rFonts w:hint="eastAsia" w:ascii="宋体" w:hAnsi="宋体" w:eastAsia="宋体" w:cs="宋体"/>
                <w:b/>
                <w:bCs/>
                <w:color w:val="auto"/>
                <w:szCs w:val="21"/>
                <w:highlight w:val="none"/>
              </w:rPr>
              <w:t>应急周转资金制度、工程款支付担保</w:t>
            </w:r>
            <w:r>
              <w:rPr>
                <w:rFonts w:hint="eastAsia" w:ascii="宋体" w:hAnsi="宋体" w:eastAsia="宋体" w:cs="宋体"/>
                <w:b/>
                <w:bCs/>
                <w:color w:val="auto"/>
                <w:szCs w:val="21"/>
                <w:highlight w:val="none"/>
                <w:lang w:eastAsia="zh-CN"/>
              </w:rPr>
              <w:t>等</w:t>
            </w:r>
            <w:r>
              <w:rPr>
                <w:rFonts w:hint="eastAsia" w:ascii="宋体" w:hAnsi="宋体" w:eastAsia="宋体" w:cs="宋体"/>
                <w:b/>
                <w:bCs/>
                <w:color w:val="auto"/>
                <w:szCs w:val="21"/>
                <w:highlight w:val="none"/>
              </w:rPr>
              <w:t>措施</w:t>
            </w:r>
            <w:r>
              <w:rPr>
                <w:rFonts w:hint="eastAsia" w:ascii="宋体" w:hAnsi="宋体" w:eastAsia="宋体" w:cs="宋体"/>
                <w:b/>
                <w:bCs/>
                <w:color w:val="auto"/>
                <w:szCs w:val="21"/>
                <w:highlight w:val="none"/>
                <w:lang w:eastAsia="zh-CN"/>
              </w:rPr>
              <w:t>等）</w:t>
            </w:r>
          </w:p>
          <w:p>
            <w:pPr>
              <w:jc w:val="left"/>
              <w:rPr>
                <w:rFonts w:hint="eastAsia"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优得【</w:t>
            </w:r>
            <w:r>
              <w:rPr>
                <w:rFonts w:hint="eastAsia" w:ascii="宋体" w:hAnsi="宋体" w:eastAsia="宋体" w:cs="宋体"/>
                <w:color w:val="auto"/>
                <w:szCs w:val="21"/>
                <w:highlight w:val="none"/>
                <w:shd w:val="clear" w:color="auto" w:fill="FFFFFF"/>
                <w:lang w:val="en-US" w:eastAsia="zh-CN"/>
              </w:rPr>
              <w:t>19</w:t>
            </w:r>
            <w:r>
              <w:rPr>
                <w:rFonts w:hint="eastAsia" w:ascii="宋体" w:hAnsi="宋体" w:eastAsia="宋体" w:cs="宋体"/>
                <w:color w:val="auto"/>
                <w:szCs w:val="21"/>
                <w:highlight w:val="none"/>
                <w:shd w:val="clear" w:color="auto" w:fill="FFFFFF"/>
                <w:lang w:val="zh-CN"/>
              </w:rPr>
              <w:t>，</w:t>
            </w:r>
            <w:r>
              <w:rPr>
                <w:rFonts w:hint="eastAsia" w:ascii="宋体" w:hAnsi="宋体" w:eastAsia="宋体" w:cs="宋体"/>
                <w:color w:val="auto"/>
                <w:szCs w:val="21"/>
                <w:highlight w:val="none"/>
                <w:shd w:val="clear" w:color="auto" w:fill="FFFFFF"/>
                <w:lang w:val="en-US" w:eastAsia="zh-CN"/>
              </w:rPr>
              <w:t>25</w:t>
            </w:r>
            <w:r>
              <w:rPr>
                <w:rFonts w:hint="eastAsia" w:ascii="宋体" w:hAnsi="宋体" w:eastAsia="宋体" w:cs="宋体"/>
                <w:color w:val="auto"/>
                <w:szCs w:val="21"/>
                <w:highlight w:val="none"/>
                <w:shd w:val="clear" w:color="auto" w:fill="FFFFFF"/>
                <w:lang w:val="zh-CN"/>
              </w:rPr>
              <w:t>】分</w:t>
            </w:r>
          </w:p>
          <w:p>
            <w:pPr>
              <w:jc w:val="left"/>
              <w:rPr>
                <w:rFonts w:hint="eastAsia"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良得【</w:t>
            </w:r>
            <w:r>
              <w:rPr>
                <w:rFonts w:hint="eastAsia" w:ascii="宋体" w:hAnsi="宋体" w:eastAsia="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lang w:val="zh-CN"/>
              </w:rPr>
              <w:t>，</w:t>
            </w:r>
            <w:r>
              <w:rPr>
                <w:rFonts w:hint="eastAsia" w:ascii="宋体" w:hAnsi="宋体" w:eastAsia="宋体" w:cs="宋体"/>
                <w:color w:val="auto"/>
                <w:szCs w:val="21"/>
                <w:highlight w:val="none"/>
                <w:shd w:val="clear" w:color="auto" w:fill="FFFFFF"/>
                <w:lang w:val="en-US" w:eastAsia="zh-CN"/>
              </w:rPr>
              <w:t>18</w:t>
            </w:r>
            <w:r>
              <w:rPr>
                <w:rFonts w:hint="eastAsia" w:ascii="宋体" w:hAnsi="宋体" w:eastAsia="宋体" w:cs="宋体"/>
                <w:color w:val="auto"/>
                <w:szCs w:val="21"/>
                <w:highlight w:val="none"/>
                <w:shd w:val="clear" w:color="auto" w:fill="FFFFFF"/>
                <w:lang w:val="zh-CN"/>
              </w:rPr>
              <w:t>】分</w:t>
            </w:r>
          </w:p>
          <w:p>
            <w:pPr>
              <w:jc w:val="left"/>
              <w:rPr>
                <w:rFonts w:hint="eastAsia"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中得【</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zh-CN"/>
              </w:rPr>
              <w:t>，</w:t>
            </w:r>
            <w:r>
              <w:rPr>
                <w:rFonts w:hint="eastAsia" w:ascii="宋体" w:hAnsi="宋体" w:eastAsia="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lang w:val="zh-CN"/>
              </w:rPr>
              <w:t>】分</w:t>
            </w:r>
          </w:p>
          <w:p>
            <w:pPr>
              <w:jc w:val="left"/>
              <w:rPr>
                <w:rFonts w:hint="eastAsia"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差得【1，</w:t>
            </w:r>
            <w:r>
              <w:rPr>
                <w:rFonts w:hint="eastAsia" w:ascii="宋体" w:hAnsi="宋体" w:eastAsia="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zh-CN"/>
              </w:rPr>
              <w:t>】分</w:t>
            </w:r>
          </w:p>
          <w:p>
            <w:pPr>
              <w:jc w:val="left"/>
              <w:rPr>
                <w:rFonts w:hint="eastAsia" w:ascii="宋体" w:hAnsi="宋体" w:eastAsia="宋体" w:cs="宋体"/>
                <w:color w:val="auto"/>
                <w:kern w:val="2"/>
                <w:sz w:val="21"/>
                <w:szCs w:val="21"/>
                <w:highlight w:val="none"/>
                <w:shd w:val="clear" w:color="auto" w:fill="FFFFFF"/>
                <w:lang w:val="zh-CN" w:eastAsia="zh-CN" w:bidi="ar-SA"/>
              </w:rPr>
            </w:pPr>
            <w:r>
              <w:rPr>
                <w:rFonts w:hint="eastAsia" w:ascii="宋体" w:hAnsi="宋体" w:eastAsia="宋体" w:cs="宋体"/>
                <w:color w:val="auto"/>
                <w:szCs w:val="21"/>
                <w:highlight w:val="none"/>
                <w:shd w:val="clear" w:color="auto" w:fill="FFFFFF"/>
              </w:rPr>
              <w:t>不满足或</w:t>
            </w:r>
            <w:r>
              <w:rPr>
                <w:rFonts w:hint="eastAsia" w:ascii="宋体" w:hAnsi="宋体" w:eastAsia="宋体" w:cs="宋体"/>
                <w:color w:val="auto"/>
                <w:szCs w:val="21"/>
                <w:highlight w:val="none"/>
                <w:shd w:val="clear" w:color="auto" w:fill="FFFFFF"/>
                <w:lang w:val="zh-CN"/>
              </w:rPr>
              <w:t>未能按要求</w:t>
            </w:r>
            <w:r>
              <w:rPr>
                <w:rFonts w:hint="eastAsia" w:ascii="宋体" w:hAnsi="宋体" w:eastAsia="宋体" w:cs="宋体"/>
                <w:color w:val="auto"/>
                <w:szCs w:val="21"/>
                <w:highlight w:val="none"/>
                <w:shd w:val="clear" w:color="auto" w:fill="FFFFFF"/>
              </w:rPr>
              <w:t>提供相关资料</w:t>
            </w:r>
            <w:r>
              <w:rPr>
                <w:rFonts w:hint="eastAsia" w:ascii="宋体" w:hAnsi="宋体" w:eastAsia="宋体" w:cs="宋体"/>
                <w:color w:val="auto"/>
                <w:szCs w:val="21"/>
                <w:highlight w:val="none"/>
                <w:shd w:val="clear" w:color="auto" w:fill="FFFFFF"/>
                <w:lang w:val="zh-CN"/>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rPr>
              <w:t>2</w:t>
            </w:r>
          </w:p>
        </w:tc>
        <w:tc>
          <w:tcPr>
            <w:tcW w:w="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价格因素</w:t>
            </w:r>
          </w:p>
          <w:p>
            <w:pPr>
              <w:jc w:val="center"/>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100</w:t>
            </w:r>
            <w:r>
              <w:rPr>
                <w:rFonts w:hint="eastAsia" w:ascii="宋体" w:hAnsi="宋体" w:eastAsia="宋体" w:cs="宋体"/>
                <w:color w:val="auto"/>
                <w:szCs w:val="21"/>
                <w:highlight w:val="none"/>
                <w:shd w:val="clear" w:color="auto" w:fill="FFFFFF"/>
                <w:lang w:eastAsia="zh-CN"/>
              </w:rPr>
              <w:t>）</w:t>
            </w:r>
          </w:p>
        </w:tc>
        <w:tc>
          <w:tcPr>
            <w:tcW w:w="7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100</w:t>
            </w:r>
          </w:p>
        </w:tc>
        <w:tc>
          <w:tcPr>
            <w:tcW w:w="7114"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定标委员会对合格的中标候选人投标报价进行打分，</w:t>
            </w:r>
            <w:r>
              <w:rPr>
                <w:rFonts w:hint="eastAsia" w:ascii="宋体" w:hAnsi="宋体" w:eastAsia="宋体" w:cs="宋体"/>
                <w:b/>
                <w:bCs/>
                <w:color w:val="auto"/>
                <w:szCs w:val="21"/>
                <w:highlight w:val="none"/>
                <w:u w:val="single"/>
              </w:rPr>
              <w:t>以合格中标候选人中投标报价高于成本警示价的最低投标报价为定标基准价</w:t>
            </w:r>
            <w:r>
              <w:rPr>
                <w:rFonts w:hint="eastAsia" w:ascii="宋体" w:hAnsi="宋体" w:eastAsia="宋体" w:cs="宋体"/>
                <w:b/>
                <w:bCs/>
                <w:color w:val="auto"/>
                <w:highlight w:val="none"/>
                <w:u w:val="single"/>
              </w:rPr>
              <w:t>，</w:t>
            </w:r>
            <w:r>
              <w:rPr>
                <w:rFonts w:hint="eastAsia" w:ascii="宋体" w:hAnsi="宋体" w:eastAsia="宋体" w:cs="宋体"/>
                <w:b/>
                <w:bCs/>
                <w:color w:val="auto"/>
                <w:szCs w:val="21"/>
                <w:highlight w:val="none"/>
                <w:u w:val="single"/>
              </w:rPr>
              <w:t>投标报价等于定标基准价时得100分</w:t>
            </w:r>
            <w:r>
              <w:rPr>
                <w:rFonts w:hint="eastAsia" w:ascii="宋体" w:hAnsi="宋体" w:eastAsia="宋体" w:cs="宋体"/>
                <w:color w:val="auto"/>
                <w:highlight w:val="none"/>
              </w:rPr>
              <w:t>。</w:t>
            </w:r>
            <w:r>
              <w:rPr>
                <w:rFonts w:hint="eastAsia" w:ascii="宋体" w:hAnsi="宋体" w:eastAsia="宋体" w:cs="宋体"/>
                <w:color w:val="auto"/>
                <w:szCs w:val="21"/>
                <w:highlight w:val="none"/>
              </w:rPr>
              <w:t>投标</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报价比</w:t>
            </w:r>
            <w:r>
              <w:rPr>
                <w:rFonts w:hint="eastAsia" w:ascii="宋体" w:hAnsi="宋体" w:eastAsia="宋体" w:cs="宋体"/>
                <w:color w:val="auto"/>
                <w:szCs w:val="21"/>
                <w:highlight w:val="none"/>
                <w:lang w:eastAsia="zh-CN"/>
              </w:rPr>
              <w:t>定</w:t>
            </w:r>
            <w:r>
              <w:rPr>
                <w:rFonts w:hint="eastAsia" w:ascii="宋体" w:hAnsi="宋体" w:eastAsia="宋体" w:cs="宋体"/>
                <w:color w:val="auto"/>
                <w:szCs w:val="21"/>
                <w:highlight w:val="none"/>
              </w:rPr>
              <w:t>标基准价每高1%扣1.5分；每低1%扣1.0分，扣至0分为止。得出价格因素得分，分数出现小数点时，保留小数点后二位，第三位小数四舍五入。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493" w:type="dxa"/>
            <w:tcBorders>
              <w:left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合计</w:t>
            </w:r>
          </w:p>
        </w:tc>
        <w:tc>
          <w:tcPr>
            <w:tcW w:w="890" w:type="dxa"/>
            <w:tcBorders>
              <w:left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定标因素得分</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100</w:t>
            </w:r>
          </w:p>
        </w:tc>
        <w:tc>
          <w:tcPr>
            <w:tcW w:w="7114" w:type="dxa"/>
            <w:tcBorders>
              <w:top w:val="single" w:color="auto" w:sz="4" w:space="0"/>
              <w:left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总得分（100分）=</w:t>
            </w:r>
            <w:r>
              <w:rPr>
                <w:rFonts w:hint="eastAsia" w:ascii="宋体" w:hAnsi="宋体" w:eastAsia="宋体" w:cs="宋体"/>
                <w:color w:val="auto"/>
                <w:szCs w:val="21"/>
                <w:highlight w:val="none"/>
                <w:shd w:val="clear" w:color="auto" w:fill="FFFFFF"/>
                <w:lang w:val="zh-CN"/>
              </w:rPr>
              <w:t>方案</w:t>
            </w:r>
            <w:r>
              <w:rPr>
                <w:rFonts w:hint="eastAsia" w:ascii="宋体" w:hAnsi="宋体" w:cs="宋体"/>
                <w:color w:val="auto"/>
                <w:szCs w:val="21"/>
                <w:highlight w:val="none"/>
                <w:shd w:val="clear" w:color="auto" w:fill="FFFFFF"/>
                <w:lang w:val="zh-CN"/>
              </w:rPr>
              <w:t>因素</w:t>
            </w:r>
            <w:r>
              <w:rPr>
                <w:rFonts w:hint="eastAsia" w:ascii="宋体" w:hAnsi="宋体" w:eastAsia="宋体" w:cs="宋体"/>
                <w:color w:val="auto"/>
                <w:szCs w:val="21"/>
                <w:highlight w:val="none"/>
              </w:rPr>
              <w:t>得分（100分）*</w:t>
            </w:r>
            <w:r>
              <w:rPr>
                <w:rFonts w:hint="eastAsia" w:ascii="宋体" w:hAnsi="宋体" w:eastAsia="宋体" w:cs="宋体"/>
                <w:color w:val="auto"/>
                <w:szCs w:val="21"/>
                <w:highlight w:val="none"/>
                <w:shd w:val="clear" w:color="auto" w:fill="FFFFFF"/>
                <w:lang w:val="zh-CN"/>
              </w:rPr>
              <w:t>方案</w:t>
            </w:r>
            <w:r>
              <w:rPr>
                <w:rFonts w:hint="eastAsia" w:ascii="宋体" w:hAnsi="宋体" w:cs="宋体"/>
                <w:color w:val="auto"/>
                <w:szCs w:val="21"/>
                <w:highlight w:val="none"/>
                <w:shd w:val="clear" w:color="auto" w:fill="FFFFFF"/>
                <w:lang w:val="zh-CN"/>
              </w:rPr>
              <w:t>因素</w:t>
            </w:r>
            <w:r>
              <w:rPr>
                <w:rFonts w:hint="eastAsia" w:ascii="宋体" w:hAnsi="宋体" w:eastAsia="宋体" w:cs="宋体"/>
                <w:color w:val="auto"/>
                <w:szCs w:val="21"/>
                <w:highlight w:val="none"/>
              </w:rPr>
              <w:t>权重（70%）+价格因素得分（100分）*价格因素权重（30%）。</w:t>
            </w:r>
          </w:p>
        </w:tc>
      </w:tr>
    </w:tbl>
    <w:p>
      <w:pPr>
        <w:pStyle w:val="24"/>
        <w:ind w:left="0"/>
        <w:rPr>
          <w:rFonts w:hint="eastAsia" w:ascii="宋体" w:hAnsi="宋体" w:cs="宋体"/>
          <w:color w:val="auto"/>
          <w:sz w:val="21"/>
          <w:szCs w:val="21"/>
          <w:highlight w:val="none"/>
        </w:rPr>
      </w:pPr>
      <w:r>
        <w:rPr>
          <w:rFonts w:hint="eastAsia" w:ascii="宋体" w:hAnsi="宋体" w:cs="宋体"/>
          <w:color w:val="auto"/>
          <w:sz w:val="21"/>
          <w:szCs w:val="21"/>
          <w:highlight w:val="none"/>
        </w:rPr>
        <w:t>备注：</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1、分值范围的解释:定标委员会对方案因素评审时，定标因素表中“【*，*】”等分值，以整数进行评分（如1.0、2.0、3.0等，以此类推）。“【”、“】”表示含本数。</w:t>
      </w:r>
    </w:p>
    <w:p>
      <w:pPr>
        <w:rPr>
          <w:color w:val="auto"/>
          <w:highlight w:val="none"/>
        </w:rPr>
      </w:pPr>
      <w:r>
        <w:rPr>
          <w:rFonts w:hint="eastAsia" w:ascii="宋体" w:hAnsi="宋体" w:cs="宋体"/>
          <w:color w:val="auto"/>
          <w:sz w:val="21"/>
          <w:szCs w:val="21"/>
          <w:highlight w:val="none"/>
        </w:rPr>
        <w:t>2、</w:t>
      </w:r>
      <w:r>
        <w:rPr>
          <w:rFonts w:ascii="宋体" w:hAnsi="宋体" w:eastAsia="宋体" w:cs="宋体"/>
          <w:color w:val="auto"/>
          <w:szCs w:val="21"/>
          <w:highlight w:val="none"/>
        </w:rPr>
        <w:t>合格中标候选人方案</w:t>
      </w:r>
      <w:r>
        <w:rPr>
          <w:rFonts w:hint="eastAsia" w:ascii="宋体" w:hAnsi="宋体" w:cs="宋体"/>
          <w:color w:val="auto"/>
          <w:szCs w:val="21"/>
          <w:highlight w:val="none"/>
          <w:lang w:eastAsia="zh-CN"/>
        </w:rPr>
        <w:t>因素</w:t>
      </w:r>
      <w:r>
        <w:rPr>
          <w:rFonts w:ascii="宋体" w:hAnsi="宋体" w:eastAsia="宋体" w:cs="宋体"/>
          <w:color w:val="auto"/>
          <w:szCs w:val="21"/>
          <w:highlight w:val="none"/>
        </w:rPr>
        <w:t>得分为所有定标委员会成员对同一投标人</w:t>
      </w:r>
      <w:r>
        <w:rPr>
          <w:rFonts w:hint="eastAsia" w:ascii="宋体" w:hAnsi="宋体" w:eastAsia="宋体" w:cs="宋体"/>
          <w:color w:val="auto"/>
          <w:szCs w:val="21"/>
          <w:highlight w:val="none"/>
          <w:lang w:eastAsia="zh-CN"/>
        </w:rPr>
        <w:t>方案因素的</w:t>
      </w:r>
      <w:r>
        <w:rPr>
          <w:rFonts w:hint="eastAsia" w:ascii="宋体" w:hAnsi="宋体" w:cs="宋体"/>
          <w:color w:val="auto"/>
          <w:szCs w:val="21"/>
          <w:highlight w:val="none"/>
          <w:lang w:eastAsia="zh-CN"/>
        </w:rPr>
        <w:t>各项</w:t>
      </w:r>
      <w:r>
        <w:rPr>
          <w:rFonts w:hint="eastAsia" w:ascii="宋体" w:hAnsi="宋体" w:cs="宋体"/>
          <w:b/>
          <w:color w:val="auto"/>
          <w:szCs w:val="21"/>
          <w:highlight w:val="none"/>
          <w:u w:val="single"/>
          <w:lang w:eastAsia="zh-CN"/>
        </w:rPr>
        <w:t>评</w:t>
      </w:r>
      <w:r>
        <w:rPr>
          <w:rFonts w:hint="eastAsia" w:ascii="宋体" w:hAnsi="宋体" w:eastAsia="宋体" w:cs="宋体"/>
          <w:b/>
          <w:color w:val="auto"/>
          <w:szCs w:val="21"/>
          <w:highlight w:val="none"/>
          <w:u w:val="single"/>
        </w:rPr>
        <w:t>分</w:t>
      </w:r>
      <w:r>
        <w:rPr>
          <w:rFonts w:hint="eastAsia" w:ascii="宋体" w:hAnsi="宋体" w:cs="宋体"/>
          <w:b/>
          <w:color w:val="auto"/>
          <w:szCs w:val="21"/>
          <w:highlight w:val="none"/>
          <w:u w:val="single"/>
          <w:lang w:eastAsia="zh-CN"/>
        </w:rPr>
        <w:t>相加</w:t>
      </w:r>
      <w:r>
        <w:rPr>
          <w:rFonts w:hint="eastAsia" w:ascii="宋体" w:hAnsi="宋体" w:eastAsia="宋体" w:cs="宋体"/>
          <w:b/>
          <w:color w:val="auto"/>
          <w:szCs w:val="21"/>
          <w:highlight w:val="none"/>
          <w:u w:val="single"/>
        </w:rPr>
        <w:t>去掉一个最高分和一个最低分后计取的算术平均分（分数出现小数点时，保留小数点后二位，第三位小数四舍五入）。</w:t>
      </w:r>
    </w:p>
    <w:p>
      <w:pPr>
        <w:pStyle w:val="24"/>
        <w:spacing w:line="240" w:lineRule="auto"/>
        <w:ind w:left="0" w:leftChars="0" w:firstLine="0" w:firstLineChars="0"/>
        <w:rPr>
          <w:rFonts w:hint="default" w:hAnsi="宋体" w:eastAsia="宋体" w:cs="宋体"/>
          <w:b/>
          <w:color w:val="auto"/>
          <w:szCs w:val="24"/>
          <w:highlight w:val="none"/>
          <w:lang w:val="en-US" w:eastAsia="zh-CN"/>
        </w:rPr>
      </w:pPr>
      <w:r>
        <w:rPr>
          <w:rFonts w:hint="eastAsia" w:hAnsi="宋体" w:cs="宋体"/>
          <w:color w:val="auto"/>
          <w:kern w:val="2"/>
          <w:sz w:val="28"/>
          <w:szCs w:val="28"/>
          <w:highlight w:val="none"/>
        </w:rPr>
        <w:br w:type="page"/>
      </w:r>
      <w:r>
        <w:rPr>
          <w:rFonts w:hint="eastAsia" w:hAnsi="宋体" w:cs="宋体"/>
          <w:color w:val="auto"/>
          <w:kern w:val="2"/>
          <w:sz w:val="24"/>
          <w:szCs w:val="24"/>
          <w:highlight w:val="none"/>
          <w:lang w:val="en-US" w:eastAsia="zh-CN"/>
        </w:rPr>
        <w:t>附表八：</w:t>
      </w:r>
    </w:p>
    <w:p>
      <w:pPr>
        <w:spacing w:line="360" w:lineRule="auto"/>
        <w:rPr>
          <w:rFonts w:hint="eastAsia" w:ascii="宋体" w:hAnsi="宋体" w:eastAsia="宋体" w:cs="宋体"/>
          <w:b/>
          <w:color w:val="auto"/>
          <w:highlight w:val="none"/>
          <w:lang w:val="en-US" w:eastAsia="zh-CN"/>
        </w:rPr>
      </w:pPr>
    </w:p>
    <w:p>
      <w:pPr>
        <w:snapToGrid w:val="0"/>
        <w:ind w:firstLine="602"/>
        <w:jc w:val="center"/>
        <w:outlineLvl w:val="2"/>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定标阶段（方案因素）评审得分表</w:t>
      </w:r>
    </w:p>
    <w:p>
      <w:pPr>
        <w:snapToGrid w:val="0"/>
        <w:ind w:firstLine="602"/>
        <w:jc w:val="center"/>
        <w:outlineLvl w:val="2"/>
        <w:rPr>
          <w:rFonts w:hint="eastAsia" w:ascii="宋体" w:hAnsi="宋体" w:eastAsia="宋体" w:cs="宋体"/>
          <w:color w:val="auto"/>
          <w:highlight w:val="none"/>
        </w:rPr>
      </w:pPr>
      <w:r>
        <w:rPr>
          <w:rFonts w:hint="eastAsia" w:ascii="宋体" w:hAnsi="宋体" w:eastAsia="宋体" w:cs="宋体"/>
          <w:b/>
          <w:color w:val="auto"/>
          <w:sz w:val="30"/>
          <w:szCs w:val="30"/>
          <w:highlight w:val="none"/>
        </w:rPr>
        <w:t>（定标委员个人用表）</w:t>
      </w:r>
    </w:p>
    <w:p>
      <w:pPr>
        <w:snapToGrid w:val="0"/>
        <w:spacing w:line="240" w:lineRule="atLeast"/>
        <w:rPr>
          <w:rFonts w:hint="eastAsia" w:ascii="宋体" w:hAnsi="宋体" w:eastAsia="宋体" w:cs="宋体"/>
          <w:color w:val="auto"/>
          <w:szCs w:val="24"/>
          <w:highlight w:val="none"/>
        </w:rPr>
      </w:pPr>
      <w:r>
        <w:rPr>
          <w:rFonts w:hint="eastAsia" w:ascii="宋体" w:hAnsi="宋体" w:eastAsia="宋体" w:cs="宋体"/>
          <w:color w:val="auto"/>
          <w:sz w:val="24"/>
          <w:szCs w:val="32"/>
          <w:highlight w:val="none"/>
        </w:rPr>
        <w:t>工程名称：</w:t>
      </w:r>
    </w:p>
    <w:tbl>
      <w:tblPr>
        <w:tblStyle w:val="30"/>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829"/>
        <w:gridCol w:w="819"/>
        <w:gridCol w:w="1665"/>
        <w:gridCol w:w="1575"/>
        <w:gridCol w:w="1500"/>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15"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shd w:val="clear" w:color="auto" w:fill="FFFFFF"/>
                <w:lang w:val="zh-CN"/>
              </w:rPr>
            </w:pPr>
            <w:r>
              <w:rPr>
                <w:rFonts w:hint="eastAsia" w:ascii="宋体" w:hAnsi="宋体" w:eastAsia="宋体" w:cs="宋体"/>
                <w:color w:val="auto"/>
                <w:sz w:val="24"/>
                <w:szCs w:val="24"/>
                <w:highlight w:val="none"/>
                <w:shd w:val="clear" w:color="auto" w:fill="FFFFFF"/>
                <w:lang w:val="zh-CN"/>
              </w:rPr>
              <w:t>序号</w:t>
            </w:r>
          </w:p>
        </w:tc>
        <w:tc>
          <w:tcPr>
            <w:tcW w:w="1829" w:type="dxa"/>
            <w:vMerge w:val="restart"/>
            <w:tcBorders>
              <w:top w:val="single" w:color="auto" w:sz="4" w:space="0"/>
              <w:left w:val="single" w:color="auto" w:sz="4" w:space="0"/>
              <w:right w:val="single" w:color="auto" w:sz="4" w:space="0"/>
            </w:tcBorders>
            <w:noWrap w:val="0"/>
            <w:vAlign w:val="center"/>
          </w:tcPr>
          <w:p>
            <w:pPr>
              <w:jc w:val="center"/>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评价项目</w:t>
            </w:r>
          </w:p>
        </w:tc>
        <w:tc>
          <w:tcPr>
            <w:tcW w:w="819" w:type="dxa"/>
            <w:vMerge w:val="restart"/>
            <w:tcBorders>
              <w:top w:val="single" w:color="auto" w:sz="4" w:space="0"/>
              <w:left w:val="single" w:color="auto" w:sz="4" w:space="0"/>
              <w:right w:val="single" w:color="auto" w:sz="4" w:space="0"/>
            </w:tcBorders>
            <w:noWrap w:val="0"/>
            <w:vAlign w:val="center"/>
          </w:tcPr>
          <w:p>
            <w:pPr>
              <w:jc w:val="center"/>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分值</w:t>
            </w:r>
          </w:p>
        </w:tc>
        <w:tc>
          <w:tcPr>
            <w:tcW w:w="604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shd w:val="clear" w:color="auto" w:fill="FFFFFF"/>
                <w:lang w:val="zh-CN"/>
              </w:rPr>
            </w:pPr>
            <w:r>
              <w:rPr>
                <w:rFonts w:hint="eastAsia" w:ascii="宋体" w:hAnsi="宋体" w:eastAsia="宋体" w:cs="宋体"/>
                <w:color w:val="auto"/>
                <w:sz w:val="24"/>
                <w:szCs w:val="24"/>
                <w:highlight w:val="none"/>
                <w:shd w:val="clear" w:color="auto" w:fill="FFFFFF"/>
                <w:lang w:val="zh-CN"/>
              </w:rPr>
              <w:t>合格中标候选人名称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15"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shd w:val="clear" w:color="auto" w:fill="FFFFFF"/>
                <w:lang w:val="zh-CN"/>
              </w:rPr>
            </w:pPr>
          </w:p>
        </w:tc>
        <w:tc>
          <w:tcPr>
            <w:tcW w:w="1829"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shd w:val="clear" w:color="auto" w:fill="FFFFFF"/>
                <w:lang w:val="zh-CN"/>
              </w:rPr>
            </w:pPr>
          </w:p>
        </w:tc>
        <w:tc>
          <w:tcPr>
            <w:tcW w:w="819"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shd w:val="clear" w:color="auto" w:fill="FFFFFF"/>
                <w:lang w:val="zh-CN"/>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zh-CN"/>
              </w:rPr>
              <w:t>合格</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zh-CN"/>
              </w:rPr>
              <w:t>中标候选人</w:t>
            </w:r>
            <w:r>
              <w:rPr>
                <w:rFonts w:hint="eastAsia" w:ascii="宋体" w:hAnsi="宋体" w:eastAsia="宋体" w:cs="宋体"/>
                <w:color w:val="auto"/>
                <w:sz w:val="24"/>
                <w:szCs w:val="24"/>
                <w:highlight w:val="none"/>
                <w:shd w:val="clear" w:color="auto" w:fill="FFFFFF"/>
                <w:lang w:val="en-US" w:eastAsia="zh-CN"/>
              </w:rPr>
              <w:t>1</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shd w:val="clear" w:color="auto" w:fill="FFFFFF"/>
                <w:lang w:val="zh-CN"/>
              </w:rPr>
            </w:pPr>
            <w:r>
              <w:rPr>
                <w:rFonts w:hint="eastAsia" w:ascii="宋体" w:hAnsi="宋体" w:eastAsia="宋体" w:cs="宋体"/>
                <w:color w:val="auto"/>
                <w:sz w:val="24"/>
                <w:szCs w:val="24"/>
                <w:highlight w:val="none"/>
                <w:shd w:val="clear" w:color="auto" w:fill="FFFFFF"/>
                <w:lang w:val="zh-CN"/>
              </w:rPr>
              <w:t>合格</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zh-CN"/>
              </w:rPr>
              <w:t>中标候选人</w:t>
            </w:r>
            <w:r>
              <w:rPr>
                <w:rFonts w:hint="eastAsia" w:ascii="宋体" w:hAnsi="宋体" w:eastAsia="宋体" w:cs="宋体"/>
                <w:color w:val="auto"/>
                <w:sz w:val="24"/>
                <w:szCs w:val="24"/>
                <w:highlight w:val="none"/>
                <w:shd w:val="clear" w:color="auto" w:fill="FFFFFF"/>
                <w:lang w:val="en-US" w:eastAsia="zh-CN"/>
              </w:rPr>
              <w:t>2</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zh-CN"/>
              </w:rPr>
              <w:t>合格</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zh-CN"/>
              </w:rPr>
              <w:t>中标候选人</w:t>
            </w:r>
            <w:r>
              <w:rPr>
                <w:rFonts w:hint="eastAsia" w:ascii="宋体" w:hAnsi="宋体" w:eastAsia="宋体" w:cs="宋体"/>
                <w:color w:val="auto"/>
                <w:sz w:val="24"/>
                <w:szCs w:val="24"/>
                <w:highlight w:val="none"/>
                <w:shd w:val="clear" w:color="auto" w:fill="FFFFFF"/>
                <w:lang w:val="en-US" w:eastAsia="zh-CN"/>
              </w:rPr>
              <w:t>3</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1</w:t>
            </w:r>
          </w:p>
        </w:tc>
        <w:tc>
          <w:tcPr>
            <w:tcW w:w="18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shd w:val="clear" w:color="auto" w:fill="FFFFFF"/>
                <w:lang w:val="zh-CN" w:eastAsia="zh-CN"/>
              </w:rPr>
            </w:pPr>
            <w:r>
              <w:rPr>
                <w:rFonts w:hint="eastAsia" w:ascii="宋体" w:hAnsi="宋体" w:eastAsia="宋体" w:cs="宋体"/>
                <w:color w:val="auto"/>
                <w:sz w:val="24"/>
                <w:szCs w:val="24"/>
                <w:highlight w:val="none"/>
                <w:shd w:val="clear" w:color="auto" w:fill="FFFFFF"/>
                <w:lang w:val="zh-CN" w:eastAsia="zh-CN"/>
              </w:rPr>
              <w:t>对拟投入本项目的团队配置进行评审</w:t>
            </w:r>
          </w:p>
        </w:tc>
        <w:tc>
          <w:tcPr>
            <w:tcW w:w="8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25</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shd w:val="clear" w:color="auto" w:fill="FFFFFF"/>
                <w:lang w:val="zh-CN"/>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shd w:val="clear" w:color="auto" w:fill="FFFFFF"/>
                <w:lang w:val="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shd w:val="clear" w:color="auto" w:fill="FFFFFF"/>
                <w:lang w:val="zh-CN"/>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shd w:val="clear" w:color="auto" w:fill="FFFFFF"/>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w:t>
            </w:r>
          </w:p>
        </w:tc>
        <w:tc>
          <w:tcPr>
            <w:tcW w:w="18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shd w:val="clear" w:color="auto" w:fill="FFFFFF"/>
                <w:lang w:val="zh-CN" w:eastAsia="zh-CN"/>
              </w:rPr>
            </w:pPr>
            <w:r>
              <w:rPr>
                <w:rFonts w:hint="eastAsia" w:ascii="宋体" w:hAnsi="宋体" w:eastAsia="宋体" w:cs="宋体"/>
                <w:color w:val="auto"/>
                <w:sz w:val="24"/>
                <w:szCs w:val="24"/>
                <w:highlight w:val="none"/>
                <w:shd w:val="clear" w:color="auto" w:fill="FFFFFF"/>
                <w:lang w:val="zh-CN" w:eastAsia="zh-CN"/>
              </w:rPr>
              <w:t>对拟投入本项目的团队配置进行评审</w:t>
            </w:r>
          </w:p>
        </w:tc>
        <w:tc>
          <w:tcPr>
            <w:tcW w:w="8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25</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shd w:val="clear" w:color="auto" w:fill="FFFFFF"/>
                <w:lang w:val="zh-CN"/>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shd w:val="clear" w:color="auto" w:fill="FFFFFF"/>
                <w:lang w:val="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shd w:val="clear" w:color="auto" w:fill="FFFFFF"/>
                <w:lang w:val="zh-CN"/>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shd w:val="clear" w:color="auto" w:fill="FFFFFF"/>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w:t>
            </w:r>
          </w:p>
        </w:tc>
        <w:tc>
          <w:tcPr>
            <w:tcW w:w="18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shd w:val="clear" w:color="auto" w:fill="FFFFFF"/>
                <w:lang w:val="zh-CN" w:eastAsia="zh-CN"/>
              </w:rPr>
            </w:pPr>
            <w:r>
              <w:rPr>
                <w:rFonts w:hint="eastAsia" w:ascii="宋体" w:hAnsi="宋体" w:eastAsia="宋体" w:cs="宋体"/>
                <w:color w:val="auto"/>
                <w:sz w:val="24"/>
                <w:szCs w:val="24"/>
                <w:highlight w:val="none"/>
                <w:shd w:val="clear" w:color="auto" w:fill="FFFFFF"/>
                <w:lang w:val="zh-CN" w:eastAsia="zh-CN"/>
              </w:rPr>
              <w:t>对本项目成本控制措施进行评审</w:t>
            </w:r>
          </w:p>
        </w:tc>
        <w:tc>
          <w:tcPr>
            <w:tcW w:w="8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25</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shd w:val="clear" w:color="auto" w:fill="FFFFFF"/>
                <w:lang w:val="zh-CN"/>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shd w:val="clear" w:color="auto" w:fill="FFFFFF"/>
                <w:lang w:val="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shd w:val="clear" w:color="auto" w:fill="FFFFFF"/>
                <w:lang w:val="zh-CN"/>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shd w:val="clear" w:color="auto" w:fill="FFFFFF"/>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w:t>
            </w:r>
          </w:p>
        </w:tc>
        <w:tc>
          <w:tcPr>
            <w:tcW w:w="18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shd w:val="clear" w:color="auto" w:fill="FFFFFF"/>
                <w:lang w:val="zh-CN" w:eastAsia="zh-CN"/>
              </w:rPr>
            </w:pPr>
            <w:r>
              <w:rPr>
                <w:rFonts w:hint="eastAsia" w:ascii="宋体" w:hAnsi="宋体" w:eastAsia="宋体" w:cs="宋体"/>
                <w:color w:val="auto"/>
                <w:sz w:val="24"/>
                <w:szCs w:val="24"/>
                <w:highlight w:val="none"/>
                <w:shd w:val="clear" w:color="auto" w:fill="FFFFFF"/>
                <w:lang w:val="en-US" w:eastAsia="zh-CN"/>
              </w:rPr>
              <w:t>对本项目资金管理措施进行评审</w:t>
            </w:r>
          </w:p>
        </w:tc>
        <w:tc>
          <w:tcPr>
            <w:tcW w:w="8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25</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shd w:val="clear" w:color="auto" w:fill="FFFFFF"/>
                <w:lang w:val="zh-CN"/>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shd w:val="clear" w:color="auto" w:fill="FFFFFF"/>
                <w:lang w:val="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shd w:val="clear" w:color="auto" w:fill="FFFFFF"/>
                <w:lang w:val="zh-CN"/>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shd w:val="clear" w:color="auto" w:fill="FFFFFF"/>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54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合计</w:t>
            </w:r>
          </w:p>
        </w:tc>
        <w:tc>
          <w:tcPr>
            <w:tcW w:w="8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100</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shd w:val="clear" w:color="auto" w:fill="FFFFFF"/>
                <w:lang w:val="zh-CN"/>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shd w:val="clear" w:color="auto" w:fill="FFFFFF"/>
                <w:lang w:val="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shd w:val="clear" w:color="auto" w:fill="FFFFFF"/>
                <w:lang w:val="zh-CN"/>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shd w:val="clear" w:color="auto" w:fill="FFFFFF"/>
                <w:lang w:val="zh-CN"/>
              </w:rPr>
            </w:pPr>
          </w:p>
        </w:tc>
      </w:tr>
    </w:tbl>
    <w:p>
      <w:pPr>
        <w:spacing w:line="360" w:lineRule="atLeast"/>
        <w:ind w:right="42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pPr>
        <w:numPr>
          <w:ilvl w:val="0"/>
          <w:numId w:val="0"/>
        </w:numPr>
        <w:spacing w:line="360" w:lineRule="atLeast"/>
        <w:ind w:right="-2" w:rightChars="0"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Cs w:val="21"/>
          <w:highlight w:val="none"/>
        </w:rPr>
        <w:t>本表格用于定标阶段方案因素评审计分，定标委员会成员应当独立打分；</w:t>
      </w:r>
    </w:p>
    <w:p>
      <w:pPr>
        <w:numPr>
          <w:ilvl w:val="0"/>
          <w:numId w:val="0"/>
        </w:numPr>
        <w:spacing w:line="360" w:lineRule="atLeast"/>
        <w:ind w:right="-2" w:righ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2、定标委员会各成员对所有进入定标程序的合格中标候选人按《定标因素表（定标阶段用表）》定标方案因素评分标准进行打分。</w:t>
      </w:r>
    </w:p>
    <w:p>
      <w:pPr>
        <w:pStyle w:val="24"/>
        <w:spacing w:line="360" w:lineRule="atLeast"/>
        <w:ind w:left="0" w:leftChars="0" w:firstLine="0" w:firstLineChars="0"/>
        <w:rPr>
          <w:rFonts w:hint="eastAsia" w:ascii="宋体" w:hAnsi="宋体" w:eastAsia="宋体" w:cs="宋体"/>
          <w:color w:val="auto"/>
          <w:highlight w:val="none"/>
        </w:rPr>
      </w:pPr>
    </w:p>
    <w:p>
      <w:pPr>
        <w:snapToGrid w:val="0"/>
        <w:spacing w:line="360" w:lineRule="atLeast"/>
        <w:ind w:firstLine="480"/>
        <w:jc w:val="left"/>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定标委员签名：</w:t>
      </w:r>
    </w:p>
    <w:p>
      <w:pPr>
        <w:snapToGrid w:val="0"/>
        <w:spacing w:line="360" w:lineRule="atLeast"/>
        <w:ind w:firstLine="480"/>
        <w:jc w:val="right"/>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pPr>
        <w:spacing w:line="240" w:lineRule="auto"/>
        <w:ind w:firstLine="0" w:firstLineChars="0"/>
        <w:jc w:val="left"/>
        <w:rPr>
          <w:rFonts w:hint="default" w:ascii="仿宋" w:hAnsi="仿宋" w:eastAsia="宋体" w:cs="仿宋"/>
          <w:color w:val="auto"/>
          <w:sz w:val="21"/>
          <w:szCs w:val="21"/>
          <w:highlight w:val="none"/>
          <w:lang w:val="en-US" w:eastAsia="zh-CN"/>
        </w:rPr>
      </w:pPr>
      <w:r>
        <w:rPr>
          <w:rFonts w:hint="eastAsia" w:ascii="宋体" w:hAnsi="宋体" w:eastAsia="宋体" w:cs="宋体"/>
          <w:color w:val="auto"/>
          <w:szCs w:val="24"/>
          <w:highlight w:val="none"/>
        </w:rPr>
        <w:br w:type="page"/>
      </w:r>
      <w:r>
        <w:rPr>
          <w:rFonts w:hint="eastAsia" w:hAnsi="宋体" w:cs="宋体"/>
          <w:color w:val="auto"/>
          <w:sz w:val="24"/>
          <w:szCs w:val="24"/>
          <w:highlight w:val="none"/>
          <w:lang w:val="en-US" w:eastAsia="zh-CN"/>
        </w:rPr>
        <w:t>附表九：</w:t>
      </w:r>
    </w:p>
    <w:p>
      <w:pPr>
        <w:snapToGrid w:val="0"/>
        <w:ind w:firstLine="602"/>
        <w:jc w:val="center"/>
        <w:outlineLvl w:val="2"/>
        <w:rPr>
          <w:rFonts w:hint="eastAsia" w:hAnsi="宋体" w:cs="宋体"/>
          <w:b/>
          <w:color w:val="auto"/>
          <w:sz w:val="30"/>
          <w:szCs w:val="30"/>
          <w:highlight w:val="none"/>
        </w:rPr>
      </w:pPr>
      <w:r>
        <w:rPr>
          <w:rFonts w:hint="eastAsia" w:hAnsi="宋体" w:cs="宋体"/>
          <w:b/>
          <w:color w:val="auto"/>
          <w:sz w:val="30"/>
          <w:szCs w:val="30"/>
          <w:highlight w:val="none"/>
        </w:rPr>
        <w:t>定标阶段（价格因素）评审得分表</w:t>
      </w:r>
    </w:p>
    <w:p>
      <w:pPr>
        <w:snapToGrid w:val="0"/>
        <w:ind w:firstLine="602"/>
        <w:jc w:val="center"/>
        <w:outlineLvl w:val="2"/>
        <w:rPr>
          <w:rFonts w:hint="eastAsia" w:hAnsi="宋体" w:cs="宋体"/>
          <w:b/>
          <w:color w:val="auto"/>
          <w:sz w:val="30"/>
          <w:szCs w:val="30"/>
          <w:highlight w:val="none"/>
        </w:rPr>
      </w:pPr>
      <w:r>
        <w:rPr>
          <w:rFonts w:hint="eastAsia" w:hAnsi="宋体" w:cs="宋体"/>
          <w:b/>
          <w:color w:val="auto"/>
          <w:sz w:val="30"/>
          <w:szCs w:val="30"/>
          <w:highlight w:val="none"/>
        </w:rPr>
        <w:t>（定标委员会汇总用表）</w:t>
      </w:r>
    </w:p>
    <w:p>
      <w:pPr>
        <w:pStyle w:val="24"/>
        <w:ind w:left="480" w:firstLine="480"/>
        <w:rPr>
          <w:rFonts w:hint="eastAsia"/>
          <w:color w:val="auto"/>
          <w:highlight w:val="none"/>
        </w:rPr>
      </w:pPr>
    </w:p>
    <w:p>
      <w:pPr>
        <w:ind w:firstLine="480"/>
        <w:rPr>
          <w:rFonts w:hint="eastAsia" w:hAnsi="宋体" w:cs="宋体"/>
          <w:color w:val="auto"/>
          <w:szCs w:val="24"/>
          <w:highlight w:val="none"/>
        </w:rPr>
      </w:pPr>
      <w:r>
        <w:rPr>
          <w:rFonts w:hint="eastAsia" w:hAnsi="宋体" w:cs="宋体"/>
          <w:color w:val="auto"/>
          <w:szCs w:val="24"/>
          <w:highlight w:val="none"/>
        </w:rPr>
        <w:t>工程名称：</w:t>
      </w:r>
    </w:p>
    <w:tbl>
      <w:tblPr>
        <w:tblStyle w:val="30"/>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3331"/>
        <w:gridCol w:w="2068"/>
        <w:gridCol w:w="208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序号</w:t>
            </w:r>
          </w:p>
        </w:tc>
        <w:tc>
          <w:tcPr>
            <w:tcW w:w="1762"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合格中标候选人名称</w:t>
            </w:r>
          </w:p>
        </w:tc>
        <w:tc>
          <w:tcPr>
            <w:tcW w:w="1094"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投标报价（元）</w:t>
            </w:r>
          </w:p>
        </w:tc>
        <w:tc>
          <w:tcPr>
            <w:tcW w:w="1102"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en-US" w:eastAsia="zh-CN"/>
              </w:rPr>
              <w:t>定标</w:t>
            </w:r>
            <w:r>
              <w:rPr>
                <w:rFonts w:hint="eastAsia" w:hAnsi="宋体" w:cs="宋体"/>
                <w:color w:val="auto"/>
                <w:sz w:val="21"/>
                <w:szCs w:val="21"/>
                <w:highlight w:val="none"/>
                <w:shd w:val="clear" w:color="auto" w:fill="FFFFFF"/>
              </w:rPr>
              <w:t>基准价</w:t>
            </w:r>
            <w:r>
              <w:rPr>
                <w:rFonts w:hint="eastAsia" w:hAnsi="宋体" w:cs="宋体"/>
                <w:color w:val="auto"/>
                <w:sz w:val="21"/>
                <w:szCs w:val="21"/>
                <w:highlight w:val="none"/>
                <w:shd w:val="clear" w:color="auto" w:fill="FFFFFF"/>
                <w:lang w:val="zh-CN"/>
              </w:rPr>
              <w:t>（元）</w:t>
            </w:r>
          </w:p>
        </w:tc>
        <w:tc>
          <w:tcPr>
            <w:tcW w:w="546"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价格因素得分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1</w:t>
            </w:r>
          </w:p>
        </w:tc>
        <w:tc>
          <w:tcPr>
            <w:tcW w:w="1762"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094" w:type="pct"/>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102" w:type="pct"/>
            <w:tcBorders>
              <w:top w:val="single" w:color="auto" w:sz="4" w:space="0"/>
              <w:left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546" w:type="pct"/>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2</w:t>
            </w:r>
          </w:p>
        </w:tc>
        <w:tc>
          <w:tcPr>
            <w:tcW w:w="1762"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094" w:type="pct"/>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102" w:type="pct"/>
            <w:tcBorders>
              <w:left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546" w:type="pct"/>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3</w:t>
            </w:r>
          </w:p>
        </w:tc>
        <w:tc>
          <w:tcPr>
            <w:tcW w:w="1762"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094" w:type="pct"/>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102" w:type="pct"/>
            <w:tcBorders>
              <w:left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546" w:type="pct"/>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4</w:t>
            </w:r>
          </w:p>
        </w:tc>
        <w:tc>
          <w:tcPr>
            <w:tcW w:w="1762"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094" w:type="pct"/>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102" w:type="pct"/>
            <w:tcBorders>
              <w:left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546" w:type="pct"/>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5</w:t>
            </w:r>
          </w:p>
        </w:tc>
        <w:tc>
          <w:tcPr>
            <w:tcW w:w="1762"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094" w:type="pct"/>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102" w:type="pct"/>
            <w:tcBorders>
              <w:left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546" w:type="pct"/>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eastAsia="宋体" w:cs="宋体"/>
                <w:color w:val="auto"/>
                <w:sz w:val="21"/>
                <w:szCs w:val="21"/>
                <w:highlight w:val="none"/>
                <w:shd w:val="clear" w:color="auto" w:fill="FFFFFF"/>
                <w:lang w:val="en-US" w:eastAsia="zh-CN"/>
              </w:rPr>
            </w:pPr>
            <w:r>
              <w:rPr>
                <w:rFonts w:hint="eastAsia" w:hAnsi="宋体" w:cs="宋体"/>
                <w:color w:val="auto"/>
                <w:sz w:val="21"/>
                <w:szCs w:val="21"/>
                <w:highlight w:val="none"/>
                <w:shd w:val="clear" w:color="auto" w:fill="FFFFFF"/>
                <w:lang w:val="en-US" w:eastAsia="zh-CN"/>
              </w:rPr>
              <w:t>6</w:t>
            </w:r>
          </w:p>
        </w:tc>
        <w:tc>
          <w:tcPr>
            <w:tcW w:w="1762"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094" w:type="pct"/>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102" w:type="pct"/>
            <w:tcBorders>
              <w:left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546" w:type="pct"/>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eastAsia="宋体" w:cs="宋体"/>
                <w:color w:val="auto"/>
                <w:sz w:val="21"/>
                <w:szCs w:val="21"/>
                <w:highlight w:val="none"/>
                <w:shd w:val="clear" w:color="auto" w:fill="FFFFFF"/>
                <w:lang w:val="en-US" w:eastAsia="zh-CN"/>
              </w:rPr>
            </w:pPr>
            <w:r>
              <w:rPr>
                <w:rFonts w:hint="eastAsia" w:hAnsi="宋体" w:cs="宋体"/>
                <w:color w:val="auto"/>
                <w:sz w:val="21"/>
                <w:szCs w:val="21"/>
                <w:highlight w:val="none"/>
                <w:shd w:val="clear" w:color="auto" w:fill="FFFFFF"/>
                <w:lang w:val="en-US" w:eastAsia="zh-CN"/>
              </w:rPr>
              <w:t>7</w:t>
            </w:r>
          </w:p>
        </w:tc>
        <w:tc>
          <w:tcPr>
            <w:tcW w:w="1762"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094" w:type="pct"/>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102" w:type="pct"/>
            <w:tcBorders>
              <w:left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546" w:type="pct"/>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bl>
    <w:p>
      <w:pPr>
        <w:spacing w:line="300" w:lineRule="exact"/>
        <w:ind w:right="-325" w:rightChars="-155" w:firstLine="480"/>
        <w:rPr>
          <w:rFonts w:hint="eastAsia" w:hAnsi="宋体" w:cs="宋体"/>
          <w:color w:val="auto"/>
          <w:szCs w:val="21"/>
          <w:highlight w:val="none"/>
        </w:rPr>
      </w:pPr>
      <w:r>
        <w:rPr>
          <w:rFonts w:hint="eastAsia" w:hAnsi="宋体" w:cs="宋体"/>
          <w:color w:val="auto"/>
          <w:szCs w:val="21"/>
          <w:highlight w:val="none"/>
        </w:rPr>
        <w:t>备注：</w:t>
      </w:r>
    </w:p>
    <w:p>
      <w:pPr>
        <w:spacing w:line="300" w:lineRule="exact"/>
        <w:ind w:right="-325" w:rightChars="-155" w:firstLine="480"/>
        <w:rPr>
          <w:rFonts w:hint="eastAsia" w:hAnsi="宋体" w:cs="宋体"/>
          <w:color w:val="auto"/>
          <w:szCs w:val="21"/>
          <w:highlight w:val="none"/>
        </w:rPr>
      </w:pPr>
      <w:r>
        <w:rPr>
          <w:rFonts w:hint="eastAsia" w:hAnsi="宋体" w:cs="宋体"/>
          <w:color w:val="auto"/>
          <w:szCs w:val="21"/>
          <w:highlight w:val="none"/>
        </w:rPr>
        <w:t>定标委员会对合格的中标候选人投标报价进行打分，</w:t>
      </w:r>
      <w:r>
        <w:rPr>
          <w:rFonts w:hint="eastAsia" w:ascii="宋体" w:hAnsi="宋体" w:eastAsia="宋体" w:cs="宋体"/>
          <w:b/>
          <w:bCs/>
          <w:color w:val="auto"/>
          <w:szCs w:val="21"/>
          <w:highlight w:val="none"/>
          <w:u w:val="single"/>
        </w:rPr>
        <w:t>以合格中标候选人中投标报价高于成本警示价的最低投标报价为定标基准价</w:t>
      </w:r>
      <w:r>
        <w:rPr>
          <w:rFonts w:hint="eastAsia" w:ascii="宋体" w:hAnsi="宋体" w:eastAsia="宋体" w:cs="宋体"/>
          <w:b/>
          <w:bCs/>
          <w:color w:val="auto"/>
          <w:highlight w:val="none"/>
          <w:u w:val="single"/>
        </w:rPr>
        <w:t>，</w:t>
      </w:r>
      <w:r>
        <w:rPr>
          <w:rFonts w:hint="eastAsia" w:ascii="宋体" w:hAnsi="宋体" w:eastAsia="宋体" w:cs="宋体"/>
          <w:b/>
          <w:bCs/>
          <w:color w:val="auto"/>
          <w:szCs w:val="21"/>
          <w:highlight w:val="none"/>
          <w:u w:val="single"/>
        </w:rPr>
        <w:t>投标报价等于定标基准价时得100分</w:t>
      </w:r>
      <w:r>
        <w:rPr>
          <w:rFonts w:hint="eastAsia" w:ascii="宋体" w:hAnsi="宋体" w:eastAsia="宋体" w:cs="宋体"/>
          <w:b/>
          <w:bCs/>
          <w:color w:val="auto"/>
          <w:highlight w:val="none"/>
          <w:u w:val="single"/>
        </w:rPr>
        <w:t>。</w:t>
      </w:r>
      <w:r>
        <w:rPr>
          <w:rFonts w:hint="eastAsia" w:hAnsi="宋体" w:cs="宋体"/>
          <w:color w:val="auto"/>
          <w:szCs w:val="21"/>
          <w:highlight w:val="none"/>
        </w:rPr>
        <w:t>投标报价比</w:t>
      </w:r>
      <w:r>
        <w:rPr>
          <w:rFonts w:hint="eastAsia" w:hAnsi="宋体" w:cs="宋体"/>
          <w:color w:val="auto"/>
          <w:szCs w:val="21"/>
          <w:highlight w:val="none"/>
          <w:lang w:eastAsia="zh-CN"/>
        </w:rPr>
        <w:t>定</w:t>
      </w:r>
      <w:r>
        <w:rPr>
          <w:rFonts w:hint="eastAsia" w:hAnsi="宋体" w:cs="宋体"/>
          <w:color w:val="auto"/>
          <w:szCs w:val="21"/>
          <w:highlight w:val="none"/>
        </w:rPr>
        <w:t>标基准价每高1%扣1.5分；每低1%扣1.0分，扣至0分为止。得出价格因素得分，分数出现小数点时，保留小数点后二位，第三位小数四舍五入。</w:t>
      </w:r>
    </w:p>
    <w:p>
      <w:pPr>
        <w:pStyle w:val="24"/>
        <w:ind w:left="480" w:firstLine="480"/>
        <w:rPr>
          <w:rFonts w:hint="eastAsia"/>
          <w:color w:val="auto"/>
          <w:highlight w:val="none"/>
        </w:rPr>
      </w:pPr>
    </w:p>
    <w:p>
      <w:pPr>
        <w:spacing w:line="360" w:lineRule="exact"/>
        <w:ind w:right="-325" w:rightChars="-155" w:firstLine="0" w:firstLineChars="0"/>
        <w:jc w:val="left"/>
        <w:rPr>
          <w:rFonts w:hint="eastAsia" w:hAnsi="宋体" w:cs="宋体"/>
          <w:color w:val="auto"/>
          <w:szCs w:val="21"/>
          <w:highlight w:val="none"/>
        </w:rPr>
      </w:pPr>
      <w:r>
        <w:rPr>
          <w:rFonts w:hint="eastAsia" w:hAnsi="宋体" w:cs="宋体"/>
          <w:color w:val="auto"/>
          <w:szCs w:val="21"/>
          <w:highlight w:val="none"/>
        </w:rPr>
        <w:t>定标委员会全体成员签名：</w:t>
      </w:r>
    </w:p>
    <w:p>
      <w:pPr>
        <w:spacing w:line="360" w:lineRule="exact"/>
        <w:ind w:right="-325" w:rightChars="-155" w:firstLine="480"/>
        <w:jc w:val="right"/>
        <w:rPr>
          <w:rFonts w:hint="eastAsia" w:hAnsi="宋体" w:cs="宋体"/>
          <w:color w:val="auto"/>
          <w:szCs w:val="21"/>
          <w:highlight w:val="none"/>
        </w:rPr>
      </w:pPr>
      <w:r>
        <w:rPr>
          <w:rFonts w:hint="eastAsia" w:hAnsi="宋体" w:cs="宋体"/>
          <w:color w:val="auto"/>
          <w:szCs w:val="21"/>
          <w:highlight w:val="none"/>
        </w:rPr>
        <w:t>日期：     年   月   日</w:t>
      </w:r>
    </w:p>
    <w:p>
      <w:pPr>
        <w:pStyle w:val="39"/>
        <w:rPr>
          <w:rFonts w:ascii="仿宋" w:hAnsi="仿宋" w:eastAsia="仿宋" w:cs="仿宋"/>
          <w:color w:val="auto"/>
          <w:sz w:val="21"/>
          <w:szCs w:val="21"/>
          <w:highlight w:val="none"/>
        </w:rPr>
      </w:pPr>
    </w:p>
    <w:p>
      <w:pPr>
        <w:ind w:firstLine="0" w:firstLineChars="0"/>
        <w:rPr>
          <w:rFonts w:hint="default" w:ascii="仿宋" w:hAnsi="仿宋" w:eastAsia="仿宋" w:cs="仿宋"/>
          <w:color w:val="auto"/>
          <w:sz w:val="21"/>
          <w:szCs w:val="21"/>
          <w:highlight w:val="none"/>
          <w:lang w:val="en-US" w:eastAsia="zh-CN"/>
        </w:rPr>
      </w:pPr>
      <w:r>
        <w:rPr>
          <w:rFonts w:ascii="仿宋" w:hAnsi="仿宋" w:eastAsia="仿宋" w:cs="仿宋"/>
          <w:color w:val="auto"/>
          <w:sz w:val="21"/>
          <w:szCs w:val="21"/>
          <w:highlight w:val="none"/>
        </w:rPr>
        <w:br w:type="page"/>
      </w:r>
      <w:r>
        <w:rPr>
          <w:rFonts w:hint="eastAsia" w:ascii="宋体" w:hAnsi="宋体" w:eastAsia="宋体" w:cs="宋体"/>
          <w:color w:val="auto"/>
          <w:sz w:val="24"/>
          <w:szCs w:val="24"/>
          <w:highlight w:val="none"/>
          <w:lang w:val="en-US" w:eastAsia="zh-CN"/>
        </w:rPr>
        <w:t>附表十：</w:t>
      </w:r>
      <w:r>
        <w:rPr>
          <w:rFonts w:hint="eastAsia" w:ascii="宋体" w:hAnsi="宋体" w:eastAsia="宋体" w:cs="宋体"/>
          <w:color w:val="auto"/>
          <w:sz w:val="24"/>
          <w:szCs w:val="24"/>
          <w:highlight w:val="none"/>
          <w:lang w:val="en-US" w:eastAsia="zh-CN"/>
        </w:rPr>
        <w:tab/>
      </w:r>
    </w:p>
    <w:p>
      <w:pPr>
        <w:snapToGrid w:val="0"/>
        <w:ind w:firstLine="904" w:firstLineChars="300"/>
        <w:jc w:val="center"/>
        <w:outlineLvl w:val="2"/>
        <w:rPr>
          <w:rFonts w:hint="eastAsia" w:hAnsi="宋体" w:cs="宋体"/>
          <w:b/>
          <w:color w:val="auto"/>
          <w:sz w:val="30"/>
          <w:szCs w:val="30"/>
          <w:highlight w:val="none"/>
        </w:rPr>
      </w:pPr>
      <w:r>
        <w:rPr>
          <w:rFonts w:hint="eastAsia" w:hAnsi="宋体" w:cs="宋体"/>
          <w:b/>
          <w:color w:val="auto"/>
          <w:sz w:val="30"/>
          <w:szCs w:val="30"/>
          <w:highlight w:val="none"/>
        </w:rPr>
        <w:t>定标阶段（方案因素）得分汇总表</w:t>
      </w:r>
    </w:p>
    <w:p>
      <w:pPr>
        <w:pStyle w:val="24"/>
        <w:snapToGrid w:val="0"/>
        <w:ind w:left="480" w:firstLine="602"/>
        <w:jc w:val="center"/>
        <w:rPr>
          <w:rFonts w:hint="eastAsia"/>
          <w:color w:val="auto"/>
          <w:sz w:val="30"/>
          <w:szCs w:val="30"/>
          <w:highlight w:val="none"/>
        </w:rPr>
      </w:pPr>
      <w:r>
        <w:rPr>
          <w:rFonts w:hint="eastAsia" w:hAnsi="宋体"/>
          <w:b/>
          <w:color w:val="auto"/>
          <w:sz w:val="30"/>
          <w:szCs w:val="30"/>
          <w:highlight w:val="none"/>
        </w:rPr>
        <w:t>（定标委员会汇总用表）</w:t>
      </w:r>
    </w:p>
    <w:p>
      <w:pPr>
        <w:ind w:firstLine="480"/>
        <w:rPr>
          <w:rFonts w:hint="eastAsia" w:hAnsi="宋体" w:cs="宋体"/>
          <w:color w:val="auto"/>
          <w:szCs w:val="24"/>
          <w:highlight w:val="none"/>
        </w:rPr>
      </w:pPr>
      <w:r>
        <w:rPr>
          <w:rFonts w:hint="eastAsia" w:hAnsi="宋体" w:cs="宋体"/>
          <w:color w:val="auto"/>
          <w:szCs w:val="24"/>
          <w:highlight w:val="none"/>
        </w:rPr>
        <w:t>工程名称：</w:t>
      </w:r>
    </w:p>
    <w:tbl>
      <w:tblPr>
        <w:tblStyle w:val="30"/>
        <w:tblW w:w="10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3382"/>
        <w:gridCol w:w="939"/>
        <w:gridCol w:w="940"/>
        <w:gridCol w:w="939"/>
        <w:gridCol w:w="940"/>
        <w:gridCol w:w="940"/>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序号</w:t>
            </w:r>
          </w:p>
        </w:tc>
        <w:tc>
          <w:tcPr>
            <w:tcW w:w="338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合格中标候选人名称</w:t>
            </w:r>
          </w:p>
        </w:tc>
        <w:tc>
          <w:tcPr>
            <w:tcW w:w="939"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评分人1</w:t>
            </w:r>
          </w:p>
        </w:tc>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评分人2</w:t>
            </w:r>
          </w:p>
        </w:tc>
        <w:tc>
          <w:tcPr>
            <w:tcW w:w="939" w:type="dxa"/>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评分人3</w:t>
            </w:r>
          </w:p>
        </w:tc>
        <w:tc>
          <w:tcPr>
            <w:tcW w:w="940" w:type="dxa"/>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评分人4</w:t>
            </w:r>
          </w:p>
        </w:tc>
        <w:tc>
          <w:tcPr>
            <w:tcW w:w="940" w:type="dxa"/>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评分人5</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方案因素得分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1</w:t>
            </w:r>
          </w:p>
        </w:tc>
        <w:tc>
          <w:tcPr>
            <w:tcW w:w="338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232" w:type="dxa"/>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2</w:t>
            </w:r>
          </w:p>
        </w:tc>
        <w:tc>
          <w:tcPr>
            <w:tcW w:w="338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232" w:type="dxa"/>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3</w:t>
            </w:r>
          </w:p>
        </w:tc>
        <w:tc>
          <w:tcPr>
            <w:tcW w:w="338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232" w:type="dxa"/>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4</w:t>
            </w:r>
          </w:p>
        </w:tc>
        <w:tc>
          <w:tcPr>
            <w:tcW w:w="338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232" w:type="dxa"/>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5</w:t>
            </w:r>
          </w:p>
        </w:tc>
        <w:tc>
          <w:tcPr>
            <w:tcW w:w="338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232" w:type="dxa"/>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eastAsia="宋体" w:cs="宋体"/>
                <w:color w:val="auto"/>
                <w:sz w:val="21"/>
                <w:szCs w:val="21"/>
                <w:highlight w:val="none"/>
                <w:shd w:val="clear" w:color="auto" w:fill="FFFFFF"/>
                <w:lang w:val="en-US" w:eastAsia="zh-CN"/>
              </w:rPr>
            </w:pPr>
            <w:r>
              <w:rPr>
                <w:rFonts w:hint="eastAsia" w:hAnsi="宋体" w:cs="宋体"/>
                <w:color w:val="auto"/>
                <w:sz w:val="21"/>
                <w:szCs w:val="21"/>
                <w:highlight w:val="none"/>
                <w:shd w:val="clear" w:color="auto" w:fill="FFFFFF"/>
                <w:lang w:val="en-US" w:eastAsia="zh-CN"/>
              </w:rPr>
              <w:t>6</w:t>
            </w:r>
          </w:p>
        </w:tc>
        <w:tc>
          <w:tcPr>
            <w:tcW w:w="338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232" w:type="dxa"/>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eastAsia="宋体" w:cs="宋体"/>
                <w:color w:val="auto"/>
                <w:sz w:val="21"/>
                <w:szCs w:val="21"/>
                <w:highlight w:val="none"/>
                <w:shd w:val="clear" w:color="auto" w:fill="FFFFFF"/>
                <w:lang w:val="en-US" w:eastAsia="zh-CN"/>
              </w:rPr>
            </w:pPr>
            <w:r>
              <w:rPr>
                <w:rFonts w:hint="eastAsia" w:hAnsi="宋体" w:cs="宋体"/>
                <w:color w:val="auto"/>
                <w:sz w:val="21"/>
                <w:szCs w:val="21"/>
                <w:highlight w:val="none"/>
                <w:shd w:val="clear" w:color="auto" w:fill="FFFFFF"/>
                <w:lang w:val="en-US" w:eastAsia="zh-CN"/>
              </w:rPr>
              <w:t>7</w:t>
            </w:r>
          </w:p>
        </w:tc>
        <w:tc>
          <w:tcPr>
            <w:tcW w:w="338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232" w:type="dxa"/>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bl>
    <w:p>
      <w:pPr>
        <w:ind w:right="420" w:firstLine="480"/>
        <w:rPr>
          <w:rFonts w:hint="eastAsia" w:hAnsi="宋体" w:cs="宋体"/>
          <w:color w:val="auto"/>
          <w:szCs w:val="21"/>
          <w:highlight w:val="none"/>
        </w:rPr>
      </w:pPr>
      <w:r>
        <w:rPr>
          <w:rFonts w:hint="eastAsia" w:hAnsi="宋体" w:cs="宋体"/>
          <w:color w:val="auto"/>
          <w:szCs w:val="21"/>
          <w:highlight w:val="none"/>
        </w:rPr>
        <w:t>备注：</w:t>
      </w:r>
    </w:p>
    <w:p>
      <w:pPr>
        <w:spacing w:line="240" w:lineRule="auto"/>
        <w:ind w:right="420" w:firstLine="48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1、定标委员会成员个人方案因素评分满分为</w:t>
      </w:r>
      <w:r>
        <w:rPr>
          <w:rFonts w:hint="eastAsia" w:ascii="宋体" w:hAnsi="宋体" w:eastAsia="宋体" w:cs="宋体"/>
          <w:color w:val="auto"/>
          <w:szCs w:val="21"/>
          <w:highlight w:val="none"/>
          <w:lang w:val="en-US" w:eastAsia="zh-CN"/>
        </w:rPr>
        <w:t>100</w:t>
      </w:r>
      <w:r>
        <w:rPr>
          <w:rFonts w:hint="eastAsia" w:ascii="宋体" w:hAnsi="宋体" w:eastAsia="宋体" w:cs="宋体"/>
          <w:color w:val="auto"/>
          <w:szCs w:val="21"/>
          <w:highlight w:val="none"/>
        </w:rPr>
        <w:t>分。</w:t>
      </w:r>
    </w:p>
    <w:p>
      <w:pPr>
        <w:ind w:right="420" w:firstLine="480"/>
        <w:rPr>
          <w:rFonts w:hint="eastAsia" w:ascii="宋体" w:hAnsi="宋体" w:eastAsia="宋体" w:cs="宋体"/>
          <w:b w:val="0"/>
          <w:color w:val="auto"/>
          <w:szCs w:val="21"/>
          <w:highlight w:val="none"/>
          <w:u w:val="none"/>
        </w:rPr>
      </w:pPr>
      <w:r>
        <w:rPr>
          <w:rFonts w:hint="eastAsia" w:ascii="宋体" w:hAnsi="宋体" w:eastAsia="宋体" w:cs="宋体"/>
          <w:color w:val="auto"/>
          <w:szCs w:val="21"/>
          <w:highlight w:val="none"/>
        </w:rPr>
        <w:t>2、合格中标候选人方案得分为所有定标委员会成员对同一投标人方案因素的各项评分相加去掉一个最高分和一个最低分后计取的算术平均分（分数出现小数点时，保留小数点后二位，第三位小数四舍五入）。</w:t>
      </w:r>
    </w:p>
    <w:p>
      <w:pPr>
        <w:pStyle w:val="39"/>
        <w:rPr>
          <w:rFonts w:ascii="仿宋" w:hAnsi="仿宋" w:eastAsia="仿宋" w:cs="仿宋"/>
          <w:color w:val="auto"/>
          <w:sz w:val="21"/>
          <w:szCs w:val="21"/>
          <w:highlight w:val="none"/>
        </w:rPr>
      </w:pPr>
    </w:p>
    <w:p>
      <w:pPr>
        <w:spacing w:line="360" w:lineRule="exact"/>
        <w:ind w:right="-325" w:rightChars="-155" w:firstLine="0" w:firstLineChars="0"/>
        <w:jc w:val="left"/>
        <w:rPr>
          <w:rFonts w:hint="eastAsia" w:hAnsi="宋体" w:cs="宋体"/>
          <w:color w:val="auto"/>
          <w:szCs w:val="21"/>
          <w:highlight w:val="none"/>
        </w:rPr>
      </w:pPr>
      <w:r>
        <w:rPr>
          <w:rFonts w:hint="eastAsia" w:hAnsi="宋体" w:cs="宋体"/>
          <w:color w:val="auto"/>
          <w:szCs w:val="21"/>
          <w:highlight w:val="none"/>
        </w:rPr>
        <w:t>定标委员会全体成员签名：</w:t>
      </w:r>
    </w:p>
    <w:p>
      <w:pPr>
        <w:spacing w:line="360" w:lineRule="exact"/>
        <w:ind w:right="0" w:rightChars="0" w:firstLine="480"/>
        <w:jc w:val="right"/>
        <w:rPr>
          <w:rFonts w:hint="eastAsia" w:hAnsi="宋体" w:cs="宋体"/>
          <w:color w:val="auto"/>
          <w:szCs w:val="21"/>
          <w:highlight w:val="none"/>
        </w:rPr>
      </w:pPr>
      <w:r>
        <w:rPr>
          <w:rFonts w:hint="eastAsia" w:hAnsi="宋体" w:cs="宋体"/>
          <w:color w:val="auto"/>
          <w:szCs w:val="21"/>
          <w:highlight w:val="none"/>
        </w:rPr>
        <w:t>日期：     年   月   日</w:t>
      </w:r>
    </w:p>
    <w:p>
      <w:pPr>
        <w:pStyle w:val="39"/>
        <w:rPr>
          <w:rFonts w:ascii="仿宋" w:hAnsi="仿宋" w:eastAsia="仿宋" w:cs="仿宋"/>
          <w:color w:val="auto"/>
          <w:sz w:val="21"/>
          <w:szCs w:val="21"/>
          <w:highlight w:val="none"/>
        </w:rPr>
        <w:sectPr>
          <w:pgSz w:w="11905" w:h="16838"/>
          <w:pgMar w:top="1440" w:right="1225" w:bottom="1440" w:left="1440" w:header="850" w:footer="992" w:gutter="0"/>
          <w:pgNumType w:fmt="decimal"/>
          <w:cols w:space="720" w:num="1"/>
          <w:titlePg/>
          <w:rtlGutter w:val="0"/>
          <w:docGrid w:type="lines" w:linePitch="318" w:charSpace="0"/>
        </w:sectPr>
      </w:pPr>
    </w:p>
    <w:p>
      <w:pPr>
        <w:pStyle w:val="11"/>
        <w:ind w:firstLine="0" w:firstLineChars="0"/>
        <w:rPr>
          <w:rFonts w:hint="default"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附表十一：</w:t>
      </w:r>
    </w:p>
    <w:p>
      <w:pPr>
        <w:pStyle w:val="39"/>
        <w:rPr>
          <w:rFonts w:ascii="仿宋" w:hAnsi="仿宋" w:eastAsia="仿宋" w:cs="仿宋"/>
          <w:color w:val="auto"/>
          <w:sz w:val="21"/>
          <w:szCs w:val="21"/>
          <w:highlight w:val="none"/>
        </w:rPr>
      </w:pPr>
    </w:p>
    <w:p>
      <w:pPr>
        <w:ind w:firstLine="0" w:firstLineChars="0"/>
        <w:jc w:val="center"/>
        <w:outlineLvl w:val="2"/>
        <w:rPr>
          <w:rFonts w:hint="eastAsia"/>
          <w:color w:val="auto"/>
          <w:sz w:val="30"/>
          <w:szCs w:val="30"/>
          <w:highlight w:val="none"/>
        </w:rPr>
      </w:pPr>
      <w:r>
        <w:rPr>
          <w:rFonts w:hint="eastAsia" w:hAnsi="宋体" w:cs="宋体"/>
          <w:b/>
          <w:color w:val="auto"/>
          <w:sz w:val="30"/>
          <w:szCs w:val="30"/>
          <w:highlight w:val="none"/>
        </w:rPr>
        <w:t>定标因素得分汇总及排序表</w:t>
      </w:r>
      <w:r>
        <w:rPr>
          <w:rFonts w:hint="eastAsia" w:hAnsi="宋体"/>
          <w:b/>
          <w:color w:val="auto"/>
          <w:sz w:val="30"/>
          <w:szCs w:val="30"/>
          <w:highlight w:val="none"/>
        </w:rPr>
        <w:t>（定标委员会汇总用表）</w:t>
      </w:r>
    </w:p>
    <w:p>
      <w:pPr>
        <w:ind w:firstLine="480"/>
        <w:rPr>
          <w:rFonts w:hint="eastAsia" w:hAnsi="宋体" w:cs="宋体"/>
          <w:color w:val="auto"/>
          <w:highlight w:val="none"/>
        </w:rPr>
      </w:pPr>
      <w:r>
        <w:rPr>
          <w:rFonts w:hint="eastAsia" w:hAnsi="宋体" w:cs="宋体"/>
          <w:color w:val="auto"/>
          <w:highlight w:val="none"/>
        </w:rPr>
        <w:t>工程名称：</w:t>
      </w:r>
    </w:p>
    <w:tbl>
      <w:tblPr>
        <w:tblStyle w:val="3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
        <w:gridCol w:w="2602"/>
        <w:gridCol w:w="799"/>
        <w:gridCol w:w="766"/>
        <w:gridCol w:w="704"/>
        <w:gridCol w:w="706"/>
        <w:gridCol w:w="766"/>
        <w:gridCol w:w="704"/>
        <w:gridCol w:w="1131"/>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1"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b w:val="0"/>
                <w:color w:val="auto"/>
                <w:sz w:val="21"/>
                <w:szCs w:val="21"/>
                <w:highlight w:val="none"/>
                <w:shd w:val="clear" w:color="auto" w:fill="FFFFFF"/>
                <w:lang w:val="zh-CN"/>
              </w:rPr>
            </w:pPr>
            <w:r>
              <w:rPr>
                <w:rFonts w:hint="eastAsia" w:ascii="宋体" w:hAnsi="宋体" w:eastAsia="宋体" w:cs="宋体"/>
                <w:b w:val="0"/>
                <w:color w:val="auto"/>
                <w:sz w:val="21"/>
                <w:szCs w:val="21"/>
                <w:highlight w:val="none"/>
                <w:shd w:val="clear" w:color="auto" w:fill="FFFFFF"/>
                <w:lang w:val="zh-CN"/>
              </w:rPr>
              <w:t>序号</w:t>
            </w:r>
          </w:p>
        </w:tc>
        <w:tc>
          <w:tcPr>
            <w:tcW w:w="1335"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b w:val="0"/>
                <w:color w:val="auto"/>
                <w:sz w:val="21"/>
                <w:szCs w:val="21"/>
                <w:highlight w:val="none"/>
                <w:shd w:val="clear" w:color="auto" w:fill="FFFFFF"/>
                <w:lang w:val="zh-CN"/>
              </w:rPr>
            </w:pPr>
            <w:r>
              <w:rPr>
                <w:rFonts w:hint="eastAsia" w:ascii="宋体" w:hAnsi="宋体" w:eastAsia="宋体" w:cs="宋体"/>
                <w:b w:val="0"/>
                <w:bCs w:val="0"/>
                <w:color w:val="auto"/>
                <w:sz w:val="21"/>
                <w:szCs w:val="21"/>
                <w:highlight w:val="none"/>
                <w:shd w:val="clear" w:color="auto" w:fill="FFFFFF"/>
                <w:lang w:val="zh-CN"/>
              </w:rPr>
              <w:t>合格中标候选人名称</w:t>
            </w:r>
          </w:p>
        </w:tc>
        <w:tc>
          <w:tcPr>
            <w:tcW w:w="410"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b w:val="0"/>
                <w:color w:val="auto"/>
                <w:sz w:val="21"/>
                <w:szCs w:val="21"/>
                <w:highlight w:val="none"/>
                <w:shd w:val="clear" w:color="auto" w:fill="FFFFFF"/>
                <w:lang w:val="zh-CN"/>
              </w:rPr>
            </w:pPr>
            <w:r>
              <w:rPr>
                <w:rFonts w:hint="eastAsia" w:ascii="宋体" w:hAnsi="宋体" w:eastAsia="宋体" w:cs="宋体"/>
                <w:b w:val="0"/>
                <w:color w:val="auto"/>
                <w:sz w:val="21"/>
                <w:szCs w:val="21"/>
                <w:highlight w:val="none"/>
                <w:shd w:val="clear" w:color="auto" w:fill="FFFFFF"/>
                <w:lang w:val="zh-CN"/>
              </w:rPr>
              <w:t>方案因素得分</w:t>
            </w:r>
          </w:p>
        </w:tc>
        <w:tc>
          <w:tcPr>
            <w:tcW w:w="393"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b w:val="0"/>
                <w:color w:val="auto"/>
                <w:sz w:val="21"/>
                <w:szCs w:val="21"/>
                <w:highlight w:val="none"/>
                <w:shd w:val="clear" w:color="auto" w:fill="FFFFFF"/>
                <w:lang w:val="zh-CN"/>
              </w:rPr>
            </w:pPr>
            <w:r>
              <w:rPr>
                <w:rFonts w:hint="eastAsia" w:ascii="宋体" w:hAnsi="宋体" w:eastAsia="宋体" w:cs="宋体"/>
                <w:b w:val="0"/>
                <w:color w:val="auto"/>
                <w:sz w:val="21"/>
                <w:szCs w:val="21"/>
                <w:highlight w:val="none"/>
                <w:shd w:val="clear" w:color="auto" w:fill="FFFFFF"/>
                <w:lang w:val="zh-CN"/>
              </w:rPr>
              <w:t>权重（%）</w:t>
            </w:r>
          </w:p>
        </w:tc>
        <w:tc>
          <w:tcPr>
            <w:tcW w:w="361"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b w:val="0"/>
                <w:color w:val="auto"/>
                <w:sz w:val="21"/>
                <w:szCs w:val="21"/>
                <w:highlight w:val="none"/>
                <w:shd w:val="clear" w:color="auto" w:fill="FFFFFF"/>
                <w:lang w:val="zh-CN"/>
              </w:rPr>
            </w:pPr>
            <w:r>
              <w:rPr>
                <w:rFonts w:hint="eastAsia" w:ascii="宋体" w:hAnsi="宋体" w:eastAsia="宋体" w:cs="宋体"/>
                <w:b w:val="0"/>
                <w:color w:val="auto"/>
                <w:sz w:val="21"/>
                <w:szCs w:val="21"/>
                <w:highlight w:val="none"/>
                <w:shd w:val="clear" w:color="auto" w:fill="FFFFFF"/>
                <w:lang w:val="zh-CN"/>
              </w:rPr>
              <w:t>权重得分</w:t>
            </w:r>
          </w:p>
        </w:tc>
        <w:tc>
          <w:tcPr>
            <w:tcW w:w="362"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b w:val="0"/>
                <w:color w:val="auto"/>
                <w:sz w:val="21"/>
                <w:szCs w:val="21"/>
                <w:highlight w:val="none"/>
                <w:shd w:val="clear" w:color="auto" w:fill="FFFFFF"/>
                <w:lang w:val="zh-CN" w:eastAsia="zh-CN" w:bidi="ar-SA"/>
              </w:rPr>
            </w:pPr>
            <w:r>
              <w:rPr>
                <w:rFonts w:hint="eastAsia" w:ascii="宋体" w:hAnsi="宋体" w:eastAsia="宋体" w:cs="宋体"/>
                <w:b w:val="0"/>
                <w:color w:val="auto"/>
                <w:sz w:val="21"/>
                <w:szCs w:val="21"/>
                <w:highlight w:val="none"/>
                <w:shd w:val="clear" w:color="auto" w:fill="FFFFFF"/>
                <w:lang w:val="zh-CN"/>
              </w:rPr>
              <w:t>价格因素得分</w:t>
            </w:r>
          </w:p>
        </w:tc>
        <w:tc>
          <w:tcPr>
            <w:tcW w:w="393"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b w:val="0"/>
                <w:color w:val="auto"/>
                <w:sz w:val="21"/>
                <w:szCs w:val="21"/>
                <w:highlight w:val="none"/>
                <w:shd w:val="clear" w:color="auto" w:fill="FFFFFF"/>
                <w:lang w:val="zh-CN" w:eastAsia="zh-CN" w:bidi="ar-SA"/>
              </w:rPr>
            </w:pPr>
            <w:r>
              <w:rPr>
                <w:rFonts w:hint="eastAsia" w:ascii="宋体" w:hAnsi="宋体" w:eastAsia="宋体" w:cs="宋体"/>
                <w:b w:val="0"/>
                <w:color w:val="auto"/>
                <w:sz w:val="21"/>
                <w:szCs w:val="21"/>
                <w:highlight w:val="none"/>
                <w:shd w:val="clear" w:color="auto" w:fill="FFFFFF"/>
                <w:lang w:val="zh-CN"/>
              </w:rPr>
              <w:t>权重（%）</w:t>
            </w:r>
          </w:p>
        </w:tc>
        <w:tc>
          <w:tcPr>
            <w:tcW w:w="361"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b w:val="0"/>
                <w:color w:val="auto"/>
                <w:sz w:val="21"/>
                <w:szCs w:val="21"/>
                <w:highlight w:val="none"/>
                <w:shd w:val="clear" w:color="auto" w:fill="FFFFFF"/>
                <w:lang w:val="zh-CN" w:eastAsia="zh-CN" w:bidi="ar-SA"/>
              </w:rPr>
            </w:pPr>
            <w:r>
              <w:rPr>
                <w:rFonts w:hint="eastAsia" w:ascii="宋体" w:hAnsi="宋体" w:eastAsia="宋体" w:cs="宋体"/>
                <w:b w:val="0"/>
                <w:color w:val="auto"/>
                <w:sz w:val="21"/>
                <w:szCs w:val="21"/>
                <w:highlight w:val="none"/>
                <w:shd w:val="clear" w:color="auto" w:fill="FFFFFF"/>
                <w:lang w:val="zh-CN"/>
              </w:rPr>
              <w:t>权重得分</w:t>
            </w:r>
          </w:p>
        </w:tc>
        <w:tc>
          <w:tcPr>
            <w:tcW w:w="580"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b w:val="0"/>
                <w:color w:val="auto"/>
                <w:sz w:val="21"/>
                <w:szCs w:val="21"/>
                <w:highlight w:val="none"/>
                <w:shd w:val="clear" w:color="auto" w:fill="FFFFFF"/>
                <w:lang w:val="zh-CN"/>
              </w:rPr>
            </w:pPr>
            <w:r>
              <w:rPr>
                <w:rFonts w:hint="eastAsia" w:ascii="宋体" w:hAnsi="宋体" w:eastAsia="宋体" w:cs="宋体"/>
                <w:b w:val="0"/>
                <w:color w:val="auto"/>
                <w:sz w:val="21"/>
                <w:szCs w:val="21"/>
                <w:highlight w:val="none"/>
                <w:shd w:val="clear" w:color="auto" w:fill="FFFFFF"/>
                <w:lang w:val="zh-CN"/>
              </w:rPr>
              <w:t>总得分</w:t>
            </w:r>
          </w:p>
        </w:tc>
        <w:tc>
          <w:tcPr>
            <w:tcW w:w="402"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b w:val="0"/>
                <w:color w:val="auto"/>
                <w:sz w:val="21"/>
                <w:szCs w:val="21"/>
                <w:highlight w:val="none"/>
                <w:shd w:val="clear" w:color="auto" w:fill="FFFFFF"/>
                <w:lang w:val="zh-CN"/>
              </w:rPr>
            </w:pPr>
            <w:r>
              <w:rPr>
                <w:rFonts w:hint="eastAsia" w:ascii="宋体" w:hAnsi="宋体" w:eastAsia="宋体" w:cs="宋体"/>
                <w:b w:val="0"/>
                <w:color w:val="auto"/>
                <w:sz w:val="21"/>
                <w:szCs w:val="21"/>
                <w:highlight w:val="none"/>
                <w:shd w:val="clear" w:color="auto" w:fill="FFFFFF"/>
                <w:lang w:val="zh-CN"/>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51"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r>
              <w:rPr>
                <w:rFonts w:hint="eastAsia" w:ascii="宋体" w:hAnsi="宋体" w:eastAsia="宋体" w:cs="宋体"/>
                <w:color w:val="auto"/>
                <w:sz w:val="21"/>
                <w:szCs w:val="21"/>
                <w:highlight w:val="none"/>
                <w:shd w:val="clear" w:color="auto" w:fill="FFFFFF"/>
                <w:lang w:val="zh-CN"/>
              </w:rPr>
              <w:t>1</w:t>
            </w:r>
          </w:p>
        </w:tc>
        <w:tc>
          <w:tcPr>
            <w:tcW w:w="1335"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410"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393"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rPr>
            </w:pPr>
            <w:r>
              <w:rPr>
                <w:rFonts w:hint="eastAsia" w:ascii="宋体" w:hAnsi="宋体" w:eastAsia="宋体" w:cs="宋体"/>
                <w:color w:val="auto"/>
                <w:sz w:val="21"/>
                <w:szCs w:val="21"/>
                <w:highlight w:val="none"/>
                <w:shd w:val="clear" w:color="auto" w:fill="FFFFFF"/>
                <w:lang w:val="zh-CN" w:eastAsia="zh-CN"/>
              </w:rPr>
              <w:t>70</w:t>
            </w:r>
          </w:p>
        </w:tc>
        <w:tc>
          <w:tcPr>
            <w:tcW w:w="361"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p>
        </w:tc>
        <w:tc>
          <w:tcPr>
            <w:tcW w:w="393"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r>
              <w:rPr>
                <w:rFonts w:hint="eastAsia" w:ascii="宋体" w:hAnsi="宋体" w:eastAsia="宋体" w:cs="宋体"/>
                <w:color w:val="auto"/>
                <w:sz w:val="21"/>
                <w:szCs w:val="21"/>
                <w:highlight w:val="none"/>
                <w:shd w:val="clear" w:color="auto" w:fill="FFFFFF"/>
                <w:lang w:val="zh-CN" w:eastAsia="zh-CN"/>
              </w:rPr>
              <w:t>30</w:t>
            </w:r>
          </w:p>
        </w:tc>
        <w:tc>
          <w:tcPr>
            <w:tcW w:w="361"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p>
        </w:tc>
        <w:tc>
          <w:tcPr>
            <w:tcW w:w="580"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402"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51"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r>
              <w:rPr>
                <w:rFonts w:hint="eastAsia" w:ascii="宋体" w:hAnsi="宋体" w:eastAsia="宋体" w:cs="宋体"/>
                <w:color w:val="auto"/>
                <w:sz w:val="21"/>
                <w:szCs w:val="21"/>
                <w:highlight w:val="none"/>
                <w:shd w:val="clear" w:color="auto" w:fill="FFFFFF"/>
                <w:lang w:val="zh-CN"/>
              </w:rPr>
              <w:t>2</w:t>
            </w:r>
          </w:p>
        </w:tc>
        <w:tc>
          <w:tcPr>
            <w:tcW w:w="1335"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410"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393"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r>
              <w:rPr>
                <w:rFonts w:hint="eastAsia" w:ascii="宋体" w:hAnsi="宋体" w:eastAsia="宋体" w:cs="宋体"/>
                <w:color w:val="auto"/>
                <w:sz w:val="21"/>
                <w:szCs w:val="21"/>
                <w:highlight w:val="none"/>
                <w:shd w:val="clear" w:color="auto" w:fill="FFFFFF"/>
                <w:lang w:val="zh-CN" w:eastAsia="zh-CN"/>
              </w:rPr>
              <w:t>70</w:t>
            </w:r>
          </w:p>
        </w:tc>
        <w:tc>
          <w:tcPr>
            <w:tcW w:w="361"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p>
        </w:tc>
        <w:tc>
          <w:tcPr>
            <w:tcW w:w="393"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r>
              <w:rPr>
                <w:rFonts w:hint="eastAsia" w:ascii="宋体" w:hAnsi="宋体" w:eastAsia="宋体" w:cs="宋体"/>
                <w:color w:val="auto"/>
                <w:sz w:val="21"/>
                <w:szCs w:val="21"/>
                <w:highlight w:val="none"/>
                <w:shd w:val="clear" w:color="auto" w:fill="FFFFFF"/>
                <w:lang w:val="zh-CN" w:eastAsia="zh-CN"/>
              </w:rPr>
              <w:t>30</w:t>
            </w:r>
          </w:p>
        </w:tc>
        <w:tc>
          <w:tcPr>
            <w:tcW w:w="361"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p>
        </w:tc>
        <w:tc>
          <w:tcPr>
            <w:tcW w:w="580"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402"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51"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r>
              <w:rPr>
                <w:rFonts w:hint="eastAsia" w:ascii="宋体" w:hAnsi="宋体" w:eastAsia="宋体" w:cs="宋体"/>
                <w:color w:val="auto"/>
                <w:sz w:val="21"/>
                <w:szCs w:val="21"/>
                <w:highlight w:val="none"/>
                <w:shd w:val="clear" w:color="auto" w:fill="FFFFFF"/>
                <w:lang w:val="zh-CN"/>
              </w:rPr>
              <w:t>3</w:t>
            </w:r>
          </w:p>
        </w:tc>
        <w:tc>
          <w:tcPr>
            <w:tcW w:w="1335"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410"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393"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r>
              <w:rPr>
                <w:rFonts w:hint="eastAsia" w:ascii="宋体" w:hAnsi="宋体" w:eastAsia="宋体" w:cs="宋体"/>
                <w:color w:val="auto"/>
                <w:sz w:val="21"/>
                <w:szCs w:val="21"/>
                <w:highlight w:val="none"/>
                <w:shd w:val="clear" w:color="auto" w:fill="FFFFFF"/>
                <w:lang w:val="zh-CN" w:eastAsia="zh-CN"/>
              </w:rPr>
              <w:t>70</w:t>
            </w:r>
          </w:p>
        </w:tc>
        <w:tc>
          <w:tcPr>
            <w:tcW w:w="361"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p>
        </w:tc>
        <w:tc>
          <w:tcPr>
            <w:tcW w:w="393"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r>
              <w:rPr>
                <w:rFonts w:hint="eastAsia" w:ascii="宋体" w:hAnsi="宋体" w:eastAsia="宋体" w:cs="宋体"/>
                <w:color w:val="auto"/>
                <w:sz w:val="21"/>
                <w:szCs w:val="21"/>
                <w:highlight w:val="none"/>
                <w:shd w:val="clear" w:color="auto" w:fill="FFFFFF"/>
                <w:lang w:val="zh-CN" w:eastAsia="zh-CN"/>
              </w:rPr>
              <w:t>30</w:t>
            </w:r>
          </w:p>
        </w:tc>
        <w:tc>
          <w:tcPr>
            <w:tcW w:w="361"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p>
        </w:tc>
        <w:tc>
          <w:tcPr>
            <w:tcW w:w="580"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402"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51"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r>
              <w:rPr>
                <w:rFonts w:hint="eastAsia" w:ascii="宋体" w:hAnsi="宋体" w:eastAsia="宋体" w:cs="宋体"/>
                <w:color w:val="auto"/>
                <w:sz w:val="21"/>
                <w:szCs w:val="21"/>
                <w:highlight w:val="none"/>
                <w:shd w:val="clear" w:color="auto" w:fill="FFFFFF"/>
                <w:lang w:val="zh-CN"/>
              </w:rPr>
              <w:t>4</w:t>
            </w:r>
          </w:p>
        </w:tc>
        <w:tc>
          <w:tcPr>
            <w:tcW w:w="1335"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410"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393"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r>
              <w:rPr>
                <w:rFonts w:hint="eastAsia" w:ascii="宋体" w:hAnsi="宋体" w:eastAsia="宋体" w:cs="宋体"/>
                <w:color w:val="auto"/>
                <w:sz w:val="21"/>
                <w:szCs w:val="21"/>
                <w:highlight w:val="none"/>
                <w:shd w:val="clear" w:color="auto" w:fill="FFFFFF"/>
                <w:lang w:val="zh-CN" w:eastAsia="zh-CN"/>
              </w:rPr>
              <w:t>70</w:t>
            </w:r>
          </w:p>
        </w:tc>
        <w:tc>
          <w:tcPr>
            <w:tcW w:w="361"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p>
        </w:tc>
        <w:tc>
          <w:tcPr>
            <w:tcW w:w="393"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r>
              <w:rPr>
                <w:rFonts w:hint="eastAsia" w:ascii="宋体" w:hAnsi="宋体" w:eastAsia="宋体" w:cs="宋体"/>
                <w:color w:val="auto"/>
                <w:sz w:val="21"/>
                <w:szCs w:val="21"/>
                <w:highlight w:val="none"/>
                <w:shd w:val="clear" w:color="auto" w:fill="FFFFFF"/>
                <w:lang w:val="zh-CN" w:eastAsia="zh-CN"/>
              </w:rPr>
              <w:t>30</w:t>
            </w:r>
          </w:p>
        </w:tc>
        <w:tc>
          <w:tcPr>
            <w:tcW w:w="361"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p>
        </w:tc>
        <w:tc>
          <w:tcPr>
            <w:tcW w:w="580"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402"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51"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r>
              <w:rPr>
                <w:rFonts w:hint="eastAsia" w:ascii="宋体" w:hAnsi="宋体" w:eastAsia="宋体" w:cs="宋体"/>
                <w:color w:val="auto"/>
                <w:sz w:val="21"/>
                <w:szCs w:val="21"/>
                <w:highlight w:val="none"/>
                <w:shd w:val="clear" w:color="auto" w:fill="FFFFFF"/>
                <w:lang w:val="zh-CN"/>
              </w:rPr>
              <w:t>5</w:t>
            </w:r>
          </w:p>
        </w:tc>
        <w:tc>
          <w:tcPr>
            <w:tcW w:w="1335"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410"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393"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r>
              <w:rPr>
                <w:rFonts w:hint="eastAsia" w:ascii="宋体" w:hAnsi="宋体" w:eastAsia="宋体" w:cs="宋体"/>
                <w:color w:val="auto"/>
                <w:sz w:val="21"/>
                <w:szCs w:val="21"/>
                <w:highlight w:val="none"/>
                <w:shd w:val="clear" w:color="auto" w:fill="FFFFFF"/>
                <w:lang w:val="zh-CN" w:eastAsia="zh-CN"/>
              </w:rPr>
              <w:t>70</w:t>
            </w:r>
          </w:p>
        </w:tc>
        <w:tc>
          <w:tcPr>
            <w:tcW w:w="361"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p>
        </w:tc>
        <w:tc>
          <w:tcPr>
            <w:tcW w:w="393"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r>
              <w:rPr>
                <w:rFonts w:hint="eastAsia" w:ascii="宋体" w:hAnsi="宋体" w:eastAsia="宋体" w:cs="宋体"/>
                <w:color w:val="auto"/>
                <w:sz w:val="21"/>
                <w:szCs w:val="21"/>
                <w:highlight w:val="none"/>
                <w:shd w:val="clear" w:color="auto" w:fill="FFFFFF"/>
                <w:lang w:val="zh-CN" w:eastAsia="zh-CN"/>
              </w:rPr>
              <w:t>30</w:t>
            </w:r>
          </w:p>
        </w:tc>
        <w:tc>
          <w:tcPr>
            <w:tcW w:w="361"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p>
        </w:tc>
        <w:tc>
          <w:tcPr>
            <w:tcW w:w="580"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402"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51"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6</w:t>
            </w:r>
          </w:p>
        </w:tc>
        <w:tc>
          <w:tcPr>
            <w:tcW w:w="1335"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410"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763"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rPr>
            </w:pPr>
            <w:r>
              <w:rPr>
                <w:rFonts w:hint="eastAsia" w:ascii="宋体" w:hAnsi="宋体" w:eastAsia="宋体" w:cs="宋体"/>
                <w:color w:val="auto"/>
                <w:sz w:val="21"/>
                <w:szCs w:val="21"/>
                <w:highlight w:val="none"/>
                <w:shd w:val="clear" w:color="auto" w:fill="FFFFFF"/>
                <w:lang w:val="zh-CN" w:eastAsia="zh-CN"/>
              </w:rPr>
              <w:t>70</w:t>
            </w:r>
          </w:p>
        </w:tc>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p>
        </w:tc>
        <w:tc>
          <w:tcPr>
            <w:tcW w:w="763"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rPr>
            </w:pPr>
            <w:r>
              <w:rPr>
                <w:rFonts w:hint="eastAsia" w:ascii="宋体" w:hAnsi="宋体" w:eastAsia="宋体" w:cs="宋体"/>
                <w:color w:val="auto"/>
                <w:sz w:val="21"/>
                <w:szCs w:val="21"/>
                <w:highlight w:val="none"/>
                <w:shd w:val="clear" w:color="auto" w:fill="FFFFFF"/>
                <w:lang w:val="zh-CN" w:eastAsia="zh-CN"/>
              </w:rPr>
              <w:t>30</w:t>
            </w:r>
          </w:p>
        </w:tc>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p>
        </w:tc>
        <w:tc>
          <w:tcPr>
            <w:tcW w:w="580"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402"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51"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7</w:t>
            </w:r>
          </w:p>
        </w:tc>
        <w:tc>
          <w:tcPr>
            <w:tcW w:w="1335"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410"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763"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rPr>
            </w:pPr>
            <w:r>
              <w:rPr>
                <w:rFonts w:hint="eastAsia" w:ascii="宋体" w:hAnsi="宋体" w:eastAsia="宋体" w:cs="宋体"/>
                <w:color w:val="auto"/>
                <w:sz w:val="21"/>
                <w:szCs w:val="21"/>
                <w:highlight w:val="none"/>
                <w:shd w:val="clear" w:color="auto" w:fill="FFFFFF"/>
                <w:lang w:val="zh-CN" w:eastAsia="zh-CN"/>
              </w:rPr>
              <w:t>70</w:t>
            </w:r>
          </w:p>
        </w:tc>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p>
        </w:tc>
        <w:tc>
          <w:tcPr>
            <w:tcW w:w="763"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rPr>
            </w:pPr>
            <w:r>
              <w:rPr>
                <w:rFonts w:hint="eastAsia" w:ascii="宋体" w:hAnsi="宋体" w:eastAsia="宋体" w:cs="宋体"/>
                <w:color w:val="auto"/>
                <w:sz w:val="21"/>
                <w:szCs w:val="21"/>
                <w:highlight w:val="none"/>
                <w:shd w:val="clear" w:color="auto" w:fill="FFFFFF"/>
                <w:lang w:val="zh-CN" w:eastAsia="zh-CN"/>
              </w:rPr>
              <w:t>30</w:t>
            </w:r>
          </w:p>
        </w:tc>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p>
        </w:tc>
        <w:tc>
          <w:tcPr>
            <w:tcW w:w="580"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402"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r>
    </w:tbl>
    <w:p>
      <w:pPr>
        <w:ind w:right="420" w:firstLine="480"/>
        <w:rPr>
          <w:rFonts w:hint="eastAsia" w:hAnsi="宋体" w:cs="宋体"/>
          <w:color w:val="auto"/>
          <w:highlight w:val="none"/>
        </w:rPr>
      </w:pPr>
      <w:r>
        <w:rPr>
          <w:rFonts w:hint="eastAsia" w:hAnsi="宋体" w:cs="宋体"/>
          <w:color w:val="auto"/>
          <w:highlight w:val="none"/>
        </w:rPr>
        <w:t>备注：</w:t>
      </w:r>
    </w:p>
    <w:p>
      <w:pPr>
        <w:ind w:left="0" w:leftChars="0" w:right="0" w:firstLine="480" w:firstLineChars="0"/>
        <w:rPr>
          <w:rFonts w:hint="eastAsia" w:ascii="Times New Roman" w:hAnsi="宋体" w:eastAsia="宋体" w:cs="宋体"/>
          <w:color w:val="auto"/>
          <w:highlight w:val="none"/>
        </w:rPr>
      </w:pPr>
      <w:r>
        <w:rPr>
          <w:rFonts w:hint="eastAsia" w:ascii="Times New Roman" w:hAnsi="宋体" w:eastAsia="宋体" w:cs="宋体"/>
          <w:color w:val="auto"/>
          <w:highlight w:val="none"/>
        </w:rPr>
        <w:t>1、若合格中标候选人总得分相同且影响定标排序的，以方案因素得分高的排前；若方案因素得分仍相同的，以</w:t>
      </w:r>
      <w:r>
        <w:rPr>
          <w:rFonts w:hint="eastAsia" w:hAnsi="宋体" w:cs="宋体"/>
          <w:color w:val="auto"/>
          <w:highlight w:val="none"/>
          <w:lang w:eastAsia="zh-CN"/>
        </w:rPr>
        <w:t>报价低</w:t>
      </w:r>
      <w:r>
        <w:rPr>
          <w:rFonts w:hint="eastAsia" w:ascii="Times New Roman" w:hAnsi="宋体" w:eastAsia="宋体" w:cs="宋体"/>
          <w:color w:val="auto"/>
          <w:highlight w:val="none"/>
        </w:rPr>
        <w:t>的排前，若</w:t>
      </w:r>
      <w:r>
        <w:rPr>
          <w:rFonts w:hint="eastAsia" w:hAnsi="宋体" w:cs="宋体"/>
          <w:color w:val="auto"/>
          <w:highlight w:val="none"/>
          <w:lang w:eastAsia="zh-CN"/>
        </w:rPr>
        <w:t>报价</w:t>
      </w:r>
      <w:r>
        <w:rPr>
          <w:rFonts w:hint="eastAsia" w:ascii="Times New Roman" w:hAnsi="宋体" w:eastAsia="宋体" w:cs="宋体"/>
          <w:color w:val="auto"/>
          <w:highlight w:val="none"/>
        </w:rPr>
        <w:t>仍相同的，由定标委员会投票确定排序。</w:t>
      </w:r>
    </w:p>
    <w:p>
      <w:pPr>
        <w:ind w:right="0" w:firstLine="480" w:firstLineChars="0"/>
        <w:rPr>
          <w:rFonts w:hint="eastAsia" w:ascii="Times New Roman" w:hAnsi="宋体" w:eastAsia="宋体" w:cs="宋体"/>
          <w:bCs w:val="0"/>
          <w:color w:val="auto"/>
          <w:szCs w:val="22"/>
          <w:highlight w:val="none"/>
        </w:rPr>
      </w:pPr>
      <w:r>
        <w:rPr>
          <w:rFonts w:hint="eastAsia" w:ascii="Times New Roman" w:hAnsi="宋体" w:eastAsia="宋体" w:cs="宋体"/>
          <w:color w:val="auto"/>
          <w:szCs w:val="22"/>
          <w:highlight w:val="none"/>
        </w:rPr>
        <w:t>2、</w:t>
      </w:r>
      <w:r>
        <w:rPr>
          <w:rFonts w:hint="eastAsia" w:ascii="Times New Roman" w:hAnsi="宋体" w:eastAsia="宋体" w:cs="宋体"/>
          <w:color w:val="auto"/>
          <w:highlight w:val="none"/>
        </w:rPr>
        <w:t>总得分（100分）=方案因素</w:t>
      </w:r>
      <w:r>
        <w:rPr>
          <w:rFonts w:hint="eastAsia" w:ascii="Times New Roman" w:hAnsi="宋体" w:eastAsia="宋体" w:cs="宋体"/>
          <w:color w:val="auto"/>
          <w:szCs w:val="22"/>
          <w:highlight w:val="none"/>
        </w:rPr>
        <w:t>得分（100分）×</w:t>
      </w:r>
      <w:r>
        <w:rPr>
          <w:rFonts w:hint="eastAsia" w:ascii="Times New Roman" w:hAnsi="宋体" w:eastAsia="宋体" w:cs="宋体"/>
          <w:color w:val="auto"/>
          <w:highlight w:val="none"/>
        </w:rPr>
        <w:t>方案因素</w:t>
      </w:r>
      <w:r>
        <w:rPr>
          <w:rFonts w:hint="eastAsia" w:ascii="Times New Roman" w:hAnsi="宋体" w:eastAsia="宋体" w:cs="宋体"/>
          <w:color w:val="auto"/>
          <w:szCs w:val="22"/>
          <w:highlight w:val="none"/>
        </w:rPr>
        <w:t>权重（70%）+价格因素得分（100分）×价格因素权重（30%）</w:t>
      </w:r>
      <w:r>
        <w:rPr>
          <w:rFonts w:hint="eastAsia" w:ascii="Times New Roman" w:hAnsi="宋体" w:eastAsia="宋体" w:cs="宋体"/>
          <w:color w:val="auto"/>
          <w:highlight w:val="none"/>
        </w:rPr>
        <w:t>（若分数出现小数点时，保留小数点后二位，第三位小数四舍五入）。</w:t>
      </w:r>
    </w:p>
    <w:p>
      <w:pPr>
        <w:spacing w:line="240" w:lineRule="auto"/>
        <w:ind w:right="420" w:rightChars="0" w:firstLine="480" w:firstLineChars="0"/>
        <w:rPr>
          <w:rFonts w:hint="eastAsia" w:ascii="Times New Roman" w:hAnsi="宋体" w:eastAsia="宋体" w:cs="宋体"/>
          <w:bCs w:val="0"/>
          <w:color w:val="auto"/>
          <w:highlight w:val="none"/>
        </w:rPr>
      </w:pPr>
    </w:p>
    <w:p>
      <w:pPr>
        <w:spacing w:line="240" w:lineRule="auto"/>
        <w:ind w:right="420" w:rightChars="0" w:firstLine="480" w:firstLineChars="0"/>
        <w:rPr>
          <w:rFonts w:hint="eastAsia" w:ascii="Times New Roman" w:hAnsi="宋体" w:eastAsia="宋体" w:cs="宋体"/>
          <w:bCs w:val="0"/>
          <w:color w:val="auto"/>
          <w:highlight w:val="none"/>
        </w:rPr>
      </w:pPr>
      <w:r>
        <w:rPr>
          <w:rFonts w:hint="eastAsia" w:ascii="Times New Roman" w:hAnsi="宋体" w:eastAsia="宋体" w:cs="宋体"/>
          <w:bCs w:val="0"/>
          <w:color w:val="auto"/>
          <w:highlight w:val="none"/>
        </w:rPr>
        <w:t xml:space="preserve">定标委员会全体成员签名：   </w:t>
      </w:r>
    </w:p>
    <w:p>
      <w:pPr>
        <w:spacing w:line="360" w:lineRule="exact"/>
        <w:ind w:right="0" w:rightChars="0" w:firstLine="0" w:firstLineChars="0"/>
        <w:jc w:val="right"/>
        <w:rPr>
          <w:rFonts w:ascii="仿宋" w:hAnsi="仿宋" w:eastAsia="仿宋" w:cs="仿宋"/>
          <w:color w:val="auto"/>
          <w:sz w:val="21"/>
          <w:szCs w:val="21"/>
          <w:highlight w:val="none"/>
        </w:rPr>
        <w:sectPr>
          <w:pgSz w:w="11905" w:h="16838"/>
          <w:pgMar w:top="1440" w:right="1225" w:bottom="1440" w:left="1440" w:header="850" w:footer="992" w:gutter="0"/>
          <w:pgNumType w:fmt="decimal"/>
          <w:cols w:space="720" w:num="1"/>
          <w:titlePg/>
          <w:rtlGutter w:val="0"/>
          <w:docGrid w:type="lines" w:linePitch="318" w:charSpace="0"/>
        </w:sectPr>
      </w:pPr>
      <w:r>
        <w:rPr>
          <w:rFonts w:hint="eastAsia" w:hAnsi="宋体" w:cs="宋体"/>
          <w:bCs/>
          <w:color w:val="auto"/>
          <w:highlight w:val="none"/>
        </w:rPr>
        <w:t>日期：  年  月  日</w:t>
      </w:r>
    </w:p>
    <w:p>
      <w:pPr>
        <w:pStyle w:val="11"/>
        <w:ind w:firstLine="0" w:firstLineChars="0"/>
        <w:rPr>
          <w:rFonts w:hint="default" w:hAnsi="宋体" w:eastAsia="宋体" w:cs="宋体"/>
          <w:color w:val="auto"/>
          <w:sz w:val="24"/>
          <w:highlight w:val="none"/>
          <w:lang w:val="en-US" w:eastAsia="zh-CN"/>
        </w:rPr>
      </w:pPr>
      <w:r>
        <w:rPr>
          <w:rFonts w:hint="eastAsia" w:hAnsi="宋体" w:cs="宋体"/>
          <w:color w:val="auto"/>
          <w:sz w:val="24"/>
          <w:highlight w:val="none"/>
          <w:lang w:val="en-US" w:eastAsia="zh-CN"/>
        </w:rPr>
        <w:t>附表十二：</w:t>
      </w:r>
    </w:p>
    <w:p>
      <w:pPr>
        <w:snapToGrid w:val="0"/>
        <w:ind w:firstLine="0" w:firstLineChars="0"/>
        <w:jc w:val="center"/>
        <w:outlineLvl w:val="2"/>
        <w:rPr>
          <w:rFonts w:hint="eastAsia" w:hAnsi="宋体" w:cs="宋体"/>
          <w:b/>
          <w:color w:val="auto"/>
          <w:sz w:val="30"/>
          <w:szCs w:val="30"/>
          <w:highlight w:val="none"/>
        </w:rPr>
      </w:pPr>
      <w:r>
        <w:rPr>
          <w:rFonts w:hint="eastAsia" w:hAnsi="宋体" w:cs="宋体"/>
          <w:b/>
          <w:color w:val="auto"/>
          <w:sz w:val="30"/>
          <w:szCs w:val="30"/>
          <w:highlight w:val="none"/>
        </w:rPr>
        <w:t>（第</w:t>
      </w:r>
      <w:r>
        <w:rPr>
          <w:rFonts w:hint="eastAsia" w:hAnsi="宋体" w:cs="宋体"/>
          <w:b/>
          <w:color w:val="auto"/>
          <w:sz w:val="30"/>
          <w:szCs w:val="30"/>
          <w:highlight w:val="none"/>
          <w:u w:val="single"/>
        </w:rPr>
        <w:t xml:space="preserve">   </w:t>
      </w:r>
      <w:r>
        <w:rPr>
          <w:rFonts w:hint="eastAsia" w:hAnsi="宋体" w:cs="宋体"/>
          <w:b/>
          <w:color w:val="auto"/>
          <w:sz w:val="30"/>
          <w:szCs w:val="30"/>
          <w:highlight w:val="none"/>
        </w:rPr>
        <w:t>组第</w:t>
      </w:r>
      <w:r>
        <w:rPr>
          <w:rFonts w:hint="eastAsia" w:hAnsi="宋体" w:cs="宋体"/>
          <w:b/>
          <w:color w:val="auto"/>
          <w:sz w:val="30"/>
          <w:szCs w:val="30"/>
          <w:highlight w:val="none"/>
          <w:u w:val="single"/>
        </w:rPr>
        <w:t xml:space="preserve">   </w:t>
      </w:r>
      <w:r>
        <w:rPr>
          <w:rFonts w:hint="eastAsia" w:hAnsi="宋体" w:cs="宋体"/>
          <w:b/>
          <w:color w:val="auto"/>
          <w:sz w:val="30"/>
          <w:szCs w:val="30"/>
          <w:highlight w:val="none"/>
        </w:rPr>
        <w:t>轮）附加投票表（如有）</w:t>
      </w:r>
    </w:p>
    <w:p>
      <w:pPr>
        <w:snapToGrid w:val="0"/>
        <w:ind w:firstLine="0" w:firstLineChars="0"/>
        <w:jc w:val="center"/>
        <w:outlineLvl w:val="2"/>
        <w:rPr>
          <w:rFonts w:hint="eastAsia" w:hAnsi="宋体" w:cs="宋体"/>
          <w:b/>
          <w:color w:val="auto"/>
          <w:sz w:val="30"/>
          <w:szCs w:val="30"/>
          <w:highlight w:val="none"/>
        </w:rPr>
      </w:pPr>
      <w:r>
        <w:rPr>
          <w:rFonts w:hint="eastAsia" w:hAnsi="宋体" w:cs="宋体"/>
          <w:b/>
          <w:color w:val="auto"/>
          <w:sz w:val="30"/>
          <w:szCs w:val="30"/>
          <w:highlight w:val="none"/>
        </w:rPr>
        <w:t>（定标委员会个人用表）</w:t>
      </w:r>
    </w:p>
    <w:p>
      <w:pPr>
        <w:ind w:firstLine="602"/>
        <w:jc w:val="center"/>
        <w:rPr>
          <w:rFonts w:hint="eastAsia" w:hAnsi="宋体" w:cs="宋体"/>
          <w:b/>
          <w:color w:val="auto"/>
          <w:sz w:val="30"/>
          <w:szCs w:val="30"/>
          <w:highlight w:val="none"/>
        </w:rPr>
      </w:pPr>
    </w:p>
    <w:p>
      <w:pPr>
        <w:ind w:firstLine="480"/>
        <w:rPr>
          <w:rFonts w:hint="eastAsia" w:hAnsi="宋体" w:cs="宋体"/>
          <w:color w:val="auto"/>
          <w:highlight w:val="none"/>
        </w:rPr>
      </w:pPr>
      <w:r>
        <w:rPr>
          <w:rFonts w:hint="eastAsia" w:hAnsi="宋体" w:cs="宋体"/>
          <w:color w:val="auto"/>
          <w:highlight w:val="none"/>
        </w:rPr>
        <w:t>工程名称：</w:t>
      </w:r>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2126"/>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4" w:hRule="atLeast"/>
        </w:trPr>
        <w:tc>
          <w:tcPr>
            <w:tcW w:w="241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合格中标候选人名称</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41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定标人票决意见</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bl>
    <w:p>
      <w:pPr>
        <w:ind w:right="420" w:firstLine="480"/>
        <w:rPr>
          <w:rFonts w:hint="eastAsia" w:hAnsi="宋体" w:cs="宋体"/>
          <w:color w:val="auto"/>
          <w:highlight w:val="none"/>
        </w:rPr>
      </w:pPr>
    </w:p>
    <w:p>
      <w:pPr>
        <w:ind w:right="420" w:firstLine="0"/>
        <w:rPr>
          <w:rFonts w:hint="eastAsia" w:hAnsi="宋体" w:cs="宋体"/>
          <w:color w:val="auto"/>
          <w:szCs w:val="21"/>
          <w:highlight w:val="none"/>
        </w:rPr>
      </w:pPr>
      <w:r>
        <w:rPr>
          <w:rFonts w:hint="eastAsia" w:hAnsi="宋体" w:cs="宋体"/>
          <w:color w:val="auto"/>
          <w:szCs w:val="21"/>
          <w:highlight w:val="none"/>
        </w:rPr>
        <w:t>备注：</w:t>
      </w:r>
    </w:p>
    <w:p>
      <w:pPr>
        <w:numPr>
          <w:ilvl w:val="0"/>
          <w:numId w:val="0"/>
        </w:numPr>
        <w:ind w:left="420" w:hanging="367" w:hangingChars="175"/>
        <w:rPr>
          <w:rFonts w:hint="eastAsia" w:hAnsi="宋体" w:cs="宋体"/>
          <w:color w:val="auto"/>
          <w:szCs w:val="21"/>
          <w:highlight w:val="none"/>
        </w:rPr>
      </w:pPr>
      <w:r>
        <w:rPr>
          <w:rFonts w:hint="eastAsia" w:hAnsi="宋体" w:cs="宋体"/>
          <w:color w:val="auto"/>
          <w:szCs w:val="21"/>
          <w:highlight w:val="none"/>
          <w:lang w:val="en-US" w:eastAsia="zh-CN"/>
        </w:rPr>
        <w:t>1、</w:t>
      </w:r>
      <w:r>
        <w:rPr>
          <w:rFonts w:hint="eastAsia" w:hAnsi="宋体" w:cs="宋体"/>
          <w:color w:val="auto"/>
          <w:szCs w:val="21"/>
          <w:highlight w:val="none"/>
        </w:rPr>
        <w:t>若出现总得分、</w:t>
      </w:r>
      <w:r>
        <w:rPr>
          <w:rFonts w:hint="eastAsia" w:hAnsi="宋体" w:cs="宋体"/>
          <w:color w:val="auto"/>
          <w:highlight w:val="none"/>
        </w:rPr>
        <w:t>方案因素</w:t>
      </w:r>
      <w:r>
        <w:rPr>
          <w:rFonts w:hint="eastAsia" w:hAnsi="宋体" w:cs="宋体"/>
          <w:color w:val="auto"/>
          <w:szCs w:val="21"/>
          <w:highlight w:val="none"/>
        </w:rPr>
        <w:t>得分、价格因素得分均相同的情况，按总分、</w:t>
      </w:r>
      <w:r>
        <w:rPr>
          <w:rFonts w:hint="eastAsia" w:hAnsi="宋体" w:cs="宋体"/>
          <w:color w:val="auto"/>
          <w:highlight w:val="none"/>
        </w:rPr>
        <w:t>方案因素</w:t>
      </w:r>
      <w:r>
        <w:rPr>
          <w:rFonts w:hint="eastAsia" w:hAnsi="宋体" w:cs="宋体"/>
          <w:color w:val="auto"/>
          <w:szCs w:val="21"/>
          <w:highlight w:val="none"/>
        </w:rPr>
        <w:t>得分、价格因素得分相同的合格中标候选人为一组，由高至低依次分组，总分高的组别为第一组，以此类推，出现总分、</w:t>
      </w:r>
      <w:r>
        <w:rPr>
          <w:rFonts w:hint="eastAsia" w:hAnsi="宋体" w:cs="宋体"/>
          <w:color w:val="auto"/>
          <w:highlight w:val="none"/>
          <w:lang w:val="en-US" w:eastAsia="zh-CN"/>
        </w:rPr>
        <w:t>定标阶段定标</w:t>
      </w:r>
      <w:r>
        <w:rPr>
          <w:rFonts w:hint="eastAsia" w:hAnsi="宋体" w:cs="宋体"/>
          <w:color w:val="auto"/>
          <w:highlight w:val="none"/>
        </w:rPr>
        <w:t>方案因素</w:t>
      </w:r>
      <w:r>
        <w:rPr>
          <w:rFonts w:hint="eastAsia" w:hAnsi="宋体" w:cs="宋体"/>
          <w:color w:val="auto"/>
          <w:szCs w:val="21"/>
          <w:highlight w:val="none"/>
        </w:rPr>
        <w:t>得分、价格因素得分相同情况的有</w:t>
      </w:r>
      <w:r>
        <w:rPr>
          <w:rFonts w:hint="eastAsia" w:hAnsi="宋体" w:cs="宋体"/>
          <w:color w:val="auto"/>
          <w:szCs w:val="21"/>
          <w:highlight w:val="none"/>
          <w:u w:val="single"/>
        </w:rPr>
        <w:t xml:space="preserve">   </w:t>
      </w:r>
      <w:r>
        <w:rPr>
          <w:rFonts w:hint="eastAsia" w:hAnsi="宋体" w:cs="宋体"/>
          <w:color w:val="auto"/>
          <w:szCs w:val="21"/>
          <w:highlight w:val="none"/>
        </w:rPr>
        <w:t>组，本组为第</w:t>
      </w:r>
      <w:r>
        <w:rPr>
          <w:rFonts w:hint="eastAsia" w:hAnsi="宋体" w:cs="宋体"/>
          <w:color w:val="auto"/>
          <w:szCs w:val="21"/>
          <w:highlight w:val="none"/>
          <w:u w:val="single"/>
        </w:rPr>
        <w:t xml:space="preserve">   </w:t>
      </w:r>
      <w:r>
        <w:rPr>
          <w:rFonts w:hint="eastAsia" w:hAnsi="宋体" w:cs="宋体"/>
          <w:color w:val="auto"/>
          <w:szCs w:val="21"/>
          <w:highlight w:val="none"/>
        </w:rPr>
        <w:t>组，共</w:t>
      </w:r>
      <w:r>
        <w:rPr>
          <w:rFonts w:hint="eastAsia" w:hAnsi="宋体" w:cs="宋体"/>
          <w:color w:val="auto"/>
          <w:szCs w:val="21"/>
          <w:highlight w:val="none"/>
          <w:u w:val="single"/>
        </w:rPr>
        <w:t xml:space="preserve">   </w:t>
      </w:r>
      <w:r>
        <w:rPr>
          <w:rFonts w:hint="eastAsia" w:hAnsi="宋体" w:cs="宋体"/>
          <w:color w:val="auto"/>
          <w:szCs w:val="21"/>
          <w:highlight w:val="none"/>
        </w:rPr>
        <w:t>名合格中标候选人，总分为</w:t>
      </w:r>
      <w:r>
        <w:rPr>
          <w:rFonts w:hint="eastAsia" w:hAnsi="宋体" w:cs="宋体"/>
          <w:color w:val="auto"/>
          <w:szCs w:val="21"/>
          <w:highlight w:val="none"/>
          <w:u w:val="single"/>
        </w:rPr>
        <w:t xml:space="preserve">   </w:t>
      </w:r>
      <w:r>
        <w:rPr>
          <w:rFonts w:hint="eastAsia" w:hAnsi="宋体" w:cs="宋体"/>
          <w:color w:val="auto"/>
          <w:szCs w:val="21"/>
          <w:highlight w:val="none"/>
        </w:rPr>
        <w:t>分，分别为</w:t>
      </w:r>
      <w:r>
        <w:rPr>
          <w:rFonts w:hint="eastAsia" w:hAnsi="宋体" w:cs="宋体"/>
          <w:color w:val="auto"/>
          <w:szCs w:val="21"/>
          <w:highlight w:val="none"/>
          <w:u w:val="single"/>
        </w:rPr>
        <w:t xml:space="preserve">   </w:t>
      </w:r>
      <w:r>
        <w:rPr>
          <w:rFonts w:hint="eastAsia" w:hAnsi="宋体" w:cs="宋体"/>
          <w:color w:val="auto"/>
          <w:szCs w:val="21"/>
          <w:highlight w:val="none"/>
        </w:rPr>
        <w:t>，</w:t>
      </w:r>
      <w:r>
        <w:rPr>
          <w:rFonts w:hint="eastAsia" w:hAnsi="宋体" w:cs="宋体"/>
          <w:color w:val="auto"/>
          <w:szCs w:val="21"/>
          <w:highlight w:val="none"/>
          <w:u w:val="single"/>
        </w:rPr>
        <w:t xml:space="preserve">   </w:t>
      </w:r>
      <w:r>
        <w:rPr>
          <w:rFonts w:hint="eastAsia" w:hAnsi="宋体" w:cs="宋体"/>
          <w:color w:val="auto"/>
          <w:szCs w:val="21"/>
          <w:highlight w:val="none"/>
        </w:rPr>
        <w:t>，</w:t>
      </w:r>
      <w:r>
        <w:rPr>
          <w:rFonts w:hint="eastAsia" w:hAnsi="宋体" w:cs="宋体"/>
          <w:color w:val="auto"/>
          <w:szCs w:val="21"/>
          <w:highlight w:val="none"/>
          <w:u w:val="single"/>
        </w:rPr>
        <w:t xml:space="preserve">   </w:t>
      </w:r>
      <w:r>
        <w:rPr>
          <w:rFonts w:hint="eastAsia" w:hAnsi="宋体" w:cs="宋体"/>
          <w:color w:val="auto"/>
          <w:szCs w:val="21"/>
          <w:highlight w:val="none"/>
        </w:rPr>
        <w:t>。</w:t>
      </w:r>
    </w:p>
    <w:p>
      <w:pPr>
        <w:ind w:left="420" w:hanging="367" w:hangingChars="175"/>
        <w:rPr>
          <w:rFonts w:hint="eastAsia" w:hAnsi="宋体" w:cs="宋体"/>
          <w:color w:val="auto"/>
          <w:szCs w:val="21"/>
          <w:highlight w:val="none"/>
        </w:rPr>
      </w:pPr>
      <w:r>
        <w:rPr>
          <w:rFonts w:hint="eastAsia" w:hAnsi="宋体" w:cs="宋体"/>
          <w:color w:val="auto"/>
          <w:szCs w:val="21"/>
          <w:highlight w:val="none"/>
        </w:rPr>
        <w:t>2、由定标委员会成员进行附加投票，票决意见分别为“投票”或“不投票”，各定标委员会成员只有1票表决权（即只能对其中一名合格中标候选人“投票”），票决意见为“投票”的，用</w:t>
      </w:r>
      <w:r>
        <w:rPr>
          <w:rFonts w:hint="eastAsia" w:hAnsi="宋体" w:cs="宋体"/>
          <w:b/>
          <w:color w:val="auto"/>
          <w:szCs w:val="21"/>
          <w:highlight w:val="none"/>
        </w:rPr>
        <w:t>“</w:t>
      </w:r>
      <w:r>
        <w:rPr>
          <w:rFonts w:hint="eastAsia" w:hAnsi="宋体" w:cs="宋体"/>
          <w:b/>
          <w:color w:val="auto"/>
          <w:szCs w:val="21"/>
          <w:highlight w:val="none"/>
          <w:lang w:val="en-US" w:eastAsia="zh-CN"/>
        </w:rPr>
        <w:t>O</w:t>
      </w:r>
      <w:r>
        <w:rPr>
          <w:rFonts w:hint="eastAsia" w:hAnsi="宋体" w:cs="宋体"/>
          <w:b/>
          <w:color w:val="auto"/>
          <w:szCs w:val="21"/>
          <w:highlight w:val="none"/>
        </w:rPr>
        <w:t>”</w:t>
      </w:r>
      <w:r>
        <w:rPr>
          <w:rFonts w:hint="eastAsia" w:hAnsi="宋体" w:cs="宋体"/>
          <w:color w:val="auto"/>
          <w:szCs w:val="21"/>
          <w:highlight w:val="none"/>
        </w:rPr>
        <w:t>表示；票决意见为“不投票”，用</w:t>
      </w:r>
      <w:r>
        <w:rPr>
          <w:rFonts w:hint="eastAsia" w:hAnsi="宋体" w:cs="宋体"/>
          <w:b/>
          <w:color w:val="auto"/>
          <w:szCs w:val="21"/>
          <w:highlight w:val="none"/>
        </w:rPr>
        <w:t>“×”</w:t>
      </w:r>
      <w:r>
        <w:rPr>
          <w:rFonts w:hint="eastAsia" w:hAnsi="宋体" w:cs="宋体"/>
          <w:color w:val="auto"/>
          <w:szCs w:val="21"/>
          <w:highlight w:val="none"/>
        </w:rPr>
        <w:t>表示。</w:t>
      </w:r>
    </w:p>
    <w:p>
      <w:pPr>
        <w:ind w:left="-368" w:leftChars="-175" w:firstLine="480"/>
        <w:rPr>
          <w:rFonts w:hint="eastAsia" w:hAnsi="宋体" w:cs="宋体"/>
          <w:color w:val="auto"/>
          <w:szCs w:val="21"/>
          <w:highlight w:val="none"/>
        </w:rPr>
      </w:pPr>
      <w:r>
        <w:rPr>
          <w:rFonts w:hint="eastAsia" w:hAnsi="宋体" w:cs="宋体"/>
          <w:color w:val="auto"/>
          <w:szCs w:val="21"/>
          <w:highlight w:val="none"/>
        </w:rPr>
        <w:t>3、若汇总出现得票数相同的情况按此表进行第</w:t>
      </w:r>
      <w:r>
        <w:rPr>
          <w:rFonts w:hint="eastAsia" w:hAnsi="宋体" w:cs="宋体"/>
          <w:color w:val="auto"/>
          <w:szCs w:val="21"/>
          <w:highlight w:val="none"/>
          <w:u w:val="single"/>
        </w:rPr>
        <w:t xml:space="preserve">   </w:t>
      </w:r>
      <w:r>
        <w:rPr>
          <w:rFonts w:hint="eastAsia" w:hAnsi="宋体" w:cs="宋体"/>
          <w:color w:val="auto"/>
          <w:szCs w:val="21"/>
          <w:highlight w:val="none"/>
        </w:rPr>
        <w:t>组第</w:t>
      </w:r>
      <w:r>
        <w:rPr>
          <w:rFonts w:hint="eastAsia" w:hAnsi="宋体" w:cs="宋体"/>
          <w:color w:val="auto"/>
          <w:szCs w:val="21"/>
          <w:highlight w:val="none"/>
          <w:u w:val="single"/>
        </w:rPr>
        <w:t xml:space="preserve">   </w:t>
      </w:r>
      <w:r>
        <w:rPr>
          <w:rFonts w:hint="eastAsia" w:hAnsi="宋体" w:cs="宋体"/>
          <w:color w:val="auto"/>
          <w:szCs w:val="21"/>
          <w:highlight w:val="none"/>
        </w:rPr>
        <w:t>轮票决确定排序。</w:t>
      </w:r>
    </w:p>
    <w:p>
      <w:pPr>
        <w:ind w:firstLine="480"/>
        <w:rPr>
          <w:rFonts w:hint="eastAsia" w:hAnsi="宋体" w:cs="宋体"/>
          <w:color w:val="auto"/>
          <w:highlight w:val="none"/>
        </w:rPr>
      </w:pPr>
    </w:p>
    <w:p>
      <w:pPr>
        <w:ind w:firstLine="480"/>
        <w:rPr>
          <w:rFonts w:hint="eastAsia" w:hAnsi="宋体" w:cs="宋体"/>
          <w:color w:val="auto"/>
          <w:highlight w:val="none"/>
        </w:rPr>
      </w:pPr>
    </w:p>
    <w:p>
      <w:pPr>
        <w:snapToGrid w:val="0"/>
        <w:spacing w:line="360" w:lineRule="atLeast"/>
        <w:ind w:firstLine="480"/>
        <w:jc w:val="left"/>
        <w:outlineLvl w:val="2"/>
        <w:rPr>
          <w:rFonts w:hint="eastAsia" w:hAnsi="宋体" w:cs="宋体"/>
          <w:color w:val="auto"/>
          <w:szCs w:val="21"/>
          <w:highlight w:val="none"/>
        </w:rPr>
      </w:pPr>
      <w:r>
        <w:rPr>
          <w:rFonts w:hint="eastAsia" w:hAnsi="宋体" w:cs="宋体"/>
          <w:color w:val="auto"/>
          <w:szCs w:val="21"/>
          <w:highlight w:val="none"/>
        </w:rPr>
        <w:t>定标委员签名：</w:t>
      </w:r>
    </w:p>
    <w:p>
      <w:pPr>
        <w:snapToGrid w:val="0"/>
        <w:spacing w:line="360" w:lineRule="atLeast"/>
        <w:ind w:firstLine="480"/>
        <w:jc w:val="right"/>
        <w:outlineLvl w:val="2"/>
        <w:rPr>
          <w:rFonts w:hAnsi="宋体" w:cs="宋体"/>
          <w:color w:val="auto"/>
          <w:szCs w:val="21"/>
          <w:highlight w:val="none"/>
        </w:rPr>
        <w:sectPr>
          <w:headerReference r:id="rId11" w:type="first"/>
          <w:footerReference r:id="rId13" w:type="first"/>
          <w:headerReference r:id="rId10" w:type="default"/>
          <w:footerReference r:id="rId12" w:type="default"/>
          <w:pgSz w:w="11905" w:h="16838"/>
          <w:pgMar w:top="1440" w:right="1225" w:bottom="1440" w:left="1440" w:header="850" w:footer="992" w:gutter="0"/>
          <w:pgNumType w:fmt="decimal"/>
          <w:cols w:space="720" w:num="1"/>
          <w:titlePg/>
          <w:rtlGutter w:val="0"/>
          <w:docGrid w:type="lines" w:linePitch="318" w:charSpace="0"/>
        </w:sectPr>
      </w:pPr>
      <w:r>
        <w:rPr>
          <w:rFonts w:hint="eastAsia" w:hAnsi="宋体" w:cs="宋体"/>
          <w:color w:val="auto"/>
          <w:szCs w:val="21"/>
          <w:highlight w:val="none"/>
        </w:rPr>
        <w:t>日期：     年   月   日</w:t>
      </w:r>
    </w:p>
    <w:p>
      <w:pPr>
        <w:pStyle w:val="11"/>
        <w:ind w:firstLine="0" w:firstLineChars="0"/>
        <w:rPr>
          <w:rFonts w:hint="default" w:hAnsi="宋体" w:eastAsia="宋体" w:cs="宋体"/>
          <w:color w:val="auto"/>
          <w:sz w:val="24"/>
          <w:highlight w:val="none"/>
          <w:lang w:val="en-US" w:eastAsia="zh-CN"/>
        </w:rPr>
      </w:pPr>
      <w:r>
        <w:rPr>
          <w:rFonts w:hint="eastAsia" w:hAnsi="宋体" w:cs="宋体"/>
          <w:color w:val="auto"/>
          <w:sz w:val="24"/>
          <w:highlight w:val="none"/>
          <w:lang w:val="en-US" w:eastAsia="zh-CN"/>
        </w:rPr>
        <w:t>附表十三：</w:t>
      </w:r>
    </w:p>
    <w:p>
      <w:pPr>
        <w:ind w:firstLine="0" w:firstLineChars="0"/>
        <w:jc w:val="center"/>
        <w:rPr>
          <w:rFonts w:hint="eastAsia" w:hAnsi="宋体" w:cs="宋体"/>
          <w:b/>
          <w:color w:val="auto"/>
          <w:sz w:val="30"/>
          <w:szCs w:val="30"/>
          <w:highlight w:val="none"/>
        </w:rPr>
      </w:pPr>
      <w:r>
        <w:rPr>
          <w:rFonts w:hint="eastAsia" w:hAnsi="宋体" w:cs="宋体"/>
          <w:b/>
          <w:color w:val="auto"/>
          <w:sz w:val="30"/>
          <w:szCs w:val="30"/>
          <w:highlight w:val="none"/>
        </w:rPr>
        <w:t>（第</w:t>
      </w:r>
      <w:r>
        <w:rPr>
          <w:rFonts w:hint="eastAsia" w:hAnsi="宋体" w:cs="宋体"/>
          <w:color w:val="auto"/>
          <w:sz w:val="30"/>
          <w:szCs w:val="30"/>
          <w:highlight w:val="none"/>
          <w:u w:val="single"/>
        </w:rPr>
        <w:t xml:space="preserve">   </w:t>
      </w:r>
      <w:r>
        <w:rPr>
          <w:rFonts w:hint="eastAsia" w:hAnsi="宋体" w:cs="宋体"/>
          <w:b/>
          <w:color w:val="auto"/>
          <w:sz w:val="30"/>
          <w:szCs w:val="30"/>
          <w:highlight w:val="none"/>
        </w:rPr>
        <w:t>组第</w:t>
      </w:r>
      <w:r>
        <w:rPr>
          <w:rFonts w:hint="eastAsia" w:hAnsi="宋体" w:cs="宋体"/>
          <w:color w:val="auto"/>
          <w:sz w:val="30"/>
          <w:szCs w:val="30"/>
          <w:highlight w:val="none"/>
          <w:u w:val="single"/>
        </w:rPr>
        <w:t xml:space="preserve">   </w:t>
      </w:r>
      <w:r>
        <w:rPr>
          <w:rFonts w:hint="eastAsia" w:hAnsi="宋体" w:cs="宋体"/>
          <w:b/>
          <w:color w:val="auto"/>
          <w:sz w:val="30"/>
          <w:szCs w:val="30"/>
          <w:highlight w:val="none"/>
        </w:rPr>
        <w:t>轮）附加投票统计表（如有）</w:t>
      </w:r>
    </w:p>
    <w:p>
      <w:pPr>
        <w:pStyle w:val="24"/>
        <w:ind w:left="0" w:leftChars="0" w:firstLine="0" w:firstLineChars="0"/>
        <w:jc w:val="center"/>
        <w:rPr>
          <w:rFonts w:hint="eastAsia"/>
          <w:color w:val="auto"/>
          <w:sz w:val="30"/>
          <w:szCs w:val="30"/>
          <w:highlight w:val="none"/>
        </w:rPr>
      </w:pPr>
      <w:r>
        <w:rPr>
          <w:rFonts w:hint="eastAsia" w:hAnsi="宋体" w:cs="宋体"/>
          <w:b/>
          <w:color w:val="auto"/>
          <w:sz w:val="30"/>
          <w:szCs w:val="30"/>
          <w:highlight w:val="none"/>
        </w:rPr>
        <w:t>（定标委员会汇总用表）</w:t>
      </w:r>
    </w:p>
    <w:p>
      <w:pPr>
        <w:ind w:firstLine="480"/>
        <w:rPr>
          <w:rFonts w:hint="eastAsia" w:hAnsi="宋体" w:cs="宋体"/>
          <w:color w:val="auto"/>
          <w:highlight w:val="none"/>
        </w:rPr>
      </w:pPr>
      <w:r>
        <w:rPr>
          <w:rFonts w:hint="eastAsia" w:hAnsi="宋体" w:cs="宋体"/>
          <w:color w:val="auto"/>
          <w:highlight w:val="none"/>
        </w:rPr>
        <w:t>工程名称：</w:t>
      </w:r>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136"/>
        <w:gridCol w:w="935"/>
        <w:gridCol w:w="955"/>
        <w:gridCol w:w="945"/>
        <w:gridCol w:w="945"/>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91"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序号</w:t>
            </w:r>
          </w:p>
        </w:tc>
        <w:tc>
          <w:tcPr>
            <w:tcW w:w="3136"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合格中标候选人名称</w:t>
            </w:r>
          </w:p>
        </w:tc>
        <w:tc>
          <w:tcPr>
            <w:tcW w:w="93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定标因素得分排序</w:t>
            </w:r>
          </w:p>
        </w:tc>
        <w:tc>
          <w:tcPr>
            <w:tcW w:w="955" w:type="dxa"/>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第1轮得票数</w:t>
            </w:r>
          </w:p>
        </w:tc>
        <w:tc>
          <w:tcPr>
            <w:tcW w:w="945" w:type="dxa"/>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第1轮排序</w:t>
            </w:r>
          </w:p>
        </w:tc>
        <w:tc>
          <w:tcPr>
            <w:tcW w:w="945" w:type="dxa"/>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第…轮得票数</w:t>
            </w:r>
          </w:p>
        </w:tc>
        <w:tc>
          <w:tcPr>
            <w:tcW w:w="945" w:type="dxa"/>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第…轮排序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91"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1</w:t>
            </w:r>
          </w:p>
        </w:tc>
        <w:tc>
          <w:tcPr>
            <w:tcW w:w="3136"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55" w:type="dxa"/>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91"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2</w:t>
            </w:r>
          </w:p>
        </w:tc>
        <w:tc>
          <w:tcPr>
            <w:tcW w:w="3136"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55" w:type="dxa"/>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91"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3</w:t>
            </w:r>
          </w:p>
        </w:tc>
        <w:tc>
          <w:tcPr>
            <w:tcW w:w="3136"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55" w:type="dxa"/>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bl>
    <w:p>
      <w:pPr>
        <w:spacing w:line="600" w:lineRule="exact"/>
        <w:ind w:right="-9" w:firstLine="480"/>
        <w:jc w:val="center"/>
        <w:rPr>
          <w:rFonts w:hint="eastAsia" w:hAnsi="宋体" w:cs="宋体"/>
          <w:color w:val="auto"/>
          <w:highlight w:val="none"/>
        </w:rPr>
      </w:pPr>
    </w:p>
    <w:p>
      <w:pPr>
        <w:spacing w:line="360" w:lineRule="atLeast"/>
        <w:ind w:firstLine="480"/>
        <w:rPr>
          <w:rFonts w:hint="eastAsia" w:hAnsi="宋体" w:cs="宋体"/>
          <w:color w:val="auto"/>
          <w:szCs w:val="21"/>
          <w:highlight w:val="none"/>
        </w:rPr>
      </w:pPr>
      <w:r>
        <w:rPr>
          <w:rFonts w:hint="eastAsia" w:hAnsi="宋体" w:cs="宋体"/>
          <w:color w:val="auto"/>
          <w:szCs w:val="21"/>
          <w:highlight w:val="none"/>
        </w:rPr>
        <w:t>备注：按得票数由多至少，在延续定标因素得分排序的基础上进行排序，票数多的排序靠前，得票数相同的合格中标候选人进行再次票决确定排序。</w:t>
      </w:r>
    </w:p>
    <w:p>
      <w:pPr>
        <w:ind w:right="420" w:firstLine="480"/>
        <w:rPr>
          <w:rFonts w:hint="eastAsia" w:hAnsi="宋体" w:cs="宋体"/>
          <w:color w:val="auto"/>
          <w:highlight w:val="none"/>
        </w:rPr>
      </w:pPr>
    </w:p>
    <w:p>
      <w:pPr>
        <w:spacing w:line="360" w:lineRule="exact"/>
        <w:ind w:right="-325" w:rightChars="-155" w:firstLine="480"/>
        <w:jc w:val="left"/>
        <w:rPr>
          <w:rFonts w:hint="eastAsia" w:hAnsi="宋体" w:cs="宋体"/>
          <w:color w:val="auto"/>
          <w:szCs w:val="21"/>
          <w:highlight w:val="none"/>
        </w:rPr>
      </w:pPr>
      <w:r>
        <w:rPr>
          <w:rFonts w:hint="eastAsia" w:hAnsi="宋体" w:cs="宋体"/>
          <w:color w:val="auto"/>
          <w:szCs w:val="21"/>
          <w:highlight w:val="none"/>
        </w:rPr>
        <w:t xml:space="preserve">定标委员会全体成员签名：  </w:t>
      </w:r>
    </w:p>
    <w:p>
      <w:pPr>
        <w:spacing w:line="360" w:lineRule="exact"/>
        <w:ind w:right="0" w:rightChars="0" w:firstLine="480"/>
        <w:jc w:val="right"/>
        <w:rPr>
          <w:rFonts w:hAnsi="宋体" w:cs="宋体"/>
          <w:color w:val="auto"/>
          <w:szCs w:val="21"/>
          <w:highlight w:val="none"/>
        </w:rPr>
        <w:sectPr>
          <w:headerReference r:id="rId15" w:type="first"/>
          <w:footerReference r:id="rId17" w:type="first"/>
          <w:headerReference r:id="rId14" w:type="default"/>
          <w:footerReference r:id="rId16" w:type="default"/>
          <w:pgSz w:w="11905" w:h="16838"/>
          <w:pgMar w:top="1440" w:right="1225" w:bottom="1440" w:left="1440" w:header="850" w:footer="992" w:gutter="0"/>
          <w:pgNumType w:fmt="decimal"/>
          <w:cols w:space="720" w:num="1"/>
          <w:titlePg/>
          <w:rtlGutter w:val="0"/>
          <w:docGrid w:type="lines" w:linePitch="318" w:charSpace="0"/>
        </w:sectPr>
      </w:pPr>
      <w:r>
        <w:rPr>
          <w:rFonts w:hint="eastAsia" w:hAnsi="宋体" w:cs="宋体"/>
          <w:color w:val="auto"/>
          <w:szCs w:val="21"/>
          <w:highlight w:val="none"/>
        </w:rPr>
        <w:t>日期：     年   月   日</w:t>
      </w:r>
    </w:p>
    <w:p>
      <w:pPr>
        <w:pStyle w:val="11"/>
        <w:ind w:firstLine="0" w:firstLineChars="0"/>
        <w:rPr>
          <w:rFonts w:hAnsi="宋体" w:cs="宋体"/>
          <w:color w:val="auto"/>
          <w:sz w:val="24"/>
          <w:highlight w:val="none"/>
        </w:rPr>
      </w:pPr>
    </w:p>
    <w:p>
      <w:pPr>
        <w:ind w:firstLine="602"/>
        <w:jc w:val="center"/>
        <w:rPr>
          <w:rFonts w:hint="eastAsia" w:hAnsi="宋体"/>
          <w:b/>
          <w:color w:val="auto"/>
          <w:sz w:val="30"/>
          <w:szCs w:val="30"/>
          <w:highlight w:val="none"/>
        </w:rPr>
      </w:pPr>
    </w:p>
    <w:p>
      <w:pPr>
        <w:ind w:firstLine="602"/>
        <w:jc w:val="center"/>
        <w:rPr>
          <w:rFonts w:hint="eastAsia" w:hAnsi="宋体"/>
          <w:b/>
          <w:color w:val="auto"/>
          <w:sz w:val="30"/>
          <w:szCs w:val="30"/>
          <w:highlight w:val="none"/>
        </w:rPr>
      </w:pPr>
    </w:p>
    <w:p>
      <w:pPr>
        <w:ind w:firstLine="602"/>
        <w:jc w:val="center"/>
        <w:rPr>
          <w:rFonts w:hint="eastAsia" w:hAnsi="宋体"/>
          <w:b/>
          <w:color w:val="auto"/>
          <w:sz w:val="30"/>
          <w:szCs w:val="30"/>
          <w:highlight w:val="none"/>
        </w:rPr>
      </w:pPr>
    </w:p>
    <w:p>
      <w:pPr>
        <w:ind w:firstLine="602"/>
        <w:jc w:val="center"/>
        <w:rPr>
          <w:rFonts w:hint="eastAsia" w:hAnsi="宋体"/>
          <w:b/>
          <w:color w:val="auto"/>
          <w:sz w:val="30"/>
          <w:szCs w:val="30"/>
          <w:highlight w:val="none"/>
        </w:rPr>
      </w:pPr>
    </w:p>
    <w:p>
      <w:pPr>
        <w:ind w:firstLine="602"/>
        <w:jc w:val="center"/>
        <w:rPr>
          <w:rFonts w:hint="eastAsia" w:hAnsi="宋体"/>
          <w:b/>
          <w:color w:val="auto"/>
          <w:sz w:val="30"/>
          <w:szCs w:val="30"/>
          <w:highlight w:val="none"/>
        </w:rPr>
      </w:pPr>
    </w:p>
    <w:p>
      <w:pPr>
        <w:ind w:firstLine="602"/>
        <w:jc w:val="center"/>
        <w:rPr>
          <w:rFonts w:hint="eastAsia" w:hAnsi="宋体"/>
          <w:b/>
          <w:color w:val="auto"/>
          <w:sz w:val="30"/>
          <w:szCs w:val="30"/>
          <w:highlight w:val="none"/>
        </w:rPr>
      </w:pPr>
    </w:p>
    <w:p>
      <w:pPr>
        <w:ind w:firstLine="602"/>
        <w:jc w:val="center"/>
        <w:rPr>
          <w:rFonts w:hint="eastAsia" w:hAnsi="宋体"/>
          <w:b/>
          <w:color w:val="auto"/>
          <w:sz w:val="30"/>
          <w:szCs w:val="30"/>
          <w:highlight w:val="none"/>
        </w:rPr>
      </w:pPr>
    </w:p>
    <w:p>
      <w:pPr>
        <w:ind w:firstLine="602"/>
        <w:jc w:val="center"/>
        <w:rPr>
          <w:rFonts w:hint="eastAsia" w:hAnsi="宋体"/>
          <w:b/>
          <w:color w:val="auto"/>
          <w:sz w:val="30"/>
          <w:szCs w:val="30"/>
          <w:highlight w:val="none"/>
        </w:rPr>
      </w:pPr>
    </w:p>
    <w:p>
      <w:pPr>
        <w:ind w:firstLine="602"/>
        <w:jc w:val="center"/>
        <w:rPr>
          <w:rFonts w:hint="eastAsia" w:hAnsi="宋体"/>
          <w:b/>
          <w:color w:val="auto"/>
          <w:sz w:val="30"/>
          <w:szCs w:val="30"/>
          <w:highlight w:val="none"/>
        </w:rPr>
      </w:pPr>
    </w:p>
    <w:p>
      <w:pPr>
        <w:ind w:firstLine="0"/>
        <w:jc w:val="left"/>
        <w:rPr>
          <w:rFonts w:hint="eastAsia" w:hAnsi="宋体"/>
          <w:b w:val="0"/>
          <w:bCs/>
          <w:color w:val="auto"/>
          <w:sz w:val="24"/>
          <w:szCs w:val="24"/>
          <w:highlight w:val="none"/>
          <w:lang w:val="en-US" w:eastAsia="zh-CN"/>
        </w:rPr>
      </w:pPr>
      <w:r>
        <w:rPr>
          <w:rFonts w:hint="eastAsia" w:hAnsi="宋体"/>
          <w:b w:val="0"/>
          <w:bCs/>
          <w:color w:val="auto"/>
          <w:sz w:val="24"/>
          <w:szCs w:val="24"/>
          <w:highlight w:val="none"/>
          <w:lang w:val="en-US" w:eastAsia="zh-CN"/>
        </w:rPr>
        <w:br w:type="page"/>
      </w:r>
    </w:p>
    <w:p>
      <w:pPr>
        <w:ind w:firstLine="0"/>
        <w:jc w:val="both"/>
        <w:rPr>
          <w:rFonts w:hint="default" w:hAnsi="宋体" w:eastAsia="宋体"/>
          <w:b w:val="0"/>
          <w:bCs/>
          <w:color w:val="auto"/>
          <w:sz w:val="24"/>
          <w:szCs w:val="24"/>
          <w:highlight w:val="none"/>
          <w:lang w:val="en-US" w:eastAsia="zh-CN"/>
        </w:rPr>
      </w:pPr>
      <w:r>
        <w:rPr>
          <w:rFonts w:hint="eastAsia" w:hAnsi="宋体"/>
          <w:b w:val="0"/>
          <w:bCs/>
          <w:color w:val="auto"/>
          <w:sz w:val="24"/>
          <w:szCs w:val="24"/>
          <w:highlight w:val="none"/>
          <w:lang w:val="en-US" w:eastAsia="zh-CN"/>
        </w:rPr>
        <w:t>附表十四：</w:t>
      </w:r>
    </w:p>
    <w:p>
      <w:pPr>
        <w:ind w:firstLine="602"/>
        <w:jc w:val="center"/>
        <w:rPr>
          <w:rFonts w:hint="eastAsia" w:hAnsi="宋体"/>
          <w:b/>
          <w:color w:val="auto"/>
          <w:sz w:val="30"/>
          <w:szCs w:val="30"/>
          <w:highlight w:val="none"/>
        </w:rPr>
      </w:pPr>
      <w:r>
        <w:rPr>
          <w:rFonts w:hint="eastAsia" w:hAnsi="宋体"/>
          <w:b/>
          <w:color w:val="auto"/>
          <w:sz w:val="30"/>
          <w:szCs w:val="30"/>
          <w:highlight w:val="none"/>
        </w:rPr>
        <w:t>定标情况汇总表（定标阶段）</w:t>
      </w:r>
    </w:p>
    <w:p>
      <w:pPr>
        <w:ind w:firstLine="480"/>
        <w:rPr>
          <w:rFonts w:hint="eastAsia" w:hAnsi="宋体" w:cs="宋体"/>
          <w:color w:val="auto"/>
          <w:highlight w:val="none"/>
        </w:rPr>
      </w:pPr>
      <w:r>
        <w:rPr>
          <w:rFonts w:hint="eastAsia" w:hAnsi="宋体" w:cs="宋体"/>
          <w:color w:val="auto"/>
          <w:highlight w:val="none"/>
        </w:rPr>
        <w:t>工程名称：</w:t>
      </w:r>
    </w:p>
    <w:tbl>
      <w:tblPr>
        <w:tblStyle w:val="30"/>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3450"/>
        <w:gridCol w:w="1466"/>
        <w:gridCol w:w="1442"/>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63"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序号</w:t>
            </w:r>
          </w:p>
        </w:tc>
        <w:tc>
          <w:tcPr>
            <w:tcW w:w="1845" w:type="pct"/>
            <w:tcBorders>
              <w:top w:val="single" w:color="auto" w:sz="4" w:space="0"/>
              <w:left w:val="nil"/>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合格中标候选人名称</w:t>
            </w:r>
          </w:p>
        </w:tc>
        <w:tc>
          <w:tcPr>
            <w:tcW w:w="784" w:type="pct"/>
            <w:tcBorders>
              <w:top w:val="single" w:color="auto" w:sz="4" w:space="0"/>
              <w:left w:val="nil"/>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总得分</w:t>
            </w:r>
          </w:p>
        </w:tc>
        <w:tc>
          <w:tcPr>
            <w:tcW w:w="771" w:type="pct"/>
            <w:tcBorders>
              <w:top w:val="single" w:color="auto" w:sz="4" w:space="0"/>
              <w:left w:val="nil"/>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附加得票数</w:t>
            </w:r>
          </w:p>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（如有）</w:t>
            </w:r>
          </w:p>
        </w:tc>
        <w:tc>
          <w:tcPr>
            <w:tcW w:w="1235" w:type="pct"/>
            <w:tcBorders>
              <w:top w:val="single" w:color="auto" w:sz="4" w:space="0"/>
              <w:left w:val="nil"/>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是否被确定为中标人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63"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1</w:t>
            </w:r>
          </w:p>
        </w:tc>
        <w:tc>
          <w:tcPr>
            <w:tcW w:w="1845" w:type="pct"/>
            <w:tcBorders>
              <w:top w:val="single" w:color="auto" w:sz="4" w:space="0"/>
              <w:left w:val="nil"/>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784" w:type="pct"/>
            <w:tcBorders>
              <w:top w:val="single" w:color="auto" w:sz="4" w:space="0"/>
              <w:left w:val="nil"/>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771" w:type="pct"/>
            <w:tcBorders>
              <w:top w:val="single" w:color="auto" w:sz="4" w:space="0"/>
              <w:left w:val="nil"/>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235" w:type="pct"/>
            <w:tcBorders>
              <w:top w:val="single" w:color="auto" w:sz="4" w:space="0"/>
              <w:left w:val="nil"/>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63"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2</w:t>
            </w:r>
          </w:p>
        </w:tc>
        <w:tc>
          <w:tcPr>
            <w:tcW w:w="1845" w:type="pct"/>
            <w:tcBorders>
              <w:top w:val="single" w:color="auto" w:sz="4" w:space="0"/>
              <w:left w:val="nil"/>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784" w:type="pct"/>
            <w:tcBorders>
              <w:top w:val="single" w:color="auto" w:sz="4" w:space="0"/>
              <w:left w:val="nil"/>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771" w:type="pct"/>
            <w:tcBorders>
              <w:top w:val="single" w:color="auto" w:sz="4" w:space="0"/>
              <w:left w:val="nil"/>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235" w:type="pct"/>
            <w:tcBorders>
              <w:top w:val="single" w:color="auto" w:sz="4" w:space="0"/>
              <w:left w:val="nil"/>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63"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3</w:t>
            </w:r>
          </w:p>
        </w:tc>
        <w:tc>
          <w:tcPr>
            <w:tcW w:w="1845" w:type="pct"/>
            <w:tcBorders>
              <w:top w:val="single" w:color="auto" w:sz="4" w:space="0"/>
              <w:left w:val="nil"/>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784" w:type="pct"/>
            <w:tcBorders>
              <w:top w:val="single" w:color="auto" w:sz="4" w:space="0"/>
              <w:left w:val="nil"/>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771" w:type="pct"/>
            <w:tcBorders>
              <w:top w:val="single" w:color="auto" w:sz="4" w:space="0"/>
              <w:left w:val="nil"/>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235" w:type="pct"/>
            <w:tcBorders>
              <w:top w:val="single" w:color="auto" w:sz="4" w:space="0"/>
              <w:left w:val="nil"/>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63"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eastAsia="宋体" w:cs="宋体"/>
                <w:color w:val="auto"/>
                <w:sz w:val="21"/>
                <w:szCs w:val="21"/>
                <w:highlight w:val="none"/>
                <w:shd w:val="clear" w:color="auto" w:fill="FFFFFF"/>
                <w:lang w:val="en-US" w:eastAsia="zh-CN"/>
              </w:rPr>
            </w:pPr>
            <w:r>
              <w:rPr>
                <w:rFonts w:hint="eastAsia" w:hAnsi="宋体" w:cs="宋体"/>
                <w:color w:val="auto"/>
                <w:sz w:val="21"/>
                <w:szCs w:val="21"/>
                <w:highlight w:val="none"/>
                <w:shd w:val="clear" w:color="auto" w:fill="FFFFFF"/>
                <w:lang w:val="en-US" w:eastAsia="zh-CN"/>
              </w:rPr>
              <w:t>4</w:t>
            </w:r>
          </w:p>
        </w:tc>
        <w:tc>
          <w:tcPr>
            <w:tcW w:w="1845" w:type="pct"/>
            <w:tcBorders>
              <w:top w:val="single" w:color="auto" w:sz="4" w:space="0"/>
              <w:left w:val="nil"/>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784" w:type="pct"/>
            <w:tcBorders>
              <w:top w:val="single" w:color="auto" w:sz="4" w:space="0"/>
              <w:left w:val="nil"/>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771" w:type="pct"/>
            <w:tcBorders>
              <w:top w:val="single" w:color="auto" w:sz="4" w:space="0"/>
              <w:left w:val="nil"/>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235" w:type="pct"/>
            <w:tcBorders>
              <w:top w:val="single" w:color="auto" w:sz="4" w:space="0"/>
              <w:left w:val="nil"/>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63"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eastAsia="宋体" w:cs="宋体"/>
                <w:color w:val="auto"/>
                <w:sz w:val="21"/>
                <w:szCs w:val="21"/>
                <w:highlight w:val="none"/>
                <w:shd w:val="clear" w:color="auto" w:fill="FFFFFF"/>
                <w:lang w:val="en-US" w:eastAsia="zh-CN"/>
              </w:rPr>
            </w:pPr>
            <w:r>
              <w:rPr>
                <w:rFonts w:hint="eastAsia" w:hAnsi="宋体" w:cs="宋体"/>
                <w:color w:val="auto"/>
                <w:sz w:val="21"/>
                <w:szCs w:val="21"/>
                <w:highlight w:val="none"/>
                <w:shd w:val="clear" w:color="auto" w:fill="FFFFFF"/>
                <w:lang w:val="en-US" w:eastAsia="zh-CN"/>
              </w:rPr>
              <w:t>5</w:t>
            </w:r>
          </w:p>
        </w:tc>
        <w:tc>
          <w:tcPr>
            <w:tcW w:w="1845" w:type="pct"/>
            <w:tcBorders>
              <w:top w:val="single" w:color="auto" w:sz="4" w:space="0"/>
              <w:left w:val="nil"/>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784" w:type="pct"/>
            <w:tcBorders>
              <w:top w:val="single" w:color="auto" w:sz="4" w:space="0"/>
              <w:left w:val="nil"/>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771" w:type="pct"/>
            <w:tcBorders>
              <w:top w:val="single" w:color="auto" w:sz="4" w:space="0"/>
              <w:left w:val="nil"/>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235" w:type="pct"/>
            <w:tcBorders>
              <w:top w:val="single" w:color="auto" w:sz="4" w:space="0"/>
              <w:left w:val="nil"/>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63"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default" w:hAnsi="宋体" w:cs="宋体"/>
                <w:color w:val="auto"/>
                <w:sz w:val="21"/>
                <w:szCs w:val="21"/>
                <w:highlight w:val="none"/>
                <w:shd w:val="clear" w:color="auto" w:fill="FFFFFF"/>
                <w:lang w:val="en-US" w:eastAsia="zh-CN"/>
              </w:rPr>
            </w:pPr>
            <w:r>
              <w:rPr>
                <w:rFonts w:hint="eastAsia" w:hAnsi="宋体" w:cs="宋体"/>
                <w:color w:val="auto"/>
                <w:sz w:val="21"/>
                <w:szCs w:val="21"/>
                <w:highlight w:val="none"/>
                <w:shd w:val="clear" w:color="auto" w:fill="FFFFFF"/>
                <w:lang w:val="en-US" w:eastAsia="zh-CN"/>
              </w:rPr>
              <w:t>6</w:t>
            </w:r>
          </w:p>
        </w:tc>
        <w:tc>
          <w:tcPr>
            <w:tcW w:w="1845" w:type="pct"/>
            <w:tcBorders>
              <w:top w:val="single" w:color="auto" w:sz="4" w:space="0"/>
              <w:left w:val="nil"/>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784" w:type="pct"/>
            <w:tcBorders>
              <w:top w:val="single" w:color="auto" w:sz="4" w:space="0"/>
              <w:left w:val="nil"/>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771" w:type="pct"/>
            <w:tcBorders>
              <w:top w:val="single" w:color="auto" w:sz="4" w:space="0"/>
              <w:left w:val="nil"/>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235" w:type="pct"/>
            <w:tcBorders>
              <w:top w:val="single" w:color="auto" w:sz="4" w:space="0"/>
              <w:left w:val="nil"/>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63"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center"/>
              <w:rPr>
                <w:rFonts w:hint="default" w:hAnsi="宋体" w:cs="宋体"/>
                <w:color w:val="auto"/>
                <w:sz w:val="21"/>
                <w:szCs w:val="21"/>
                <w:highlight w:val="none"/>
                <w:shd w:val="clear" w:color="auto" w:fill="FFFFFF"/>
                <w:lang w:val="en-US" w:eastAsia="zh-CN"/>
              </w:rPr>
            </w:pPr>
            <w:r>
              <w:rPr>
                <w:rFonts w:hint="eastAsia" w:hAnsi="宋体" w:cs="宋体"/>
                <w:color w:val="auto"/>
                <w:sz w:val="21"/>
                <w:szCs w:val="21"/>
                <w:highlight w:val="none"/>
                <w:shd w:val="clear" w:color="auto" w:fill="FFFFFF"/>
                <w:lang w:val="en-US" w:eastAsia="zh-CN"/>
              </w:rPr>
              <w:t>7</w:t>
            </w:r>
          </w:p>
        </w:tc>
        <w:tc>
          <w:tcPr>
            <w:tcW w:w="1845" w:type="pct"/>
            <w:tcBorders>
              <w:top w:val="single" w:color="auto" w:sz="4" w:space="0"/>
              <w:left w:val="nil"/>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784" w:type="pct"/>
            <w:tcBorders>
              <w:top w:val="single" w:color="auto" w:sz="4" w:space="0"/>
              <w:left w:val="nil"/>
              <w:bottom w:val="single" w:color="auto" w:sz="4" w:space="0"/>
              <w:right w:val="single" w:color="auto" w:sz="4" w:space="0"/>
            </w:tcBorders>
            <w:noWrap w:val="0"/>
            <w:vAlign w:val="center"/>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771" w:type="pct"/>
            <w:tcBorders>
              <w:top w:val="single" w:color="auto" w:sz="4" w:space="0"/>
              <w:left w:val="nil"/>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235" w:type="pct"/>
            <w:tcBorders>
              <w:top w:val="single" w:color="auto" w:sz="4" w:space="0"/>
              <w:left w:val="nil"/>
              <w:bottom w:val="single" w:color="auto" w:sz="4" w:space="0"/>
              <w:right w:val="single" w:color="auto" w:sz="4" w:space="0"/>
            </w:tcBorders>
            <w:noWrap w:val="0"/>
            <w:vAlign w:val="top"/>
          </w:tcPr>
          <w:p>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bl>
    <w:p>
      <w:pPr>
        <w:ind w:firstLine="480"/>
        <w:rPr>
          <w:rFonts w:hint="eastAsia" w:hAnsi="宋体" w:cs="宋体"/>
          <w:color w:val="auto"/>
          <w:szCs w:val="21"/>
          <w:highlight w:val="none"/>
        </w:rPr>
      </w:pPr>
      <w:r>
        <w:rPr>
          <w:rFonts w:hint="eastAsia" w:hAnsi="宋体" w:cs="宋体"/>
          <w:color w:val="auto"/>
          <w:szCs w:val="21"/>
          <w:highlight w:val="none"/>
        </w:rPr>
        <w:t>注：得分最高的合格中标候选人直接确定为中标人。</w:t>
      </w:r>
    </w:p>
    <w:p>
      <w:pPr>
        <w:spacing w:line="400" w:lineRule="exact"/>
        <w:ind w:firstLine="480"/>
        <w:rPr>
          <w:rFonts w:hint="eastAsia" w:hAnsi="宋体"/>
          <w:color w:val="auto"/>
          <w:szCs w:val="21"/>
          <w:highlight w:val="none"/>
        </w:rPr>
      </w:pPr>
    </w:p>
    <w:p>
      <w:pPr>
        <w:spacing w:line="360" w:lineRule="exact"/>
        <w:ind w:right="-325" w:rightChars="-155" w:firstLine="480"/>
        <w:jc w:val="left"/>
        <w:rPr>
          <w:rFonts w:hint="eastAsia" w:hAnsi="宋体" w:cs="宋体"/>
          <w:color w:val="auto"/>
          <w:szCs w:val="21"/>
          <w:highlight w:val="none"/>
        </w:rPr>
      </w:pPr>
      <w:r>
        <w:rPr>
          <w:rFonts w:hint="eastAsia" w:hAnsi="宋体" w:cs="宋体"/>
          <w:color w:val="auto"/>
          <w:szCs w:val="21"/>
          <w:highlight w:val="none"/>
        </w:rPr>
        <w:t xml:space="preserve">定标委员会全体成员签名：  </w:t>
      </w:r>
    </w:p>
    <w:p>
      <w:pPr>
        <w:spacing w:line="360" w:lineRule="exact"/>
        <w:ind w:right="0" w:rightChars="0" w:firstLine="480"/>
        <w:jc w:val="right"/>
        <w:rPr>
          <w:rFonts w:hAnsi="宋体" w:cs="宋体"/>
          <w:color w:val="auto"/>
          <w:szCs w:val="21"/>
          <w:highlight w:val="none"/>
        </w:rPr>
        <w:sectPr>
          <w:headerReference r:id="rId19" w:type="first"/>
          <w:footerReference r:id="rId21" w:type="first"/>
          <w:headerReference r:id="rId18" w:type="default"/>
          <w:footerReference r:id="rId20" w:type="default"/>
          <w:type w:val="continuous"/>
          <w:pgSz w:w="11905" w:h="16838"/>
          <w:pgMar w:top="1440" w:right="1225" w:bottom="1440" w:left="1440" w:header="850" w:footer="992" w:gutter="0"/>
          <w:pgNumType w:fmt="decimal"/>
          <w:cols w:space="720" w:num="1"/>
          <w:titlePg/>
          <w:rtlGutter w:val="0"/>
          <w:docGrid w:type="lines" w:linePitch="318" w:charSpace="0"/>
        </w:sectPr>
      </w:pPr>
      <w:r>
        <w:rPr>
          <w:rFonts w:hint="eastAsia" w:hAnsi="宋体" w:cs="宋体"/>
          <w:color w:val="auto"/>
          <w:szCs w:val="21"/>
          <w:highlight w:val="none"/>
        </w:rPr>
        <w:t>日期：     年   月   日</w:t>
      </w:r>
    </w:p>
    <w:bookmarkEnd w:id="18"/>
    <w:p>
      <w:pPr>
        <w:shd w:val="clear" w:color="auto" w:fill="auto"/>
        <w:rPr>
          <w:rFonts w:hint="eastAsia" w:ascii="宋体" w:hAnsi="宋体" w:eastAsia="宋体" w:cs="宋体"/>
          <w:color w:val="auto"/>
          <w:highlight w:val="none"/>
        </w:rPr>
      </w:pPr>
    </w:p>
    <w:p>
      <w:pPr>
        <w:shd w:val="clear" w:color="auto" w:fill="auto"/>
        <w:ind w:firstLine="484" w:firstLineChars="202"/>
        <w:rPr>
          <w:rFonts w:hint="eastAsia" w:ascii="宋体" w:hAnsi="宋体" w:eastAsia="宋体" w:cs="宋体"/>
          <w:color w:val="auto"/>
          <w:sz w:val="24"/>
          <w:szCs w:val="24"/>
          <w:highlight w:val="none"/>
        </w:rPr>
        <w:sectPr>
          <w:type w:val="continuous"/>
          <w:pgSz w:w="11905" w:h="16838"/>
          <w:pgMar w:top="1440" w:right="1225" w:bottom="1440" w:left="1440" w:header="850" w:footer="992" w:gutter="0"/>
          <w:pgNumType w:fmt="decimal"/>
          <w:cols w:space="720" w:num="1"/>
          <w:titlePg/>
          <w:rtlGutter w:val="0"/>
          <w:docGrid w:type="lines" w:linePitch="318" w:charSpace="0"/>
        </w:sectPr>
      </w:pPr>
    </w:p>
    <w:p>
      <w:pPr>
        <w:pStyle w:val="2"/>
        <w:snapToGrid w:val="0"/>
        <w:spacing w:before="0" w:after="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第三章  合同条款</w:t>
      </w:r>
      <w:bookmarkEnd w:id="19"/>
      <w:bookmarkEnd w:id="20"/>
      <w:bookmarkEnd w:id="21"/>
      <w:bookmarkEnd w:id="22"/>
    </w:p>
    <w:p>
      <w:pPr>
        <w:ind w:firstLine="420" w:firstLineChars="200"/>
        <w:rPr>
          <w:color w:val="auto"/>
          <w:highlight w:val="none"/>
        </w:rPr>
      </w:pPr>
    </w:p>
    <w:p>
      <w:pPr>
        <w:rPr>
          <w:color w:val="auto"/>
          <w:highlight w:val="none"/>
        </w:rPr>
      </w:pPr>
      <w:r>
        <w:rPr>
          <w:color w:val="auto"/>
          <w:highlight w:val="none"/>
        </w:rPr>
        <w:drawing>
          <wp:anchor distT="0" distB="0" distL="114300" distR="114300" simplePos="0" relativeHeight="251661312" behindDoc="0" locked="0" layoutInCell="1" allowOverlap="1">
            <wp:simplePos x="0" y="0"/>
            <wp:positionH relativeFrom="column">
              <wp:posOffset>4746625</wp:posOffset>
            </wp:positionH>
            <wp:positionV relativeFrom="paragraph">
              <wp:posOffset>201930</wp:posOffset>
            </wp:positionV>
            <wp:extent cx="1835150" cy="1475105"/>
            <wp:effectExtent l="0" t="0" r="12700" b="10795"/>
            <wp:wrapSquare wrapText="bothSides"/>
            <wp:docPr id="11" name="图片 10" descr="C:\Users\lanxing\Desktop\93b1542184114cf8b316f10d4b2d5c42.png93b1542184114cf8b316f10d4b2d5c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C:\Users\lanxing\Desktop\93b1542184114cf8b316f10d4b2d5c42.png93b1542184114cf8b316f10d4b2d5c42"/>
                    <pic:cNvPicPr>
                      <a:picLocks noChangeAspect="1"/>
                    </pic:cNvPicPr>
                  </pic:nvPicPr>
                  <pic:blipFill>
                    <a:blip r:embed="rId31"/>
                    <a:stretch>
                      <a:fillRect/>
                    </a:stretch>
                  </pic:blipFill>
                  <pic:spPr>
                    <a:xfrm>
                      <a:off x="0" y="0"/>
                      <a:ext cx="1835150" cy="1475105"/>
                    </a:xfrm>
                    <a:prstGeom prst="rect">
                      <a:avLst/>
                    </a:prstGeom>
                    <a:noFill/>
                    <a:ln>
                      <a:noFill/>
                    </a:ln>
                  </pic:spPr>
                </pic:pic>
              </a:graphicData>
            </a:graphic>
          </wp:anchor>
        </w:drawing>
      </w:r>
    </w:p>
    <w:p>
      <w:pPr>
        <w:ind w:firstLine="525" w:firstLineChars="250"/>
        <w:rPr>
          <w:color w:val="auto"/>
          <w:highlight w:val="none"/>
        </w:rPr>
      </w:pPr>
      <w:r>
        <w:rPr>
          <w:rFonts w:hint="eastAsia"/>
          <w:color w:val="auto"/>
          <w:highlight w:val="none"/>
        </w:rPr>
        <w:t xml:space="preserve"> </w:t>
      </w:r>
      <w:r>
        <w:rPr>
          <w:color w:val="auto"/>
          <w:highlight w:val="none"/>
        </w:rPr>
        <w:drawing>
          <wp:inline distT="0" distB="0" distL="114300" distR="114300">
            <wp:extent cx="3372485" cy="352425"/>
            <wp:effectExtent l="0" t="0" r="18415" b="9525"/>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32"/>
                    <a:stretch>
                      <a:fillRect/>
                    </a:stretch>
                  </pic:blipFill>
                  <pic:spPr>
                    <a:xfrm>
                      <a:off x="0" y="0"/>
                      <a:ext cx="3373914" cy="352538"/>
                    </a:xfrm>
                    <a:prstGeom prst="rect">
                      <a:avLst/>
                    </a:prstGeom>
                    <a:noFill/>
                    <a:ln>
                      <a:noFill/>
                    </a:ln>
                  </pic:spPr>
                </pic:pic>
              </a:graphicData>
            </a:graphic>
          </wp:inline>
        </w:drawing>
      </w:r>
    </w:p>
    <w:p>
      <w:pPr>
        <w:ind w:firstLine="8400" w:firstLineChars="3500"/>
        <w:rPr>
          <w:color w:val="auto"/>
          <w:sz w:val="24"/>
          <w:highlight w:val="none"/>
        </w:rPr>
      </w:pPr>
      <w:r>
        <w:rPr>
          <w:rFonts w:hint="eastAsia"/>
          <w:color w:val="auto"/>
          <w:sz w:val="24"/>
          <w:highlight w:val="none"/>
        </w:rPr>
        <w:t xml:space="preserve">                            </w:t>
      </w:r>
    </w:p>
    <w:p>
      <w:pPr>
        <w:tabs>
          <w:tab w:val="left" w:pos="870"/>
        </w:tabs>
        <w:ind w:firstLine="959" w:firstLineChars="398"/>
        <w:rPr>
          <w:rFonts w:ascii="仿宋" w:hAnsi="仿宋" w:eastAsia="仿宋"/>
          <w:b/>
          <w:color w:val="auto"/>
          <w:sz w:val="24"/>
          <w:highlight w:val="none"/>
        </w:rPr>
      </w:pPr>
      <w:r>
        <w:rPr>
          <w:rFonts w:hint="eastAsia" w:ascii="仿宋" w:hAnsi="仿宋" w:eastAsia="仿宋"/>
          <w:b/>
          <w:color w:val="auto"/>
          <w:sz w:val="24"/>
          <w:highlight w:val="none"/>
        </w:rPr>
        <w:t>合同编号：穗开建管施[20  ]  号</w:t>
      </w:r>
    </w:p>
    <w:p>
      <w:pPr>
        <w:rPr>
          <w:rFonts w:ascii="方正大标宋简体" w:eastAsia="方正大标宋简体"/>
          <w:color w:val="auto"/>
          <w:sz w:val="28"/>
          <w:szCs w:val="28"/>
          <w:highlight w:val="none"/>
        </w:rPr>
      </w:pPr>
      <w:r>
        <w:rPr>
          <w:rFonts w:hint="eastAsia" w:ascii="方正大标宋简体" w:eastAsia="方正大标宋简体"/>
          <w:color w:val="auto"/>
          <w:sz w:val="28"/>
          <w:szCs w:val="28"/>
          <w:highlight w:val="none"/>
        </w:rPr>
        <w:t xml:space="preserve"> </w:t>
      </w:r>
    </w:p>
    <w:p>
      <w:pPr>
        <w:ind w:firstLine="840" w:firstLineChars="400"/>
        <w:rPr>
          <w:color w:val="auto"/>
          <w:highlight w:val="none"/>
        </w:rPr>
      </w:pPr>
    </w:p>
    <w:p>
      <w:pPr>
        <w:ind w:firstLine="840" w:firstLineChars="400"/>
        <w:rPr>
          <w:color w:val="auto"/>
          <w:highlight w:val="none"/>
        </w:rPr>
      </w:pPr>
      <w:r>
        <w:rPr>
          <w:rFonts w:hint="eastAsia"/>
          <w:color w:val="auto"/>
          <w:highlight w:val="none"/>
        </w:rPr>
        <w:t xml:space="preserve">                                                              </w:t>
      </w:r>
    </w:p>
    <w:p>
      <w:pPr>
        <w:ind w:firstLine="840" w:firstLineChars="400"/>
        <w:rPr>
          <w:color w:val="auto"/>
          <w:highlight w:val="none"/>
        </w:rPr>
      </w:pPr>
      <w:r>
        <w:rPr>
          <w:rFonts w:hint="eastAsia"/>
          <w:color w:val="auto"/>
          <w:highlight w:val="none"/>
        </w:rPr>
        <w:t xml:space="preserve">                     </w:t>
      </w:r>
    </w:p>
    <w:p>
      <w:pPr>
        <w:snapToGrid w:val="0"/>
        <w:spacing w:line="440" w:lineRule="exact"/>
        <w:ind w:left="-197" w:leftChars="-94"/>
        <w:jc w:val="center"/>
        <w:rPr>
          <w:rFonts w:ascii="宋体" w:hAnsi="宋体"/>
          <w:color w:val="auto"/>
          <w:highlight w:val="none"/>
        </w:rPr>
      </w:pPr>
    </w:p>
    <w:p>
      <w:pPr>
        <w:snapToGrid w:val="0"/>
        <w:spacing w:line="440" w:lineRule="exact"/>
        <w:ind w:left="-197" w:leftChars="-94"/>
        <w:jc w:val="center"/>
        <w:rPr>
          <w:rFonts w:ascii="宋体" w:hAnsi="宋体"/>
          <w:color w:val="auto"/>
          <w:highlight w:val="none"/>
        </w:rPr>
      </w:pPr>
      <w:r>
        <w:rPr>
          <w:rFonts w:hint="eastAsia"/>
          <w:color w:val="auto"/>
          <w:highlight w:val="none"/>
        </w:rPr>
        <w:drawing>
          <wp:anchor distT="0" distB="0" distL="114300" distR="114300" simplePos="0" relativeHeight="251662336" behindDoc="0" locked="0" layoutInCell="1" allowOverlap="1">
            <wp:simplePos x="0" y="0"/>
            <wp:positionH relativeFrom="column">
              <wp:posOffset>1173480</wp:posOffset>
            </wp:positionH>
            <wp:positionV relativeFrom="paragraph">
              <wp:posOffset>193675</wp:posOffset>
            </wp:positionV>
            <wp:extent cx="4984115" cy="555625"/>
            <wp:effectExtent l="0" t="0" r="6985" b="15875"/>
            <wp:wrapSquare wrapText="bothSides"/>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pic:cNvPicPr>
                      <a:picLocks noChangeAspect="1"/>
                    </pic:cNvPicPr>
                  </pic:nvPicPr>
                  <pic:blipFill>
                    <a:blip r:embed="rId33"/>
                    <a:stretch>
                      <a:fillRect/>
                    </a:stretch>
                  </pic:blipFill>
                  <pic:spPr>
                    <a:xfrm>
                      <a:off x="0" y="0"/>
                      <a:ext cx="4984115" cy="555625"/>
                    </a:xfrm>
                    <a:prstGeom prst="rect">
                      <a:avLst/>
                    </a:prstGeom>
                    <a:noFill/>
                    <a:ln>
                      <a:noFill/>
                    </a:ln>
                  </pic:spPr>
                </pic:pic>
              </a:graphicData>
            </a:graphic>
          </wp:anchor>
        </w:drawing>
      </w:r>
    </w:p>
    <w:p>
      <w:pPr>
        <w:snapToGrid w:val="0"/>
        <w:spacing w:line="440" w:lineRule="exact"/>
        <w:ind w:left="-197" w:leftChars="-94"/>
        <w:jc w:val="center"/>
        <w:rPr>
          <w:rFonts w:ascii="宋体" w:hAnsi="宋体"/>
          <w:color w:val="auto"/>
          <w:highlight w:val="none"/>
        </w:rPr>
      </w:pPr>
    </w:p>
    <w:p>
      <w:pPr>
        <w:spacing w:line="480" w:lineRule="exact"/>
        <w:jc w:val="center"/>
        <w:rPr>
          <w:rFonts w:ascii="宋体" w:hAnsi="宋体"/>
          <w:color w:val="auto"/>
          <w:highlight w:val="none"/>
        </w:rPr>
      </w:pPr>
    </w:p>
    <w:p>
      <w:pPr>
        <w:spacing w:line="480" w:lineRule="exact"/>
        <w:jc w:val="center"/>
        <w:rPr>
          <w:rFonts w:ascii="宋体" w:hAnsi="宋体"/>
          <w:color w:val="auto"/>
          <w:highlight w:val="none"/>
        </w:rPr>
      </w:pPr>
    </w:p>
    <w:p>
      <w:pPr>
        <w:spacing w:line="480" w:lineRule="exact"/>
        <w:jc w:val="center"/>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 xml:space="preserve">        </w:t>
      </w:r>
    </w:p>
    <w:p>
      <w:pPr>
        <w:spacing w:line="480" w:lineRule="exact"/>
        <w:jc w:val="center"/>
        <w:rPr>
          <w:rFonts w:ascii="仿宋_GB2312" w:hAnsi="仿宋" w:eastAsia="仿宋_GB2312"/>
          <w:color w:val="auto"/>
          <w:sz w:val="28"/>
          <w:szCs w:val="28"/>
          <w:highlight w:val="none"/>
        </w:rPr>
      </w:pPr>
    </w:p>
    <w:p>
      <w:pPr>
        <w:spacing w:line="480" w:lineRule="exact"/>
        <w:jc w:val="center"/>
        <w:rPr>
          <w:rFonts w:ascii="仿宋_GB2312" w:hAnsi="仿宋" w:eastAsia="仿宋_GB2312"/>
          <w:color w:val="auto"/>
          <w:sz w:val="28"/>
          <w:szCs w:val="28"/>
          <w:highlight w:val="none"/>
        </w:rPr>
      </w:pPr>
    </w:p>
    <w:p>
      <w:pPr>
        <w:spacing w:line="480" w:lineRule="exact"/>
        <w:ind w:firstLine="2380" w:firstLineChars="850"/>
        <w:rPr>
          <w:rFonts w:ascii="仿宋_GB2312" w:hAnsi="仿宋" w:eastAsia="仿宋_GB2312"/>
          <w:color w:val="auto"/>
          <w:sz w:val="28"/>
          <w:szCs w:val="28"/>
          <w:highlight w:val="none"/>
        </w:rPr>
      </w:pPr>
      <w:r>
        <w:rPr>
          <w:rFonts w:hint="eastAsia" w:ascii="宋体" w:hAnsi="宋体"/>
          <w:color w:val="auto"/>
          <w:sz w:val="28"/>
          <w:szCs w:val="28"/>
          <w:highlight w:val="none"/>
        </w:rPr>
        <w:t>项 目  名   称：</w:t>
      </w:r>
      <w:r>
        <w:rPr>
          <w:rFonts w:hint="eastAsia" w:ascii="宋体" w:hAnsi="宋体"/>
          <w:color w:val="auto"/>
          <w:sz w:val="28"/>
          <w:szCs w:val="28"/>
          <w:highlight w:val="none"/>
          <w:u w:val="single"/>
        </w:rPr>
        <w:t xml:space="preserve">                                   </w:t>
      </w:r>
    </w:p>
    <w:p>
      <w:pPr>
        <w:spacing w:line="480" w:lineRule="exact"/>
        <w:ind w:firstLine="2380" w:firstLineChars="85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发包人（甲方）：</w:t>
      </w:r>
      <w:r>
        <w:rPr>
          <w:rFonts w:hint="eastAsia" w:ascii="方正大标宋简体" w:hAnsi="仿宋" w:eastAsia="方正大标宋简体"/>
          <w:color w:val="auto"/>
          <w:sz w:val="28"/>
          <w:szCs w:val="28"/>
          <w:highlight w:val="none"/>
          <w:u w:val="single"/>
        </w:rPr>
        <w:t>广州开发区财政投资建设项目管理中心</w:t>
      </w:r>
    </w:p>
    <w:p>
      <w:pPr>
        <w:spacing w:line="480" w:lineRule="exact"/>
        <w:ind w:firstLine="2380" w:firstLineChars="850"/>
        <w:rPr>
          <w:rFonts w:ascii="方正大标宋简体" w:hAnsi="宋体" w:eastAsia="方正大标宋简体"/>
          <w:color w:val="auto"/>
          <w:sz w:val="28"/>
          <w:szCs w:val="28"/>
          <w:highlight w:val="none"/>
          <w:u w:val="single"/>
        </w:rPr>
      </w:pPr>
      <w:r>
        <w:rPr>
          <w:rFonts w:hint="eastAsia" w:ascii="仿宋_GB2312" w:hAnsi="仿宋" w:eastAsia="仿宋_GB2312"/>
          <w:color w:val="auto"/>
          <w:sz w:val="28"/>
          <w:szCs w:val="28"/>
          <w:highlight w:val="none"/>
        </w:rPr>
        <w:t>承包人（乙方）：</w:t>
      </w:r>
      <w:r>
        <w:rPr>
          <w:rFonts w:hint="eastAsia" w:ascii="方正大标宋简体" w:hAnsi="宋体" w:eastAsia="方正大标宋简体"/>
          <w:color w:val="auto"/>
          <w:sz w:val="28"/>
          <w:szCs w:val="28"/>
          <w:highlight w:val="none"/>
          <w:u w:val="single"/>
        </w:rPr>
        <w:t xml:space="preserve">                            </w:t>
      </w:r>
    </w:p>
    <w:p>
      <w:pPr>
        <w:spacing w:line="480" w:lineRule="exact"/>
        <w:ind w:firstLine="2380" w:firstLineChars="850"/>
        <w:rPr>
          <w:rFonts w:ascii="宋体" w:hAnsi="宋体"/>
          <w:color w:val="auto"/>
          <w:sz w:val="28"/>
          <w:szCs w:val="28"/>
          <w:highlight w:val="none"/>
          <w:u w:val="single"/>
        </w:rPr>
      </w:pPr>
      <w:r>
        <w:rPr>
          <w:rFonts w:hint="eastAsia" w:ascii="宋体" w:hAnsi="宋体"/>
          <w:color w:val="auto"/>
          <w:sz w:val="28"/>
          <w:szCs w:val="28"/>
          <w:highlight w:val="none"/>
        </w:rPr>
        <w:t>签  订  日  期：</w:t>
      </w:r>
      <w:r>
        <w:rPr>
          <w:rFonts w:hint="eastAsia" w:ascii="宋体" w:hAnsi="宋体"/>
          <w:color w:val="auto"/>
          <w:sz w:val="28"/>
          <w:szCs w:val="28"/>
          <w:highlight w:val="none"/>
          <w:u w:val="single"/>
        </w:rPr>
        <w:t xml:space="preserve">       年    月    日</w:t>
      </w:r>
    </w:p>
    <w:p>
      <w:pPr>
        <w:spacing w:line="480" w:lineRule="exact"/>
        <w:ind w:firstLine="2380" w:firstLineChars="850"/>
        <w:rPr>
          <w:rFonts w:ascii="宋体" w:hAnsi="宋体"/>
          <w:color w:val="auto"/>
          <w:sz w:val="28"/>
          <w:szCs w:val="28"/>
          <w:highlight w:val="none"/>
          <w:u w:val="single"/>
        </w:rPr>
      </w:pPr>
      <w:r>
        <w:rPr>
          <w:rFonts w:hint="eastAsia" w:ascii="宋体" w:hAnsi="宋体"/>
          <w:color w:val="auto"/>
          <w:sz w:val="28"/>
          <w:szCs w:val="28"/>
          <w:highlight w:val="none"/>
        </w:rPr>
        <w:t>签  订  地  点：</w:t>
      </w:r>
      <w:r>
        <w:rPr>
          <w:rFonts w:hint="eastAsia" w:ascii="宋体" w:hAnsi="宋体"/>
          <w:color w:val="auto"/>
          <w:sz w:val="28"/>
          <w:szCs w:val="28"/>
          <w:highlight w:val="none"/>
          <w:u w:val="single"/>
        </w:rPr>
        <w:t xml:space="preserve">   广州市黄埔区    </w:t>
      </w:r>
    </w:p>
    <w:p>
      <w:pPr>
        <w:spacing w:line="480" w:lineRule="exact"/>
        <w:jc w:val="center"/>
        <w:rPr>
          <w:rFonts w:ascii="宋体" w:hAnsi="宋体"/>
          <w:color w:val="auto"/>
          <w:highlight w:val="none"/>
        </w:rPr>
      </w:pPr>
      <w:r>
        <w:rPr>
          <w:color w:val="auto"/>
          <w:highlight w:val="none"/>
        </w:rPr>
        <w:drawing>
          <wp:anchor distT="0" distB="0" distL="114300" distR="114300" simplePos="0" relativeHeight="251663360" behindDoc="0" locked="0" layoutInCell="1" allowOverlap="0">
            <wp:simplePos x="0" y="0"/>
            <wp:positionH relativeFrom="column">
              <wp:align>center</wp:align>
            </wp:positionH>
            <wp:positionV relativeFrom="paragraph">
              <wp:posOffset>742950</wp:posOffset>
            </wp:positionV>
            <wp:extent cx="7562850" cy="2633980"/>
            <wp:effectExtent l="0" t="0" r="0" b="13970"/>
            <wp:wrapSquare wrapText="bothSides"/>
            <wp:docPr id="1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
                    <pic:cNvPicPr>
                      <a:picLocks noChangeAspect="1"/>
                    </pic:cNvPicPr>
                  </pic:nvPicPr>
                  <pic:blipFill>
                    <a:blip r:embed="rId34"/>
                    <a:stretch>
                      <a:fillRect/>
                    </a:stretch>
                  </pic:blipFill>
                  <pic:spPr>
                    <a:xfrm>
                      <a:off x="0" y="0"/>
                      <a:ext cx="7562850" cy="2633980"/>
                    </a:xfrm>
                    <a:prstGeom prst="rect">
                      <a:avLst/>
                    </a:prstGeom>
                    <a:noFill/>
                    <a:ln>
                      <a:noFill/>
                    </a:ln>
                  </pic:spPr>
                </pic:pic>
              </a:graphicData>
            </a:graphic>
          </wp:anchor>
        </w:drawing>
      </w:r>
    </w:p>
    <w:p>
      <w:pPr>
        <w:snapToGrid w:val="0"/>
        <w:spacing w:line="440" w:lineRule="exact"/>
        <w:ind w:left="-197" w:leftChars="-94"/>
        <w:jc w:val="center"/>
        <w:rPr>
          <w:rFonts w:ascii="宋体" w:hAnsi="宋体"/>
          <w:color w:val="auto"/>
          <w:highlight w:val="none"/>
        </w:rPr>
        <w:sectPr>
          <w:headerReference r:id="rId24" w:type="first"/>
          <w:footerReference r:id="rId27" w:type="first"/>
          <w:headerReference r:id="rId22" w:type="default"/>
          <w:footerReference r:id="rId25" w:type="default"/>
          <w:headerReference r:id="rId23" w:type="even"/>
          <w:footerReference r:id="rId26" w:type="even"/>
          <w:pgSz w:w="11906" w:h="16838"/>
          <w:pgMar w:top="840" w:right="0" w:bottom="0" w:left="0" w:header="4" w:footer="851" w:gutter="284"/>
          <w:cols w:space="720" w:num="1"/>
          <w:docGrid w:type="lines" w:linePitch="408" w:charSpace="0"/>
        </w:sectPr>
      </w:pPr>
    </w:p>
    <w:p>
      <w:pPr>
        <w:snapToGrid w:val="0"/>
        <w:spacing w:line="520" w:lineRule="exact"/>
        <w:jc w:val="center"/>
        <w:rPr>
          <w:rFonts w:ascii="宋体" w:hAnsi="宋体"/>
          <w:b/>
          <w:color w:val="auto"/>
          <w:sz w:val="28"/>
          <w:szCs w:val="28"/>
          <w:highlight w:val="none"/>
        </w:rPr>
      </w:pPr>
      <w:r>
        <w:rPr>
          <w:rFonts w:hint="eastAsia" w:ascii="宋体" w:hAnsi="宋体"/>
          <w:b/>
          <w:color w:val="auto"/>
          <w:sz w:val="28"/>
          <w:szCs w:val="28"/>
          <w:highlight w:val="none"/>
        </w:rPr>
        <w:t>第一部分   协议书</w:t>
      </w:r>
    </w:p>
    <w:p>
      <w:pPr>
        <w:snapToGrid w:val="0"/>
        <w:spacing w:line="520" w:lineRule="exact"/>
        <w:rPr>
          <w:rFonts w:ascii="宋体" w:hAnsi="宋体"/>
          <w:b/>
          <w:bCs/>
          <w:color w:val="auto"/>
          <w:sz w:val="28"/>
          <w:szCs w:val="28"/>
          <w:highlight w:val="none"/>
        </w:rPr>
      </w:pPr>
    </w:p>
    <w:p>
      <w:pPr>
        <w:snapToGrid w:val="0"/>
        <w:spacing w:line="440" w:lineRule="exact"/>
        <w:ind w:firstLine="480"/>
        <w:rPr>
          <w:rFonts w:ascii="宋体" w:hAnsi="宋体" w:cs="宋体"/>
          <w:color w:val="auto"/>
          <w:sz w:val="24"/>
          <w:highlight w:val="none"/>
          <w:u w:val="single"/>
        </w:rPr>
      </w:pPr>
      <w:r>
        <w:rPr>
          <w:rFonts w:hint="eastAsia" w:ascii="宋体" w:hAnsi="宋体" w:cs="宋体"/>
          <w:color w:val="auto"/>
          <w:sz w:val="24"/>
          <w:highlight w:val="none"/>
        </w:rPr>
        <w:t>发包人（甲方）：</w:t>
      </w:r>
      <w:r>
        <w:rPr>
          <w:rFonts w:hint="eastAsia" w:ascii="宋体" w:hAnsi="宋体" w:eastAsia="宋体" w:cs="宋体"/>
          <w:color w:val="auto"/>
          <w:sz w:val="24"/>
          <w:highlight w:val="none"/>
          <w:u w:val="single"/>
        </w:rPr>
        <w:t>广州开发区财政投资建设项目管理中心</w:t>
      </w:r>
    </w:p>
    <w:p>
      <w:pPr>
        <w:snapToGrid w:val="0"/>
        <w:spacing w:line="440" w:lineRule="exact"/>
        <w:ind w:firstLine="480"/>
        <w:rPr>
          <w:rFonts w:ascii="宋体" w:hAnsi="宋体" w:cs="宋体"/>
          <w:color w:val="auto"/>
          <w:sz w:val="24"/>
          <w:highlight w:val="none"/>
          <w:u w:val="single"/>
        </w:rPr>
      </w:pPr>
      <w:r>
        <w:rPr>
          <w:rFonts w:hint="eastAsia" w:ascii="宋体" w:hAnsi="宋体" w:cs="宋体"/>
          <w:color w:val="auto"/>
          <w:sz w:val="24"/>
          <w:highlight w:val="none"/>
        </w:rPr>
        <w:t>承包人（乙方）：</w:t>
      </w:r>
      <w:r>
        <w:rPr>
          <w:rFonts w:ascii="宋体" w:hAnsi="宋体" w:cs="宋体"/>
          <w:color w:val="auto"/>
          <w:sz w:val="24"/>
          <w:highlight w:val="none"/>
        </w:rPr>
        <w:t xml:space="preserve"> </w:t>
      </w:r>
      <w:r>
        <w:rPr>
          <w:rFonts w:ascii="宋体" w:hAnsi="宋体" w:cs="宋体"/>
          <w:color w:val="auto"/>
          <w:sz w:val="24"/>
          <w:highlight w:val="none"/>
          <w:u w:val="single"/>
        </w:rPr>
        <w:t xml:space="preserve">                             </w:t>
      </w:r>
    </w:p>
    <w:p>
      <w:pPr>
        <w:pStyle w:val="14"/>
        <w:snapToGrid w:val="0"/>
        <w:spacing w:line="440" w:lineRule="exact"/>
        <w:ind w:left="0" w:leftChars="0"/>
        <w:rPr>
          <w:rFonts w:ascii="宋体" w:hAnsi="宋体" w:cs="宋体"/>
          <w:color w:val="auto"/>
          <w:sz w:val="24"/>
          <w:highlight w:val="none"/>
        </w:rPr>
      </w:pPr>
      <w:r>
        <w:rPr>
          <w:rFonts w:ascii="宋体" w:hAnsi="宋体" w:cs="宋体"/>
          <w:color w:val="auto"/>
          <w:sz w:val="24"/>
          <w:highlight w:val="none"/>
        </w:rPr>
        <w:t xml:space="preserve">   </w:t>
      </w:r>
    </w:p>
    <w:p>
      <w:pPr>
        <w:pStyle w:val="14"/>
        <w:snapToGrid w:val="0"/>
        <w:spacing w:line="440" w:lineRule="exact"/>
        <w:ind w:left="0" w:leftChars="0"/>
        <w:rPr>
          <w:rFonts w:ascii="宋体" w:hAnsi="宋体" w:cs="宋体"/>
          <w:color w:val="auto"/>
          <w:sz w:val="24"/>
          <w:highlight w:val="none"/>
        </w:rPr>
      </w:pPr>
      <w:r>
        <w:rPr>
          <w:rFonts w:hint="eastAsia" w:ascii="宋体" w:hAnsi="宋体" w:cs="宋体"/>
          <w:color w:val="auto"/>
          <w:sz w:val="24"/>
          <w:highlight w:val="none"/>
        </w:rPr>
        <w:t>依照《中华人民共和国民法典》、《中华人民共和国建筑法》及其他有关法律、行政法规，遵循平等、自愿、公平和诚实信用的原则，双方就本建设工程施工事项协商一致，订立本合同。</w:t>
      </w:r>
    </w:p>
    <w:p>
      <w:pPr>
        <w:snapToGrid w:val="0"/>
        <w:spacing w:line="440" w:lineRule="exact"/>
        <w:ind w:firstLine="472" w:firstLineChars="196"/>
        <w:rPr>
          <w:rFonts w:ascii="宋体" w:hAnsi="宋体" w:cs="宋体"/>
          <w:b/>
          <w:bCs/>
          <w:color w:val="auto"/>
          <w:sz w:val="24"/>
          <w:highlight w:val="none"/>
        </w:rPr>
      </w:pPr>
      <w:r>
        <w:rPr>
          <w:rFonts w:hint="eastAsia" w:ascii="宋体" w:hAnsi="宋体" w:cs="宋体"/>
          <w:b/>
          <w:bCs/>
          <w:color w:val="auto"/>
          <w:sz w:val="24"/>
          <w:highlight w:val="none"/>
        </w:rPr>
        <w:t>一、工程概况</w:t>
      </w:r>
    </w:p>
    <w:p>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工程名称：</w:t>
      </w:r>
      <w:r>
        <w:rPr>
          <w:rFonts w:ascii="宋体" w:hAnsi="宋体" w:cs="宋体"/>
          <w:bCs/>
          <w:color w:val="auto"/>
          <w:sz w:val="24"/>
          <w:highlight w:val="none"/>
          <w:u w:val="single"/>
        </w:rPr>
        <w:t xml:space="preserve">                            </w:t>
      </w:r>
    </w:p>
    <w:p>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工程地点：</w:t>
      </w:r>
      <w:r>
        <w:rPr>
          <w:rFonts w:ascii="宋体" w:hAnsi="宋体" w:cs="宋体"/>
          <w:bCs/>
          <w:color w:val="auto"/>
          <w:sz w:val="24"/>
          <w:highlight w:val="none"/>
          <w:u w:val="single"/>
        </w:rPr>
        <w:t xml:space="preserve">                            </w:t>
      </w:r>
    </w:p>
    <w:p>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工程内容：</w:t>
      </w:r>
      <w:r>
        <w:rPr>
          <w:rFonts w:ascii="宋体" w:hAnsi="宋体" w:cs="宋体"/>
          <w:color w:val="auto"/>
          <w:sz w:val="24"/>
          <w:highlight w:val="none"/>
          <w:u w:val="single"/>
        </w:rPr>
        <w:t xml:space="preserve">                          </w:t>
      </w:r>
      <w:r>
        <w:rPr>
          <w:rFonts w:hint="eastAsia" w:ascii="宋体" w:hAnsi="宋体" w:cs="宋体"/>
          <w:color w:val="auto"/>
          <w:sz w:val="24"/>
          <w:highlight w:val="none"/>
        </w:rPr>
        <w:t>。具体内容以施工图纸及工程量清单为准。</w:t>
      </w:r>
    </w:p>
    <w:p>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建设业主有权根据工程实施情况，对承包人的承包范围和承包工程量进行适当调整。</w:t>
      </w:r>
    </w:p>
    <w:p>
      <w:pPr>
        <w:snapToGrid w:val="0"/>
        <w:spacing w:line="440" w:lineRule="exact"/>
        <w:ind w:firstLine="480"/>
        <w:rPr>
          <w:rFonts w:ascii="宋体" w:hAnsi="宋体" w:cs="宋体"/>
          <w:color w:val="auto"/>
          <w:sz w:val="24"/>
          <w:highlight w:val="none"/>
          <w:u w:val="single"/>
        </w:rPr>
      </w:pPr>
      <w:r>
        <w:rPr>
          <w:rFonts w:hint="eastAsia" w:ascii="宋体" w:hAnsi="宋体" w:cs="宋体"/>
          <w:color w:val="auto"/>
          <w:sz w:val="24"/>
          <w:highlight w:val="none"/>
        </w:rPr>
        <w:t>工程立项批准文号：</w:t>
      </w:r>
      <w:r>
        <w:rPr>
          <w:rFonts w:ascii="宋体" w:hAnsi="宋体" w:cs="宋体"/>
          <w:color w:val="auto"/>
          <w:sz w:val="24"/>
          <w:highlight w:val="none"/>
          <w:u w:val="single"/>
        </w:rPr>
        <w:t xml:space="preserve">             </w:t>
      </w:r>
    </w:p>
    <w:p>
      <w:pPr>
        <w:snapToGrid w:val="0"/>
        <w:spacing w:line="440" w:lineRule="exact"/>
        <w:ind w:firstLine="480"/>
        <w:rPr>
          <w:rFonts w:ascii="宋体" w:hAnsi="宋体" w:cs="宋体"/>
          <w:color w:val="auto"/>
          <w:sz w:val="24"/>
          <w:highlight w:val="none"/>
          <w:u w:val="single"/>
        </w:rPr>
      </w:pPr>
      <w:r>
        <w:rPr>
          <w:rFonts w:hint="eastAsia" w:ascii="宋体" w:hAnsi="宋体" w:cs="宋体"/>
          <w:color w:val="auto"/>
          <w:sz w:val="24"/>
          <w:highlight w:val="none"/>
        </w:rPr>
        <w:t>资金来源：</w:t>
      </w:r>
      <w:r>
        <w:rPr>
          <w:rFonts w:ascii="宋体" w:hAnsi="宋体" w:cs="宋体"/>
          <w:color w:val="auto"/>
          <w:sz w:val="24"/>
          <w:highlight w:val="none"/>
          <w:u w:val="single"/>
        </w:rPr>
        <w:tab/>
      </w:r>
      <w:r>
        <w:rPr>
          <w:rFonts w:hint="eastAsia" w:ascii="宋体" w:hAnsi="宋体" w:cs="宋体"/>
          <w:color w:val="auto"/>
          <w:sz w:val="24"/>
          <w:highlight w:val="none"/>
          <w:u w:val="single"/>
        </w:rPr>
        <w:t>财政投资</w:t>
      </w:r>
      <w:r>
        <w:rPr>
          <w:rFonts w:ascii="宋体" w:hAnsi="宋体" w:cs="宋体"/>
          <w:color w:val="auto"/>
          <w:sz w:val="24"/>
          <w:highlight w:val="none"/>
          <w:u w:val="single"/>
        </w:rPr>
        <w:t xml:space="preserve"> </w:t>
      </w:r>
    </w:p>
    <w:p>
      <w:pPr>
        <w:snapToGrid w:val="0"/>
        <w:spacing w:line="440" w:lineRule="exact"/>
        <w:ind w:left="480"/>
        <w:rPr>
          <w:rFonts w:ascii="宋体" w:hAnsi="宋体" w:cs="宋体"/>
          <w:b/>
          <w:bCs/>
          <w:color w:val="auto"/>
          <w:sz w:val="24"/>
          <w:highlight w:val="none"/>
        </w:rPr>
      </w:pPr>
      <w:r>
        <w:rPr>
          <w:rFonts w:hint="eastAsia" w:ascii="宋体" w:hAnsi="宋体" w:cs="宋体"/>
          <w:b/>
          <w:bCs/>
          <w:color w:val="auto"/>
          <w:sz w:val="24"/>
          <w:highlight w:val="none"/>
        </w:rPr>
        <w:t>二、工程承包范围及承包方式</w:t>
      </w:r>
    </w:p>
    <w:p>
      <w:pPr>
        <w:numPr>
          <w:ins w:id="0" w:author="林启明" w:date=""/>
        </w:numPr>
        <w:snapToGrid w:val="0"/>
        <w:spacing w:line="440" w:lineRule="exact"/>
        <w:ind w:left="0" w:firstLine="472" w:firstLineChars="196"/>
        <w:rPr>
          <w:rFonts w:ascii="宋体" w:hAnsi="宋体" w:cs="宋体"/>
          <w:color w:val="auto"/>
          <w:sz w:val="24"/>
          <w:highlight w:val="none"/>
          <w:u w:val="single"/>
        </w:rPr>
      </w:pPr>
      <w:r>
        <w:rPr>
          <w:rFonts w:hint="eastAsia" w:ascii="宋体" w:hAnsi="宋体" w:cs="宋体"/>
          <w:b/>
          <w:bCs/>
          <w:color w:val="auto"/>
          <w:sz w:val="24"/>
          <w:highlight w:val="none"/>
        </w:rPr>
        <w:t>（一）承包范围：</w:t>
      </w:r>
      <w:r>
        <w:rPr>
          <w:rFonts w:hint="eastAsia" w:ascii="宋体" w:hAnsi="宋体" w:cs="宋体"/>
          <w:color w:val="auto"/>
          <w:sz w:val="24"/>
          <w:highlight w:val="none"/>
          <w:u w:val="single"/>
        </w:rPr>
        <w:t>按发包人确认的施工图纸、图纸会审纪录和有关变更文件、资料</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、招标文件、承包人投标文件以及双方签订的有关协议所包含的内容。</w:t>
      </w:r>
    </w:p>
    <w:p>
      <w:pPr>
        <w:snapToGrid w:val="0"/>
        <w:spacing w:line="440" w:lineRule="exact"/>
        <w:rPr>
          <w:rFonts w:ascii="宋体" w:hAnsi="宋体" w:cs="宋体"/>
          <w:color w:val="auto"/>
          <w:sz w:val="24"/>
          <w:highlight w:val="none"/>
          <w:u w:val="single"/>
        </w:rPr>
      </w:pPr>
      <w:r>
        <w:rPr>
          <w:rFonts w:ascii="宋体" w:hAnsi="宋体" w:cs="宋体"/>
          <w:color w:val="auto"/>
          <w:sz w:val="24"/>
          <w:highlight w:val="none"/>
        </w:rPr>
        <w:t xml:space="preserve">    </w:t>
      </w:r>
      <w:r>
        <w:rPr>
          <w:rFonts w:hint="eastAsia" w:ascii="宋体" w:hAnsi="宋体" w:cs="宋体"/>
          <w:b/>
          <w:color w:val="auto"/>
          <w:sz w:val="24"/>
          <w:highlight w:val="none"/>
        </w:rPr>
        <w:t>（二）承包方式：</w:t>
      </w:r>
      <w:r>
        <w:rPr>
          <w:rFonts w:ascii="宋体" w:hAnsi="宋体" w:cs="宋体"/>
          <w:color w:val="auto"/>
          <w:sz w:val="24"/>
          <w:highlight w:val="none"/>
          <w:u w:val="single"/>
        </w:rPr>
        <w:t xml:space="preserve"> 包工、包料、包工期、包质量、包安全、包文</w:t>
      </w:r>
      <w:r>
        <w:rPr>
          <w:rFonts w:hint="eastAsia" w:ascii="宋体" w:hAnsi="宋体" w:cs="宋体"/>
          <w:color w:val="auto"/>
          <w:sz w:val="24"/>
          <w:highlight w:val="none"/>
          <w:u w:val="single"/>
        </w:rPr>
        <w:t>明施工、包验收</w:t>
      </w:r>
      <w:r>
        <w:rPr>
          <w:rFonts w:hint="eastAsia" w:ascii="宋体" w:hAnsi="宋体" w:cs="宋体"/>
          <w:color w:val="auto"/>
          <w:sz w:val="24"/>
          <w:highlight w:val="none"/>
          <w:u w:val="single"/>
          <w:lang w:eastAsia="zh-CN"/>
        </w:rPr>
        <w:t>送电</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包检测检验、</w:t>
      </w:r>
      <w:r>
        <w:rPr>
          <w:rFonts w:hint="eastAsia" w:ascii="宋体" w:hAnsi="宋体" w:cs="宋体"/>
          <w:color w:val="auto"/>
          <w:sz w:val="24"/>
          <w:highlight w:val="none"/>
          <w:u w:val="single"/>
        </w:rPr>
        <w:t>包保修、综合单价包干，</w:t>
      </w:r>
      <w:r>
        <w:rPr>
          <w:rFonts w:ascii="宋体" w:hAnsi="宋体" w:cs="宋体"/>
          <w:color w:val="auto"/>
          <w:sz w:val="24"/>
          <w:highlight w:val="none"/>
          <w:u w:val="single"/>
        </w:rPr>
        <w:t>措施项目费（除施工围蔽费用外）包干，施工围蔽清单综合单价包干，工程量按实计量</w:t>
      </w:r>
      <w:r>
        <w:rPr>
          <w:rFonts w:hint="eastAsia" w:ascii="宋体" w:hAnsi="宋体" w:cs="宋体"/>
          <w:color w:val="auto"/>
          <w:sz w:val="24"/>
          <w:highlight w:val="none"/>
          <w:u w:val="single"/>
        </w:rPr>
        <w:t>。</w:t>
      </w:r>
    </w:p>
    <w:p>
      <w:pPr>
        <w:snapToGrid w:val="0"/>
        <w:spacing w:line="440" w:lineRule="exact"/>
        <w:ind w:left="480"/>
        <w:rPr>
          <w:rFonts w:ascii="宋体" w:hAnsi="宋体" w:cs="宋体"/>
          <w:b/>
          <w:bCs/>
          <w:color w:val="auto"/>
          <w:sz w:val="24"/>
          <w:highlight w:val="none"/>
          <w:u w:val="single"/>
        </w:rPr>
      </w:pPr>
      <w:r>
        <w:rPr>
          <w:rFonts w:hint="eastAsia" w:ascii="宋体" w:hAnsi="宋体" w:cs="宋体"/>
          <w:b/>
          <w:bCs/>
          <w:color w:val="auto"/>
          <w:sz w:val="24"/>
          <w:highlight w:val="none"/>
        </w:rPr>
        <w:t>三、合同工期</w:t>
      </w:r>
    </w:p>
    <w:p>
      <w:pPr>
        <w:snapToGrid w:val="0"/>
        <w:spacing w:line="440" w:lineRule="exact"/>
        <w:ind w:left="480"/>
        <w:rPr>
          <w:rFonts w:ascii="宋体" w:hAnsi="宋体" w:cs="宋体"/>
          <w:color w:val="auto"/>
          <w:sz w:val="24"/>
          <w:highlight w:val="none"/>
          <w:u w:val="single"/>
        </w:rPr>
      </w:pPr>
      <w:r>
        <w:rPr>
          <w:rFonts w:hint="eastAsia" w:ascii="宋体" w:hAnsi="宋体" w:cs="宋体"/>
          <w:color w:val="auto"/>
          <w:sz w:val="24"/>
          <w:highlight w:val="none"/>
        </w:rPr>
        <w:t>暂定开工日期：</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p>
    <w:p>
      <w:pPr>
        <w:snapToGrid w:val="0"/>
        <w:spacing w:line="440" w:lineRule="exact"/>
        <w:ind w:left="480"/>
        <w:rPr>
          <w:rFonts w:ascii="宋体" w:hAnsi="宋体" w:cs="宋体"/>
          <w:color w:val="auto"/>
          <w:sz w:val="24"/>
          <w:highlight w:val="none"/>
          <w:u w:val="single"/>
        </w:rPr>
      </w:pPr>
      <w:r>
        <w:rPr>
          <w:rFonts w:hint="eastAsia" w:ascii="宋体" w:hAnsi="宋体" w:cs="宋体"/>
          <w:color w:val="auto"/>
          <w:sz w:val="24"/>
          <w:highlight w:val="none"/>
        </w:rPr>
        <w:t>暂定竣工日期：</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pPr>
        <w:snapToGrid w:val="0"/>
        <w:spacing w:line="440" w:lineRule="exact"/>
        <w:ind w:left="480"/>
        <w:rPr>
          <w:rFonts w:ascii="宋体" w:hAnsi="宋体" w:cs="宋体"/>
          <w:color w:val="auto"/>
          <w:sz w:val="24"/>
          <w:highlight w:val="none"/>
        </w:rPr>
      </w:pPr>
      <w:r>
        <w:rPr>
          <w:rFonts w:hint="eastAsia" w:ascii="宋体" w:hAnsi="宋体" w:cs="宋体"/>
          <w:color w:val="auto"/>
          <w:sz w:val="24"/>
          <w:highlight w:val="none"/>
        </w:rPr>
        <w:t>合同工期为</w:t>
      </w:r>
      <w:r>
        <w:rPr>
          <w:rFonts w:ascii="宋体" w:hAnsi="宋体" w:cs="宋体"/>
          <w:color w:val="auto"/>
          <w:sz w:val="24"/>
          <w:highlight w:val="none"/>
          <w:u w:val="single"/>
        </w:rPr>
        <w:t xml:space="preserve">     </w:t>
      </w:r>
      <w:r>
        <w:rPr>
          <w:rFonts w:hint="eastAsia" w:ascii="宋体" w:hAnsi="宋体" w:cs="宋体"/>
          <w:color w:val="auto"/>
          <w:sz w:val="24"/>
          <w:highlight w:val="none"/>
        </w:rPr>
        <w:t>日历天。实际开工日期以发包人或监理单位开工令或批准的开工报告日期为准。</w:t>
      </w:r>
    </w:p>
    <w:p>
      <w:pPr>
        <w:snapToGrid w:val="0"/>
        <w:spacing w:line="440" w:lineRule="exact"/>
        <w:ind w:left="480"/>
        <w:rPr>
          <w:rFonts w:ascii="宋体" w:hAnsi="宋体" w:cs="宋体"/>
          <w:b/>
          <w:bCs/>
          <w:color w:val="auto"/>
          <w:sz w:val="24"/>
          <w:highlight w:val="none"/>
        </w:rPr>
      </w:pPr>
      <w:r>
        <w:rPr>
          <w:rFonts w:hint="eastAsia" w:ascii="宋体" w:hAnsi="宋体" w:cs="宋体"/>
          <w:b/>
          <w:bCs/>
          <w:color w:val="auto"/>
          <w:sz w:val="24"/>
          <w:highlight w:val="none"/>
        </w:rPr>
        <w:t>四、质量标准</w:t>
      </w:r>
    </w:p>
    <w:p>
      <w:pPr>
        <w:pStyle w:val="111"/>
        <w:snapToGrid w:val="0"/>
        <w:spacing w:line="440" w:lineRule="exact"/>
        <w:ind w:firstLine="495"/>
        <w:rPr>
          <w:rFonts w:ascii="宋体" w:hAnsi="宋体" w:cs="宋体"/>
          <w:color w:val="auto"/>
          <w:sz w:val="24"/>
          <w:highlight w:val="none"/>
        </w:rPr>
      </w:pPr>
      <w:r>
        <w:rPr>
          <w:rFonts w:hint="eastAsia" w:ascii="宋体" w:hAnsi="宋体" w:cs="宋体"/>
          <w:color w:val="auto"/>
          <w:sz w:val="24"/>
          <w:highlight w:val="none"/>
        </w:rPr>
        <w:t>工程质量标准：</w:t>
      </w:r>
      <w:r>
        <w:rPr>
          <w:rFonts w:hint="eastAsia" w:ascii="宋体" w:hAnsi="宋体" w:cs="宋体"/>
          <w:color w:val="auto"/>
          <w:sz w:val="24"/>
          <w:highlight w:val="none"/>
          <w:u w:val="single"/>
        </w:rPr>
        <w:t xml:space="preserve">  按投标文件承诺填写  </w:t>
      </w:r>
    </w:p>
    <w:p>
      <w:pPr>
        <w:pStyle w:val="111"/>
        <w:snapToGrid w:val="0"/>
        <w:spacing w:line="440" w:lineRule="exact"/>
        <w:ind w:firstLine="472" w:firstLineChars="196"/>
        <w:rPr>
          <w:rFonts w:ascii="宋体" w:hAnsi="宋体" w:cs="宋体"/>
          <w:b/>
          <w:bCs/>
          <w:color w:val="auto"/>
          <w:sz w:val="24"/>
          <w:highlight w:val="none"/>
        </w:rPr>
      </w:pPr>
      <w:r>
        <w:rPr>
          <w:rFonts w:hint="eastAsia" w:ascii="宋体" w:hAnsi="宋体" w:cs="宋体"/>
          <w:b/>
          <w:bCs/>
          <w:color w:val="auto"/>
          <w:sz w:val="24"/>
          <w:highlight w:val="none"/>
        </w:rPr>
        <w:t>五、合同价款</w:t>
      </w:r>
    </w:p>
    <w:p>
      <w:pPr>
        <w:spacing w:line="440" w:lineRule="exact"/>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合同价款暂定为￥</w:t>
      </w:r>
      <w:r>
        <w:rPr>
          <w:rFonts w:ascii="宋体" w:hAnsi="宋体" w:cs="宋体"/>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元（大写：人民币</w:t>
      </w:r>
      <w:r>
        <w:rPr>
          <w:rFonts w:ascii="宋体" w:hAnsi="宋体" w:cs="宋体"/>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），其中绿色施工安全防护措施费为</w:t>
      </w:r>
      <w:r>
        <w:rPr>
          <w:rFonts w:ascii="宋体" w:hAnsi="宋体" w:cs="宋体"/>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元、暂列金额为</w:t>
      </w:r>
      <w:r>
        <w:rPr>
          <w:rFonts w:ascii="宋体" w:hAnsi="宋体" w:cs="宋体"/>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元，人工费</w:t>
      </w:r>
      <w:r>
        <w:rPr>
          <w:rFonts w:ascii="宋体" w:hAnsi="宋体" w:cs="宋体"/>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元，工人工资比例为</w:t>
      </w:r>
      <w:r>
        <w:rPr>
          <w:rFonts w:ascii="宋体" w:hAnsi="宋体" w:cs="宋体"/>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w:t>
      </w:r>
    </w:p>
    <w:p>
      <w:pPr>
        <w:spacing w:line="440" w:lineRule="exact"/>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工程结算价款以广州开发区财政局审定结算为准。如遇审计部门审计发现本合同结算价款存在超付的情形，发包人有权据实要求承包人返还该部分款项。</w:t>
      </w:r>
    </w:p>
    <w:p>
      <w:pPr>
        <w:widowControl/>
        <w:adjustRightInd w:val="0"/>
        <w:snapToGrid w:val="0"/>
        <w:spacing w:line="440" w:lineRule="exact"/>
        <w:ind w:firstLine="472" w:firstLineChars="196"/>
        <w:rPr>
          <w:rFonts w:ascii="宋体" w:hAnsi="宋体" w:cs="宋体"/>
          <w:b/>
          <w:bCs/>
          <w:color w:val="auto"/>
          <w:sz w:val="24"/>
          <w:highlight w:val="none"/>
        </w:rPr>
      </w:pPr>
      <w:r>
        <w:rPr>
          <w:rFonts w:hint="eastAsia" w:ascii="宋体" w:hAnsi="宋体" w:cs="宋体"/>
          <w:b/>
          <w:bCs/>
          <w:color w:val="auto"/>
          <w:sz w:val="24"/>
          <w:highlight w:val="none"/>
        </w:rPr>
        <w:t>六、组成合同的文件</w:t>
      </w:r>
    </w:p>
    <w:p>
      <w:pPr>
        <w:widowControl/>
        <w:adjustRightInd w:val="0"/>
        <w:snapToGrid w:val="0"/>
        <w:spacing w:line="440" w:lineRule="exact"/>
        <w:ind w:left="336" w:leftChars="160" w:firstLine="241" w:firstLineChars="100"/>
        <w:rPr>
          <w:rFonts w:ascii="宋体" w:hAnsi="宋体" w:cs="宋体"/>
          <w:color w:val="auto"/>
          <w:sz w:val="24"/>
          <w:highlight w:val="none"/>
        </w:rPr>
      </w:pPr>
      <w:r>
        <w:rPr>
          <w:rFonts w:ascii="宋体" w:hAnsi="宋体" w:cs="宋体"/>
          <w:b/>
          <w:bCs/>
          <w:color w:val="auto"/>
          <w:sz w:val="24"/>
          <w:highlight w:val="none"/>
        </w:rPr>
        <w:t>1、本合同履行</w:t>
      </w:r>
      <w:r>
        <w:rPr>
          <w:rFonts w:hint="eastAsia" w:ascii="宋体" w:hAnsi="宋体" w:cs="宋体"/>
          <w:color w:val="auto"/>
          <w:sz w:val="24"/>
          <w:highlight w:val="none"/>
        </w:rPr>
        <w:t>期间发包人与承包人双方签订的补充合同（协议）或修正文件；</w:t>
      </w:r>
    </w:p>
    <w:p>
      <w:pPr>
        <w:widowControl/>
        <w:adjustRightInd w:val="0"/>
        <w:snapToGrid w:val="0"/>
        <w:spacing w:line="440" w:lineRule="exact"/>
        <w:ind w:left="336" w:leftChars="160" w:firstLine="240" w:firstLineChars="100"/>
        <w:rPr>
          <w:rFonts w:ascii="宋体" w:hAnsi="宋体" w:cs="宋体"/>
          <w:color w:val="auto"/>
          <w:sz w:val="24"/>
          <w:highlight w:val="none"/>
        </w:rPr>
      </w:pPr>
      <w:r>
        <w:rPr>
          <w:rFonts w:ascii="宋体" w:hAnsi="宋体" w:cs="宋体"/>
          <w:color w:val="auto"/>
          <w:sz w:val="24"/>
          <w:highlight w:val="none"/>
        </w:rPr>
        <w:t>2、本合同协议书</w:t>
      </w:r>
    </w:p>
    <w:p>
      <w:pPr>
        <w:widowControl/>
        <w:adjustRightInd w:val="0"/>
        <w:snapToGrid w:val="0"/>
        <w:spacing w:line="440" w:lineRule="exact"/>
        <w:ind w:left="336" w:leftChars="160" w:firstLine="240" w:firstLineChars="100"/>
        <w:rPr>
          <w:rFonts w:ascii="宋体" w:hAnsi="宋体" w:cs="宋体"/>
          <w:color w:val="auto"/>
          <w:sz w:val="24"/>
          <w:highlight w:val="none"/>
        </w:rPr>
      </w:pPr>
      <w:r>
        <w:rPr>
          <w:rFonts w:ascii="宋体" w:hAnsi="宋体" w:cs="宋体"/>
          <w:color w:val="auto"/>
          <w:sz w:val="24"/>
          <w:highlight w:val="none"/>
        </w:rPr>
        <w:t>3、国家、广东省、广州市、广州开发区、黄埔区关于本工程施工的有关文件（发包人在收到后尽快通报给承包人）；</w:t>
      </w:r>
    </w:p>
    <w:p>
      <w:pPr>
        <w:widowControl/>
        <w:adjustRightInd w:val="0"/>
        <w:snapToGrid w:val="0"/>
        <w:spacing w:line="440" w:lineRule="exact"/>
        <w:ind w:left="336" w:leftChars="160" w:firstLine="240" w:firstLineChars="100"/>
        <w:rPr>
          <w:rFonts w:ascii="宋体" w:hAnsi="宋体" w:cs="宋体"/>
          <w:color w:val="auto"/>
          <w:sz w:val="24"/>
          <w:highlight w:val="none"/>
        </w:rPr>
      </w:pPr>
      <w:r>
        <w:rPr>
          <w:rFonts w:ascii="宋体" w:hAnsi="宋体" w:cs="宋体"/>
          <w:color w:val="auto"/>
          <w:sz w:val="24"/>
          <w:highlight w:val="none"/>
        </w:rPr>
        <w:t>4、建设业主针对本工程建设管理的各项制度、规定；</w:t>
      </w:r>
    </w:p>
    <w:p>
      <w:pPr>
        <w:widowControl/>
        <w:adjustRightInd w:val="0"/>
        <w:snapToGrid w:val="0"/>
        <w:spacing w:line="440" w:lineRule="exact"/>
        <w:ind w:left="336" w:leftChars="160" w:firstLine="240" w:firstLineChars="100"/>
        <w:rPr>
          <w:rFonts w:ascii="宋体" w:hAnsi="宋体" w:cs="宋体"/>
          <w:color w:val="auto"/>
          <w:sz w:val="24"/>
          <w:highlight w:val="none"/>
        </w:rPr>
      </w:pPr>
      <w:r>
        <w:rPr>
          <w:rFonts w:ascii="宋体" w:hAnsi="宋体" w:cs="宋体"/>
          <w:color w:val="auto"/>
          <w:sz w:val="24"/>
          <w:highlight w:val="none"/>
        </w:rPr>
        <w:t>5、中标通知书</w:t>
      </w:r>
    </w:p>
    <w:p>
      <w:pPr>
        <w:widowControl/>
        <w:adjustRightInd w:val="0"/>
        <w:snapToGrid w:val="0"/>
        <w:spacing w:line="440" w:lineRule="exact"/>
        <w:ind w:left="336" w:leftChars="160" w:firstLine="240" w:firstLineChars="100"/>
        <w:rPr>
          <w:rFonts w:ascii="宋体" w:hAnsi="宋体" w:cs="宋体"/>
          <w:color w:val="auto"/>
          <w:sz w:val="24"/>
          <w:highlight w:val="none"/>
        </w:rPr>
      </w:pPr>
      <w:r>
        <w:rPr>
          <w:rFonts w:ascii="宋体" w:hAnsi="宋体" w:cs="宋体"/>
          <w:color w:val="auto"/>
          <w:sz w:val="24"/>
          <w:highlight w:val="none"/>
        </w:rPr>
        <w:t>6、本合同专用条款</w:t>
      </w:r>
    </w:p>
    <w:p>
      <w:pPr>
        <w:widowControl/>
        <w:adjustRightInd w:val="0"/>
        <w:snapToGrid w:val="0"/>
        <w:spacing w:line="440" w:lineRule="exact"/>
        <w:ind w:left="336" w:leftChars="160" w:firstLine="240" w:firstLineChars="100"/>
        <w:rPr>
          <w:rFonts w:ascii="宋体" w:hAnsi="宋体" w:cs="宋体"/>
          <w:color w:val="auto"/>
          <w:sz w:val="24"/>
          <w:highlight w:val="none"/>
        </w:rPr>
      </w:pPr>
      <w:r>
        <w:rPr>
          <w:rFonts w:ascii="宋体" w:hAnsi="宋体" w:cs="宋体"/>
          <w:color w:val="auto"/>
          <w:sz w:val="24"/>
          <w:highlight w:val="none"/>
        </w:rPr>
        <w:t>7、招标文件及附件（包括补充、修改、澄清文件及答疑纪要等）</w:t>
      </w:r>
    </w:p>
    <w:p>
      <w:pPr>
        <w:widowControl/>
        <w:adjustRightInd w:val="0"/>
        <w:snapToGrid w:val="0"/>
        <w:spacing w:line="440" w:lineRule="exact"/>
        <w:ind w:left="336" w:leftChars="160" w:firstLine="240" w:firstLineChars="100"/>
        <w:rPr>
          <w:rFonts w:ascii="宋体" w:hAnsi="宋体" w:cs="宋体"/>
          <w:color w:val="auto"/>
          <w:sz w:val="24"/>
          <w:highlight w:val="none"/>
        </w:rPr>
      </w:pPr>
      <w:r>
        <w:rPr>
          <w:rFonts w:ascii="宋体" w:hAnsi="宋体" w:cs="宋体"/>
          <w:color w:val="auto"/>
          <w:sz w:val="24"/>
          <w:highlight w:val="none"/>
        </w:rPr>
        <w:t>8、本合同通用条款</w:t>
      </w:r>
    </w:p>
    <w:p>
      <w:pPr>
        <w:widowControl/>
        <w:adjustRightInd w:val="0"/>
        <w:snapToGrid w:val="0"/>
        <w:spacing w:line="440" w:lineRule="exact"/>
        <w:ind w:left="336" w:leftChars="160" w:firstLine="240" w:firstLineChars="100"/>
        <w:rPr>
          <w:rFonts w:ascii="宋体" w:hAnsi="宋体" w:cs="宋体"/>
          <w:color w:val="auto"/>
          <w:sz w:val="24"/>
          <w:highlight w:val="none"/>
        </w:rPr>
      </w:pPr>
      <w:r>
        <w:rPr>
          <w:rFonts w:ascii="宋体" w:hAnsi="宋体" w:cs="宋体"/>
          <w:color w:val="auto"/>
          <w:sz w:val="24"/>
          <w:highlight w:val="none"/>
        </w:rPr>
        <w:t>9、投标文件及附件</w:t>
      </w:r>
    </w:p>
    <w:p>
      <w:pPr>
        <w:widowControl/>
        <w:adjustRightInd w:val="0"/>
        <w:snapToGrid w:val="0"/>
        <w:spacing w:line="440" w:lineRule="exact"/>
        <w:ind w:left="336" w:leftChars="160" w:firstLine="240" w:firstLineChars="100"/>
        <w:rPr>
          <w:rFonts w:ascii="宋体" w:hAnsi="宋体" w:cs="宋体"/>
          <w:color w:val="auto"/>
          <w:sz w:val="24"/>
          <w:highlight w:val="none"/>
        </w:rPr>
      </w:pPr>
      <w:r>
        <w:rPr>
          <w:rFonts w:ascii="宋体" w:hAnsi="宋体" w:cs="宋体"/>
          <w:color w:val="auto"/>
          <w:sz w:val="24"/>
          <w:highlight w:val="none"/>
        </w:rPr>
        <w:t>10、标准、规范和其他有关技术文件</w:t>
      </w:r>
    </w:p>
    <w:p>
      <w:pPr>
        <w:widowControl/>
        <w:adjustRightInd w:val="0"/>
        <w:snapToGrid w:val="0"/>
        <w:spacing w:line="440" w:lineRule="exact"/>
        <w:ind w:left="336" w:leftChars="160" w:firstLine="240" w:firstLineChars="100"/>
        <w:rPr>
          <w:rFonts w:ascii="宋体" w:hAnsi="宋体" w:cs="宋体"/>
          <w:color w:val="auto"/>
          <w:sz w:val="24"/>
          <w:highlight w:val="none"/>
        </w:rPr>
      </w:pPr>
      <w:r>
        <w:rPr>
          <w:rFonts w:ascii="宋体" w:hAnsi="宋体" w:cs="宋体"/>
          <w:color w:val="auto"/>
          <w:sz w:val="24"/>
          <w:highlight w:val="none"/>
        </w:rPr>
        <w:t>11、图纸</w:t>
      </w:r>
    </w:p>
    <w:p>
      <w:pPr>
        <w:widowControl/>
        <w:adjustRightInd w:val="0"/>
        <w:snapToGrid w:val="0"/>
        <w:spacing w:line="440" w:lineRule="exact"/>
        <w:ind w:left="336" w:leftChars="160" w:firstLine="240" w:firstLineChars="100"/>
        <w:rPr>
          <w:rFonts w:ascii="宋体" w:hAnsi="宋体" w:cs="宋体"/>
          <w:color w:val="auto"/>
          <w:sz w:val="24"/>
          <w:highlight w:val="none"/>
        </w:rPr>
      </w:pPr>
      <w:r>
        <w:rPr>
          <w:rFonts w:ascii="宋体" w:hAnsi="宋体" w:cs="宋体"/>
          <w:color w:val="auto"/>
          <w:sz w:val="24"/>
          <w:highlight w:val="none"/>
        </w:rPr>
        <w:t>12、工程量清单</w:t>
      </w:r>
    </w:p>
    <w:p>
      <w:pPr>
        <w:widowControl/>
        <w:adjustRightInd w:val="0"/>
        <w:snapToGrid w:val="0"/>
        <w:spacing w:line="440" w:lineRule="exact"/>
        <w:ind w:left="336" w:leftChars="160" w:firstLine="240" w:firstLineChars="100"/>
        <w:rPr>
          <w:rFonts w:ascii="宋体" w:hAnsi="宋体" w:cs="宋体"/>
          <w:color w:val="auto"/>
          <w:sz w:val="24"/>
          <w:highlight w:val="none"/>
        </w:rPr>
      </w:pPr>
      <w:r>
        <w:rPr>
          <w:rFonts w:ascii="宋体" w:hAnsi="宋体" w:cs="宋体"/>
          <w:color w:val="auto"/>
          <w:sz w:val="24"/>
          <w:highlight w:val="none"/>
        </w:rPr>
        <w:t>13、合同附件（工程质量保修责任书、标函承诺书、项目负责人驻场承诺书、工程建设廉政协议书等）</w:t>
      </w:r>
    </w:p>
    <w:p>
      <w:pPr>
        <w:pStyle w:val="23"/>
        <w:spacing w:line="440" w:lineRule="exact"/>
        <w:ind w:left="600"/>
        <w:rPr>
          <w:rFonts w:ascii="宋体" w:hAnsi="宋体" w:cs="宋体"/>
          <w:color w:val="auto"/>
          <w:sz w:val="24"/>
          <w:szCs w:val="24"/>
          <w:highlight w:val="none"/>
        </w:rPr>
      </w:pPr>
      <w:r>
        <w:rPr>
          <w:rFonts w:hint="eastAsia" w:ascii="宋体" w:hAnsi="宋体" w:cs="宋体"/>
          <w:color w:val="auto"/>
          <w:sz w:val="24"/>
          <w:szCs w:val="24"/>
          <w:highlight w:val="none"/>
        </w:rPr>
        <w:t>双方有关工程的洽商、变更等书面协议或文件视为本合同的组成部分。</w:t>
      </w:r>
    </w:p>
    <w:p>
      <w:pPr>
        <w:pStyle w:val="18"/>
        <w:snapToGrid w:val="0"/>
        <w:spacing w:line="440" w:lineRule="exact"/>
        <w:ind w:left="0" w:leftChars="0"/>
        <w:rPr>
          <w:rFonts w:ascii="宋体" w:hAnsi="宋体" w:cs="宋体"/>
          <w:bCs/>
          <w:color w:val="auto"/>
          <w:sz w:val="24"/>
          <w:highlight w:val="none"/>
        </w:rPr>
      </w:pPr>
      <w:r>
        <w:rPr>
          <w:rFonts w:ascii="宋体" w:hAnsi="宋体" w:cs="宋体"/>
          <w:bCs/>
          <w:color w:val="auto"/>
          <w:sz w:val="24"/>
          <w:highlight w:val="none"/>
        </w:rPr>
        <w:t xml:space="preserve">   </w:t>
      </w:r>
      <w:r>
        <w:rPr>
          <w:rFonts w:ascii="宋体" w:hAnsi="宋体" w:cs="宋体"/>
          <w:b/>
          <w:bCs/>
          <w:color w:val="auto"/>
          <w:sz w:val="24"/>
          <w:highlight w:val="none"/>
        </w:rPr>
        <w:t xml:space="preserve"> </w:t>
      </w:r>
      <w:r>
        <w:rPr>
          <w:rFonts w:hint="eastAsia" w:ascii="宋体" w:hAnsi="宋体" w:cs="宋体"/>
          <w:b/>
          <w:bCs/>
          <w:color w:val="auto"/>
          <w:sz w:val="24"/>
          <w:highlight w:val="none"/>
        </w:rPr>
        <w:t>七、</w:t>
      </w:r>
      <w:r>
        <w:rPr>
          <w:rFonts w:hint="eastAsia" w:ascii="宋体" w:hAnsi="宋体" w:cs="宋体"/>
          <w:bCs/>
          <w:color w:val="auto"/>
          <w:sz w:val="24"/>
          <w:highlight w:val="none"/>
        </w:rPr>
        <w:t>协议书中有关词语含义与本合同第二部分《通用条款》中分别赋予它们的定义相同。</w:t>
      </w:r>
    </w:p>
    <w:p>
      <w:pPr>
        <w:pStyle w:val="18"/>
        <w:snapToGrid w:val="0"/>
        <w:spacing w:line="440" w:lineRule="exact"/>
        <w:ind w:left="0" w:leftChars="0"/>
        <w:rPr>
          <w:rFonts w:ascii="宋体" w:hAnsi="宋体" w:cs="宋体"/>
          <w:bCs/>
          <w:color w:val="auto"/>
          <w:sz w:val="24"/>
          <w:highlight w:val="none"/>
        </w:rPr>
      </w:pPr>
      <w:r>
        <w:rPr>
          <w:rFonts w:ascii="宋体" w:hAnsi="宋体" w:cs="宋体"/>
          <w:bCs/>
          <w:color w:val="auto"/>
          <w:sz w:val="24"/>
          <w:highlight w:val="none"/>
        </w:rPr>
        <w:t xml:space="preserve">    </w:t>
      </w:r>
      <w:r>
        <w:rPr>
          <w:rFonts w:hint="eastAsia" w:ascii="宋体" w:hAnsi="宋体" w:cs="宋体"/>
          <w:b/>
          <w:bCs/>
          <w:color w:val="auto"/>
          <w:sz w:val="24"/>
          <w:highlight w:val="none"/>
        </w:rPr>
        <w:t>八、</w:t>
      </w:r>
      <w:r>
        <w:rPr>
          <w:rFonts w:hint="eastAsia" w:ascii="宋体" w:hAnsi="宋体" w:cs="宋体"/>
          <w:bCs/>
          <w:color w:val="auto"/>
          <w:sz w:val="24"/>
          <w:highlight w:val="none"/>
        </w:rPr>
        <w:t>承包人向发包人承诺按照合同约定进行施工、竣工并在质量保修期内承担工程质量保修责任。</w:t>
      </w:r>
    </w:p>
    <w:p>
      <w:pPr>
        <w:pStyle w:val="18"/>
        <w:snapToGrid w:val="0"/>
        <w:spacing w:line="440" w:lineRule="exact"/>
        <w:ind w:left="0" w:leftChars="0" w:firstLine="480"/>
        <w:rPr>
          <w:rFonts w:hint="eastAsia" w:ascii="宋体" w:hAnsi="宋体" w:cs="宋体"/>
          <w:bCs/>
          <w:color w:val="auto"/>
          <w:sz w:val="24"/>
          <w:highlight w:val="none"/>
        </w:rPr>
      </w:pPr>
      <w:r>
        <w:rPr>
          <w:rFonts w:hint="eastAsia" w:ascii="宋体" w:hAnsi="宋体" w:cs="宋体"/>
          <w:b/>
          <w:bCs/>
          <w:color w:val="auto"/>
          <w:sz w:val="24"/>
          <w:highlight w:val="none"/>
        </w:rPr>
        <w:t>九、</w:t>
      </w:r>
      <w:r>
        <w:rPr>
          <w:rFonts w:hint="eastAsia" w:ascii="宋体" w:hAnsi="宋体" w:cs="宋体"/>
          <w:bCs/>
          <w:color w:val="auto"/>
          <w:sz w:val="24"/>
          <w:highlight w:val="none"/>
        </w:rPr>
        <w:t>发包人向承包人承诺按照合同约定的期限和方式支付合同价款及其他应当支付的款项。</w:t>
      </w:r>
    </w:p>
    <w:p>
      <w:pPr>
        <w:pStyle w:val="3"/>
        <w:keepNext/>
        <w:keepLines/>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eastAsia="宋体"/>
          <w:color w:val="auto"/>
          <w:highlight w:val="none"/>
          <w:lang w:eastAsia="zh-CN"/>
        </w:rPr>
      </w:pPr>
      <w:r>
        <w:rPr>
          <w:rFonts w:hint="eastAsia" w:ascii="宋体" w:hAnsi="宋体"/>
          <w:b/>
          <w:bCs/>
          <w:color w:val="auto"/>
          <w:sz w:val="24"/>
          <w:highlight w:val="none"/>
          <w:lang w:eastAsia="zh-CN"/>
        </w:rPr>
        <w:t>十、</w:t>
      </w:r>
      <w:bookmarkStart w:id="23" w:name="_Toc566321861"/>
      <w:r>
        <w:rPr>
          <w:rFonts w:hint="eastAsia" w:ascii="宋体" w:hAnsi="宋体"/>
          <w:b/>
          <w:bCs/>
          <w:color w:val="auto"/>
          <w:sz w:val="24"/>
          <w:highlight w:val="none"/>
          <w:lang w:eastAsia="zh-CN"/>
        </w:rPr>
        <w:t>承包人在本项目中存在《广州开发区财政投资建设项目管理中心拒绝投标资格惩戒措施清单》应予惩戒事实情形的，将被拒绝一定时期内参与发包人后续工程投标。</w:t>
      </w:r>
      <w:bookmarkEnd w:id="23"/>
      <w:r>
        <w:rPr>
          <w:rFonts w:hint="eastAsia" w:ascii="宋体" w:hAnsi="宋体"/>
          <w:b/>
          <w:bCs/>
          <w:color w:val="auto"/>
          <w:sz w:val="24"/>
          <w:highlight w:val="none"/>
          <w:lang w:eastAsia="zh-CN"/>
        </w:rPr>
        <w:t>惩戒期限3个月起，情形严重的，可视严重程度延长对承包人的拒绝投标时限，最长不超过3年。</w:t>
      </w:r>
    </w:p>
    <w:p>
      <w:pPr>
        <w:pStyle w:val="18"/>
        <w:snapToGrid w:val="0"/>
        <w:spacing w:line="440" w:lineRule="exact"/>
        <w:ind w:left="0" w:leftChars="0" w:firstLine="480"/>
        <w:rPr>
          <w:rFonts w:ascii="宋体" w:hAnsi="宋体" w:cs="宋体"/>
          <w:b/>
          <w:bCs/>
          <w:color w:val="auto"/>
          <w:sz w:val="24"/>
          <w:highlight w:val="none"/>
        </w:rPr>
      </w:pPr>
      <w:r>
        <w:rPr>
          <w:rFonts w:hint="eastAsia" w:ascii="宋体" w:hAnsi="宋体"/>
          <w:b/>
          <w:bCs/>
          <w:color w:val="auto"/>
          <w:sz w:val="24"/>
          <w:highlight w:val="none"/>
        </w:rPr>
        <w:t>十</w:t>
      </w:r>
      <w:r>
        <w:rPr>
          <w:rFonts w:hint="eastAsia" w:ascii="宋体" w:hAnsi="宋体"/>
          <w:b/>
          <w:bCs/>
          <w:color w:val="auto"/>
          <w:sz w:val="24"/>
          <w:highlight w:val="none"/>
          <w:lang w:eastAsia="zh-CN"/>
        </w:rPr>
        <w:t>一</w:t>
      </w:r>
      <w:r>
        <w:rPr>
          <w:rFonts w:hint="eastAsia" w:ascii="宋体" w:hAnsi="宋体"/>
          <w:b/>
          <w:bCs/>
          <w:color w:val="auto"/>
          <w:sz w:val="24"/>
          <w:highlight w:val="none"/>
        </w:rPr>
        <w:t>、</w:t>
      </w:r>
      <w:r>
        <w:rPr>
          <w:rFonts w:hint="eastAsia" w:ascii="宋体" w:hAnsi="宋体" w:cs="宋体"/>
          <w:b/>
          <w:bCs/>
          <w:color w:val="auto"/>
          <w:sz w:val="24"/>
          <w:highlight w:val="none"/>
        </w:rPr>
        <w:t>合同生效</w:t>
      </w:r>
    </w:p>
    <w:p>
      <w:pPr>
        <w:snapToGrid w:val="0"/>
        <w:spacing w:line="440" w:lineRule="exact"/>
        <w:ind w:firstLine="482"/>
        <w:rPr>
          <w:rFonts w:ascii="宋体" w:hAnsi="宋体" w:cs="宋体"/>
          <w:color w:val="auto"/>
          <w:sz w:val="24"/>
          <w:highlight w:val="none"/>
        </w:rPr>
      </w:pPr>
      <w:r>
        <w:rPr>
          <w:rFonts w:hint="eastAsia" w:ascii="宋体" w:hAnsi="宋体" w:cs="宋体"/>
          <w:color w:val="auto"/>
          <w:sz w:val="24"/>
          <w:highlight w:val="none"/>
        </w:rPr>
        <w:t>合同订立时间：</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pPr>
        <w:snapToGrid w:val="0"/>
        <w:spacing w:line="440" w:lineRule="exact"/>
        <w:ind w:firstLine="480"/>
        <w:rPr>
          <w:rFonts w:ascii="宋体" w:hAnsi="宋体" w:cs="宋体"/>
          <w:color w:val="auto"/>
          <w:sz w:val="24"/>
          <w:highlight w:val="none"/>
        </w:rPr>
      </w:pPr>
      <w:r>
        <w:rPr>
          <w:rFonts w:hint="eastAsia" w:ascii="宋体" w:hAnsi="宋体" w:cs="宋体"/>
          <w:color w:val="auto"/>
          <w:sz w:val="24"/>
          <w:highlight w:val="none"/>
        </w:rPr>
        <w:t>合同订立地点：</w:t>
      </w:r>
      <w:r>
        <w:rPr>
          <w:rFonts w:hint="eastAsia" w:ascii="宋体" w:hAnsi="宋体" w:eastAsia="宋体" w:cs="宋体"/>
          <w:color w:val="auto"/>
          <w:sz w:val="24"/>
          <w:highlight w:val="none"/>
          <w:u w:val="single"/>
        </w:rPr>
        <w:t>广州市黄埔区</w:t>
      </w:r>
    </w:p>
    <w:p>
      <w:pPr>
        <w:snapToGrid w:val="0"/>
        <w:spacing w:line="440" w:lineRule="exact"/>
        <w:ind w:firstLine="480"/>
        <w:rPr>
          <w:rFonts w:ascii="宋体" w:hAnsi="宋体" w:cs="宋体"/>
          <w:color w:val="auto"/>
          <w:sz w:val="24"/>
          <w:highlight w:val="none"/>
        </w:rPr>
      </w:pPr>
      <w:r>
        <w:rPr>
          <w:rFonts w:hint="eastAsia" w:ascii="宋体" w:hAnsi="宋体" w:cs="宋体"/>
          <w:color w:val="auto"/>
          <w:sz w:val="24"/>
          <w:highlight w:val="none"/>
        </w:rPr>
        <w:t>本合同双方约定：</w:t>
      </w:r>
      <w:r>
        <w:rPr>
          <w:rFonts w:hint="eastAsia" w:ascii="宋体" w:hAnsi="宋体" w:cs="宋体"/>
          <w:color w:val="auto"/>
          <w:sz w:val="24"/>
          <w:highlight w:val="none"/>
          <w:u w:val="single"/>
        </w:rPr>
        <w:t>双方签名、盖章并在承包人提交履约担保后生效</w:t>
      </w:r>
      <w:r>
        <w:rPr>
          <w:rFonts w:hint="eastAsia" w:ascii="宋体" w:hAnsi="宋体" w:cs="宋体"/>
          <w:color w:val="auto"/>
          <w:sz w:val="24"/>
          <w:highlight w:val="none"/>
        </w:rPr>
        <w:t>。</w:t>
      </w:r>
    </w:p>
    <w:p>
      <w:pPr>
        <w:snapToGrid w:val="0"/>
        <w:spacing w:line="460" w:lineRule="exact"/>
        <w:rPr>
          <w:rFonts w:ascii="宋体" w:hAnsi="宋体"/>
          <w:color w:val="auto"/>
          <w:sz w:val="24"/>
          <w:highlight w:val="none"/>
        </w:rPr>
      </w:pPr>
    </w:p>
    <w:p>
      <w:pPr>
        <w:snapToGrid w:val="0"/>
        <w:spacing w:line="460" w:lineRule="exact"/>
        <w:ind w:firstLine="120" w:firstLineChars="50"/>
        <w:rPr>
          <w:rFonts w:ascii="宋体" w:hAnsi="宋体"/>
          <w:color w:val="auto"/>
          <w:sz w:val="24"/>
          <w:highlight w:val="none"/>
        </w:rPr>
      </w:pPr>
      <w:r>
        <w:rPr>
          <w:rFonts w:hint="eastAsia" w:ascii="宋体" w:hAnsi="宋体"/>
          <w:color w:val="auto"/>
          <w:sz w:val="24"/>
          <w:highlight w:val="none"/>
        </w:rPr>
        <w:t xml:space="preserve"> </w:t>
      </w:r>
    </w:p>
    <w:p>
      <w:pPr>
        <w:snapToGrid w:val="0"/>
        <w:spacing w:line="460" w:lineRule="exact"/>
        <w:rPr>
          <w:rFonts w:ascii="宋体" w:hAnsi="宋体"/>
          <w:color w:val="auto"/>
          <w:sz w:val="24"/>
          <w:highlight w:val="none"/>
        </w:rPr>
      </w:pPr>
    </w:p>
    <w:tbl>
      <w:tblPr>
        <w:tblStyle w:val="30"/>
        <w:tblW w:w="0" w:type="auto"/>
        <w:tblInd w:w="534" w:type="dxa"/>
        <w:tblLayout w:type="fixed"/>
        <w:tblCellMar>
          <w:top w:w="0" w:type="dxa"/>
          <w:left w:w="108" w:type="dxa"/>
          <w:bottom w:w="0" w:type="dxa"/>
          <w:right w:w="108" w:type="dxa"/>
        </w:tblCellMar>
      </w:tblPr>
      <w:tblGrid>
        <w:gridCol w:w="1668"/>
        <w:gridCol w:w="2596"/>
        <w:gridCol w:w="1656"/>
        <w:gridCol w:w="2608"/>
      </w:tblGrid>
      <w:tr>
        <w:tblPrEx>
          <w:tblCellMar>
            <w:top w:w="0" w:type="dxa"/>
            <w:left w:w="108" w:type="dxa"/>
            <w:bottom w:w="0" w:type="dxa"/>
            <w:right w:w="108" w:type="dxa"/>
          </w:tblCellMar>
        </w:tblPrEx>
        <w:trPr>
          <w:trHeight w:val="871" w:hRule="atLeast"/>
        </w:trPr>
        <w:tc>
          <w:tcPr>
            <w:tcW w:w="1668" w:type="dxa"/>
            <w:vAlign w:val="center"/>
          </w:tcPr>
          <w:p>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发</w:t>
            </w:r>
            <w:r>
              <w:rPr>
                <w:rFonts w:ascii="宋体" w:hAnsi="宋体" w:eastAsia="宋体"/>
                <w:color w:val="auto"/>
                <w:sz w:val="24"/>
                <w:highlight w:val="none"/>
              </w:rPr>
              <w:t xml:space="preserve">  </w:t>
            </w:r>
            <w:r>
              <w:rPr>
                <w:rFonts w:hint="eastAsia" w:ascii="宋体" w:hAnsi="宋体" w:eastAsia="宋体"/>
                <w:color w:val="auto"/>
                <w:sz w:val="24"/>
                <w:highlight w:val="none"/>
              </w:rPr>
              <w:t>包</w:t>
            </w:r>
            <w:r>
              <w:rPr>
                <w:rFonts w:ascii="宋体" w:hAnsi="宋体" w:eastAsia="宋体"/>
                <w:color w:val="auto"/>
                <w:sz w:val="24"/>
                <w:highlight w:val="none"/>
              </w:rPr>
              <w:t xml:space="preserve">  </w:t>
            </w:r>
            <w:r>
              <w:rPr>
                <w:rFonts w:hint="eastAsia" w:ascii="宋体" w:hAnsi="宋体" w:eastAsia="宋体"/>
                <w:color w:val="auto"/>
                <w:sz w:val="24"/>
                <w:highlight w:val="none"/>
              </w:rPr>
              <w:t>人：</w:t>
            </w:r>
          </w:p>
        </w:tc>
        <w:tc>
          <w:tcPr>
            <w:tcW w:w="2596" w:type="dxa"/>
            <w:vAlign w:val="center"/>
          </w:tcPr>
          <w:p>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（公章）</w:t>
            </w:r>
          </w:p>
        </w:tc>
        <w:tc>
          <w:tcPr>
            <w:tcW w:w="1656" w:type="dxa"/>
            <w:vAlign w:val="center"/>
          </w:tcPr>
          <w:p>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承</w:t>
            </w:r>
            <w:r>
              <w:rPr>
                <w:rFonts w:ascii="宋体" w:hAnsi="宋体" w:eastAsia="宋体"/>
                <w:color w:val="auto"/>
                <w:sz w:val="24"/>
                <w:highlight w:val="none"/>
              </w:rPr>
              <w:t xml:space="preserve">  </w:t>
            </w:r>
            <w:r>
              <w:rPr>
                <w:rFonts w:hint="eastAsia" w:ascii="宋体" w:hAnsi="宋体" w:eastAsia="宋体"/>
                <w:color w:val="auto"/>
                <w:sz w:val="24"/>
                <w:highlight w:val="none"/>
              </w:rPr>
              <w:t>包</w:t>
            </w:r>
            <w:r>
              <w:rPr>
                <w:rFonts w:ascii="宋体" w:hAnsi="宋体" w:eastAsia="宋体"/>
                <w:color w:val="auto"/>
                <w:sz w:val="24"/>
                <w:highlight w:val="none"/>
              </w:rPr>
              <w:t xml:space="preserve">  </w:t>
            </w:r>
            <w:r>
              <w:rPr>
                <w:rFonts w:hint="eastAsia" w:ascii="宋体" w:hAnsi="宋体" w:eastAsia="宋体"/>
                <w:color w:val="auto"/>
                <w:sz w:val="24"/>
                <w:highlight w:val="none"/>
              </w:rPr>
              <w:t>人：</w:t>
            </w:r>
          </w:p>
        </w:tc>
        <w:tc>
          <w:tcPr>
            <w:tcW w:w="2608" w:type="dxa"/>
            <w:vAlign w:val="center"/>
          </w:tcPr>
          <w:p>
            <w:pPr>
              <w:widowControl/>
              <w:wordWrap w:val="0"/>
              <w:topLinePunct/>
              <w:adjustRightInd w:val="0"/>
              <w:snapToGrid w:val="0"/>
              <w:spacing w:line="360" w:lineRule="exact"/>
              <w:rPr>
                <w:rFonts w:ascii="宋体" w:hAnsi="宋体" w:eastAsia="宋体"/>
                <w:color w:val="auto"/>
                <w:sz w:val="24"/>
                <w:highlight w:val="none"/>
              </w:rPr>
            </w:pPr>
            <w:r>
              <w:rPr>
                <w:rFonts w:hint="eastAsia" w:ascii="宋体" w:hAnsi="宋体" w:eastAsia="宋体"/>
                <w:color w:val="auto"/>
                <w:sz w:val="24"/>
                <w:highlight w:val="none"/>
              </w:rPr>
              <w:t>（公章）</w:t>
            </w:r>
          </w:p>
        </w:tc>
      </w:tr>
      <w:tr>
        <w:tblPrEx>
          <w:tblCellMar>
            <w:top w:w="0" w:type="dxa"/>
            <w:left w:w="108" w:type="dxa"/>
            <w:bottom w:w="0" w:type="dxa"/>
            <w:right w:w="108" w:type="dxa"/>
          </w:tblCellMar>
        </w:tblPrEx>
        <w:trPr>
          <w:trHeight w:val="1021" w:hRule="atLeast"/>
        </w:trPr>
        <w:tc>
          <w:tcPr>
            <w:tcW w:w="1668" w:type="dxa"/>
            <w:vAlign w:val="center"/>
          </w:tcPr>
          <w:p>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住</w:t>
            </w:r>
            <w:r>
              <w:rPr>
                <w:rFonts w:ascii="宋体" w:hAnsi="宋体" w:eastAsia="宋体"/>
                <w:color w:val="auto"/>
                <w:sz w:val="24"/>
                <w:highlight w:val="none"/>
              </w:rPr>
              <w:t xml:space="preserve">      </w:t>
            </w:r>
            <w:r>
              <w:rPr>
                <w:rFonts w:hint="eastAsia" w:ascii="宋体" w:hAnsi="宋体" w:eastAsia="宋体"/>
                <w:color w:val="auto"/>
                <w:sz w:val="24"/>
                <w:highlight w:val="none"/>
              </w:rPr>
              <w:t>所：</w:t>
            </w:r>
          </w:p>
        </w:tc>
        <w:tc>
          <w:tcPr>
            <w:tcW w:w="2596" w:type="dxa"/>
            <w:vAlign w:val="center"/>
          </w:tcPr>
          <w:p>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科学城创意大厦</w:t>
            </w:r>
            <w:r>
              <w:rPr>
                <w:rFonts w:ascii="宋体" w:hAnsi="宋体" w:eastAsia="宋体"/>
                <w:color w:val="auto"/>
                <w:sz w:val="24"/>
                <w:highlight w:val="none"/>
              </w:rPr>
              <w:t>B2栋二、三楼</w:t>
            </w:r>
          </w:p>
        </w:tc>
        <w:tc>
          <w:tcPr>
            <w:tcW w:w="1656" w:type="dxa"/>
            <w:vAlign w:val="center"/>
          </w:tcPr>
          <w:p>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住</w:t>
            </w:r>
            <w:r>
              <w:rPr>
                <w:rFonts w:ascii="宋体" w:hAnsi="宋体" w:eastAsia="宋体"/>
                <w:color w:val="auto"/>
                <w:sz w:val="24"/>
                <w:highlight w:val="none"/>
              </w:rPr>
              <w:t xml:space="preserve">      </w:t>
            </w:r>
            <w:r>
              <w:rPr>
                <w:rFonts w:hint="eastAsia" w:ascii="宋体" w:hAnsi="宋体" w:eastAsia="宋体"/>
                <w:color w:val="auto"/>
                <w:sz w:val="24"/>
                <w:highlight w:val="none"/>
              </w:rPr>
              <w:t>所：</w:t>
            </w:r>
          </w:p>
        </w:tc>
        <w:tc>
          <w:tcPr>
            <w:tcW w:w="2608" w:type="dxa"/>
            <w:vAlign w:val="center"/>
          </w:tcPr>
          <w:p>
            <w:pPr>
              <w:widowControl/>
              <w:wordWrap w:val="0"/>
              <w:topLinePunct/>
              <w:adjustRightInd w:val="0"/>
              <w:snapToGrid w:val="0"/>
              <w:spacing w:line="360" w:lineRule="exact"/>
              <w:rPr>
                <w:rFonts w:ascii="宋体" w:hAnsi="宋体" w:eastAsia="宋体"/>
                <w:color w:val="auto"/>
                <w:sz w:val="24"/>
                <w:highlight w:val="none"/>
              </w:rPr>
            </w:pPr>
          </w:p>
        </w:tc>
      </w:tr>
      <w:tr>
        <w:tblPrEx>
          <w:tblCellMar>
            <w:top w:w="0" w:type="dxa"/>
            <w:left w:w="108" w:type="dxa"/>
            <w:bottom w:w="0" w:type="dxa"/>
            <w:right w:w="108" w:type="dxa"/>
          </w:tblCellMar>
        </w:tblPrEx>
        <w:trPr>
          <w:trHeight w:val="1337" w:hRule="atLeast"/>
        </w:trPr>
        <w:tc>
          <w:tcPr>
            <w:tcW w:w="1668" w:type="dxa"/>
            <w:vAlign w:val="center"/>
          </w:tcPr>
          <w:p>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法定代表人：</w:t>
            </w:r>
          </w:p>
        </w:tc>
        <w:tc>
          <w:tcPr>
            <w:tcW w:w="2596" w:type="dxa"/>
            <w:vAlign w:val="center"/>
          </w:tcPr>
          <w:p>
            <w:pPr>
              <w:widowControl/>
              <w:wordWrap w:val="0"/>
              <w:topLinePunct/>
              <w:adjustRightInd w:val="0"/>
              <w:snapToGrid w:val="0"/>
              <w:spacing w:line="480" w:lineRule="exact"/>
              <w:rPr>
                <w:rFonts w:ascii="宋体" w:hAnsi="宋体" w:eastAsia="宋体"/>
                <w:color w:val="auto"/>
                <w:sz w:val="24"/>
                <w:highlight w:val="none"/>
              </w:rPr>
            </w:pPr>
          </w:p>
        </w:tc>
        <w:tc>
          <w:tcPr>
            <w:tcW w:w="1656" w:type="dxa"/>
            <w:vAlign w:val="center"/>
          </w:tcPr>
          <w:p>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法定代表人：</w:t>
            </w:r>
          </w:p>
        </w:tc>
        <w:tc>
          <w:tcPr>
            <w:tcW w:w="2608" w:type="dxa"/>
            <w:vAlign w:val="center"/>
          </w:tcPr>
          <w:p>
            <w:pPr>
              <w:widowControl/>
              <w:wordWrap w:val="0"/>
              <w:topLinePunct/>
              <w:adjustRightInd w:val="0"/>
              <w:snapToGrid w:val="0"/>
              <w:spacing w:line="360" w:lineRule="exact"/>
              <w:rPr>
                <w:rFonts w:ascii="宋体" w:hAnsi="宋体" w:eastAsia="宋体"/>
                <w:color w:val="auto"/>
                <w:sz w:val="24"/>
                <w:highlight w:val="none"/>
              </w:rPr>
            </w:pPr>
          </w:p>
        </w:tc>
      </w:tr>
      <w:tr>
        <w:tblPrEx>
          <w:tblCellMar>
            <w:top w:w="0" w:type="dxa"/>
            <w:left w:w="108" w:type="dxa"/>
            <w:bottom w:w="0" w:type="dxa"/>
            <w:right w:w="108" w:type="dxa"/>
          </w:tblCellMar>
        </w:tblPrEx>
        <w:trPr>
          <w:trHeight w:val="1554" w:hRule="atLeast"/>
        </w:trPr>
        <w:tc>
          <w:tcPr>
            <w:tcW w:w="1668" w:type="dxa"/>
            <w:vAlign w:val="center"/>
          </w:tcPr>
          <w:p>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委托代理人：</w:t>
            </w:r>
          </w:p>
        </w:tc>
        <w:tc>
          <w:tcPr>
            <w:tcW w:w="2596" w:type="dxa"/>
            <w:vAlign w:val="center"/>
          </w:tcPr>
          <w:p>
            <w:pPr>
              <w:widowControl/>
              <w:wordWrap w:val="0"/>
              <w:topLinePunct/>
              <w:adjustRightInd w:val="0"/>
              <w:snapToGrid w:val="0"/>
              <w:spacing w:line="480" w:lineRule="exact"/>
              <w:rPr>
                <w:rFonts w:ascii="宋体" w:hAnsi="宋体" w:eastAsia="宋体"/>
                <w:color w:val="auto"/>
                <w:sz w:val="24"/>
                <w:highlight w:val="none"/>
              </w:rPr>
            </w:pPr>
          </w:p>
        </w:tc>
        <w:tc>
          <w:tcPr>
            <w:tcW w:w="1656" w:type="dxa"/>
            <w:vAlign w:val="center"/>
          </w:tcPr>
          <w:p>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委托代理人：</w:t>
            </w:r>
          </w:p>
        </w:tc>
        <w:tc>
          <w:tcPr>
            <w:tcW w:w="2608" w:type="dxa"/>
            <w:vAlign w:val="center"/>
          </w:tcPr>
          <w:p>
            <w:pPr>
              <w:widowControl/>
              <w:wordWrap w:val="0"/>
              <w:topLinePunct/>
              <w:adjustRightInd w:val="0"/>
              <w:snapToGrid w:val="0"/>
              <w:spacing w:line="360" w:lineRule="exact"/>
              <w:rPr>
                <w:rFonts w:ascii="宋体" w:hAnsi="宋体" w:eastAsia="宋体"/>
                <w:color w:val="auto"/>
                <w:sz w:val="24"/>
                <w:highlight w:val="none"/>
              </w:rPr>
            </w:pPr>
          </w:p>
        </w:tc>
      </w:tr>
      <w:tr>
        <w:tblPrEx>
          <w:tblCellMar>
            <w:top w:w="0" w:type="dxa"/>
            <w:left w:w="108" w:type="dxa"/>
            <w:bottom w:w="0" w:type="dxa"/>
            <w:right w:w="108" w:type="dxa"/>
          </w:tblCellMar>
        </w:tblPrEx>
        <w:trPr>
          <w:trHeight w:val="604" w:hRule="atLeast"/>
        </w:trPr>
        <w:tc>
          <w:tcPr>
            <w:tcW w:w="1668" w:type="dxa"/>
            <w:vAlign w:val="center"/>
          </w:tcPr>
          <w:p>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电</w:t>
            </w:r>
            <w:r>
              <w:rPr>
                <w:rFonts w:ascii="宋体" w:hAnsi="宋体" w:eastAsia="宋体"/>
                <w:color w:val="auto"/>
                <w:sz w:val="24"/>
                <w:highlight w:val="none"/>
              </w:rPr>
              <w:t xml:space="preserve">      </w:t>
            </w:r>
            <w:r>
              <w:rPr>
                <w:rFonts w:hint="eastAsia" w:ascii="宋体" w:hAnsi="宋体" w:eastAsia="宋体"/>
                <w:color w:val="auto"/>
                <w:sz w:val="24"/>
                <w:highlight w:val="none"/>
              </w:rPr>
              <w:t>话：</w:t>
            </w:r>
          </w:p>
        </w:tc>
        <w:tc>
          <w:tcPr>
            <w:tcW w:w="2596" w:type="dxa"/>
            <w:vAlign w:val="center"/>
          </w:tcPr>
          <w:p>
            <w:pPr>
              <w:widowControl/>
              <w:wordWrap w:val="0"/>
              <w:topLinePunct/>
              <w:adjustRightInd w:val="0"/>
              <w:snapToGrid w:val="0"/>
              <w:spacing w:line="480" w:lineRule="exact"/>
              <w:rPr>
                <w:rFonts w:ascii="宋体" w:hAnsi="宋体" w:eastAsia="宋体"/>
                <w:color w:val="auto"/>
                <w:sz w:val="24"/>
                <w:highlight w:val="none"/>
              </w:rPr>
            </w:pPr>
          </w:p>
        </w:tc>
        <w:tc>
          <w:tcPr>
            <w:tcW w:w="1656" w:type="dxa"/>
            <w:vAlign w:val="center"/>
          </w:tcPr>
          <w:p>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电</w:t>
            </w:r>
            <w:r>
              <w:rPr>
                <w:rFonts w:ascii="宋体" w:hAnsi="宋体" w:eastAsia="宋体"/>
                <w:color w:val="auto"/>
                <w:sz w:val="24"/>
                <w:highlight w:val="none"/>
              </w:rPr>
              <w:t xml:space="preserve">      </w:t>
            </w:r>
            <w:r>
              <w:rPr>
                <w:rFonts w:hint="eastAsia" w:ascii="宋体" w:hAnsi="宋体" w:eastAsia="宋体"/>
                <w:color w:val="auto"/>
                <w:sz w:val="24"/>
                <w:highlight w:val="none"/>
              </w:rPr>
              <w:t>话：</w:t>
            </w:r>
          </w:p>
        </w:tc>
        <w:tc>
          <w:tcPr>
            <w:tcW w:w="2608" w:type="dxa"/>
            <w:vAlign w:val="center"/>
          </w:tcPr>
          <w:p>
            <w:pPr>
              <w:widowControl/>
              <w:wordWrap w:val="0"/>
              <w:topLinePunct/>
              <w:adjustRightInd w:val="0"/>
              <w:snapToGrid w:val="0"/>
              <w:spacing w:line="360" w:lineRule="exact"/>
              <w:rPr>
                <w:rFonts w:ascii="宋体" w:hAnsi="宋体" w:eastAsia="宋体"/>
                <w:color w:val="auto"/>
                <w:sz w:val="24"/>
                <w:highlight w:val="none"/>
              </w:rPr>
            </w:pPr>
          </w:p>
        </w:tc>
      </w:tr>
      <w:tr>
        <w:tblPrEx>
          <w:tblCellMar>
            <w:top w:w="0" w:type="dxa"/>
            <w:left w:w="108" w:type="dxa"/>
            <w:bottom w:w="0" w:type="dxa"/>
            <w:right w:w="108" w:type="dxa"/>
          </w:tblCellMar>
        </w:tblPrEx>
        <w:trPr>
          <w:trHeight w:val="604" w:hRule="atLeast"/>
        </w:trPr>
        <w:tc>
          <w:tcPr>
            <w:tcW w:w="1668" w:type="dxa"/>
            <w:vAlign w:val="center"/>
          </w:tcPr>
          <w:p>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传</w:t>
            </w:r>
            <w:r>
              <w:rPr>
                <w:rFonts w:ascii="宋体" w:hAnsi="宋体" w:eastAsia="宋体"/>
                <w:color w:val="auto"/>
                <w:sz w:val="24"/>
                <w:highlight w:val="none"/>
              </w:rPr>
              <w:t xml:space="preserve">      </w:t>
            </w:r>
            <w:r>
              <w:rPr>
                <w:rFonts w:hint="eastAsia" w:ascii="宋体" w:hAnsi="宋体" w:eastAsia="宋体"/>
                <w:color w:val="auto"/>
                <w:sz w:val="24"/>
                <w:highlight w:val="none"/>
              </w:rPr>
              <w:t>真：</w:t>
            </w:r>
          </w:p>
        </w:tc>
        <w:tc>
          <w:tcPr>
            <w:tcW w:w="2596" w:type="dxa"/>
            <w:vAlign w:val="center"/>
          </w:tcPr>
          <w:p>
            <w:pPr>
              <w:widowControl/>
              <w:wordWrap w:val="0"/>
              <w:topLinePunct/>
              <w:adjustRightInd w:val="0"/>
              <w:snapToGrid w:val="0"/>
              <w:spacing w:line="480" w:lineRule="exact"/>
              <w:rPr>
                <w:rFonts w:ascii="宋体" w:hAnsi="宋体" w:eastAsia="宋体"/>
                <w:color w:val="auto"/>
                <w:sz w:val="24"/>
                <w:highlight w:val="none"/>
              </w:rPr>
            </w:pPr>
            <w:r>
              <w:rPr>
                <w:rFonts w:ascii="宋体" w:hAnsi="宋体" w:eastAsia="宋体"/>
                <w:color w:val="auto"/>
                <w:sz w:val="24"/>
                <w:highlight w:val="none"/>
              </w:rPr>
              <w:t>020-28068800</w:t>
            </w:r>
          </w:p>
        </w:tc>
        <w:tc>
          <w:tcPr>
            <w:tcW w:w="1656" w:type="dxa"/>
            <w:vAlign w:val="center"/>
          </w:tcPr>
          <w:p>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传</w:t>
            </w:r>
            <w:r>
              <w:rPr>
                <w:rFonts w:ascii="宋体" w:hAnsi="宋体" w:eastAsia="宋体"/>
                <w:color w:val="auto"/>
                <w:sz w:val="24"/>
                <w:highlight w:val="none"/>
              </w:rPr>
              <w:t xml:space="preserve">      </w:t>
            </w:r>
            <w:r>
              <w:rPr>
                <w:rFonts w:hint="eastAsia" w:ascii="宋体" w:hAnsi="宋体" w:eastAsia="宋体"/>
                <w:color w:val="auto"/>
                <w:sz w:val="24"/>
                <w:highlight w:val="none"/>
              </w:rPr>
              <w:t>真：</w:t>
            </w:r>
          </w:p>
        </w:tc>
        <w:tc>
          <w:tcPr>
            <w:tcW w:w="2608" w:type="dxa"/>
            <w:vAlign w:val="center"/>
          </w:tcPr>
          <w:p>
            <w:pPr>
              <w:widowControl/>
              <w:wordWrap w:val="0"/>
              <w:topLinePunct/>
              <w:adjustRightInd w:val="0"/>
              <w:snapToGrid w:val="0"/>
              <w:spacing w:line="360" w:lineRule="exact"/>
              <w:rPr>
                <w:rFonts w:ascii="宋体" w:hAnsi="宋体" w:eastAsia="宋体"/>
                <w:color w:val="auto"/>
                <w:sz w:val="24"/>
                <w:highlight w:val="none"/>
              </w:rPr>
            </w:pPr>
          </w:p>
        </w:tc>
      </w:tr>
      <w:tr>
        <w:tblPrEx>
          <w:tblCellMar>
            <w:top w:w="0" w:type="dxa"/>
            <w:left w:w="108" w:type="dxa"/>
            <w:bottom w:w="0" w:type="dxa"/>
            <w:right w:w="108" w:type="dxa"/>
          </w:tblCellMar>
        </w:tblPrEx>
        <w:trPr>
          <w:trHeight w:val="843" w:hRule="atLeast"/>
        </w:trPr>
        <w:tc>
          <w:tcPr>
            <w:tcW w:w="1668" w:type="dxa"/>
            <w:vAlign w:val="center"/>
          </w:tcPr>
          <w:p>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开户</w:t>
            </w:r>
            <w:r>
              <w:rPr>
                <w:rFonts w:ascii="宋体" w:hAnsi="宋体" w:eastAsia="宋体"/>
                <w:color w:val="auto"/>
                <w:sz w:val="24"/>
                <w:highlight w:val="none"/>
              </w:rPr>
              <w:t xml:space="preserve"> </w:t>
            </w:r>
            <w:r>
              <w:rPr>
                <w:rFonts w:hint="eastAsia" w:ascii="宋体" w:hAnsi="宋体" w:eastAsia="宋体"/>
                <w:color w:val="auto"/>
                <w:sz w:val="24"/>
                <w:highlight w:val="none"/>
              </w:rPr>
              <w:t>银</w:t>
            </w:r>
            <w:r>
              <w:rPr>
                <w:rFonts w:ascii="宋体" w:hAnsi="宋体" w:eastAsia="宋体"/>
                <w:color w:val="auto"/>
                <w:sz w:val="24"/>
                <w:highlight w:val="none"/>
              </w:rPr>
              <w:t xml:space="preserve"> </w:t>
            </w:r>
            <w:r>
              <w:rPr>
                <w:rFonts w:hint="eastAsia" w:ascii="宋体" w:hAnsi="宋体" w:eastAsia="宋体"/>
                <w:color w:val="auto"/>
                <w:sz w:val="24"/>
                <w:highlight w:val="none"/>
              </w:rPr>
              <w:t>行：</w:t>
            </w:r>
          </w:p>
        </w:tc>
        <w:tc>
          <w:tcPr>
            <w:tcW w:w="2596" w:type="dxa"/>
            <w:vAlign w:val="center"/>
          </w:tcPr>
          <w:p>
            <w:pPr>
              <w:widowControl/>
              <w:wordWrap w:val="0"/>
              <w:topLinePunct/>
              <w:adjustRightInd w:val="0"/>
              <w:snapToGrid w:val="0"/>
              <w:spacing w:line="480" w:lineRule="exact"/>
              <w:rPr>
                <w:rFonts w:ascii="宋体" w:hAnsi="宋体" w:eastAsia="宋体"/>
                <w:color w:val="auto"/>
                <w:sz w:val="24"/>
                <w:highlight w:val="none"/>
              </w:rPr>
            </w:pPr>
          </w:p>
        </w:tc>
        <w:tc>
          <w:tcPr>
            <w:tcW w:w="1656" w:type="dxa"/>
            <w:vAlign w:val="center"/>
          </w:tcPr>
          <w:p>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开户</w:t>
            </w:r>
            <w:r>
              <w:rPr>
                <w:rFonts w:ascii="宋体" w:hAnsi="宋体" w:eastAsia="宋体"/>
                <w:color w:val="auto"/>
                <w:sz w:val="24"/>
                <w:highlight w:val="none"/>
              </w:rPr>
              <w:t xml:space="preserve"> </w:t>
            </w:r>
            <w:r>
              <w:rPr>
                <w:rFonts w:hint="eastAsia" w:ascii="宋体" w:hAnsi="宋体" w:eastAsia="宋体"/>
                <w:color w:val="auto"/>
                <w:sz w:val="24"/>
                <w:highlight w:val="none"/>
              </w:rPr>
              <w:t>银</w:t>
            </w:r>
            <w:r>
              <w:rPr>
                <w:rFonts w:ascii="宋体" w:hAnsi="宋体" w:eastAsia="宋体"/>
                <w:color w:val="auto"/>
                <w:sz w:val="24"/>
                <w:highlight w:val="none"/>
              </w:rPr>
              <w:t xml:space="preserve"> </w:t>
            </w:r>
            <w:r>
              <w:rPr>
                <w:rFonts w:hint="eastAsia" w:ascii="宋体" w:hAnsi="宋体" w:eastAsia="宋体"/>
                <w:color w:val="auto"/>
                <w:sz w:val="24"/>
                <w:highlight w:val="none"/>
              </w:rPr>
              <w:t>行：</w:t>
            </w:r>
          </w:p>
        </w:tc>
        <w:tc>
          <w:tcPr>
            <w:tcW w:w="2608" w:type="dxa"/>
            <w:vAlign w:val="center"/>
          </w:tcPr>
          <w:p>
            <w:pPr>
              <w:widowControl/>
              <w:wordWrap w:val="0"/>
              <w:topLinePunct/>
              <w:adjustRightInd w:val="0"/>
              <w:snapToGrid w:val="0"/>
              <w:spacing w:line="360" w:lineRule="exact"/>
              <w:rPr>
                <w:rFonts w:ascii="宋体" w:hAnsi="宋体" w:eastAsia="宋体"/>
                <w:color w:val="auto"/>
                <w:sz w:val="24"/>
                <w:highlight w:val="none"/>
              </w:rPr>
            </w:pPr>
          </w:p>
        </w:tc>
      </w:tr>
      <w:tr>
        <w:tblPrEx>
          <w:tblCellMar>
            <w:top w:w="0" w:type="dxa"/>
            <w:left w:w="108" w:type="dxa"/>
            <w:bottom w:w="0" w:type="dxa"/>
            <w:right w:w="108" w:type="dxa"/>
          </w:tblCellMar>
        </w:tblPrEx>
        <w:trPr>
          <w:trHeight w:val="591" w:hRule="atLeast"/>
        </w:trPr>
        <w:tc>
          <w:tcPr>
            <w:tcW w:w="1668" w:type="dxa"/>
            <w:vAlign w:val="center"/>
          </w:tcPr>
          <w:p>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账</w:t>
            </w:r>
            <w:r>
              <w:rPr>
                <w:rFonts w:ascii="宋体" w:hAnsi="宋体" w:eastAsia="宋体"/>
                <w:color w:val="auto"/>
                <w:sz w:val="24"/>
                <w:highlight w:val="none"/>
              </w:rPr>
              <w:t xml:space="preserve">      </w:t>
            </w:r>
            <w:r>
              <w:rPr>
                <w:rFonts w:hint="eastAsia" w:ascii="宋体" w:hAnsi="宋体" w:eastAsia="宋体"/>
                <w:color w:val="auto"/>
                <w:sz w:val="24"/>
                <w:highlight w:val="none"/>
              </w:rPr>
              <w:t>号：</w:t>
            </w:r>
          </w:p>
        </w:tc>
        <w:tc>
          <w:tcPr>
            <w:tcW w:w="2596" w:type="dxa"/>
            <w:vAlign w:val="center"/>
          </w:tcPr>
          <w:p>
            <w:pPr>
              <w:widowControl/>
              <w:wordWrap w:val="0"/>
              <w:topLinePunct/>
              <w:adjustRightInd w:val="0"/>
              <w:snapToGrid w:val="0"/>
              <w:spacing w:line="480" w:lineRule="exact"/>
              <w:rPr>
                <w:rFonts w:ascii="宋体" w:hAnsi="宋体" w:eastAsia="宋体"/>
                <w:color w:val="auto"/>
                <w:sz w:val="24"/>
                <w:highlight w:val="none"/>
              </w:rPr>
            </w:pPr>
          </w:p>
        </w:tc>
        <w:tc>
          <w:tcPr>
            <w:tcW w:w="1656" w:type="dxa"/>
            <w:vAlign w:val="center"/>
          </w:tcPr>
          <w:p>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账</w:t>
            </w:r>
            <w:r>
              <w:rPr>
                <w:rFonts w:ascii="宋体" w:hAnsi="宋体" w:eastAsia="宋体"/>
                <w:color w:val="auto"/>
                <w:sz w:val="24"/>
                <w:highlight w:val="none"/>
              </w:rPr>
              <w:t xml:space="preserve">      </w:t>
            </w:r>
            <w:r>
              <w:rPr>
                <w:rFonts w:hint="eastAsia" w:ascii="宋体" w:hAnsi="宋体" w:eastAsia="宋体"/>
                <w:color w:val="auto"/>
                <w:sz w:val="24"/>
                <w:highlight w:val="none"/>
              </w:rPr>
              <w:t>号：</w:t>
            </w:r>
          </w:p>
        </w:tc>
        <w:tc>
          <w:tcPr>
            <w:tcW w:w="2608" w:type="dxa"/>
            <w:vAlign w:val="center"/>
          </w:tcPr>
          <w:p>
            <w:pPr>
              <w:widowControl/>
              <w:wordWrap w:val="0"/>
              <w:topLinePunct/>
              <w:adjustRightInd w:val="0"/>
              <w:snapToGrid w:val="0"/>
              <w:spacing w:line="360" w:lineRule="exact"/>
              <w:rPr>
                <w:rFonts w:ascii="宋体" w:hAnsi="宋体" w:eastAsia="宋体"/>
                <w:color w:val="auto"/>
                <w:sz w:val="24"/>
                <w:highlight w:val="none"/>
              </w:rPr>
            </w:pPr>
          </w:p>
        </w:tc>
      </w:tr>
    </w:tbl>
    <w:p>
      <w:pPr>
        <w:snapToGrid w:val="0"/>
        <w:spacing w:line="460" w:lineRule="exact"/>
        <w:rPr>
          <w:rFonts w:ascii="宋体" w:hAnsi="宋体"/>
          <w:color w:val="auto"/>
          <w:sz w:val="24"/>
          <w:highlight w:val="none"/>
        </w:rPr>
      </w:pPr>
    </w:p>
    <w:p>
      <w:pPr>
        <w:spacing w:line="500" w:lineRule="exact"/>
        <w:rPr>
          <w:rFonts w:hint="eastAsia" w:ascii="宋体" w:hAnsi="宋体"/>
          <w:color w:val="auto"/>
          <w:sz w:val="32"/>
          <w:highlight w:val="none"/>
        </w:rPr>
      </w:pP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32"/>
          <w:highlight w:val="none"/>
        </w:rPr>
        <w:br w:type="page"/>
      </w:r>
    </w:p>
    <w:p>
      <w:pPr>
        <w:pStyle w:val="13"/>
        <w:spacing w:before="88" w:line="342" w:lineRule="auto"/>
        <w:ind w:right="258"/>
        <w:jc w:val="center"/>
        <w:rPr>
          <w:rFonts w:hint="default" w:ascii="黑体" w:hAnsi="黑体" w:eastAsia="黑体" w:cs="黑体"/>
          <w:color w:val="auto"/>
          <w:spacing w:val="3"/>
          <w:sz w:val="18"/>
          <w:szCs w:val="18"/>
          <w:highlight w:val="none"/>
          <w:vertAlign w:val="baseline"/>
          <w:lang w:val="en-US" w:eastAsia="zh-CN"/>
        </w:rPr>
      </w:pPr>
      <w:r>
        <w:rPr>
          <w:rFonts w:hint="eastAsia" w:ascii="宋体" w:hAnsi="宋体" w:eastAsia="宋体" w:cs="宋体"/>
          <w:b/>
          <w:bCs/>
          <w:color w:val="auto"/>
          <w:spacing w:val="3"/>
          <w:sz w:val="24"/>
          <w:szCs w:val="24"/>
          <w:highlight w:val="none"/>
          <w:lang w:val="en-US" w:eastAsia="zh-CN"/>
        </w:rPr>
        <w:t>附件：《广州开发区财政投资建设项目管理中心拒绝投标资格惩戒措施清单》</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3627"/>
        <w:gridCol w:w="1528"/>
        <w:gridCol w:w="3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819" w:type="dxa"/>
            <w:noWrap w:val="0"/>
            <w:vAlign w:val="top"/>
          </w:tcPr>
          <w:p>
            <w:pPr>
              <w:pStyle w:val="13"/>
              <w:spacing w:before="88" w:line="342" w:lineRule="auto"/>
              <w:ind w:right="258"/>
              <w:jc w:val="center"/>
              <w:rPr>
                <w:rFonts w:hint="eastAsia" w:ascii="黑体" w:hAnsi="黑体" w:eastAsia="黑体" w:cs="黑体"/>
                <w:color w:val="auto"/>
                <w:spacing w:val="3"/>
                <w:sz w:val="21"/>
                <w:szCs w:val="21"/>
                <w:highlight w:val="none"/>
                <w:vertAlign w:val="baseline"/>
                <w:lang w:eastAsia="zh-CN"/>
              </w:rPr>
            </w:pPr>
            <w:r>
              <w:rPr>
                <w:rFonts w:hint="eastAsia" w:ascii="黑体" w:hAnsi="黑体" w:eastAsia="黑体" w:cs="黑体"/>
                <w:color w:val="auto"/>
                <w:spacing w:val="3"/>
                <w:sz w:val="21"/>
                <w:szCs w:val="21"/>
                <w:highlight w:val="none"/>
                <w:vertAlign w:val="baseline"/>
                <w:lang w:eastAsia="zh-CN"/>
              </w:rPr>
              <w:t>序号</w:t>
            </w:r>
          </w:p>
        </w:tc>
        <w:tc>
          <w:tcPr>
            <w:tcW w:w="3627" w:type="dxa"/>
            <w:noWrap w:val="0"/>
            <w:vAlign w:val="center"/>
          </w:tcPr>
          <w:p>
            <w:pPr>
              <w:pStyle w:val="13"/>
              <w:spacing w:before="88" w:line="342" w:lineRule="auto"/>
              <w:ind w:right="258"/>
              <w:jc w:val="center"/>
              <w:rPr>
                <w:rFonts w:hint="eastAsia" w:ascii="黑体" w:hAnsi="黑体" w:eastAsia="黑体" w:cs="黑体"/>
                <w:color w:val="auto"/>
                <w:spacing w:val="3"/>
                <w:sz w:val="21"/>
                <w:szCs w:val="21"/>
                <w:highlight w:val="none"/>
                <w:vertAlign w:val="baseline"/>
                <w:lang w:eastAsia="zh-CN"/>
              </w:rPr>
            </w:pPr>
            <w:r>
              <w:rPr>
                <w:rFonts w:hint="eastAsia" w:ascii="黑体" w:hAnsi="黑体" w:eastAsia="黑体" w:cs="黑体"/>
                <w:color w:val="auto"/>
                <w:spacing w:val="3"/>
                <w:sz w:val="21"/>
                <w:szCs w:val="21"/>
                <w:highlight w:val="none"/>
                <w:vertAlign w:val="baseline"/>
                <w:lang w:eastAsia="zh-CN"/>
              </w:rPr>
              <w:t>拒绝投标情形</w:t>
            </w:r>
          </w:p>
        </w:tc>
        <w:tc>
          <w:tcPr>
            <w:tcW w:w="1528" w:type="dxa"/>
            <w:noWrap w:val="0"/>
            <w:vAlign w:val="center"/>
          </w:tcPr>
          <w:p>
            <w:pPr>
              <w:pStyle w:val="13"/>
              <w:spacing w:before="88" w:line="342" w:lineRule="auto"/>
              <w:ind w:right="258"/>
              <w:jc w:val="center"/>
              <w:rPr>
                <w:rFonts w:hint="eastAsia" w:ascii="黑体" w:hAnsi="黑体" w:eastAsia="黑体" w:cs="黑体"/>
                <w:color w:val="auto"/>
                <w:spacing w:val="3"/>
                <w:sz w:val="21"/>
                <w:szCs w:val="21"/>
                <w:highlight w:val="none"/>
                <w:vertAlign w:val="baseline"/>
                <w:lang w:eastAsia="zh-CN"/>
              </w:rPr>
            </w:pPr>
            <w:r>
              <w:rPr>
                <w:rFonts w:hint="eastAsia" w:ascii="黑体" w:hAnsi="黑体" w:eastAsia="黑体" w:cs="黑体"/>
                <w:color w:val="auto"/>
                <w:spacing w:val="3"/>
                <w:sz w:val="21"/>
                <w:szCs w:val="21"/>
                <w:highlight w:val="none"/>
                <w:vertAlign w:val="baseline"/>
                <w:lang w:eastAsia="zh-CN"/>
              </w:rPr>
              <w:t>惩戒期限</w:t>
            </w:r>
          </w:p>
        </w:tc>
        <w:tc>
          <w:tcPr>
            <w:tcW w:w="3312" w:type="dxa"/>
            <w:noWrap w:val="0"/>
            <w:vAlign w:val="center"/>
          </w:tcPr>
          <w:p>
            <w:pPr>
              <w:pStyle w:val="13"/>
              <w:spacing w:before="88" w:line="342" w:lineRule="auto"/>
              <w:ind w:right="258"/>
              <w:jc w:val="center"/>
              <w:rPr>
                <w:rFonts w:hint="default" w:ascii="黑体" w:hAnsi="黑体" w:eastAsia="黑体" w:cs="黑体"/>
                <w:color w:val="auto"/>
                <w:spacing w:val="3"/>
                <w:sz w:val="21"/>
                <w:szCs w:val="21"/>
                <w:highlight w:val="none"/>
                <w:vertAlign w:val="baseline"/>
                <w:lang w:val="en-US" w:eastAsia="zh-CN"/>
              </w:rPr>
            </w:pPr>
            <w:r>
              <w:rPr>
                <w:rFonts w:hint="eastAsia" w:ascii="黑体" w:hAnsi="黑体" w:eastAsia="黑体" w:cs="黑体"/>
                <w:color w:val="auto"/>
                <w:spacing w:val="3"/>
                <w:sz w:val="21"/>
                <w:szCs w:val="21"/>
                <w:highlight w:val="none"/>
                <w:vertAlign w:val="baseline"/>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19" w:type="dxa"/>
            <w:noWrap w:val="0"/>
            <w:vAlign w:val="center"/>
          </w:tcPr>
          <w:p>
            <w:pPr>
              <w:pStyle w:val="13"/>
              <w:spacing w:before="88" w:line="342" w:lineRule="auto"/>
              <w:ind w:right="258"/>
              <w:jc w:val="center"/>
              <w:rPr>
                <w:rFonts w:hint="eastAsia" w:ascii="仿宋" w:hAnsi="仿宋" w:eastAsia="仿宋" w:cs="仿宋"/>
                <w:color w:val="auto"/>
                <w:spacing w:val="3"/>
                <w:sz w:val="21"/>
                <w:szCs w:val="21"/>
                <w:highlight w:val="none"/>
                <w:vertAlign w:val="baseline"/>
                <w:lang w:val="en-US" w:eastAsia="zh-CN"/>
              </w:rPr>
            </w:pPr>
            <w:r>
              <w:rPr>
                <w:rFonts w:hint="eastAsia" w:ascii="仿宋" w:hAnsi="仿宋" w:eastAsia="仿宋" w:cs="仿宋"/>
                <w:color w:val="auto"/>
                <w:spacing w:val="3"/>
                <w:sz w:val="21"/>
                <w:szCs w:val="21"/>
                <w:highlight w:val="none"/>
                <w:vertAlign w:val="baseline"/>
                <w:lang w:val="en-US" w:eastAsia="zh-CN"/>
              </w:rPr>
              <w:t>1</w:t>
            </w:r>
          </w:p>
        </w:tc>
        <w:tc>
          <w:tcPr>
            <w:tcW w:w="3627" w:type="dxa"/>
            <w:noWrap w:val="0"/>
            <w:vAlign w:val="center"/>
          </w:tcPr>
          <w:p>
            <w:pPr>
              <w:pStyle w:val="13"/>
              <w:spacing w:before="88" w:line="342" w:lineRule="auto"/>
              <w:ind w:right="258"/>
              <w:jc w:val="left"/>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将中标工程转包或者违法分包的。</w:t>
            </w:r>
          </w:p>
        </w:tc>
        <w:tc>
          <w:tcPr>
            <w:tcW w:w="1528" w:type="dxa"/>
            <w:noWrap w:val="0"/>
            <w:vAlign w:val="center"/>
          </w:tcPr>
          <w:p>
            <w:pPr>
              <w:pStyle w:val="13"/>
              <w:spacing w:before="88" w:line="342" w:lineRule="auto"/>
              <w:ind w:right="258"/>
              <w:jc w:val="center"/>
              <w:rPr>
                <w:rFonts w:hint="default" w:ascii="仿宋" w:hAnsi="仿宋" w:eastAsia="仿宋" w:cs="仿宋"/>
                <w:snapToGrid w:val="0"/>
                <w:color w:val="auto"/>
                <w:kern w:val="0"/>
                <w:sz w:val="21"/>
                <w:szCs w:val="21"/>
                <w:highlight w:val="none"/>
                <w:lang w:val="en-US" w:eastAsia="zh-CN" w:bidi="ar-SA"/>
              </w:rPr>
            </w:pPr>
            <w:r>
              <w:rPr>
                <w:rFonts w:hint="eastAsia" w:cs="仿宋"/>
                <w:snapToGrid w:val="0"/>
                <w:color w:val="auto"/>
                <w:kern w:val="0"/>
                <w:sz w:val="21"/>
                <w:szCs w:val="21"/>
                <w:highlight w:val="none"/>
                <w:lang w:val="en-US" w:eastAsia="zh-CN" w:bidi="ar-SA"/>
              </w:rPr>
              <w:t>3个月起</w:t>
            </w:r>
          </w:p>
        </w:tc>
        <w:tc>
          <w:tcPr>
            <w:tcW w:w="3312" w:type="dxa"/>
            <w:noWrap w:val="0"/>
            <w:vAlign w:val="top"/>
          </w:tcPr>
          <w:p>
            <w:pPr>
              <w:numPr>
                <w:ilvl w:val="0"/>
                <w:numId w:val="0"/>
              </w:numP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广州市建设工程施工招标文件范本修改表（2024年11月）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pStyle w:val="13"/>
              <w:spacing w:before="88" w:line="342" w:lineRule="auto"/>
              <w:ind w:right="258"/>
              <w:jc w:val="center"/>
              <w:rPr>
                <w:rFonts w:hint="eastAsia" w:ascii="仿宋" w:hAnsi="仿宋" w:eastAsia="仿宋" w:cs="仿宋"/>
                <w:color w:val="auto"/>
                <w:spacing w:val="3"/>
                <w:sz w:val="21"/>
                <w:szCs w:val="21"/>
                <w:highlight w:val="none"/>
                <w:vertAlign w:val="baseline"/>
                <w:lang w:val="en-US" w:eastAsia="zh-CN"/>
              </w:rPr>
            </w:pPr>
            <w:r>
              <w:rPr>
                <w:rFonts w:hint="eastAsia" w:ascii="仿宋" w:hAnsi="仿宋" w:eastAsia="仿宋" w:cs="仿宋"/>
                <w:color w:val="auto"/>
                <w:spacing w:val="3"/>
                <w:sz w:val="21"/>
                <w:szCs w:val="21"/>
                <w:highlight w:val="none"/>
                <w:vertAlign w:val="baseline"/>
                <w:lang w:val="en-US" w:eastAsia="zh-CN"/>
              </w:rPr>
              <w:t>2</w:t>
            </w:r>
          </w:p>
        </w:tc>
        <w:tc>
          <w:tcPr>
            <w:tcW w:w="3627" w:type="dxa"/>
            <w:noWrap w:val="0"/>
            <w:vAlign w:val="center"/>
          </w:tcPr>
          <w:p>
            <w:pPr>
              <w:snapToGrid w:val="0"/>
              <w:spacing w:line="360" w:lineRule="auto"/>
              <w:contextualSpacing/>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在中标工程中不执行质量、安全生产相关规定的，造成质量或安全事故的</w:t>
            </w:r>
            <w:r>
              <w:rPr>
                <w:rFonts w:hint="eastAsia" w:ascii="仿宋" w:hAnsi="仿宋" w:eastAsia="仿宋" w:cs="仿宋"/>
                <w:color w:val="auto"/>
                <w:sz w:val="21"/>
                <w:szCs w:val="21"/>
                <w:highlight w:val="none"/>
                <w:lang w:eastAsia="zh-CN"/>
              </w:rPr>
              <w:t>。</w:t>
            </w:r>
          </w:p>
        </w:tc>
        <w:tc>
          <w:tcPr>
            <w:tcW w:w="1528" w:type="dxa"/>
            <w:noWrap w:val="0"/>
            <w:vAlign w:val="center"/>
          </w:tcPr>
          <w:p>
            <w:pPr>
              <w:pStyle w:val="13"/>
              <w:spacing w:before="88" w:line="342" w:lineRule="auto"/>
              <w:ind w:right="258"/>
              <w:jc w:val="center"/>
              <w:rPr>
                <w:rFonts w:hint="default" w:cs="仿宋"/>
                <w:snapToGrid w:val="0"/>
                <w:color w:val="auto"/>
                <w:kern w:val="0"/>
                <w:sz w:val="21"/>
                <w:szCs w:val="21"/>
                <w:highlight w:val="none"/>
                <w:lang w:val="en-US" w:eastAsia="zh-CN" w:bidi="ar-SA"/>
              </w:rPr>
            </w:pPr>
            <w:r>
              <w:rPr>
                <w:rFonts w:hint="eastAsia" w:cs="仿宋"/>
                <w:snapToGrid w:val="0"/>
                <w:color w:val="auto"/>
                <w:kern w:val="0"/>
                <w:sz w:val="21"/>
                <w:szCs w:val="21"/>
                <w:highlight w:val="none"/>
                <w:lang w:val="en-US" w:eastAsia="zh-CN" w:bidi="ar-SA"/>
              </w:rPr>
              <w:t>3个月起</w:t>
            </w:r>
          </w:p>
        </w:tc>
        <w:tc>
          <w:tcPr>
            <w:tcW w:w="3312" w:type="dxa"/>
            <w:noWrap w:val="0"/>
            <w:vAlign w:val="top"/>
          </w:tcPr>
          <w:p>
            <w:pPr>
              <w:numPr>
                <w:ilvl w:val="0"/>
                <w:numId w:val="0"/>
              </w:numP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广州市建设工程施工招标文件范本修改表（2024年11月）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pStyle w:val="13"/>
              <w:spacing w:before="88" w:line="342" w:lineRule="auto"/>
              <w:ind w:right="258"/>
              <w:jc w:val="center"/>
              <w:rPr>
                <w:rFonts w:hint="eastAsia" w:ascii="仿宋" w:hAnsi="仿宋" w:eastAsia="仿宋" w:cs="仿宋"/>
                <w:color w:val="auto"/>
                <w:spacing w:val="3"/>
                <w:sz w:val="21"/>
                <w:szCs w:val="21"/>
                <w:highlight w:val="none"/>
                <w:vertAlign w:val="baseline"/>
                <w:lang w:val="en-US" w:eastAsia="zh-CN"/>
              </w:rPr>
            </w:pPr>
            <w:r>
              <w:rPr>
                <w:rFonts w:hint="eastAsia" w:ascii="仿宋" w:hAnsi="仿宋" w:eastAsia="仿宋" w:cs="仿宋"/>
                <w:color w:val="auto"/>
                <w:spacing w:val="3"/>
                <w:sz w:val="21"/>
                <w:szCs w:val="21"/>
                <w:highlight w:val="none"/>
                <w:vertAlign w:val="baseline"/>
                <w:lang w:val="en-US" w:eastAsia="zh-CN"/>
              </w:rPr>
              <w:t>3</w:t>
            </w:r>
          </w:p>
        </w:tc>
        <w:tc>
          <w:tcPr>
            <w:tcW w:w="3627" w:type="dxa"/>
            <w:noWrap w:val="0"/>
            <w:vAlign w:val="center"/>
          </w:tcPr>
          <w:p>
            <w:pPr>
              <w:pStyle w:val="13"/>
              <w:spacing w:before="88" w:line="342" w:lineRule="auto"/>
              <w:ind w:right="258"/>
              <w:jc w:val="left"/>
              <w:rPr>
                <w:rFonts w:hint="eastAsia" w:ascii="仿宋" w:hAnsi="仿宋" w:eastAsia="仿宋" w:cs="仿宋"/>
                <w:color w:val="auto"/>
                <w:spacing w:val="3"/>
                <w:sz w:val="21"/>
                <w:szCs w:val="21"/>
                <w:highlight w:val="none"/>
                <w:vertAlign w:val="baseline"/>
                <w:lang w:eastAsia="zh-CN"/>
              </w:rPr>
            </w:pPr>
            <w:r>
              <w:rPr>
                <w:rFonts w:hint="eastAsia" w:ascii="仿宋" w:hAnsi="仿宋" w:eastAsia="仿宋" w:cs="仿宋"/>
                <w:snapToGrid w:val="0"/>
                <w:color w:val="auto"/>
                <w:kern w:val="0"/>
                <w:sz w:val="21"/>
                <w:szCs w:val="21"/>
                <w:highlight w:val="none"/>
                <w:lang w:val="en-US" w:eastAsia="en-US" w:bidi="ar-SA"/>
              </w:rPr>
              <w:t>出让投标资格的</w:t>
            </w:r>
            <w:r>
              <w:rPr>
                <w:rFonts w:hint="eastAsia" w:ascii="仿宋" w:hAnsi="仿宋" w:eastAsia="仿宋" w:cs="仿宋"/>
                <w:snapToGrid w:val="0"/>
                <w:color w:val="auto"/>
                <w:kern w:val="0"/>
                <w:sz w:val="21"/>
                <w:szCs w:val="21"/>
                <w:highlight w:val="none"/>
                <w:lang w:val="en-US" w:eastAsia="zh-CN" w:bidi="ar-SA"/>
              </w:rPr>
              <w:t>。</w:t>
            </w:r>
          </w:p>
        </w:tc>
        <w:tc>
          <w:tcPr>
            <w:tcW w:w="1528" w:type="dxa"/>
            <w:noWrap w:val="0"/>
            <w:vAlign w:val="center"/>
          </w:tcPr>
          <w:p>
            <w:pPr>
              <w:pStyle w:val="13"/>
              <w:spacing w:before="88" w:line="342" w:lineRule="auto"/>
              <w:ind w:right="258"/>
              <w:jc w:val="center"/>
              <w:rPr>
                <w:rFonts w:hint="default" w:cs="仿宋"/>
                <w:snapToGrid w:val="0"/>
                <w:color w:val="auto"/>
                <w:kern w:val="0"/>
                <w:sz w:val="21"/>
                <w:szCs w:val="21"/>
                <w:highlight w:val="none"/>
                <w:lang w:val="en-US" w:eastAsia="zh-CN" w:bidi="ar-SA"/>
              </w:rPr>
            </w:pPr>
            <w:r>
              <w:rPr>
                <w:rFonts w:hint="eastAsia" w:cs="仿宋"/>
                <w:snapToGrid w:val="0"/>
                <w:color w:val="auto"/>
                <w:kern w:val="0"/>
                <w:sz w:val="21"/>
                <w:szCs w:val="21"/>
                <w:highlight w:val="none"/>
                <w:lang w:val="en-US" w:eastAsia="zh-CN" w:bidi="ar-SA"/>
              </w:rPr>
              <w:t>3个月起</w:t>
            </w:r>
          </w:p>
        </w:tc>
        <w:tc>
          <w:tcPr>
            <w:tcW w:w="3312" w:type="dxa"/>
            <w:noWrap w:val="0"/>
            <w:vAlign w:val="top"/>
          </w:tcPr>
          <w:p>
            <w:pPr>
              <w:numPr>
                <w:ilvl w:val="0"/>
                <w:numId w:val="0"/>
              </w:numP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广州市建设工程施工招标文件范本修改表（2024年11月）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pStyle w:val="13"/>
              <w:spacing w:before="88" w:line="342" w:lineRule="auto"/>
              <w:ind w:right="258"/>
              <w:jc w:val="center"/>
              <w:rPr>
                <w:rFonts w:hint="eastAsia" w:ascii="仿宋" w:hAnsi="仿宋" w:eastAsia="仿宋" w:cs="仿宋"/>
                <w:color w:val="auto"/>
                <w:spacing w:val="3"/>
                <w:sz w:val="21"/>
                <w:szCs w:val="21"/>
                <w:highlight w:val="none"/>
                <w:vertAlign w:val="baseline"/>
                <w:lang w:val="en-US" w:eastAsia="zh-CN"/>
              </w:rPr>
            </w:pPr>
            <w:r>
              <w:rPr>
                <w:rFonts w:hint="eastAsia" w:ascii="仿宋" w:hAnsi="仿宋" w:eastAsia="仿宋" w:cs="仿宋"/>
                <w:color w:val="auto"/>
                <w:spacing w:val="3"/>
                <w:sz w:val="21"/>
                <w:szCs w:val="21"/>
                <w:highlight w:val="none"/>
                <w:vertAlign w:val="baseline"/>
                <w:lang w:val="en-US" w:eastAsia="zh-CN"/>
              </w:rPr>
              <w:t>4</w:t>
            </w:r>
          </w:p>
        </w:tc>
        <w:tc>
          <w:tcPr>
            <w:tcW w:w="3627" w:type="dxa"/>
            <w:noWrap w:val="0"/>
            <w:vAlign w:val="center"/>
          </w:tcPr>
          <w:p>
            <w:pPr>
              <w:pStyle w:val="13"/>
              <w:spacing w:before="88" w:line="342" w:lineRule="auto"/>
              <w:ind w:right="258"/>
              <w:jc w:val="left"/>
              <w:rPr>
                <w:rFonts w:hint="eastAsia" w:ascii="仿宋" w:hAnsi="仿宋" w:eastAsia="仿宋" w:cs="仿宋"/>
                <w:color w:val="auto"/>
                <w:spacing w:val="3"/>
                <w:sz w:val="21"/>
                <w:szCs w:val="21"/>
                <w:highlight w:val="none"/>
                <w:vertAlign w:val="baseline"/>
                <w:lang w:eastAsia="zh-CN"/>
              </w:rPr>
            </w:pPr>
            <w:r>
              <w:rPr>
                <w:rFonts w:hint="eastAsia" w:ascii="仿宋" w:hAnsi="仿宋" w:eastAsia="仿宋" w:cs="仿宋"/>
                <w:color w:val="auto"/>
                <w:spacing w:val="3"/>
                <w:sz w:val="21"/>
                <w:szCs w:val="21"/>
                <w:highlight w:val="none"/>
                <w:vertAlign w:val="baseline"/>
                <w:lang w:eastAsia="zh-CN"/>
              </w:rPr>
              <w:t>存在围标或串标情形的。</w:t>
            </w:r>
          </w:p>
        </w:tc>
        <w:tc>
          <w:tcPr>
            <w:tcW w:w="1528" w:type="dxa"/>
            <w:noWrap w:val="0"/>
            <w:vAlign w:val="center"/>
          </w:tcPr>
          <w:p>
            <w:pPr>
              <w:pStyle w:val="13"/>
              <w:spacing w:before="88" w:line="342" w:lineRule="auto"/>
              <w:ind w:right="258"/>
              <w:jc w:val="center"/>
              <w:rPr>
                <w:rFonts w:hint="eastAsia" w:ascii="仿宋" w:hAnsi="仿宋" w:eastAsia="仿宋" w:cs="仿宋"/>
                <w:color w:val="auto"/>
                <w:spacing w:val="3"/>
                <w:sz w:val="21"/>
                <w:szCs w:val="21"/>
                <w:highlight w:val="none"/>
                <w:vertAlign w:val="baseline"/>
                <w:lang w:eastAsia="zh-CN"/>
              </w:rPr>
            </w:pPr>
            <w:r>
              <w:rPr>
                <w:rFonts w:hint="eastAsia" w:cs="仿宋"/>
                <w:snapToGrid w:val="0"/>
                <w:color w:val="auto"/>
                <w:kern w:val="0"/>
                <w:sz w:val="21"/>
                <w:szCs w:val="21"/>
                <w:highlight w:val="none"/>
                <w:lang w:val="en-US" w:eastAsia="zh-CN" w:bidi="ar-SA"/>
              </w:rPr>
              <w:t>3个月起</w:t>
            </w:r>
          </w:p>
        </w:tc>
        <w:tc>
          <w:tcPr>
            <w:tcW w:w="3312" w:type="dxa"/>
            <w:noWrap w:val="0"/>
            <w:vAlign w:val="top"/>
          </w:tcPr>
          <w:p>
            <w:pPr>
              <w:numPr>
                <w:ilvl w:val="0"/>
                <w:numId w:val="0"/>
              </w:numP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广州市建设工程施工招标文件范本修改表（2024年11月）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pStyle w:val="13"/>
              <w:spacing w:before="88" w:line="342" w:lineRule="auto"/>
              <w:ind w:right="258"/>
              <w:jc w:val="center"/>
              <w:rPr>
                <w:rFonts w:hint="eastAsia" w:ascii="仿宋" w:hAnsi="仿宋" w:eastAsia="仿宋" w:cs="仿宋"/>
                <w:color w:val="auto"/>
                <w:spacing w:val="3"/>
                <w:sz w:val="21"/>
                <w:szCs w:val="21"/>
                <w:highlight w:val="none"/>
                <w:vertAlign w:val="baseline"/>
                <w:lang w:val="en-US" w:eastAsia="zh-CN"/>
              </w:rPr>
            </w:pPr>
            <w:r>
              <w:rPr>
                <w:rFonts w:hint="eastAsia" w:ascii="仿宋" w:hAnsi="仿宋" w:eastAsia="仿宋" w:cs="仿宋"/>
                <w:color w:val="auto"/>
                <w:spacing w:val="3"/>
                <w:sz w:val="21"/>
                <w:szCs w:val="21"/>
                <w:highlight w:val="none"/>
                <w:vertAlign w:val="baseline"/>
                <w:lang w:val="en-US" w:eastAsia="zh-CN"/>
              </w:rPr>
              <w:t>5</w:t>
            </w:r>
          </w:p>
        </w:tc>
        <w:tc>
          <w:tcPr>
            <w:tcW w:w="3627" w:type="dxa"/>
            <w:noWrap w:val="0"/>
            <w:vAlign w:val="center"/>
          </w:tcPr>
          <w:p>
            <w:pPr>
              <w:pStyle w:val="13"/>
              <w:spacing w:before="88" w:line="342" w:lineRule="auto"/>
              <w:ind w:right="258"/>
              <w:jc w:val="left"/>
              <w:rPr>
                <w:rFonts w:hint="eastAsia" w:ascii="仿宋" w:hAnsi="仿宋" w:eastAsia="仿宋" w:cs="仿宋"/>
                <w:color w:val="auto"/>
                <w:spacing w:val="3"/>
                <w:sz w:val="21"/>
                <w:szCs w:val="21"/>
                <w:highlight w:val="none"/>
                <w:vertAlign w:val="baseline"/>
                <w:lang w:eastAsia="zh-CN"/>
              </w:rPr>
            </w:pPr>
            <w:r>
              <w:rPr>
                <w:rFonts w:hint="eastAsia" w:ascii="仿宋" w:hAnsi="仿宋" w:eastAsia="仿宋" w:cs="仿宋"/>
                <w:snapToGrid w:val="0"/>
                <w:color w:val="auto"/>
                <w:spacing w:val="3"/>
                <w:kern w:val="0"/>
                <w:sz w:val="21"/>
                <w:szCs w:val="21"/>
                <w:highlight w:val="none"/>
                <w:lang w:val="en-US" w:eastAsia="zh-CN" w:bidi="ar-SA"/>
              </w:rPr>
              <w:t>在投标文件中提供虚假材料的。</w:t>
            </w:r>
          </w:p>
        </w:tc>
        <w:tc>
          <w:tcPr>
            <w:tcW w:w="1528" w:type="dxa"/>
            <w:noWrap w:val="0"/>
            <w:vAlign w:val="center"/>
          </w:tcPr>
          <w:p>
            <w:pPr>
              <w:pStyle w:val="13"/>
              <w:spacing w:before="88" w:line="342" w:lineRule="auto"/>
              <w:ind w:right="258"/>
              <w:jc w:val="center"/>
              <w:rPr>
                <w:rFonts w:hint="eastAsia" w:ascii="仿宋" w:hAnsi="仿宋" w:eastAsia="仿宋" w:cs="仿宋"/>
                <w:color w:val="auto"/>
                <w:spacing w:val="3"/>
                <w:sz w:val="21"/>
                <w:szCs w:val="21"/>
                <w:highlight w:val="none"/>
                <w:vertAlign w:val="baseline"/>
                <w:lang w:val="en-US" w:eastAsia="zh-CN"/>
              </w:rPr>
            </w:pPr>
            <w:r>
              <w:rPr>
                <w:rFonts w:hint="eastAsia" w:cs="仿宋"/>
                <w:snapToGrid w:val="0"/>
                <w:color w:val="auto"/>
                <w:kern w:val="0"/>
                <w:sz w:val="21"/>
                <w:szCs w:val="21"/>
                <w:highlight w:val="none"/>
                <w:lang w:val="en-US" w:eastAsia="zh-CN" w:bidi="ar-SA"/>
              </w:rPr>
              <w:t>3个月起</w:t>
            </w:r>
          </w:p>
        </w:tc>
        <w:tc>
          <w:tcPr>
            <w:tcW w:w="3312" w:type="dxa"/>
            <w:noWrap w:val="0"/>
            <w:vAlign w:val="top"/>
          </w:tcPr>
          <w:p>
            <w:pPr>
              <w:numPr>
                <w:ilvl w:val="0"/>
                <w:numId w:val="0"/>
              </w:numP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广州市建设工程施工招标文件范本修改表（2024年11月）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pStyle w:val="13"/>
              <w:spacing w:before="88" w:line="342" w:lineRule="auto"/>
              <w:ind w:right="258"/>
              <w:jc w:val="center"/>
              <w:rPr>
                <w:rFonts w:hint="eastAsia" w:ascii="仿宋" w:hAnsi="仿宋" w:eastAsia="仿宋" w:cs="仿宋"/>
                <w:color w:val="auto"/>
                <w:spacing w:val="3"/>
                <w:sz w:val="21"/>
                <w:szCs w:val="21"/>
                <w:highlight w:val="none"/>
                <w:vertAlign w:val="baseline"/>
                <w:lang w:val="en-US" w:eastAsia="zh-CN"/>
              </w:rPr>
            </w:pPr>
            <w:r>
              <w:rPr>
                <w:rFonts w:hint="eastAsia" w:ascii="仿宋" w:hAnsi="仿宋" w:eastAsia="仿宋" w:cs="仿宋"/>
                <w:color w:val="auto"/>
                <w:spacing w:val="3"/>
                <w:sz w:val="21"/>
                <w:szCs w:val="21"/>
                <w:highlight w:val="none"/>
                <w:vertAlign w:val="baseline"/>
                <w:lang w:val="en-US" w:eastAsia="zh-CN"/>
              </w:rPr>
              <w:t>6</w:t>
            </w:r>
          </w:p>
        </w:tc>
        <w:tc>
          <w:tcPr>
            <w:tcW w:w="3627" w:type="dxa"/>
            <w:noWrap w:val="0"/>
            <w:vAlign w:val="center"/>
          </w:tcPr>
          <w:p>
            <w:pPr>
              <w:spacing w:line="360" w:lineRule="auto"/>
              <w:jc w:val="left"/>
              <w:rPr>
                <w:rFonts w:hint="eastAsia" w:ascii="仿宋" w:hAnsi="仿宋" w:eastAsia="仿宋" w:cs="仿宋"/>
                <w:snapToGrid w:val="0"/>
                <w:color w:val="auto"/>
                <w:spacing w:val="3"/>
                <w:kern w:val="0"/>
                <w:sz w:val="21"/>
                <w:szCs w:val="21"/>
                <w:highlight w:val="none"/>
                <w:lang w:val="en-US" w:eastAsia="zh-CN" w:bidi="ar-SA"/>
              </w:rPr>
            </w:pPr>
            <w:r>
              <w:rPr>
                <w:rFonts w:hint="eastAsia" w:ascii="仿宋" w:hAnsi="仿宋" w:eastAsia="仿宋" w:cs="仿宋"/>
                <w:color w:val="auto"/>
                <w:sz w:val="21"/>
                <w:szCs w:val="21"/>
                <w:highlight w:val="none"/>
              </w:rPr>
              <w:t>存在少放、不放业绩、奖项等客观评审资料，减少自身竞争力情形的</w:t>
            </w:r>
            <w:r>
              <w:rPr>
                <w:rFonts w:hint="eastAsia" w:ascii="仿宋" w:hAnsi="仿宋" w:eastAsia="仿宋" w:cs="仿宋"/>
                <w:color w:val="auto"/>
                <w:sz w:val="21"/>
                <w:szCs w:val="21"/>
                <w:highlight w:val="none"/>
                <w:lang w:eastAsia="zh-CN"/>
              </w:rPr>
              <w:t>。</w:t>
            </w:r>
          </w:p>
        </w:tc>
        <w:tc>
          <w:tcPr>
            <w:tcW w:w="1528" w:type="dxa"/>
            <w:noWrap w:val="0"/>
            <w:vAlign w:val="center"/>
          </w:tcPr>
          <w:p>
            <w:pPr>
              <w:pStyle w:val="13"/>
              <w:spacing w:before="88" w:line="342" w:lineRule="auto"/>
              <w:ind w:right="258"/>
              <w:jc w:val="center"/>
              <w:rPr>
                <w:rFonts w:hint="default" w:ascii="仿宋" w:hAnsi="仿宋" w:eastAsia="仿宋" w:cs="仿宋"/>
                <w:color w:val="auto"/>
                <w:spacing w:val="3"/>
                <w:sz w:val="21"/>
                <w:szCs w:val="21"/>
                <w:highlight w:val="none"/>
                <w:vertAlign w:val="baseline"/>
                <w:lang w:val="en-US" w:eastAsia="zh-CN"/>
              </w:rPr>
            </w:pPr>
            <w:r>
              <w:rPr>
                <w:rFonts w:hint="eastAsia" w:cs="仿宋"/>
                <w:snapToGrid w:val="0"/>
                <w:color w:val="auto"/>
                <w:kern w:val="0"/>
                <w:sz w:val="21"/>
                <w:szCs w:val="21"/>
                <w:highlight w:val="none"/>
                <w:lang w:val="en-US" w:eastAsia="zh-CN" w:bidi="ar-SA"/>
              </w:rPr>
              <w:t>3个月起</w:t>
            </w:r>
          </w:p>
        </w:tc>
        <w:tc>
          <w:tcPr>
            <w:tcW w:w="3312" w:type="dxa"/>
            <w:noWrap w:val="0"/>
            <w:vAlign w:val="center"/>
          </w:tcPr>
          <w:p>
            <w:pPr>
              <w:pStyle w:val="13"/>
              <w:spacing w:before="88" w:line="342" w:lineRule="auto"/>
              <w:ind w:right="258"/>
              <w:jc w:val="both"/>
              <w:rPr>
                <w:rFonts w:hint="default"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广州市建设工程施工招标文件范本修改表（2024年11月）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pStyle w:val="13"/>
              <w:spacing w:before="88" w:line="342" w:lineRule="auto"/>
              <w:ind w:right="258"/>
              <w:jc w:val="center"/>
              <w:rPr>
                <w:rFonts w:hint="eastAsia" w:ascii="仿宋" w:hAnsi="仿宋" w:eastAsia="仿宋" w:cs="仿宋"/>
                <w:color w:val="auto"/>
                <w:spacing w:val="3"/>
                <w:sz w:val="21"/>
                <w:szCs w:val="21"/>
                <w:highlight w:val="none"/>
                <w:vertAlign w:val="baseline"/>
                <w:lang w:val="en-US" w:eastAsia="zh-CN"/>
              </w:rPr>
            </w:pPr>
            <w:r>
              <w:rPr>
                <w:rFonts w:hint="eastAsia" w:ascii="仿宋" w:hAnsi="仿宋" w:eastAsia="仿宋" w:cs="仿宋"/>
                <w:color w:val="auto"/>
                <w:spacing w:val="3"/>
                <w:sz w:val="21"/>
                <w:szCs w:val="21"/>
                <w:highlight w:val="none"/>
                <w:vertAlign w:val="baseline"/>
                <w:lang w:val="en-US" w:eastAsia="zh-CN"/>
              </w:rPr>
              <w:t>7</w:t>
            </w:r>
          </w:p>
        </w:tc>
        <w:tc>
          <w:tcPr>
            <w:tcW w:w="3627" w:type="dxa"/>
            <w:noWrap w:val="0"/>
            <w:vAlign w:val="center"/>
          </w:tcPr>
          <w:p>
            <w:pPr>
              <w:spacing w:line="360" w:lineRule="auto"/>
              <w:jc w:val="left"/>
              <w:rPr>
                <w:rFonts w:hint="eastAsia" w:ascii="仿宋" w:hAnsi="仿宋" w:eastAsia="仿宋" w:cs="仿宋"/>
                <w:color w:val="auto"/>
                <w:spacing w:val="3"/>
                <w:sz w:val="21"/>
                <w:szCs w:val="21"/>
                <w:highlight w:val="none"/>
                <w:vertAlign w:val="baseline"/>
                <w:lang w:eastAsia="zh-CN"/>
              </w:rPr>
            </w:pPr>
            <w:r>
              <w:rPr>
                <w:rFonts w:hint="eastAsia" w:ascii="仿宋" w:hAnsi="仿宋" w:eastAsia="仿宋" w:cs="仿宋"/>
                <w:snapToGrid w:val="0"/>
                <w:color w:val="auto"/>
                <w:spacing w:val="3"/>
                <w:kern w:val="0"/>
                <w:sz w:val="21"/>
                <w:szCs w:val="21"/>
                <w:highlight w:val="none"/>
                <w:lang w:val="en-US" w:eastAsia="zh-CN" w:bidi="ar-SA"/>
              </w:rPr>
              <w:t>存在行贿情形的。</w:t>
            </w:r>
          </w:p>
        </w:tc>
        <w:tc>
          <w:tcPr>
            <w:tcW w:w="1528" w:type="dxa"/>
            <w:noWrap w:val="0"/>
            <w:vAlign w:val="center"/>
          </w:tcPr>
          <w:p>
            <w:pPr>
              <w:pStyle w:val="13"/>
              <w:spacing w:before="88" w:line="342" w:lineRule="auto"/>
              <w:ind w:right="258"/>
              <w:jc w:val="center"/>
              <w:rPr>
                <w:rFonts w:hint="eastAsia" w:ascii="仿宋" w:hAnsi="仿宋" w:eastAsia="仿宋" w:cs="仿宋"/>
                <w:color w:val="auto"/>
                <w:spacing w:val="3"/>
                <w:sz w:val="21"/>
                <w:szCs w:val="21"/>
                <w:highlight w:val="none"/>
                <w:vertAlign w:val="baseline"/>
                <w:lang w:val="en-US" w:eastAsia="zh-CN"/>
              </w:rPr>
            </w:pPr>
            <w:r>
              <w:rPr>
                <w:rFonts w:hint="eastAsia" w:cs="仿宋"/>
                <w:snapToGrid w:val="0"/>
                <w:color w:val="auto"/>
                <w:kern w:val="0"/>
                <w:sz w:val="21"/>
                <w:szCs w:val="21"/>
                <w:highlight w:val="none"/>
                <w:lang w:val="en-US" w:eastAsia="zh-CN" w:bidi="ar-SA"/>
              </w:rPr>
              <w:t>3个月起</w:t>
            </w:r>
          </w:p>
        </w:tc>
        <w:tc>
          <w:tcPr>
            <w:tcW w:w="3312" w:type="dxa"/>
            <w:noWrap w:val="0"/>
            <w:vAlign w:val="top"/>
          </w:tcPr>
          <w:p>
            <w:pPr>
              <w:numPr>
                <w:ilvl w:val="0"/>
                <w:numId w:val="0"/>
              </w:numP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广州市建设工程施工招标文件范本修改表（2024年11月）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pStyle w:val="13"/>
              <w:spacing w:before="88" w:line="342" w:lineRule="auto"/>
              <w:ind w:right="258"/>
              <w:jc w:val="center"/>
              <w:rPr>
                <w:rFonts w:hint="eastAsia" w:ascii="仿宋" w:hAnsi="仿宋" w:eastAsia="仿宋" w:cs="仿宋"/>
                <w:color w:val="auto"/>
                <w:spacing w:val="3"/>
                <w:sz w:val="21"/>
                <w:szCs w:val="21"/>
                <w:highlight w:val="none"/>
                <w:vertAlign w:val="baseline"/>
                <w:lang w:val="en-US" w:eastAsia="zh-CN"/>
              </w:rPr>
            </w:pPr>
            <w:r>
              <w:rPr>
                <w:rFonts w:hint="eastAsia" w:ascii="仿宋" w:hAnsi="仿宋" w:eastAsia="仿宋" w:cs="仿宋"/>
                <w:color w:val="auto"/>
                <w:spacing w:val="3"/>
                <w:sz w:val="21"/>
                <w:szCs w:val="21"/>
                <w:highlight w:val="none"/>
                <w:vertAlign w:val="baseline"/>
                <w:lang w:val="en-US" w:eastAsia="zh-CN"/>
              </w:rPr>
              <w:t>8</w:t>
            </w:r>
          </w:p>
        </w:tc>
        <w:tc>
          <w:tcPr>
            <w:tcW w:w="3627" w:type="dxa"/>
            <w:noWrap w:val="0"/>
            <w:vAlign w:val="center"/>
          </w:tcPr>
          <w:p>
            <w:pPr>
              <w:pStyle w:val="13"/>
              <w:spacing w:before="88" w:line="342" w:lineRule="auto"/>
              <w:ind w:right="258"/>
              <w:jc w:val="left"/>
              <w:rPr>
                <w:rFonts w:hint="eastAsia" w:ascii="仿宋" w:hAnsi="仿宋" w:eastAsia="仿宋" w:cs="仿宋"/>
                <w:color w:val="auto"/>
                <w:spacing w:val="3"/>
                <w:sz w:val="21"/>
                <w:szCs w:val="21"/>
                <w:highlight w:val="none"/>
                <w:vertAlign w:val="baseline"/>
                <w:lang w:eastAsia="zh-CN"/>
              </w:rPr>
            </w:pPr>
            <w:r>
              <w:rPr>
                <w:rFonts w:hint="eastAsia" w:ascii="仿宋" w:hAnsi="仿宋" w:eastAsia="仿宋" w:cs="仿宋"/>
                <w:color w:val="auto"/>
                <w:sz w:val="21"/>
                <w:szCs w:val="21"/>
                <w:highlight w:val="none"/>
              </w:rPr>
              <w:t>拖欠农民工工资的</w:t>
            </w:r>
            <w:r>
              <w:rPr>
                <w:rFonts w:hint="eastAsia" w:cs="仿宋"/>
                <w:color w:val="auto"/>
                <w:sz w:val="21"/>
                <w:szCs w:val="21"/>
                <w:highlight w:val="none"/>
                <w:lang w:eastAsia="zh-CN"/>
              </w:rPr>
              <w:t>。</w:t>
            </w:r>
          </w:p>
        </w:tc>
        <w:tc>
          <w:tcPr>
            <w:tcW w:w="1528" w:type="dxa"/>
            <w:noWrap w:val="0"/>
            <w:vAlign w:val="center"/>
          </w:tcPr>
          <w:p>
            <w:pPr>
              <w:pStyle w:val="13"/>
              <w:spacing w:before="88" w:line="342" w:lineRule="auto"/>
              <w:ind w:right="258"/>
              <w:jc w:val="center"/>
              <w:rPr>
                <w:rFonts w:hint="default" w:ascii="仿宋" w:hAnsi="仿宋" w:eastAsia="仿宋" w:cs="仿宋"/>
                <w:color w:val="auto"/>
                <w:spacing w:val="3"/>
                <w:sz w:val="21"/>
                <w:szCs w:val="21"/>
                <w:highlight w:val="none"/>
                <w:vertAlign w:val="baseline"/>
                <w:lang w:val="en-US" w:eastAsia="zh-CN"/>
              </w:rPr>
            </w:pPr>
            <w:r>
              <w:rPr>
                <w:rFonts w:hint="eastAsia" w:cs="仿宋"/>
                <w:snapToGrid w:val="0"/>
                <w:color w:val="auto"/>
                <w:kern w:val="0"/>
                <w:sz w:val="21"/>
                <w:szCs w:val="21"/>
                <w:highlight w:val="none"/>
                <w:lang w:val="en-US" w:eastAsia="zh-CN" w:bidi="ar-SA"/>
              </w:rPr>
              <w:t>3个月起</w:t>
            </w:r>
          </w:p>
        </w:tc>
        <w:tc>
          <w:tcPr>
            <w:tcW w:w="3312" w:type="dxa"/>
            <w:noWrap w:val="0"/>
            <w:vAlign w:val="center"/>
          </w:tcPr>
          <w:p>
            <w:pPr>
              <w:pStyle w:val="13"/>
              <w:spacing w:before="88" w:line="342" w:lineRule="auto"/>
              <w:ind w:right="258"/>
              <w:jc w:val="both"/>
              <w:rPr>
                <w:rFonts w:hint="eastAsia" w:ascii="仿宋" w:hAnsi="仿宋" w:eastAsia="仿宋" w:cs="仿宋"/>
                <w:color w:val="auto"/>
                <w:spacing w:val="3"/>
                <w:sz w:val="21"/>
                <w:szCs w:val="21"/>
                <w:highlight w:val="none"/>
                <w:vertAlign w:val="baseline"/>
                <w:lang w:eastAsia="zh-CN"/>
              </w:rPr>
            </w:pPr>
            <w:r>
              <w:rPr>
                <w:rFonts w:hint="eastAsia" w:ascii="仿宋" w:hAnsi="仿宋" w:eastAsia="仿宋" w:cs="仿宋"/>
                <w:snapToGrid w:val="0"/>
                <w:color w:val="auto"/>
                <w:kern w:val="0"/>
                <w:sz w:val="21"/>
                <w:szCs w:val="21"/>
                <w:highlight w:val="none"/>
                <w:lang w:val="en-US" w:eastAsia="zh-CN" w:bidi="ar-SA"/>
              </w:rPr>
              <w:t>广州市建设工程施工招标文件范本修改表（2024年11月）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pStyle w:val="13"/>
              <w:spacing w:before="88" w:line="342" w:lineRule="auto"/>
              <w:ind w:right="258"/>
              <w:jc w:val="center"/>
              <w:rPr>
                <w:rFonts w:hint="eastAsia" w:ascii="仿宋" w:hAnsi="仿宋" w:eastAsia="仿宋" w:cs="仿宋"/>
                <w:color w:val="auto"/>
                <w:spacing w:val="3"/>
                <w:sz w:val="21"/>
                <w:szCs w:val="21"/>
                <w:highlight w:val="none"/>
                <w:vertAlign w:val="baseline"/>
                <w:lang w:val="en-US" w:eastAsia="zh-CN"/>
              </w:rPr>
            </w:pPr>
            <w:r>
              <w:rPr>
                <w:rFonts w:hint="eastAsia" w:ascii="仿宋" w:hAnsi="仿宋" w:eastAsia="仿宋" w:cs="仿宋"/>
                <w:color w:val="auto"/>
                <w:spacing w:val="3"/>
                <w:sz w:val="21"/>
                <w:szCs w:val="21"/>
                <w:highlight w:val="none"/>
                <w:vertAlign w:val="baseline"/>
                <w:lang w:val="en-US" w:eastAsia="zh-CN"/>
              </w:rPr>
              <w:t>9</w:t>
            </w:r>
          </w:p>
        </w:tc>
        <w:tc>
          <w:tcPr>
            <w:tcW w:w="3627" w:type="dxa"/>
            <w:noWrap w:val="0"/>
            <w:vAlign w:val="center"/>
          </w:tcPr>
          <w:p>
            <w:pPr>
              <w:pStyle w:val="13"/>
              <w:spacing w:before="88" w:line="342" w:lineRule="auto"/>
              <w:ind w:right="258"/>
              <w:jc w:val="left"/>
              <w:rPr>
                <w:rFonts w:hint="eastAsia" w:ascii="仿宋" w:hAnsi="仿宋" w:eastAsia="仿宋" w:cs="仿宋"/>
                <w:color w:val="auto"/>
                <w:spacing w:val="3"/>
                <w:sz w:val="21"/>
                <w:szCs w:val="21"/>
                <w:highlight w:val="none"/>
                <w:vertAlign w:val="baseline"/>
                <w:lang w:eastAsia="zh-CN"/>
              </w:rPr>
            </w:pPr>
            <w:r>
              <w:rPr>
                <w:rFonts w:hint="eastAsia" w:ascii="仿宋" w:hAnsi="仿宋" w:eastAsia="仿宋" w:cs="仿宋"/>
                <w:color w:val="auto"/>
                <w:spacing w:val="3"/>
                <w:sz w:val="21"/>
                <w:szCs w:val="21"/>
                <w:highlight w:val="none"/>
                <w:vertAlign w:val="baseline"/>
                <w:lang w:val="en-US" w:eastAsia="zh-CN"/>
              </w:rPr>
              <w:t>未按照国家、省、市有关建筑施工实名制管理和工人工资支付分账管理的规定执行，被行政监管部门处罚的。</w:t>
            </w:r>
          </w:p>
        </w:tc>
        <w:tc>
          <w:tcPr>
            <w:tcW w:w="1528" w:type="dxa"/>
            <w:noWrap w:val="0"/>
            <w:vAlign w:val="center"/>
          </w:tcPr>
          <w:p>
            <w:pPr>
              <w:pStyle w:val="13"/>
              <w:spacing w:before="88" w:line="342" w:lineRule="auto"/>
              <w:ind w:right="258"/>
              <w:jc w:val="center"/>
              <w:rPr>
                <w:rFonts w:hint="default" w:ascii="仿宋" w:hAnsi="仿宋" w:eastAsia="仿宋" w:cs="仿宋"/>
                <w:color w:val="auto"/>
                <w:spacing w:val="3"/>
                <w:sz w:val="21"/>
                <w:szCs w:val="21"/>
                <w:highlight w:val="none"/>
                <w:vertAlign w:val="baseline"/>
                <w:lang w:val="en-US" w:eastAsia="zh-CN"/>
              </w:rPr>
            </w:pPr>
            <w:r>
              <w:rPr>
                <w:rFonts w:hint="eastAsia" w:cs="仿宋"/>
                <w:snapToGrid w:val="0"/>
                <w:color w:val="auto"/>
                <w:kern w:val="0"/>
                <w:sz w:val="21"/>
                <w:szCs w:val="21"/>
                <w:highlight w:val="none"/>
                <w:lang w:val="en-US" w:eastAsia="zh-CN" w:bidi="ar-SA"/>
              </w:rPr>
              <w:t>3个月起</w:t>
            </w:r>
          </w:p>
        </w:tc>
        <w:tc>
          <w:tcPr>
            <w:tcW w:w="3312" w:type="dxa"/>
            <w:noWrap w:val="0"/>
            <w:vAlign w:val="center"/>
          </w:tcPr>
          <w:p>
            <w:pPr>
              <w:pStyle w:val="13"/>
              <w:spacing w:before="88" w:line="342" w:lineRule="auto"/>
              <w:ind w:right="258"/>
              <w:jc w:val="both"/>
              <w:rPr>
                <w:rFonts w:hint="eastAsia" w:ascii="仿宋" w:hAnsi="仿宋" w:eastAsia="仿宋" w:cs="仿宋"/>
                <w:color w:val="auto"/>
                <w:spacing w:val="3"/>
                <w:sz w:val="21"/>
                <w:szCs w:val="21"/>
                <w:highlight w:val="none"/>
                <w:vertAlign w:val="baseline"/>
                <w:lang w:eastAsia="zh-CN"/>
              </w:rPr>
            </w:pPr>
            <w:r>
              <w:rPr>
                <w:rFonts w:hint="eastAsia" w:ascii="仿宋" w:hAnsi="仿宋" w:eastAsia="仿宋" w:cs="仿宋"/>
                <w:snapToGrid w:val="0"/>
                <w:color w:val="auto"/>
                <w:kern w:val="0"/>
                <w:sz w:val="21"/>
                <w:szCs w:val="21"/>
                <w:highlight w:val="none"/>
                <w:lang w:val="en-US" w:eastAsia="zh-CN" w:bidi="ar-SA"/>
              </w:rPr>
              <w:t>广州市建设工程施工招标文件范本修改表（2024年11月）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pStyle w:val="13"/>
              <w:spacing w:before="88" w:line="342" w:lineRule="auto"/>
              <w:ind w:right="258"/>
              <w:jc w:val="center"/>
              <w:rPr>
                <w:rFonts w:hint="default" w:ascii="仿宋" w:hAnsi="仿宋" w:eastAsia="仿宋" w:cs="仿宋"/>
                <w:color w:val="auto"/>
                <w:spacing w:val="3"/>
                <w:sz w:val="21"/>
                <w:szCs w:val="21"/>
                <w:highlight w:val="none"/>
                <w:vertAlign w:val="baseline"/>
                <w:lang w:val="en-US" w:eastAsia="zh-CN"/>
              </w:rPr>
            </w:pPr>
            <w:r>
              <w:rPr>
                <w:rFonts w:hint="eastAsia" w:cs="仿宋"/>
                <w:color w:val="auto"/>
                <w:spacing w:val="3"/>
                <w:sz w:val="21"/>
                <w:szCs w:val="21"/>
                <w:highlight w:val="none"/>
                <w:vertAlign w:val="baseline"/>
                <w:lang w:val="en-US" w:eastAsia="zh-CN"/>
              </w:rPr>
              <w:t>10</w:t>
            </w:r>
          </w:p>
        </w:tc>
        <w:tc>
          <w:tcPr>
            <w:tcW w:w="3627" w:type="dxa"/>
            <w:noWrap w:val="0"/>
            <w:vAlign w:val="center"/>
          </w:tcPr>
          <w:p>
            <w:pPr>
              <w:pStyle w:val="13"/>
              <w:spacing w:before="88" w:line="342" w:lineRule="auto"/>
              <w:ind w:right="258"/>
              <w:jc w:val="left"/>
              <w:rPr>
                <w:rFonts w:hint="eastAsia" w:ascii="仿宋" w:hAnsi="仿宋" w:eastAsia="仿宋" w:cs="仿宋"/>
                <w:color w:val="auto"/>
                <w:spacing w:val="3"/>
                <w:sz w:val="21"/>
                <w:szCs w:val="21"/>
                <w:highlight w:val="none"/>
                <w:vertAlign w:val="baseline"/>
                <w:lang w:eastAsia="zh-CN"/>
              </w:rPr>
            </w:pPr>
            <w:r>
              <w:rPr>
                <w:rFonts w:hint="eastAsia" w:ascii="仿宋" w:hAnsi="仿宋" w:eastAsia="仿宋" w:cs="仿宋"/>
                <w:color w:val="auto"/>
                <w:spacing w:val="3"/>
                <w:sz w:val="21"/>
                <w:szCs w:val="21"/>
                <w:highlight w:val="none"/>
                <w:vertAlign w:val="baseline"/>
                <w:lang w:val="en-US" w:eastAsia="zh-CN"/>
              </w:rPr>
              <w:t>在项目实施过程中选取的专业分包单位或劳务企业或劳务班组长与投标承诺不一致的（如有）。</w:t>
            </w:r>
          </w:p>
        </w:tc>
        <w:tc>
          <w:tcPr>
            <w:tcW w:w="1528" w:type="dxa"/>
            <w:noWrap w:val="0"/>
            <w:vAlign w:val="center"/>
          </w:tcPr>
          <w:p>
            <w:pPr>
              <w:pStyle w:val="13"/>
              <w:spacing w:before="88" w:line="342" w:lineRule="auto"/>
              <w:ind w:right="258"/>
              <w:jc w:val="center"/>
              <w:rPr>
                <w:rFonts w:hint="default" w:ascii="仿宋" w:hAnsi="仿宋" w:eastAsia="仿宋" w:cs="仿宋"/>
                <w:color w:val="auto"/>
                <w:spacing w:val="3"/>
                <w:sz w:val="21"/>
                <w:szCs w:val="21"/>
                <w:highlight w:val="none"/>
                <w:vertAlign w:val="baseline"/>
                <w:lang w:val="en-US" w:eastAsia="zh-CN"/>
              </w:rPr>
            </w:pPr>
            <w:r>
              <w:rPr>
                <w:rFonts w:hint="eastAsia" w:cs="仿宋"/>
                <w:snapToGrid w:val="0"/>
                <w:color w:val="auto"/>
                <w:kern w:val="0"/>
                <w:sz w:val="21"/>
                <w:szCs w:val="21"/>
                <w:highlight w:val="none"/>
                <w:lang w:val="en-US" w:eastAsia="zh-CN" w:bidi="ar-SA"/>
              </w:rPr>
              <w:t>3个月起</w:t>
            </w:r>
          </w:p>
        </w:tc>
        <w:tc>
          <w:tcPr>
            <w:tcW w:w="3312" w:type="dxa"/>
            <w:noWrap w:val="0"/>
            <w:vAlign w:val="center"/>
          </w:tcPr>
          <w:p>
            <w:pPr>
              <w:pStyle w:val="13"/>
              <w:spacing w:before="88" w:line="342" w:lineRule="auto"/>
              <w:ind w:right="258"/>
              <w:jc w:val="both"/>
              <w:rPr>
                <w:rFonts w:hint="eastAsia" w:ascii="仿宋" w:hAnsi="仿宋" w:eastAsia="仿宋" w:cs="仿宋"/>
                <w:color w:val="auto"/>
                <w:spacing w:val="3"/>
                <w:sz w:val="21"/>
                <w:szCs w:val="21"/>
                <w:highlight w:val="none"/>
                <w:vertAlign w:val="baseline"/>
                <w:lang w:eastAsia="zh-CN"/>
              </w:rPr>
            </w:pPr>
            <w:r>
              <w:rPr>
                <w:rFonts w:hint="eastAsia" w:ascii="仿宋" w:hAnsi="仿宋" w:eastAsia="仿宋" w:cs="仿宋"/>
                <w:snapToGrid w:val="0"/>
                <w:color w:val="auto"/>
                <w:kern w:val="0"/>
                <w:sz w:val="21"/>
                <w:szCs w:val="21"/>
                <w:highlight w:val="none"/>
                <w:lang w:val="en-US" w:eastAsia="zh-CN" w:bidi="ar-SA"/>
              </w:rPr>
              <w:t>广州市建设工程施工招标文件范本修改表（2024年11月）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pStyle w:val="13"/>
              <w:spacing w:before="88" w:line="342" w:lineRule="auto"/>
              <w:ind w:right="258"/>
              <w:jc w:val="center"/>
              <w:rPr>
                <w:rFonts w:hint="default" w:ascii="仿宋" w:hAnsi="仿宋" w:eastAsia="仿宋" w:cs="仿宋"/>
                <w:color w:val="auto"/>
                <w:spacing w:val="3"/>
                <w:sz w:val="21"/>
                <w:szCs w:val="21"/>
                <w:highlight w:val="none"/>
                <w:vertAlign w:val="baseline"/>
                <w:lang w:val="en-US" w:eastAsia="zh-CN"/>
              </w:rPr>
            </w:pPr>
            <w:r>
              <w:rPr>
                <w:rFonts w:hint="eastAsia" w:cs="仿宋"/>
                <w:color w:val="auto"/>
                <w:spacing w:val="3"/>
                <w:sz w:val="21"/>
                <w:szCs w:val="21"/>
                <w:highlight w:val="none"/>
                <w:vertAlign w:val="baseline"/>
                <w:lang w:val="en-US" w:eastAsia="zh-CN"/>
              </w:rPr>
              <w:t>11</w:t>
            </w:r>
          </w:p>
        </w:tc>
        <w:tc>
          <w:tcPr>
            <w:tcW w:w="3627" w:type="dxa"/>
            <w:noWrap w:val="0"/>
            <w:vAlign w:val="center"/>
          </w:tcPr>
          <w:p>
            <w:pPr>
              <w:spacing w:line="360" w:lineRule="auto"/>
              <w:jc w:val="left"/>
              <w:rPr>
                <w:rFonts w:hint="eastAsia" w:ascii="仿宋" w:hAnsi="仿宋" w:eastAsia="仿宋" w:cs="仿宋"/>
                <w:snapToGrid w:val="0"/>
                <w:color w:val="auto"/>
                <w:spacing w:val="3"/>
                <w:kern w:val="0"/>
                <w:sz w:val="21"/>
                <w:szCs w:val="21"/>
                <w:highlight w:val="none"/>
                <w:vertAlign w:val="baseline"/>
                <w:lang w:val="en-US" w:eastAsia="zh-CN" w:bidi="ar-SA"/>
              </w:rPr>
            </w:pPr>
            <w:r>
              <w:rPr>
                <w:rFonts w:hint="eastAsia" w:ascii="仿宋" w:hAnsi="仿宋" w:eastAsia="仿宋" w:cs="仿宋"/>
                <w:snapToGrid w:val="0"/>
                <w:color w:val="auto"/>
                <w:spacing w:val="3"/>
                <w:kern w:val="0"/>
                <w:sz w:val="21"/>
                <w:szCs w:val="21"/>
                <w:highlight w:val="none"/>
                <w:vertAlign w:val="baseline"/>
                <w:lang w:val="en-US" w:eastAsia="zh-CN" w:bidi="ar-SA"/>
              </w:rPr>
              <w:t>中标人未按规定购买安全生产责任保险的。</w:t>
            </w:r>
          </w:p>
        </w:tc>
        <w:tc>
          <w:tcPr>
            <w:tcW w:w="1528" w:type="dxa"/>
            <w:noWrap w:val="0"/>
            <w:vAlign w:val="center"/>
          </w:tcPr>
          <w:p>
            <w:pPr>
              <w:pStyle w:val="13"/>
              <w:spacing w:before="88" w:line="342" w:lineRule="auto"/>
              <w:ind w:right="258"/>
              <w:jc w:val="center"/>
              <w:rPr>
                <w:rFonts w:hint="default" w:ascii="仿宋" w:hAnsi="仿宋" w:eastAsia="仿宋" w:cs="仿宋"/>
                <w:color w:val="auto"/>
                <w:spacing w:val="3"/>
                <w:sz w:val="21"/>
                <w:szCs w:val="21"/>
                <w:highlight w:val="none"/>
                <w:vertAlign w:val="baseline"/>
                <w:lang w:val="en-US" w:eastAsia="zh-CN"/>
              </w:rPr>
            </w:pPr>
            <w:r>
              <w:rPr>
                <w:rFonts w:hint="eastAsia" w:cs="仿宋"/>
                <w:snapToGrid w:val="0"/>
                <w:color w:val="auto"/>
                <w:kern w:val="0"/>
                <w:sz w:val="21"/>
                <w:szCs w:val="21"/>
                <w:highlight w:val="none"/>
                <w:lang w:val="en-US" w:eastAsia="zh-CN" w:bidi="ar-SA"/>
              </w:rPr>
              <w:t>3个月起</w:t>
            </w:r>
          </w:p>
        </w:tc>
        <w:tc>
          <w:tcPr>
            <w:tcW w:w="3312" w:type="dxa"/>
            <w:noWrap w:val="0"/>
            <w:vAlign w:val="center"/>
          </w:tcPr>
          <w:p>
            <w:pPr>
              <w:pStyle w:val="13"/>
              <w:spacing w:before="88" w:line="342" w:lineRule="auto"/>
              <w:ind w:right="258"/>
              <w:jc w:val="center"/>
              <w:rPr>
                <w:rFonts w:hint="eastAsia" w:ascii="仿宋" w:hAnsi="仿宋" w:eastAsia="仿宋" w:cs="仿宋"/>
                <w:color w:val="auto"/>
                <w:spacing w:val="3"/>
                <w:sz w:val="21"/>
                <w:szCs w:val="21"/>
                <w:highlight w:val="none"/>
                <w:vertAlign w:val="baseline"/>
                <w:lang w:eastAsia="zh-CN"/>
              </w:rPr>
            </w:pPr>
            <w:r>
              <w:rPr>
                <w:rFonts w:hint="eastAsia" w:cs="仿宋"/>
                <w:color w:val="auto"/>
                <w:spacing w:val="3"/>
                <w:sz w:val="21"/>
                <w:szCs w:val="21"/>
                <w:highlight w:val="none"/>
                <w:vertAlign w:val="baseline"/>
                <w:lang w:eastAsia="zh-CN"/>
              </w:rPr>
              <w:t>广州开发区建设工程招投标管理办公室印发的</w:t>
            </w:r>
            <w:r>
              <w:rPr>
                <w:rFonts w:hint="eastAsia" w:ascii="仿宋" w:hAnsi="仿宋" w:eastAsia="仿宋" w:cs="仿宋"/>
                <w:color w:val="auto"/>
                <w:spacing w:val="3"/>
                <w:sz w:val="21"/>
                <w:szCs w:val="21"/>
                <w:highlight w:val="none"/>
                <w:vertAlign w:val="baseline"/>
                <w:lang w:eastAsia="zh-CN"/>
              </w:rPr>
              <w:t xml:space="preserve"> </w:t>
            </w:r>
            <w:r>
              <w:rPr>
                <w:rFonts w:hint="eastAsia" w:cs="仿宋"/>
                <w:color w:val="auto"/>
                <w:spacing w:val="3"/>
                <w:sz w:val="21"/>
                <w:szCs w:val="21"/>
                <w:highlight w:val="none"/>
                <w:vertAlign w:val="baseline"/>
                <w:lang w:eastAsia="zh-CN"/>
              </w:rPr>
              <w:t>《</w:t>
            </w:r>
            <w:r>
              <w:rPr>
                <w:rFonts w:hint="eastAsia" w:ascii="仿宋" w:hAnsi="仿宋" w:eastAsia="仿宋" w:cs="仿宋"/>
                <w:color w:val="auto"/>
                <w:spacing w:val="3"/>
                <w:sz w:val="21"/>
                <w:szCs w:val="21"/>
                <w:highlight w:val="none"/>
                <w:vertAlign w:val="baseline"/>
                <w:lang w:eastAsia="zh-CN"/>
              </w:rPr>
              <w:t>于施工项目招投标环节严格落实安全生产要求的指引</w:t>
            </w:r>
            <w:r>
              <w:rPr>
                <w:rFonts w:hint="eastAsia" w:cs="仿宋"/>
                <w:color w:val="auto"/>
                <w:spacing w:val="3"/>
                <w:sz w:val="21"/>
                <w:szCs w:val="21"/>
                <w:highlight w:val="none"/>
                <w:vertAlign w:val="baseline"/>
                <w:lang w:eastAsia="zh-CN"/>
              </w:rPr>
              <w:t>》</w:t>
            </w:r>
            <w:r>
              <w:rPr>
                <w:rFonts w:hint="eastAsia" w:ascii="仿宋" w:hAnsi="仿宋" w:eastAsia="仿宋" w:cs="仿宋"/>
                <w:color w:val="auto"/>
                <w:spacing w:val="3"/>
                <w:sz w:val="21"/>
                <w:szCs w:val="21"/>
                <w:highlight w:val="none"/>
                <w:vertAlign w:val="baseline"/>
                <w:lang w:eastAsia="zh-CN"/>
              </w:rPr>
              <w:t>关（2021年第4期）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pStyle w:val="13"/>
              <w:spacing w:before="88" w:line="342" w:lineRule="auto"/>
              <w:ind w:right="258"/>
              <w:jc w:val="center"/>
              <w:rPr>
                <w:rFonts w:hint="default" w:cs="仿宋"/>
                <w:color w:val="auto"/>
                <w:spacing w:val="3"/>
                <w:sz w:val="21"/>
                <w:szCs w:val="21"/>
                <w:highlight w:val="none"/>
                <w:vertAlign w:val="baseline"/>
                <w:lang w:val="en-US" w:eastAsia="zh-CN"/>
              </w:rPr>
            </w:pPr>
            <w:r>
              <w:rPr>
                <w:rFonts w:hint="eastAsia" w:cs="仿宋"/>
                <w:color w:val="auto"/>
                <w:spacing w:val="3"/>
                <w:sz w:val="21"/>
                <w:szCs w:val="21"/>
                <w:highlight w:val="none"/>
                <w:vertAlign w:val="baseline"/>
                <w:lang w:val="en-US" w:eastAsia="zh-CN"/>
              </w:rPr>
              <w:t>12</w:t>
            </w:r>
          </w:p>
        </w:tc>
        <w:tc>
          <w:tcPr>
            <w:tcW w:w="3627" w:type="dxa"/>
            <w:noWrap w:val="0"/>
            <w:vAlign w:val="center"/>
          </w:tcPr>
          <w:p>
            <w:pPr>
              <w:spacing w:line="360" w:lineRule="auto"/>
              <w:jc w:val="left"/>
              <w:rPr>
                <w:rFonts w:hint="eastAsia" w:ascii="仿宋" w:hAnsi="仿宋" w:eastAsia="仿宋" w:cs="仿宋"/>
                <w:snapToGrid w:val="0"/>
                <w:color w:val="auto"/>
                <w:spacing w:val="3"/>
                <w:kern w:val="0"/>
                <w:sz w:val="21"/>
                <w:szCs w:val="21"/>
                <w:highlight w:val="none"/>
                <w:vertAlign w:val="baseline"/>
                <w:lang w:val="en-US" w:eastAsia="zh-CN" w:bidi="ar-SA"/>
              </w:rPr>
            </w:pPr>
            <w:r>
              <w:rPr>
                <w:rFonts w:hint="eastAsia" w:ascii="仿宋" w:hAnsi="仿宋" w:eastAsia="仿宋" w:cs="仿宋"/>
                <w:snapToGrid w:val="0"/>
                <w:color w:val="auto"/>
                <w:spacing w:val="3"/>
                <w:kern w:val="0"/>
                <w:sz w:val="21"/>
                <w:szCs w:val="21"/>
                <w:highlight w:val="none"/>
                <w:vertAlign w:val="baseline"/>
                <w:lang w:val="en-US" w:eastAsia="zh-CN" w:bidi="ar-SA"/>
              </w:rPr>
              <w:t>承包人在项目实施过程中因不诚信或不充分履约达到合同列明的拒绝投标程度的。</w:t>
            </w:r>
          </w:p>
        </w:tc>
        <w:tc>
          <w:tcPr>
            <w:tcW w:w="1528" w:type="dxa"/>
            <w:noWrap w:val="0"/>
            <w:vAlign w:val="center"/>
          </w:tcPr>
          <w:p>
            <w:pPr>
              <w:pStyle w:val="13"/>
              <w:spacing w:before="88" w:line="342" w:lineRule="auto"/>
              <w:ind w:right="258"/>
              <w:jc w:val="center"/>
              <w:rPr>
                <w:rFonts w:hint="eastAsia" w:cs="仿宋"/>
                <w:color w:val="auto"/>
                <w:spacing w:val="3"/>
                <w:sz w:val="21"/>
                <w:szCs w:val="21"/>
                <w:highlight w:val="none"/>
                <w:vertAlign w:val="baseline"/>
                <w:lang w:val="en-US" w:eastAsia="zh-CN"/>
              </w:rPr>
            </w:pPr>
            <w:r>
              <w:rPr>
                <w:rFonts w:hint="eastAsia" w:cs="仿宋"/>
                <w:snapToGrid w:val="0"/>
                <w:color w:val="auto"/>
                <w:kern w:val="0"/>
                <w:sz w:val="21"/>
                <w:szCs w:val="21"/>
                <w:highlight w:val="none"/>
                <w:lang w:val="en-US" w:eastAsia="zh-CN" w:bidi="ar-SA"/>
              </w:rPr>
              <w:t>3个月起</w:t>
            </w:r>
          </w:p>
        </w:tc>
        <w:tc>
          <w:tcPr>
            <w:tcW w:w="3312" w:type="dxa"/>
            <w:noWrap w:val="0"/>
            <w:vAlign w:val="center"/>
          </w:tcPr>
          <w:p>
            <w:pPr>
              <w:keepNext w:val="0"/>
              <w:keepLines w:val="0"/>
              <w:widowControl/>
              <w:suppressLineNumbers w:val="0"/>
              <w:jc w:val="left"/>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《广州市工程建设项目招标投标管理办法》</w:t>
            </w:r>
          </w:p>
          <w:p>
            <w:pPr>
              <w:pStyle w:val="13"/>
              <w:spacing w:before="88" w:line="342" w:lineRule="auto"/>
              <w:ind w:right="258"/>
              <w:jc w:val="center"/>
              <w:rPr>
                <w:rFonts w:hint="eastAsia" w:cs="仿宋"/>
                <w:color w:val="auto"/>
                <w:spacing w:val="3"/>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pStyle w:val="13"/>
              <w:spacing w:before="88" w:line="342" w:lineRule="auto"/>
              <w:ind w:right="258"/>
              <w:jc w:val="center"/>
              <w:rPr>
                <w:rFonts w:hint="default" w:cs="仿宋"/>
                <w:color w:val="auto"/>
                <w:spacing w:val="3"/>
                <w:sz w:val="21"/>
                <w:szCs w:val="21"/>
                <w:highlight w:val="none"/>
                <w:vertAlign w:val="baseline"/>
                <w:lang w:val="en-US" w:eastAsia="zh-CN"/>
              </w:rPr>
            </w:pPr>
            <w:r>
              <w:rPr>
                <w:rFonts w:hint="eastAsia" w:cs="仿宋"/>
                <w:color w:val="auto"/>
                <w:spacing w:val="3"/>
                <w:sz w:val="21"/>
                <w:szCs w:val="21"/>
                <w:highlight w:val="none"/>
                <w:vertAlign w:val="baseline"/>
                <w:lang w:val="en-US" w:eastAsia="zh-CN"/>
              </w:rPr>
              <w:t>13</w:t>
            </w:r>
          </w:p>
        </w:tc>
        <w:tc>
          <w:tcPr>
            <w:tcW w:w="3627" w:type="dxa"/>
            <w:noWrap w:val="0"/>
            <w:vAlign w:val="center"/>
          </w:tcPr>
          <w:p>
            <w:pPr>
              <w:spacing w:line="360" w:lineRule="auto"/>
              <w:jc w:val="left"/>
              <w:rPr>
                <w:rFonts w:hint="eastAsia" w:ascii="仿宋" w:hAnsi="仿宋" w:eastAsia="仿宋" w:cs="仿宋"/>
                <w:snapToGrid w:val="0"/>
                <w:color w:val="auto"/>
                <w:spacing w:val="3"/>
                <w:kern w:val="0"/>
                <w:sz w:val="21"/>
                <w:szCs w:val="21"/>
                <w:highlight w:val="none"/>
                <w:vertAlign w:val="baseline"/>
                <w:lang w:val="en-US" w:eastAsia="zh-CN" w:bidi="ar-SA"/>
              </w:rPr>
            </w:pPr>
            <w:r>
              <w:rPr>
                <w:rFonts w:hint="eastAsia" w:ascii="仿宋" w:hAnsi="仿宋" w:eastAsia="仿宋" w:cs="仿宋"/>
                <w:snapToGrid w:val="0"/>
                <w:color w:val="auto"/>
                <w:spacing w:val="3"/>
                <w:kern w:val="0"/>
                <w:sz w:val="21"/>
                <w:szCs w:val="21"/>
                <w:highlight w:val="none"/>
                <w:vertAlign w:val="baseline"/>
                <w:lang w:val="en-US" w:eastAsia="zh-CN" w:bidi="ar-SA"/>
              </w:rPr>
              <w:t>承包人在本项目投标时拟派的专职安全员在其他项目中有任职且在本项目开工前未完成更换确保专职安全员只在本项目上任职的;</w:t>
            </w:r>
          </w:p>
        </w:tc>
        <w:tc>
          <w:tcPr>
            <w:tcW w:w="1528" w:type="dxa"/>
            <w:noWrap w:val="0"/>
            <w:vAlign w:val="center"/>
          </w:tcPr>
          <w:p>
            <w:pPr>
              <w:pStyle w:val="13"/>
              <w:spacing w:before="88" w:line="342" w:lineRule="auto"/>
              <w:ind w:right="258"/>
              <w:jc w:val="center"/>
              <w:rPr>
                <w:rFonts w:hint="eastAsia" w:cs="仿宋"/>
                <w:snapToGrid w:val="0"/>
                <w:color w:val="auto"/>
                <w:kern w:val="0"/>
                <w:sz w:val="21"/>
                <w:szCs w:val="21"/>
                <w:highlight w:val="none"/>
                <w:lang w:val="en-US" w:eastAsia="zh-CN" w:bidi="ar-SA"/>
              </w:rPr>
            </w:pPr>
            <w:r>
              <w:rPr>
                <w:rFonts w:hint="eastAsia" w:cs="仿宋"/>
                <w:snapToGrid w:val="0"/>
                <w:color w:val="auto"/>
                <w:kern w:val="0"/>
                <w:sz w:val="21"/>
                <w:szCs w:val="21"/>
                <w:highlight w:val="none"/>
                <w:lang w:val="en-US" w:eastAsia="zh-CN" w:bidi="ar-SA"/>
              </w:rPr>
              <w:t>3个月起</w:t>
            </w:r>
          </w:p>
        </w:tc>
        <w:tc>
          <w:tcPr>
            <w:tcW w:w="3312" w:type="dxa"/>
            <w:noWrap w:val="0"/>
            <w:vAlign w:val="center"/>
          </w:tcPr>
          <w:p>
            <w:pPr>
              <w:pStyle w:val="13"/>
              <w:spacing w:before="88" w:line="342" w:lineRule="auto"/>
              <w:ind w:right="258"/>
              <w:jc w:val="center"/>
              <w:rPr>
                <w:rFonts w:hint="eastAsia" w:cs="仿宋"/>
                <w:color w:val="auto"/>
                <w:spacing w:val="3"/>
                <w:sz w:val="21"/>
                <w:szCs w:val="21"/>
                <w:highlight w:val="none"/>
                <w:vertAlign w:val="baseline"/>
                <w:lang w:eastAsia="zh-CN"/>
              </w:rPr>
            </w:pPr>
            <w:r>
              <w:rPr>
                <w:rFonts w:hint="eastAsia" w:cs="仿宋"/>
                <w:color w:val="auto"/>
                <w:spacing w:val="3"/>
                <w:sz w:val="21"/>
                <w:szCs w:val="21"/>
                <w:highlight w:val="none"/>
                <w:vertAlign w:val="baseline"/>
                <w:lang w:eastAsia="zh-CN"/>
              </w:rPr>
              <w:t>广州市建设工程施工招标文件范本修改表（2025年7月）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pStyle w:val="13"/>
              <w:spacing w:before="88" w:line="342" w:lineRule="auto"/>
              <w:ind w:right="258"/>
              <w:jc w:val="center"/>
              <w:rPr>
                <w:rFonts w:hint="default" w:cs="仿宋"/>
                <w:color w:val="auto"/>
                <w:spacing w:val="3"/>
                <w:sz w:val="21"/>
                <w:szCs w:val="21"/>
                <w:highlight w:val="none"/>
                <w:vertAlign w:val="baseline"/>
                <w:lang w:val="en-US" w:eastAsia="zh-CN"/>
              </w:rPr>
            </w:pPr>
            <w:r>
              <w:rPr>
                <w:rFonts w:hint="eastAsia" w:cs="仿宋"/>
                <w:color w:val="auto"/>
                <w:spacing w:val="3"/>
                <w:sz w:val="21"/>
                <w:szCs w:val="21"/>
                <w:highlight w:val="none"/>
                <w:vertAlign w:val="baseline"/>
                <w:lang w:val="en-US" w:eastAsia="zh-CN"/>
              </w:rPr>
              <w:t>14</w:t>
            </w:r>
          </w:p>
        </w:tc>
        <w:tc>
          <w:tcPr>
            <w:tcW w:w="3627" w:type="dxa"/>
            <w:noWrap w:val="0"/>
            <w:vAlign w:val="center"/>
          </w:tcPr>
          <w:p>
            <w:pPr>
              <w:spacing w:line="360" w:lineRule="auto"/>
              <w:jc w:val="left"/>
              <w:rPr>
                <w:rFonts w:hint="eastAsia" w:ascii="仿宋" w:hAnsi="仿宋" w:eastAsia="仿宋" w:cs="仿宋"/>
                <w:snapToGrid w:val="0"/>
                <w:color w:val="auto"/>
                <w:spacing w:val="3"/>
                <w:kern w:val="0"/>
                <w:sz w:val="21"/>
                <w:szCs w:val="21"/>
                <w:highlight w:val="none"/>
                <w:vertAlign w:val="baseline"/>
                <w:lang w:val="en-US" w:eastAsia="zh-CN" w:bidi="ar-SA"/>
              </w:rPr>
            </w:pPr>
            <w:r>
              <w:rPr>
                <w:rFonts w:hint="eastAsia" w:ascii="仿宋" w:hAnsi="仿宋" w:eastAsia="仿宋" w:cs="仿宋"/>
                <w:snapToGrid w:val="0"/>
                <w:color w:val="auto"/>
                <w:spacing w:val="3"/>
                <w:kern w:val="0"/>
                <w:sz w:val="21"/>
                <w:szCs w:val="21"/>
                <w:highlight w:val="none"/>
                <w:vertAlign w:val="baseline"/>
                <w:lang w:val="en-US" w:eastAsia="zh-CN" w:bidi="ar-SA"/>
              </w:rPr>
              <w:t>其他法定情形</w:t>
            </w:r>
          </w:p>
        </w:tc>
        <w:tc>
          <w:tcPr>
            <w:tcW w:w="1528" w:type="dxa"/>
            <w:noWrap w:val="0"/>
            <w:vAlign w:val="center"/>
          </w:tcPr>
          <w:p>
            <w:pPr>
              <w:pStyle w:val="13"/>
              <w:spacing w:before="88" w:line="342" w:lineRule="auto"/>
              <w:ind w:right="258"/>
              <w:jc w:val="center"/>
              <w:rPr>
                <w:rFonts w:hint="eastAsia" w:cs="仿宋"/>
                <w:color w:val="auto"/>
                <w:spacing w:val="3"/>
                <w:sz w:val="21"/>
                <w:szCs w:val="21"/>
                <w:highlight w:val="none"/>
                <w:vertAlign w:val="baseline"/>
                <w:lang w:val="en-US" w:eastAsia="zh-CN"/>
              </w:rPr>
            </w:pPr>
            <w:r>
              <w:rPr>
                <w:rFonts w:hint="eastAsia" w:cs="仿宋"/>
                <w:snapToGrid w:val="0"/>
                <w:color w:val="auto"/>
                <w:kern w:val="0"/>
                <w:sz w:val="21"/>
                <w:szCs w:val="21"/>
                <w:highlight w:val="none"/>
                <w:lang w:val="en-US" w:eastAsia="zh-CN" w:bidi="ar-SA"/>
              </w:rPr>
              <w:t>3个月起</w:t>
            </w:r>
          </w:p>
        </w:tc>
        <w:tc>
          <w:tcPr>
            <w:tcW w:w="3312" w:type="dxa"/>
            <w:noWrap w:val="0"/>
            <w:vAlign w:val="center"/>
          </w:tcPr>
          <w:p>
            <w:pPr>
              <w:pStyle w:val="13"/>
              <w:spacing w:before="88" w:line="342" w:lineRule="auto"/>
              <w:ind w:right="258"/>
              <w:jc w:val="center"/>
              <w:rPr>
                <w:rFonts w:hint="eastAsia" w:cs="仿宋"/>
                <w:color w:val="auto"/>
                <w:spacing w:val="3"/>
                <w:sz w:val="21"/>
                <w:szCs w:val="21"/>
                <w:highlight w:val="none"/>
                <w:vertAlign w:val="baseline"/>
                <w:lang w:eastAsia="zh-CN"/>
              </w:rPr>
            </w:pPr>
          </w:p>
        </w:tc>
      </w:tr>
    </w:tbl>
    <w:p>
      <w:pPr>
        <w:spacing w:line="500" w:lineRule="exact"/>
        <w:rPr>
          <w:rFonts w:hint="eastAsia" w:ascii="宋体" w:hAnsi="宋体"/>
          <w:b/>
          <w:color w:val="auto"/>
          <w:sz w:val="32"/>
          <w:highlight w:val="none"/>
        </w:rPr>
      </w:pPr>
    </w:p>
    <w:p>
      <w:pPr>
        <w:spacing w:line="500" w:lineRule="exact"/>
        <w:rPr>
          <w:rFonts w:hint="eastAsia" w:ascii="宋体" w:hAnsi="宋体"/>
          <w:b/>
          <w:color w:val="auto"/>
          <w:sz w:val="32"/>
          <w:highlight w:val="none"/>
        </w:rPr>
      </w:pPr>
      <w:r>
        <w:rPr>
          <w:rFonts w:hint="eastAsia" w:ascii="宋体" w:hAnsi="宋体"/>
          <w:b/>
          <w:color w:val="auto"/>
          <w:sz w:val="32"/>
          <w:highlight w:val="none"/>
          <w:lang w:val="en-US" w:eastAsia="zh-CN"/>
        </w:rPr>
        <w:t>附件：</w:t>
      </w:r>
      <w:r>
        <w:rPr>
          <w:rFonts w:hint="eastAsia" w:ascii="宋体" w:hAnsi="宋体"/>
          <w:b/>
          <w:color w:val="auto"/>
          <w:sz w:val="32"/>
          <w:highlight w:val="none"/>
        </w:rPr>
        <w:t>联合体协议（如有）放协议书附件</w:t>
      </w:r>
    </w:p>
    <w:p>
      <w:pPr>
        <w:spacing w:line="500" w:lineRule="exact"/>
        <w:rPr>
          <w:rFonts w:hint="eastAsia" w:ascii="宋体" w:hAnsi="宋体"/>
          <w:b/>
          <w:color w:val="auto"/>
          <w:sz w:val="32"/>
          <w:highlight w:val="none"/>
        </w:rPr>
      </w:pPr>
    </w:p>
    <w:p>
      <w:pPr>
        <w:pStyle w:val="2"/>
        <w:rPr>
          <w:rFonts w:hint="eastAsia" w:ascii="宋体" w:hAnsi="宋体"/>
          <w:b/>
          <w:color w:val="auto"/>
          <w:sz w:val="32"/>
          <w:highlight w:val="none"/>
        </w:rPr>
      </w:pPr>
    </w:p>
    <w:p>
      <w:pPr>
        <w:rPr>
          <w:rFonts w:hint="eastAsia" w:ascii="宋体" w:hAnsi="宋体"/>
          <w:b/>
          <w:color w:val="auto"/>
          <w:sz w:val="32"/>
          <w:highlight w:val="none"/>
        </w:rPr>
      </w:pPr>
    </w:p>
    <w:p>
      <w:pPr>
        <w:pStyle w:val="2"/>
        <w:rPr>
          <w:rFonts w:hint="eastAsia" w:ascii="宋体" w:hAnsi="宋体"/>
          <w:b/>
          <w:color w:val="auto"/>
          <w:sz w:val="32"/>
          <w:highlight w:val="none"/>
        </w:rPr>
      </w:pPr>
    </w:p>
    <w:p>
      <w:pPr>
        <w:rPr>
          <w:rFonts w:hint="eastAsia" w:ascii="宋体" w:hAnsi="宋体"/>
          <w:b/>
          <w:color w:val="auto"/>
          <w:sz w:val="32"/>
          <w:highlight w:val="none"/>
        </w:rPr>
      </w:pPr>
    </w:p>
    <w:p>
      <w:pPr>
        <w:pStyle w:val="2"/>
        <w:rPr>
          <w:rFonts w:hint="eastAsia" w:ascii="宋体" w:hAnsi="宋体"/>
          <w:b/>
          <w:color w:val="auto"/>
          <w:sz w:val="32"/>
          <w:highlight w:val="none"/>
        </w:rPr>
      </w:pPr>
    </w:p>
    <w:p>
      <w:pPr>
        <w:rPr>
          <w:rFonts w:hint="eastAsia"/>
          <w:color w:val="auto"/>
          <w:highlight w:val="none"/>
        </w:rPr>
      </w:pPr>
    </w:p>
    <w:p>
      <w:pPr>
        <w:rPr>
          <w:rFonts w:hint="eastAsia"/>
          <w:color w:val="auto"/>
          <w:highlight w:val="none"/>
        </w:rPr>
      </w:pPr>
    </w:p>
    <w:p>
      <w:pPr>
        <w:rPr>
          <w:rFonts w:hint="eastAsia" w:ascii="宋体" w:hAnsi="宋体"/>
          <w:b/>
          <w:color w:val="auto"/>
          <w:sz w:val="28"/>
          <w:szCs w:val="28"/>
          <w:highlight w:val="none"/>
        </w:rPr>
      </w:pPr>
      <w:r>
        <w:rPr>
          <w:rFonts w:hint="eastAsia" w:ascii="宋体" w:hAnsi="宋体"/>
          <w:b/>
          <w:color w:val="auto"/>
          <w:sz w:val="28"/>
          <w:szCs w:val="28"/>
          <w:highlight w:val="none"/>
        </w:rPr>
        <w:br w:type="page"/>
      </w:r>
    </w:p>
    <w:p>
      <w:pPr>
        <w:spacing w:line="500" w:lineRule="exact"/>
        <w:jc w:val="center"/>
        <w:rPr>
          <w:rFonts w:ascii="宋体" w:hAnsi="宋体"/>
          <w:b/>
          <w:color w:val="auto"/>
          <w:sz w:val="28"/>
          <w:szCs w:val="28"/>
          <w:highlight w:val="none"/>
        </w:rPr>
      </w:pPr>
      <w:r>
        <w:rPr>
          <w:rFonts w:hint="eastAsia" w:ascii="宋体" w:hAnsi="宋体"/>
          <w:b/>
          <w:color w:val="auto"/>
          <w:sz w:val="28"/>
          <w:szCs w:val="28"/>
          <w:highlight w:val="none"/>
        </w:rPr>
        <w:t>第二部分 通用条款</w:t>
      </w:r>
    </w:p>
    <w:p>
      <w:pPr>
        <w:spacing w:line="400" w:lineRule="exact"/>
        <w:ind w:firstLine="718" w:firstLineChars="342"/>
        <w:rPr>
          <w:rFonts w:ascii="宋体" w:hAnsi="宋体"/>
          <w:color w:val="auto"/>
          <w:sz w:val="21"/>
          <w:szCs w:val="21"/>
          <w:highlight w:val="none"/>
        </w:rPr>
      </w:pP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一、词语定义及合同文件 </w:t>
      </w:r>
    </w:p>
    <w:p>
      <w:pPr>
        <w:spacing w:line="400" w:lineRule="exact"/>
        <w:ind w:firstLine="359" w:firstLineChars="171"/>
        <w:rPr>
          <w:rFonts w:ascii="宋体" w:hAnsi="宋体"/>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 xml:space="preserve">词语定义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下列词语除专用条款另有约定外，应具有本条所赋予的定义：</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1.1 通用条款：是根据法律、行政法规规定及建设工程施工的需要订立，通用于建设工程施工的条款。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1.2 专用条款：是发包人与承包人根据法律、行政法规规定，结合具体工程实际，经协商达成一致意见的条款，是对通用条款的具体化、补充或修改。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1.3 发包人：指在协议书中约定，具有工程发包主体资格和支付工程价款能力的当事人以及取得该当事人资格的合法继承人。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1.4 承包人：指在协议书中约定，被发包人接受的具有工程施工承包主体资格的当事人以及取得该当事人资格的合法继承人。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1.5 项目负责人：指承包人在专用条款中指定的负责施工管理和合同履行的代表。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1.6 设计单位：指发包人委托的负责本工程设计并取得相应工程设计资质等级证书的单位。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1.7 监理单位：指发包人委托的负责本工程监理并取得相应在工程监理资质等级证书的单位。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1.8 工程师：指本工程监理单位委派的总监理工程师或发包人指定的履行本合同的代表，其具体身份和职权由发包人承包人在专用条款中约定。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1.9 工程造价管理部门：指国务院有关部门、县级以上人民政府建设行政主管部门或其委托的工程造价管理机构。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1.10 工程：指发包人承包人在协议书中约定的承包范围内的工程。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1.11 合同价款：指发包人承包人在协议书中约定，发包人用以支付承包人按照合同约定完成承包范围内全部工程并承担质量保修责任的款项。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1.1</w:t>
      </w:r>
      <w:r>
        <w:rPr>
          <w:rFonts w:ascii="宋体" w:hAnsi="宋体"/>
          <w:color w:val="auto"/>
          <w:sz w:val="21"/>
          <w:szCs w:val="21"/>
          <w:highlight w:val="none"/>
        </w:rPr>
        <w:t>2</w:t>
      </w:r>
      <w:r>
        <w:rPr>
          <w:rFonts w:hint="eastAsia" w:ascii="宋体" w:hAnsi="宋体"/>
          <w:color w:val="auto"/>
          <w:sz w:val="21"/>
          <w:szCs w:val="21"/>
          <w:highlight w:val="none"/>
        </w:rPr>
        <w:t xml:space="preserve"> 追加合同价款：指在合同履行中发生需要增加合同价款的情况，经发包人确认后按计算合同价款的方法增加的合同价款。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1.13 费用：指不包含在合同价款之内的应当由发包人或承包人承担的经济支出。</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1.14 工期：指发包人承包人在协议书中约定，按总日历天数（包括法定节假日）计算的承包天数。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1.15 开工日期：指发包人承包人在协议书中约定，承包人开始施工的绝对或相对的日期。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1.16 竣工日期：指发包人承包人在协议书中约定，承包人完成承包范围内工程的绝对或相对的日期。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1.17 图纸：指由发包人提供或承包人提供并经发包人批准，满足承包人施工需要的所有图纸（包括配套说明和有关资料）。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1.18 施工场地：指由发包人提供的用于工程施工的场所以及发包人在图纸中具体指定的供施工使用的任何其他场所。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1.</w:t>
      </w:r>
      <w:r>
        <w:rPr>
          <w:rFonts w:ascii="宋体" w:hAnsi="宋体"/>
          <w:color w:val="auto"/>
          <w:sz w:val="21"/>
          <w:szCs w:val="21"/>
          <w:highlight w:val="none"/>
        </w:rPr>
        <w:t>19</w:t>
      </w:r>
      <w:r>
        <w:rPr>
          <w:rFonts w:hint="eastAsia" w:ascii="宋体" w:hAnsi="宋体"/>
          <w:color w:val="auto"/>
          <w:sz w:val="21"/>
          <w:szCs w:val="21"/>
          <w:highlight w:val="none"/>
        </w:rPr>
        <w:t xml:space="preserve"> 书面形式：指合同书、信件和数据电文（包括电报、电传、传真、电子数据交换和电子邮件）等可以有形地表现所载内容的形式。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1.20 违约责任：指合同一方不履行合同义务或履行合同义务不符合约定所应承担的责任。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1.21 索赔：指在合同履行过程中，对于并非自己的过错，而是应由对方承担责任的情况造成的实际损失，向对方提出经济补偿和（或）工期顺延的要求。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1.22 不可抗力：指不能预见、不能避免并不能克服的客观情况。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1.23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2、合同文件及解释顺序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2.1 合同文件应能相互解释，互为说明。除专用条款另有约定外，组成本合同的文件及优先解释顺序如下：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（1）本合同协议书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（2）中标通知书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（3）投标书及其附件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（4）本合同专用条款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（5）本合同通用条款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（6）标准、规范及有关技术文件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（7）图纸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（8）工程量清单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（9）工程报价单或预算书</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合同履行中，发包人承包人有关工程的洽商、变更等书面协议或文件视为本合同的组成部分。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2.2当合同文件内容含糊不清或不相一致时，在不影响工程正常进行的情况下，由发包人承包人协商解决。双方也可以提请负责监理的工程师做出解释。双方协商不成或不同意负责监理的工程师的解释时，按本通用条款37条关于争议的约定处理。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3、语言文字和适用法律、标准及规范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3.1 语言文字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本合同文件使用汉语语言文字书写、解释和说明。如专用条款约定使用两种以上（含两种）语言文字时，汉语应为解释和说明本合同的标准语言文字。</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在少数民族地区，双方可以约定使用少数民族语言文字书写和解释、说明本合同。</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3.2 适用法律和法规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本合同文件适用国家的法律和行政法规。需要明示的法律、行政法规，由双方在专用条款中约定。</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3.3 适用标准、规范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双方在专用条款内约定适用国家标准、规范和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国内没有相应标准、规范的，由发包人按专用条款约定的时间向承包人</w:t>
      </w:r>
      <w:r>
        <w:rPr>
          <w:rFonts w:hint="eastAsia" w:ascii="宋体" w:hAnsi="宋体"/>
          <w:color w:val="auto"/>
          <w:spacing w:val="4"/>
          <w:sz w:val="21"/>
          <w:szCs w:val="21"/>
          <w:highlight w:val="none"/>
        </w:rPr>
        <w:t>提出施工技术要求，承包人按约定的时间和要求提出施工工艺，经发包人认</w:t>
      </w:r>
      <w:r>
        <w:rPr>
          <w:rFonts w:hint="eastAsia" w:ascii="宋体" w:hAnsi="宋体"/>
          <w:color w:val="auto"/>
          <w:sz w:val="21"/>
          <w:szCs w:val="21"/>
          <w:highlight w:val="none"/>
        </w:rPr>
        <w:t xml:space="preserve">可后执行。发包人要求使用国外标准、规范的，应负责提供中文译本。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本条所发生的购买、翻译标准、规范或制定施工工艺的费用，由发包人承担。</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4、图纸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4.1 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4.2 承包人未经发包人同意，不得将本工程图纸转给第三人。工程质量保修期满后，除承包人存档需要的图纸外，应将全部图纸退还给发包人。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4.3 承包人应在施工现场保留一套完整图纸，供工程师及有关人员进行工程检查时使用。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二、双方一般权利和义务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5、工程师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5.1实行工程监理的，发包人应在实施监理前将委托的监理单位名称、监理内容及监理权限以书面形式通知承包人。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5.3 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5.4 合同履行中，发生影响发包人承包人双方权利或义务的事件时，负责监理的工程师应依据合同在其职权范围内客观公正地进行处理。一方对工程师的处理有异议时，按本通用条款37条关于争议的约定处理。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5.5 除合同内有明确约定或经发包人同意外，负责监理的工程师无权解除本合同约定的承包人的任何权利与义务。</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5.6 不实行工程监理的，本合同中工程师专指发包人派驻施工现场履行合同的代表，其具体职权由发包人在专用条款中写明。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6、工程师的委派和指令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6.1工程师可委派工程师代表，行使合同约定的自己的职权，并可在认为必要时撤回委派。委派和撤回均应提前7天以书面形式通知承包人，负责监理的工程师还应将委派和撤回通知发包人。委派书和撤回通知作为本合同附件。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除工程师或工程师代表外，发包人派驻工地的其他人员均无权向承包人发出任何指令。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6.2 工程师的指令、通知由其本人签字后，以书面形式交给项目负责人，项目负责人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本款规定同样适用于由工程师代表发出的指令、通知。</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6.3 工程师应按合同约定，及时向承包人提供所需指令、批准并履行约定的</w:t>
      </w:r>
      <w:r>
        <w:rPr>
          <w:rFonts w:hint="eastAsia" w:ascii="宋体" w:hAnsi="宋体"/>
          <w:color w:val="auto"/>
          <w:spacing w:val="4"/>
          <w:sz w:val="21"/>
          <w:szCs w:val="21"/>
          <w:highlight w:val="none"/>
        </w:rPr>
        <w:t>其他义务。由于工程师未能按合同约定履行义务造成工期延误，发包人应承</w:t>
      </w:r>
      <w:r>
        <w:rPr>
          <w:rFonts w:hint="eastAsia" w:ascii="宋体" w:hAnsi="宋体"/>
          <w:color w:val="auto"/>
          <w:sz w:val="21"/>
          <w:szCs w:val="21"/>
          <w:highlight w:val="none"/>
        </w:rPr>
        <w:t xml:space="preserve">担延误造成的追加合同价款，并赔偿承包人有关损失，顺延延误的工期。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6.4 如需更换工程师，发包人应至少提前7天以书面形式通知承包人，后任继续行使合同文件约定的前任的职权，履行前任的义务。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7、项目负责人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7.1 项目负责人的姓名、职务在专用条款内写明。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7.2 承包人依据合同发出的通知，以书面形式由项目负责人签字后送交工程师，工程师在回执上签署姓名和收到时间后生效。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7.3 项目负责人按发包人认可的施工组织设计（施工方案）和工程师依据合同发出的指令组织施工。在情况紧急且无法与工程师联系时，项目负责人应当采取保证人员生命和工程、财产安全的紧急措施，并在采取措施后48小时内向工程师送交报告。责任在发包人或第三人，由发包人承担由此发生的追加合同价款，相应顺延工期；责任在承包人，由承包人承担费用，不顺延工期。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7.4 承包人如需更换项目负责人，应至少提前7天以书面形式通知发包人，并征得发包人同意。后任继续行使合同文件约定的前任的职权，履行前任的义务。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7.5 发包人可以与承包人协商，建议更换其认为不称职的项目负责人。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8、发包人工作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8.1 发包人按专用条款约定的内容和时间完成以下工作: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 办理土地征用、拆迁补偿、平整施工场地等工作，使施工场地具备施工条件，在开工后继续负责解决以上事项遗留问题；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 将施工所需水、电、电讯线路从施工场地外部接至专用条款约定地点，保证施工期间的需要；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 开通施工场地与城乡公共道路的通道，以及专用条款约定的施工场地内的主要道路，满足施工运输的需要，保证施工期间的畅通。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(4) 向承包人提供施工场地的工程地质和地下管线资料，对资料的真实准确性负责；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(5) 办理施工许可证及其他施工所需证件、批件和临时用地、停水、停电、中断道路交通、爆破作业等的申请批准文件（证明承包人自身资质的证件除外）；</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(6) 确定水准点与坐标控制点，以书面形式交给承包人，进行现场交验；</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(7) 组织承包人和设计单位进行图纸会审和设计交底；</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(8) 协调管理施工场地周围地下管线和邻近建筑物、构筑物（包括文物保护建筑）、古树名木的保护工作，承担有关费用；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(9) 发包人应做的其他工作，双方在专用条款内约定。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8.2 发包人未履行8.1款各项义务，导致工期延误或给承包人造成损失的，发包人赔偿承包人有关损失，顺延延误的工期。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9、承包人工作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9.1 承包人按专用条款约定的内容和时间完成以下工作：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(1) 根据发包人委托，在其设计资质等级和业务允许的范围内，完成施工图设计或与工程配套的设计，经工程师确认后使用，发包人承担由此发生的费用；</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 向工程师提供年、季、月度工程进度计划及相应进度统计报表；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 根据工程需要，提供和维修非夜间施工使用的照明、围栏设施，并负责安全保卫；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(4) 按专用条款约定的数量和要求，向发包人提供施工场地办公和生活的房屋及设施，发包人承担由此发生的费用；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(5) 遵守政府有关主管部门对施工场地交通、施工噪音以及环境保护和安全生产等的管理规定，按规定办理有关手续，并以书面形式通知发包人，发包人承担由此发生的费用，因承包人责任造成的罚款除外；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(6) 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(7) 按专用条款约定做好施工场地地下管线和邻近建筑物、构筑物（包括文物保护建筑）、古树名木的保护工作；</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(8) 保证施工场地清洁符合环境卫生管理的有关规定，交工前清理现场达到专用条款约定的要求，承担因自身原因违反有关规定造成的损失和罚款；</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(9) </w:t>
      </w:r>
      <w:r>
        <w:rPr>
          <w:rFonts w:hint="eastAsia" w:ascii="宋体" w:hAnsi="宋体"/>
          <w:color w:val="auto"/>
          <w:spacing w:val="-6"/>
          <w:sz w:val="21"/>
          <w:szCs w:val="21"/>
          <w:highlight w:val="none"/>
        </w:rPr>
        <w:t>办理施工许可证及施工所需证件、批件和临时用地、停水、停电、中断</w:t>
      </w:r>
      <w:r>
        <w:rPr>
          <w:rFonts w:hint="eastAsia" w:ascii="宋体" w:hAnsi="宋体"/>
          <w:color w:val="auto"/>
          <w:sz w:val="21"/>
          <w:szCs w:val="21"/>
          <w:highlight w:val="none"/>
        </w:rPr>
        <w:t>道路交通、爆破作业等的申请批准手续（证明承包人自身资质的证件除外）；</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(10)承包人应做的其他工作，双方在专用条款内约定。</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9.2承包人未能履行9.1款各项义务，造成发包人损失的，承包人赔偿发包人有关损失。</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三、施工组织设计和工期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10、进度计划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10.1 承包人应按专用条款约定的日期，将施工组织设计和工程进度计划提交工程师，工程师按专用条款约定的时间予以确认或提出修改意见，逾期不确认也不提出书面意见的，视为同意。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10.2群体工程中单位工程分期进行施工的，承包人应按照发包人提供图纸及有关资料的时间，按单位工程编制进度计划，其具体内容双方在专用条款中约定。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11、开工及延期开工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11.2因发包人原因不能按照协议书约定的开工日期开工，工程师应以书面形式通知承包人，推迟开工日期。发包人赔偿承包人因延期开工造成的损失，并相应顺延工期。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12、暂停施工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工程师认为确有必要暂停施工时，应当以书面形式要求承包人暂停施工，并在提出要求后48小时内提出书面处理意见。承包人应当按工程师要求停止施工，并妥善保护已完工程。承包人实施工程师做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13、工期延误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13.1因以下原因造成工期延误，经工程师确认工期相应顺延；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 发包人未能按专用条款的约定提供图纸及开工条件；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(2) 发包人未能按约定日期支付工程预付款、进度款，致使施工不能正常进行；</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(3) 工程师未按合同约定提供所需指令、批准等，致使施工不能正常进行；</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(4) 设计变更和工程量增加；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(5) 一周内非承包人原因停水、停电、停气造成停工累计超过8小时；</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(6) 不可抗力；</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(7) 专用条款中约定或工程师同意工期顺延的其他情况。</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13.2承包人在13.1款情况发生后14天内，就延误的工期以书面形式向工程师提出报告。工程师在收到报告后14天内予以确认，逾期不予确认也不提出修改意见，视为同意顺延工期。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14、工程竣工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14.1 承包人必须按照协议书约定的竣工日期或工程师同意顺延的工期竣工。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14.2 因承包人原因不能按照协议书约定的竣工日期或工程师同意顺延的工期竣工的，承包人承担违约责任。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14.3 施工中发包人如需提前竣工，双方协商一致后就应签订提前竣工协议，作为合同文件组成部分。提前竣工协议应包括承包人为保证工程质量和安全采取的措施、发包人为提前竣工提供的条件以及提前竣工所需的追加合同价款等内容。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四、质量与检验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15、工程质量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pacing w:val="6"/>
          <w:sz w:val="21"/>
          <w:szCs w:val="21"/>
          <w:highlight w:val="none"/>
        </w:rPr>
        <w:t>5.1 工程质量应当达到协议书约定的质量标准，质量标准的评定以国家或</w:t>
      </w:r>
      <w:r>
        <w:rPr>
          <w:rFonts w:hint="eastAsia" w:ascii="宋体" w:hAnsi="宋体"/>
          <w:color w:val="auto"/>
          <w:sz w:val="21"/>
          <w:szCs w:val="21"/>
          <w:highlight w:val="none"/>
        </w:rPr>
        <w:t xml:space="preserve">行业的质量检验评定标准为依据。因承包人原因工程质量达不到约定的质量标准，承包人承担违约责任。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15.2 双方对工程质量有争议，由双方同意的工程质量检测机构鉴定，所需费用及因此造成的损失，由责任方承担。双方均有责任，由双方根据其责任分别承担。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16、检查和返工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16.1 承包人应认真按照标准、规范和设计图纸要求以及工程师依据合同发出的指令施工，随时接受工程师的检查检验，为检查检验提供便利条件。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16.3 工程师的检查检验不应影响施工正常进行。如影响施工正常进行，检查检验不合格时，影响正常施工的费用由承包人承担。除此之外影响正常施工的追加合同价款由发包人承担，相应顺延工期。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16.4 因工程师指令失误或其他非承包人原因发生的追加合同价款，由发包人承担。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17、隐蔽工程和中间验收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17.1 工程具备隐蔽条件或达到专用条款约定的中间验收部位，承包人进行自检，并在隐蔽或中间验收前48小时以书面形式通知工程师验收。通知包括隐蔽和中间验收的内容、验收时间和地点。承包人准备验收记录，验收合格，</w:t>
      </w:r>
      <w:r>
        <w:rPr>
          <w:rFonts w:hint="eastAsia" w:ascii="宋体" w:hAnsi="宋体"/>
          <w:color w:val="auto"/>
          <w:spacing w:val="4"/>
          <w:sz w:val="21"/>
          <w:szCs w:val="21"/>
          <w:highlight w:val="none"/>
        </w:rPr>
        <w:t>工程师在验收记录上签字后，承包人可进行隐蔽和继续施工。验收不合格</w:t>
      </w:r>
      <w:r>
        <w:rPr>
          <w:rFonts w:hint="eastAsia" w:ascii="宋体" w:hAnsi="宋体"/>
          <w:color w:val="auto"/>
          <w:sz w:val="21"/>
          <w:szCs w:val="21"/>
          <w:highlight w:val="none"/>
        </w:rPr>
        <w:t xml:space="preserve">，承包人在工程师限定的时间内修改后重新验收。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17.2 工程师不能按时进行验收，应在验收前24小时以书面形式向承包人提出延期要求，延期不能超过48小时。工程师未能按以上时间提出延期要求，不进行验收，承包人可自行组织验收，工程师应承认验收记录。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17.3 经工程师验收，工程质量符合标准、规范和设计图纸等要求，验收24</w:t>
      </w:r>
      <w:r>
        <w:rPr>
          <w:rFonts w:hint="eastAsia" w:ascii="宋体" w:hAnsi="宋体"/>
          <w:color w:val="auto"/>
          <w:spacing w:val="4"/>
          <w:sz w:val="21"/>
          <w:szCs w:val="21"/>
          <w:highlight w:val="none"/>
        </w:rPr>
        <w:t>小时后，工程师不在验收记录上签字，视为工程师已经认可验收记录，承包</w:t>
      </w:r>
      <w:r>
        <w:rPr>
          <w:rFonts w:hint="eastAsia" w:ascii="宋体" w:hAnsi="宋体"/>
          <w:color w:val="auto"/>
          <w:sz w:val="21"/>
          <w:szCs w:val="21"/>
          <w:highlight w:val="none"/>
        </w:rPr>
        <w:t xml:space="preserve">人可进行隐蔽或继续施工。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18、重新检验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19、工程试车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19.1 双方约定需要试车的，试车内容应与承包人承包的安装范围相一致。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19.3 工程师不能按时参加试车，须在开始试车前24小时以书面形式向承包人提出延期要求，延期不能超过48小时。工程师未能按以上时间提出延期要求，不参加试车，应承认试车记录。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19.4 设备安装工程具备无负荷联动试车条件，发包人组织试车，并在试车前48小时以书面形式通知承包人。通知包括试车内容、时间、地点和对承包人的要求，承包人按要求做好准备工作。试车合格，双方在试车记录上签字。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19.5双方责任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 由于设计原因试车达不到验收要求，发包人应要求设计单位修改设计，承包人按修改后的设计重新安装。发包人承担修改设计、拆除及重新安装的全部费用和追加合同价款，工期相应顺延。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 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 由于承包人施工原因试车达不到验收要求，承包人按工程师要求重新安装和试车，并承担重新安装和试车的费用，工期不予顺延。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(4) 试车费用除已包括在合同价款之内或专用条款另有约定外，均由发包人承担。</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(5) 工程师在试车合格后不在试车记录上签字，试车结束24小时后，视为工程师已经认可试车记录，承包人可继续施工或办理竣工手续。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19.6 投料试车应在工程竣工验收后由发包人负责，如发包人要求在工程竣工验收前进行或需要承包人配合时，应征得承包人同意，另行签订补充协议。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五、安全施工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20、安全施工与检查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20.1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20.2发包人应对其在施工场地的工作人员进行安全教育，并对他们的安全负责。发包人不得要求承包人违反安全管理的规定进行施工。因发包人原因导致的安全事故，由发包人承担相应责任及发生的费用。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21、安全防护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21.1承包人在动力设备、输电线路、地下管道、密封防震车间、易燃易爆地段以及临街交通要道附近施工时，施工开始前应向工程师提出安全防护措施，经工程师认可后实施，防护措施费用由发包人承担。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21.2实施爆破作业，在放射、毒害性环境中施工（含储存、运输、使用）及使用毒害性、腐蚀性物品施工时，承包人应在施工前14天以书面形式通知工</w:t>
      </w:r>
      <w:r>
        <w:rPr>
          <w:rFonts w:hint="eastAsia" w:ascii="宋体" w:hAnsi="宋体"/>
          <w:color w:val="auto"/>
          <w:spacing w:val="2"/>
          <w:sz w:val="21"/>
          <w:szCs w:val="21"/>
          <w:highlight w:val="none"/>
        </w:rPr>
        <w:t>程师，并提出相应的安全防护措施，经工程师认可后实施,由发包人承担安全</w:t>
      </w:r>
      <w:r>
        <w:rPr>
          <w:rFonts w:hint="eastAsia" w:ascii="宋体" w:hAnsi="宋体"/>
          <w:color w:val="auto"/>
          <w:sz w:val="21"/>
          <w:szCs w:val="21"/>
          <w:highlight w:val="none"/>
        </w:rPr>
        <w:t xml:space="preserve">防护措施费用。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22、事故处理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22.1发生重大伤亡及其他安全事故，承包人应按有关规定立即上报有关部门并通知工程师，同时按政府有关部门要求处理，由事故责任方承担发生的费用。</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22.2发包人承包人对事故责任有争议时，应按政府有关部门的认定处理。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六、合同价款与支付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23、合同价款及调整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23.1招标工程的合同价款由发包人承包人依据中标通知书中的中标价格在协议书内约定。非招标工程的合同价款由发包人承包人依据工程预算书在协议书内约定。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23.2合同价款在协议书内约定后，任何一方不得擅自改变。下列三种确定合同价款的方式，双方可在专用条款内约定采用其中一种：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 固定价格合同。双方在专用条款内约定合同价款包含的风险范围和风险费用的计算方法，在约定的风险范围内合同价款不再调整。风险范围以外的合同价款调整方法，应当在专用条款内约定。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 可调价格合同。合同价款可根据双方的约定而调整，双方在专用条款内约定合同价款调整方法。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 成本加酬金合同。合同价款包括成本和酬金两部分，双方在专用条款内约定成本构成和酬金的计算方法。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23.3可调价格合同中合同价款的调整因素包括：</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 法律、行政法规和国家有关政策变化影响合同价款；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 工程造价管理部门公布的价格调整；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 一周内非承包人原因停水、停电、停气造成的停工累计超过8小时；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(4) 双方约定的其他因素。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23.4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24、工程预付款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实行工程预付款的，双方应当在专用条款内约定发包人向承包人预付工程款的时间和数额，开工后按约定的时间和比例逐次扣回。预付时间应不迟于约定的开工日期前7天。发包人不按约定预付，承包人在约定预付时间7天后向发包人发出要求预付的通知，发包人收到通知后仍不能按要求预付，承包人可在发出通告后7天停止施工，发包人应从约定应付之日起向承包人支付应付款的贷款利息，并承担违约责任。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25、工程量的确认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25.1 承包人应按专用条款约定的时间，向工程师提交已完工程量的报告。工程师接到报告后7天内按设计图纸核实已完工程量（以下称计量），并在计量前24小时通知承包人，承包人应为计量提供便利条件并派人参加。承包人收到通知后不参加计量，计量结果有效，作为工程价款支付的依据。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25.2 工程师收到承包人报告后7天内未进行计量，从第8天起，承包人报告中开列的工程量即视为被确认，作为工程价款支付的依据。工程师不按约定时间通知承包人，致使承包人未能参加计量，计量结果无效。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25.3对承包人超出设计图纸范围和因承包人原因造成返工的工程量，工程师不予计量。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26、工程款（进度款）支付。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26.1 在确认计量结果后14天内，发包人应向承包人支付工程款（进度款）。按约定时间发包人应扣回的预付款，与工程款（进度款）同期结算。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26.2 本通用条款第23条确定调整的合同价款，第31条工程变更调整的合同价款及其他条款中约定的追加合同价款，应与工程款（进度款）同期调整支付。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26.4 发包人不按合同约定支付工程款（进度款），双方又未达成延期付款协议，导致施工无法进行，承包人可停止施工，由发包人承担违约责任。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七、材料设备供应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27、发包人供应材料设备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27.1 实行发包人供应材料设备的，双方应当约定发包人供应材料设备的一览表，作为本合同附件（附件2）。一览表包括发包人供应材料设备的品种、规格、型号、数量、单价、质量等级、提供时间和地点。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27.2 发包人按一览表约定的内容提供材料设备，并向承包人提供产品合格证明，对其质量负责。发包人在所供材料设备到货前24小时，以书面形式通知承包人，由承包人派人与发包人共同清点。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27.3 发包人供应的材料设备，承包人派人参加清点后由承包人妥善保管，发包人支付相应保管费用。因承包人原因发生丢失损坏，由承包人负责赔偿。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发包人未通知承包人清点，承包人不负责材料设备的保管，丢失损坏由发包人负责。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27.4发包人供应的材料设备与一览表不符时，发包人承担有关责任。发包人应承担责任的具体内容，双方根据下列情况在专用条款内约定。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 材料设备单价与一览表不符，由发包人承担所有价差；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 材料设备的品种、规格、型号、质量等级与一览表不符，承包人可拒绝接收保管，由发包人运出施工场地并重新采购；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 发包人供应的材料规格、型号与一览表不符，经发包人同意，承包人可代为调剂串换，由发包人承担相应费用；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(4) 到货地点与一览表不符，由发包人负责运至一览表指定地点：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(5) 供应数量少于一览表约定的数量时，由发包人补齐，多于一览表约定数量时，发包人负责将多出部分运出施工场地；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(6) 到货时间早于一览表约定时间，由发包人承担因此发生的保管费用；到货时间迟于一览表约定的供应时间，发包人赔偿由此造成的承包人损失，造成工期延误的，相应顺延工期。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27.5发包人供应的材料设备使用前，由承包人负责检验或试验，不合格的不得使用，检验或试验费用由发包人承担。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27.6发包人供应材料设备的结算方法，双方在专用条款内约定。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28、承包人采购材料设备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28.1 承包人负责采购材料设备的，应按照专用条款约定及设计和有关标准要求采购，并提供产品合格证明，对材料设备质量负责。承包人在材料设备到货前24小时通知工程师清点。</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28.2</w:t>
      </w:r>
      <w:r>
        <w:rPr>
          <w:rFonts w:hint="eastAsia" w:ascii="宋体" w:hAnsi="宋体"/>
          <w:color w:val="auto"/>
          <w:spacing w:val="8"/>
          <w:sz w:val="21"/>
          <w:szCs w:val="21"/>
          <w:highlight w:val="none"/>
        </w:rPr>
        <w:t xml:space="preserve"> 承包人采购的材料设备与设计或标准要求不符时，承包人应按工程师要</w:t>
      </w:r>
      <w:r>
        <w:rPr>
          <w:rFonts w:hint="eastAsia" w:ascii="宋体" w:hAnsi="宋体"/>
          <w:color w:val="auto"/>
          <w:sz w:val="21"/>
          <w:szCs w:val="21"/>
          <w:highlight w:val="none"/>
        </w:rPr>
        <w:t xml:space="preserve">求的时间运出施工场地，重新采购符合要求的产品，承担由此发生的费用，由此延误的工期不予顺延。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28.3 承包人采购的材料设备在使用前，承包人应按工程师的要求进行检验或试验，不合格的不得使用，检验或试验费用由承包人承担。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28.4 工程师发现承包人采购并使用不符合设计或标准要求的材料设备时，应要求由承包人负责修复、拆除或重新采购，并承担发生的费用，由此延误的工期不予顺延。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28.5 承包人需要使用代用材料时，应经工程师认可后才能使用，由此增减的合同价款双方以书面形式议定。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28.6 由承包人采购的材料设备，发包人不得指定生产厂或供应商。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八、工程变更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29、工程设计变更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 更改工程有关部分的标高、基线、位置和尺寸；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 增减合同中约定的工程量；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 改变有关工程的施工时间和顺序；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(4) 其他有关工程变更需要的附加工作。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因变更导致合同价款的增减及造成的承包人损失，由发包人承担，延误的工期相应顺延。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29.2施工中承包人不得对原工程设计进行变更。因承包人擅自变更设计发生的费用和由此导致发包人的直接损失，由承包人承担，延误的工期不予顺延。</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29.3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工程师同意采用承包人合理化建议，所发生的费用和获得的收益，发包人承包人另行约定分担或分享。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30、其他变更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合同履行中发包人要求变更工程质量标准及发生其他实质性变更，由双方协商解决。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31、确定变更价款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31.1承包人在工程变更确定后14天内，提出变更工程价款的报告，经工程师确认后调整合同价款。变更合同价款按下列方法进行：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 合同中已有适用于变更工程的价格，按合同已有的价格变更合同价款；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 合同中只有类似于变更工程的价格，可以参照类似价格变更合同价款；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 合同中没有适用或类似于变更工程的价格，由承包人提出适当的变更价格，经工程师确认后执行。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31.2承包人在双方确定变更后14天内不向工程师提出变更工程价款报告时，视为该项变更不涉及合同价款的变更。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31.3工程师应在收到变更工程价款报告之日起14天内予以确认，工程师无正当理由不确认时，自变更工程价款报告送达之日起14天后视为变更工程价款报告已被确认。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31.4工程师不同意承包人提出的变更价款，按本通用条款第37条关于争议的约定处理。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31.5工程师确认增加的工程变更价款作为追加合同价款，与工程款同期支付。</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31.6因承包人自身原因导致的工程变更，承包人无权要求追加合同价款。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九、竣工验收与结算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32、竣工验收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32.1 工程具备竣工验收条件，承包人按国家工程竣工验收有关规定，向发包人提供完整竣工资料及竣工验收报告。双方约定由承包人提供竣工图的，应当在专用条款内约定提供的日期和份数。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32.2 发包人收到竣工验收报告后28天内组织有关单位验收，并在验收后14天内给予认可或提出修改意见。承包人按要求修改，并承担由自身原因造成修改的费用。</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32.3 发包人收到承包人送交的竣工验收报告后28天内不组织验收，或验收后14天内不提出修改意见，视为竣工验收报告已被认可。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32.4 工程竣工验收通过，承包人送交竣工验收报告的日期为实际竣工日期。工程按发包人要求修改后通过竣工验收的，实际竣工日期为承包人修改后提请发包人验收的日期。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32.5 发包人收到承包人竣工验收报告后28天内不组织验收，从第29天起承担工程保管及一切意外责任。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32.6 中间交工工程的范围和竣工时间，双方在专用条款内约定，其验收程序按本通用条款32.1款至32.4款办理。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32.7 因特殊原因，发包人要求部分单位工程或工程部位甩项竣工的，双方另行签订甩项竣工协议，明确双方责任和工程价款支付方法。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32.8 工程未经竣工验收或竣工验收未通过的，发包人不得使用。发包人强行使用时，由此发生的质量问题及其他问题，由发包人承担责任。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33、竣工结算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33.1 工程竣工验收报告经发包人认可后28天内，承包人向发包人递交竣工结算报告及完整的结算资料，双方按照协议书约定的合同价款及专用条款约定的合同价款调整内容，进行工程竣工结算。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33.2 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33.3 发包人收到竣工结算报告及结算资料后28天内无正当理由不支付工程竣工结算价款，从第29天起按承包人同期向银行贷款利率支付拖欠工程价款的利息，并承担违约责任。</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33.4 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33.5 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33.6 发包人承包人对工程竣工结算价款发生争议时，按本通用条款37条关于争议的约定处理。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34、质量保修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34.1 承包人应按法律、行政法规或国家关于工程质量保修的有关规定，对交付发包人使用的工程在质量保修期内承担质量保修责任。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34.2 质量保修工作的实施。承包人应在工程竣工验收之前，与发包人签订质量保修书，作为本合同附件（附件3）。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34.3 质量保修书的主要内容包括：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 质量保修项目内容及范围；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 质量保修期；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 质量保修责任；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(4) 质量保修金的支付方法。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十、违约、索赔和争议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35、违约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35.1发包人违约。当发生下列情况时：</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 本通用条款第24条提到的发包人不按时支付工程预付款；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 本通用条款第26.4款提到的发包人不按合同约定支付工程款，导致施工无法进行；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(3) 本通用条款第33.3款提到的发包人无正当理由不支付工程竣工结算价款；</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(4) 发包人不履行合同义务或不按合同约定履行义务的其他情况。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发包人承担违约责任，赔偿因其违约给承包人造成的经济损失，顺延延误的工期。双方在专用条款内约定发包人赔偿承包人损失的计算方法或者发包人应当支付违约金的数额或计算方法。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35.2承包人违约。当发生下列情况时：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 本通用条款第14.2款提到的因承包人原因不能按照协议书约定的竣工日期或工程师同意顺延的工期竣工；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 本通用条款第15.1款提到的因承包人原因工程质量达不到协议书约定的质量标准；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 承包人不履行合同义务或不按合同约定履行义务的其他情况。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承包人承担违约责任，赔偿因其违约给发包人造成的损失。双方在专用条款内约定承包人赔偿发包人损失的计算方法或者承包人应当支付违约金的数额或计算方法。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35.3一方违约后，另一方要求违约方继续履行合同时，违约方承担上述违约责任后仍应继续履行合同。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36、索赔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36.1当一方向另一方提出索赔时，要有正当索赔理由，且有索赔事件发生时的有效证据。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36.2发包人未能按合同约定履行自己的各项义务或发生错误以及应由发包人承担责任的其他情况，造成工期延误和（或）承包人不能及时得到合同价款及承包人的其他经济损失，承包人可按下列程序以书面形式向发包人索赔：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 索赔事件发生后28天内，向工程师发出索赔意向通知；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 发出索赔意向通知后28天内，向工程师提出延长工期和（或）补偿经济损失的索赔报告及有关资料；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 工程师在收到承包人送交的索赔报告及有关资料后，于28天内给予答复，或要求承包人进一步补充索赔理由和证据；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(4) 工程师在收到承包人送交的索赔报告和有关资料后28天内未予答复或未对承包人作进一步要求，视为该项索赔已经认可；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(5) 当该索赔事件持续进行时，承包人应当阶段性向工程师发出索赔意向，在索赔事件终了后28天内，向工程师送交索赔的有关资料和最终索赔报告。索赔答复程序与（3）、（4）规定相同。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36.3承包人未能按合同约定履行自己的各项义务或发生错误，给发包人造成经济损失，发包人可按36.2款确定的时限向承包人提出索赔。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37、争议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37.1发包人承包人在履行合同时发生争议，可以和解或者要求有关主管部门调解。当事人不愿和解、调解或者和解、调解不成的，双方可以在专用条款内约定以下一种方式解决争议：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第一种解决方式：双方达成仲裁协议，向约定的仲裁委员会申请仲裁；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第二种解决方式：向有管辖权的人民法院起诉。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37.2发生争议后，除非出现下列情况的，双方都应继续履行合同，保持施工连续，保护好已完工程：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 单方违约导致合同确已无法履行，双方协议停止施工；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 调解要求停止施工，且为双方接受；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 仲裁机构要求停止施工；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(4) 法院要求停止施工。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十一、其他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38、工程分包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38.1 承包人按专用条款的约定分包所承包的部分工程，并与分包单位签订分包合同。非经发包人同意，承包人不得将承包工程的任何部分分包。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38.2 承包人不得将其承包的全部工程转包给他人，也不得将其承包的全部工程肢解以后以分包的名义分别转包给他人。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38.3 工程分包不能解除承包人任何责任与义务。承包人应在分包场地派驻相应管理人员，保证本合同的履行。分包单位的任何违约行为或疏忽导致工程损害或给发包人造成其他损失，承包人承担连带责任。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38.4分包工程价款由承包人与分包单位结算。发包人未经承包人同意不得以任何形式向分包单位支付各种工程款项。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39、不可抗力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39.1 不可抗力包括因战争、动乱、空中飞行物体坠落或其他非发包人承包人责任造成的爆炸、火灾，以及专用条款约定的风、雨、雪、洪、震等自然灾害。</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39.2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39.3 因不可抗力事件导致的费用及延误的工期由双方按以下方法分别承担：</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 工程本身的损害、因工程损害导致第三人人员伤亡和财产损失以及运至施工场地用于施工的材料和待安装的设备的损害，由发包人承担；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 发包人承包人人员伤亡由其所在单位负责，并承担相应费用；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(3) 承包人机械设备损坏及停工损失，由承包人承担；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(4) 停工期间，承包人应工程师要求留在施工场地的必要的管理人员及保卫人员的费用由发包人承担；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(5) 工程所需清理、修复费用，由发包人承担；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(6) 延误的工期相应顺延。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39.4因合同一方迟延履行合同后发生不可抗力的，不能免除迟延履行方的相应责任。</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40、保险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40.1工程开工前，发包人为建设工程和施工场地内的自有人员及第三人人员生命财产办理保险，支付保险费用。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40.2运至施工场内用于工程的材料和待安装设备，由发包人办理保险，并支付保险费用。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40.3发包人可以将有关保险事项委托承包人办理，费用由发包人承担。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40.4承包人必须为从事危险作业的职工办理意外伤害保险，并为施工场地内自有人员生命财产和施工机械设备办理保险，支付保险费用。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40.5保险事故发生时，发包人承包人有责任尽力采取必要的措施，防止或者减少损失。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40.6具体投保内容和相关责任，发包人承包人在专用条款中约定。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41、担保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41.1发包人、承包人为了全面履行合同，应互相提供以下担保：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 发包人向承包人提供履约担保，按合同约定支付工程价款及履行合同约定的其他义务。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(2) 承包人向发包人提供履约担保，按合同约定履行自己的各项义务。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41.2 一方违约后，另一方可要求提供担保的第三人承担相应责任。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41.3 提供担保的内容、方式和相关责任，发包人承包人除在专用条款中约定外，被担保方与担保方还应签订担保合同，作为本合同附件。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42、专利技术及特殊工艺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42.1 发包人要求使用专利技术或特殊工艺，应负责办理相应的申报手续，承担申报、试验、使用等费用；承包人提出使用专利技术或特殊工艺，应取得工程师认可，承包人负责办理申报手续并承担有关费用。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42.2 擅自使用专利技术侵犯他人专利权的，责任者依法承担相应责任。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43、文物和地下障碍物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43.1 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如发现后隐瞒不报，致使文物遭受破坏，责任者依法承担相应责任。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43.2 施工中发现影响施工的地下障碍物时，承包人应于8小时内以书面形式通知工程师，同时提出</w:t>
      </w:r>
      <w:r>
        <w:rPr>
          <w:rFonts w:ascii="宋体" w:hAnsi="宋体"/>
          <w:color w:val="auto"/>
          <w:sz w:val="21"/>
          <w:szCs w:val="21"/>
          <w:highlight w:val="none"/>
        </w:rPr>
        <w:t>处置</w:t>
      </w:r>
      <w:r>
        <w:rPr>
          <w:rFonts w:hint="eastAsia" w:ascii="宋体" w:hAnsi="宋体"/>
          <w:color w:val="auto"/>
          <w:sz w:val="21"/>
          <w:szCs w:val="21"/>
          <w:highlight w:val="none"/>
        </w:rPr>
        <w:t>方案，工程师收到</w:t>
      </w:r>
      <w:r>
        <w:rPr>
          <w:rFonts w:ascii="宋体" w:hAnsi="宋体"/>
          <w:color w:val="auto"/>
          <w:sz w:val="21"/>
          <w:szCs w:val="21"/>
          <w:highlight w:val="none"/>
        </w:rPr>
        <w:t>处置</w:t>
      </w:r>
      <w:r>
        <w:rPr>
          <w:rFonts w:hint="eastAsia" w:ascii="宋体" w:hAnsi="宋体"/>
          <w:color w:val="auto"/>
          <w:sz w:val="21"/>
          <w:szCs w:val="21"/>
          <w:highlight w:val="none"/>
        </w:rPr>
        <w:t>方案后24小时内予以认可或提出修正方案。发包人承担由此发生的费用，顺延延误的工期。</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所发现的地下障碍物有归属单位时，发包人应报请有关部门协同处置。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44、合同解除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44.1 发包人承包人协商一致，可以解除合同。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44.2 发生本通用条款第26.4款情况，停止施工超过56天，发包人仍不支付工程款（进度款），承包人有权解除合同。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44.3 发生本通用条款第38.2款禁止的情况，承包人将其承包的全部工程转包给他人或者肢解以后以分包的名义分别转包给他人，发包人有权解除合同。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44.4 有下列情形之一的，发包人承包人可以解除合同：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(1) 因不可抗力致使合同无法履行；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(2) 因一方违约（包括因发包人原因造成工程停建或缓建）致使合同无法履行。</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44.5一方依据44.2、44.3、44.4款约定要求解除合同的，应以书面形式向对方发出解除合同的通知，并在发出通知前7天告知对方，通知到达对方时合同解除。对解除合同有争议的，按本通用条款第37条关于争议的约定处理。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44.6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44.7合同解除后，不影响双方在合同中约定的结算和清理条款的效力。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45、合同生效与终止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45.1双方在协议书中约定合同生效方式。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45.2除本通用条款第34条外，发包人承包人履行合同全部义务，竣工结算价款支付完毕，承包人向发包人交付竣工工程后，本合同即告终止。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45.3合同的权利义务终止后，发包人承包人应当遵循诚实信用原则，履行通知、协助、保密等义务。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46、合同份数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46.1本合同正本两份，具有同等效力，由发包人承包人分别保存一份。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46.2本合同副本份数，由双方根据需要在专用条款内约定。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 xml:space="preserve">47、补充条款 </w:t>
      </w:r>
    </w:p>
    <w:p>
      <w:pPr>
        <w:spacing w:line="40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双方根据有关法律、行政法规规定，结合工程实际，经协商一致后，可对本通用条款内容具体化，补充或修改，在专用条款内约定。</w:t>
      </w:r>
    </w:p>
    <w:p>
      <w:pPr>
        <w:spacing w:line="500" w:lineRule="exact"/>
        <w:jc w:val="center"/>
        <w:rPr>
          <w:rFonts w:ascii="宋体" w:hAnsi="宋体"/>
          <w:b/>
          <w:color w:val="auto"/>
          <w:sz w:val="28"/>
          <w:szCs w:val="28"/>
          <w:highlight w:val="none"/>
        </w:rPr>
      </w:pPr>
      <w:r>
        <w:rPr>
          <w:rFonts w:hint="eastAsia" w:ascii="宋体" w:hAnsi="宋体"/>
          <w:color w:val="auto"/>
          <w:sz w:val="21"/>
          <w:highlight w:val="none"/>
        </w:rPr>
        <w:br w:type="page"/>
      </w:r>
      <w:r>
        <w:rPr>
          <w:rFonts w:hint="eastAsia" w:ascii="宋体" w:hAnsi="宋体"/>
          <w:b/>
          <w:color w:val="auto"/>
          <w:sz w:val="28"/>
          <w:szCs w:val="28"/>
          <w:highlight w:val="none"/>
        </w:rPr>
        <w:t>第三部分  专用条款</w:t>
      </w:r>
    </w:p>
    <w:p>
      <w:pPr>
        <w:snapToGrid w:val="0"/>
        <w:spacing w:line="500" w:lineRule="exact"/>
        <w:ind w:firstLine="397"/>
        <w:rPr>
          <w:rFonts w:ascii="宋体" w:hAnsi="宋体"/>
          <w:b/>
          <w:color w:val="auto"/>
          <w:sz w:val="24"/>
          <w:highlight w:val="none"/>
        </w:rPr>
      </w:pPr>
    </w:p>
    <w:p>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一、词语定义及合同文件</w:t>
      </w:r>
    </w:p>
    <w:p>
      <w:pPr>
        <w:snapToGrid w:val="0"/>
        <w:spacing w:line="440" w:lineRule="exact"/>
        <w:ind w:firstLine="482" w:firstLineChars="200"/>
        <w:rPr>
          <w:rFonts w:ascii="宋体" w:hAnsi="宋体" w:cs="宋体"/>
          <w:color w:val="auto"/>
          <w:sz w:val="24"/>
          <w:highlight w:val="none"/>
        </w:rPr>
      </w:pPr>
      <w:r>
        <w:rPr>
          <w:rFonts w:ascii="宋体" w:hAnsi="宋体" w:cs="宋体"/>
          <w:b/>
          <w:bCs/>
          <w:color w:val="auto"/>
          <w:sz w:val="24"/>
          <w:highlight w:val="none"/>
        </w:rPr>
        <w:t>1.词语定义</w:t>
      </w:r>
      <w:r>
        <w:rPr>
          <w:rFonts w:ascii="宋体" w:hAnsi="宋体" w:cs="宋体"/>
          <w:color w:val="auto"/>
          <w:sz w:val="24"/>
          <w:highlight w:val="none"/>
        </w:rPr>
        <w:t xml:space="preserve"> </w:t>
      </w:r>
    </w:p>
    <w:p>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1.6 </w:t>
      </w:r>
      <w:r>
        <w:rPr>
          <w:rFonts w:hint="eastAsia" w:ascii="宋体" w:hAnsi="宋体" w:cs="宋体"/>
          <w:color w:val="auto"/>
          <w:sz w:val="24"/>
          <w:highlight w:val="none"/>
        </w:rPr>
        <w:t>设计单位</w:t>
      </w:r>
    </w:p>
    <w:p>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本合同工程的设计单位是：</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1.7 </w:t>
      </w:r>
      <w:r>
        <w:rPr>
          <w:rFonts w:hint="eastAsia" w:ascii="宋体" w:hAnsi="宋体" w:cs="宋体"/>
          <w:color w:val="auto"/>
          <w:sz w:val="24"/>
          <w:highlight w:val="none"/>
        </w:rPr>
        <w:t>监理单位</w:t>
      </w:r>
    </w:p>
    <w:p>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本合同工程的监理单位是：</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1.24招标控制价：指</w:t>
      </w:r>
      <w:r>
        <w:rPr>
          <w:rFonts w:hint="eastAsia" w:ascii="宋体" w:hAnsi="宋体" w:cs="宋体"/>
          <w:color w:val="auto"/>
          <w:sz w:val="24"/>
          <w:highlight w:val="none"/>
        </w:rPr>
        <w:t>经招标人确定的最高投标限价，并在广州公共资源交易中心开发区、黄埔区交易部公示。</w:t>
      </w:r>
    </w:p>
    <w:p>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1.25中标下浮率：中标下浮率=（1-中标价格</w:t>
      </w:r>
      <w:r>
        <w:rPr>
          <w:rFonts w:hint="eastAsia" w:ascii="宋体" w:hAnsi="宋体" w:cs="宋体"/>
          <w:color w:val="auto"/>
          <w:sz w:val="24"/>
          <w:highlight w:val="none"/>
        </w:rPr>
        <w:t>÷招标控制价）×</w:t>
      </w:r>
      <w:r>
        <w:rPr>
          <w:rFonts w:ascii="宋体" w:hAnsi="宋体" w:cs="宋体"/>
          <w:color w:val="auto"/>
          <w:sz w:val="24"/>
          <w:highlight w:val="none"/>
        </w:rPr>
        <w:t>100%,</w:t>
      </w:r>
      <w:r>
        <w:rPr>
          <w:rFonts w:hint="eastAsia" w:ascii="宋体" w:hAnsi="宋体" w:cs="宋体"/>
          <w:color w:val="auto"/>
          <w:sz w:val="24"/>
          <w:highlight w:val="none"/>
        </w:rPr>
        <w:t>式中的中标价格及招标控制价均不含不可竞争的绿色施工安全防护措施费及暂列金额。</w:t>
      </w:r>
    </w:p>
    <w:p>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1.26工人工资比例=中标</w:t>
      </w:r>
      <w:r>
        <w:rPr>
          <w:rFonts w:hint="eastAsia" w:ascii="宋体" w:hAnsi="宋体" w:cs="宋体"/>
          <w:color w:val="auto"/>
          <w:sz w:val="24"/>
          <w:highlight w:val="none"/>
        </w:rPr>
        <w:t>的人工费金额÷中标价格，本项目工人工资比例为：</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pPr>
        <w:snapToGrid w:val="0"/>
        <w:spacing w:line="440" w:lineRule="exact"/>
        <w:ind w:firstLine="482" w:firstLineChars="200"/>
        <w:rPr>
          <w:rFonts w:ascii="宋体" w:hAnsi="宋体" w:cs="宋体"/>
          <w:b/>
          <w:color w:val="auto"/>
          <w:sz w:val="24"/>
          <w:highlight w:val="none"/>
        </w:rPr>
      </w:pPr>
      <w:r>
        <w:rPr>
          <w:rFonts w:ascii="宋体" w:hAnsi="宋体" w:cs="宋体"/>
          <w:b/>
          <w:color w:val="auto"/>
          <w:sz w:val="24"/>
          <w:highlight w:val="none"/>
        </w:rPr>
        <w:t>2</w:t>
      </w:r>
      <w:r>
        <w:rPr>
          <w:rFonts w:hint="eastAsia" w:ascii="宋体" w:hAnsi="宋体" w:cs="宋体"/>
          <w:b/>
          <w:color w:val="auto"/>
          <w:sz w:val="24"/>
          <w:highlight w:val="none"/>
        </w:rPr>
        <w:t>、合同文件及解释顺序</w:t>
      </w:r>
    </w:p>
    <w:p>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2.1合同文件组成及解释顺序：</w:t>
      </w:r>
      <w:r>
        <w:rPr>
          <w:rFonts w:ascii="宋体" w:hAnsi="宋体" w:cs="宋体"/>
          <w:color w:val="auto"/>
          <w:sz w:val="24"/>
          <w:highlight w:val="none"/>
          <w:u w:val="single"/>
        </w:rPr>
        <w:t>1</w:t>
      </w:r>
      <w:r>
        <w:rPr>
          <w:rFonts w:hint="eastAsia" w:ascii="宋体" w:hAnsi="宋体" w:cs="宋体"/>
          <w:color w:val="auto"/>
          <w:sz w:val="24"/>
          <w:highlight w:val="none"/>
          <w:u w:val="single"/>
        </w:rPr>
        <w:t>、本合同履行期间发包人与承包人双方签订的补充合同（协议）或修正文件；</w:t>
      </w:r>
      <w:r>
        <w:rPr>
          <w:rFonts w:ascii="宋体" w:hAnsi="宋体" w:cs="宋体"/>
          <w:color w:val="auto"/>
          <w:sz w:val="24"/>
          <w:highlight w:val="none"/>
          <w:u w:val="single"/>
        </w:rPr>
        <w:t>2、本合同协议书；3、国家、广东省、广州市、广州开发区黄埔区关于本工程施工的有关文件（发包人在收到后尽快通报给承包人）；4、建设业主针对本工程建设管理的各项制度、规定；5、中标通知书；6、本合同专用条款；7、招标文件及附件（包括补充、修改、澄清文件及答疑纪要等）； 8、本合同通用条款；9、投标文件及附件；10、标准、规范和其他有关技术文件；11、图纸；12、工程量清单；13、合同附件（工程质量保修责任书、标函承诺书、项目负责人驻场承诺书、工程建设廉政协议书等）。</w:t>
      </w:r>
    </w:p>
    <w:p>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3</w:t>
      </w:r>
      <w:r>
        <w:rPr>
          <w:rFonts w:hint="eastAsia" w:ascii="宋体" w:hAnsi="宋体" w:cs="宋体"/>
          <w:b/>
          <w:color w:val="auto"/>
          <w:sz w:val="24"/>
          <w:highlight w:val="none"/>
        </w:rPr>
        <w:t>、语言文字和适用法律、标准及规范</w:t>
      </w:r>
    </w:p>
    <w:p>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 xml:space="preserve">3.1 </w:t>
      </w:r>
      <w:r>
        <w:rPr>
          <w:rFonts w:hint="eastAsia" w:ascii="宋体" w:hAnsi="宋体" w:cs="宋体"/>
          <w:color w:val="auto"/>
          <w:sz w:val="24"/>
          <w:highlight w:val="none"/>
        </w:rPr>
        <w:t>本合同除使用汉语外，还使用</w:t>
      </w:r>
      <w:r>
        <w:rPr>
          <w:rFonts w:ascii="宋体" w:hAnsi="宋体" w:cs="宋体"/>
          <w:color w:val="auto"/>
          <w:sz w:val="24"/>
          <w:highlight w:val="none"/>
          <w:u w:val="single"/>
        </w:rPr>
        <w:t xml:space="preserve">        /         </w:t>
      </w:r>
      <w:r>
        <w:rPr>
          <w:rFonts w:hint="eastAsia" w:ascii="宋体" w:hAnsi="宋体" w:cs="宋体"/>
          <w:color w:val="auto"/>
          <w:sz w:val="24"/>
          <w:highlight w:val="none"/>
        </w:rPr>
        <w:t>语言文字。</w:t>
      </w:r>
    </w:p>
    <w:p>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 xml:space="preserve">3.2 </w:t>
      </w:r>
      <w:r>
        <w:rPr>
          <w:rFonts w:hint="eastAsia" w:ascii="宋体" w:hAnsi="宋体" w:cs="宋体"/>
          <w:color w:val="auto"/>
          <w:sz w:val="24"/>
          <w:highlight w:val="none"/>
        </w:rPr>
        <w:t>适用法律和法规</w:t>
      </w:r>
    </w:p>
    <w:p>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需要明示的法律、行政法规：</w:t>
      </w:r>
      <w:r>
        <w:rPr>
          <w:rFonts w:hint="eastAsia" w:ascii="宋体" w:hAnsi="宋体" w:cs="宋体"/>
          <w:color w:val="auto"/>
          <w:sz w:val="24"/>
          <w:highlight w:val="none"/>
          <w:u w:val="single"/>
        </w:rPr>
        <w:t>按照现行的法律、法规</w:t>
      </w:r>
      <w:r>
        <w:rPr>
          <w:rFonts w:hint="eastAsia" w:ascii="宋体" w:hAnsi="宋体" w:cs="宋体"/>
          <w:color w:val="auto"/>
          <w:sz w:val="24"/>
          <w:highlight w:val="none"/>
        </w:rPr>
        <w:t>。</w:t>
      </w:r>
    </w:p>
    <w:p>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 xml:space="preserve">3.3 </w:t>
      </w:r>
      <w:r>
        <w:rPr>
          <w:rFonts w:hint="eastAsia" w:ascii="宋体" w:hAnsi="宋体" w:cs="宋体"/>
          <w:color w:val="auto"/>
          <w:sz w:val="24"/>
          <w:highlight w:val="none"/>
        </w:rPr>
        <w:t>适用标准、规范</w:t>
      </w:r>
    </w:p>
    <w:p>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适用标准、规范的名称：</w:t>
      </w:r>
      <w:r>
        <w:rPr>
          <w:rFonts w:hint="eastAsia" w:ascii="宋体" w:hAnsi="宋体" w:cs="宋体"/>
          <w:color w:val="auto"/>
          <w:sz w:val="24"/>
          <w:highlight w:val="none"/>
          <w:u w:val="single"/>
        </w:rPr>
        <w:t>相应工种现行施工规范。</w:t>
      </w:r>
    </w:p>
    <w:p>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发包人提供标准、规范的时间：</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国内没有相应标准、规范时的约定：</w:t>
      </w:r>
      <w:r>
        <w:rPr>
          <w:rFonts w:hint="eastAsia" w:ascii="宋体" w:hAnsi="宋体" w:cs="宋体"/>
          <w:color w:val="auto"/>
          <w:sz w:val="24"/>
          <w:highlight w:val="none"/>
          <w:u w:val="single"/>
        </w:rPr>
        <w:t>按施工图纸，招标文件和广州开发区相关规定及答疑纪要的要求执行。</w:t>
      </w:r>
    </w:p>
    <w:p>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4</w:t>
      </w:r>
      <w:r>
        <w:rPr>
          <w:rFonts w:hint="eastAsia" w:ascii="宋体" w:hAnsi="宋体" w:cs="宋体"/>
          <w:b/>
          <w:color w:val="auto"/>
          <w:sz w:val="24"/>
          <w:highlight w:val="none"/>
        </w:rPr>
        <w:t>、图纸</w:t>
      </w:r>
    </w:p>
    <w:p>
      <w:pPr>
        <w:snapToGrid w:val="0"/>
        <w:spacing w:line="440" w:lineRule="exact"/>
        <w:ind w:firstLine="360" w:firstLineChars="150"/>
        <w:rPr>
          <w:rFonts w:ascii="宋体" w:hAnsi="宋体" w:cs="宋体"/>
          <w:color w:val="auto"/>
          <w:sz w:val="24"/>
          <w:highlight w:val="none"/>
          <w:u w:val="single"/>
        </w:rPr>
      </w:pPr>
      <w:r>
        <w:rPr>
          <w:rFonts w:ascii="宋体" w:hAnsi="宋体" w:cs="宋体"/>
          <w:color w:val="auto"/>
          <w:sz w:val="24"/>
          <w:highlight w:val="none"/>
        </w:rPr>
        <w:t xml:space="preserve">4.1 </w:t>
      </w:r>
      <w:r>
        <w:rPr>
          <w:rFonts w:hint="eastAsia" w:ascii="宋体" w:hAnsi="宋体" w:cs="宋体"/>
          <w:color w:val="auto"/>
          <w:sz w:val="24"/>
          <w:highlight w:val="none"/>
        </w:rPr>
        <w:t>发包人向承包人提供图纸日期和套数：</w:t>
      </w:r>
      <w:r>
        <w:rPr>
          <w:rFonts w:hint="eastAsia" w:ascii="宋体" w:hAnsi="宋体" w:cs="宋体"/>
          <w:color w:val="auto"/>
          <w:sz w:val="24"/>
          <w:highlight w:val="none"/>
          <w:u w:val="single"/>
        </w:rPr>
        <w:t>开工前提供肆套图纸。</w:t>
      </w:r>
    </w:p>
    <w:p>
      <w:pPr>
        <w:snapToGrid w:val="0"/>
        <w:spacing w:line="440" w:lineRule="exact"/>
        <w:ind w:left="997" w:leftChars="132" w:hanging="720" w:hangingChars="300"/>
        <w:rPr>
          <w:rFonts w:ascii="宋体" w:hAnsi="宋体" w:cs="宋体"/>
          <w:color w:val="auto"/>
          <w:sz w:val="24"/>
          <w:highlight w:val="none"/>
          <w:u w:val="single"/>
        </w:rPr>
      </w:pPr>
      <w:r>
        <w:rPr>
          <w:rFonts w:hint="eastAsia" w:ascii="宋体" w:hAnsi="宋体" w:cs="宋体"/>
          <w:color w:val="auto"/>
          <w:sz w:val="24"/>
          <w:highlight w:val="none"/>
        </w:rPr>
        <w:t>发包人对图纸的保密要求：</w:t>
      </w:r>
      <w:r>
        <w:rPr>
          <w:rFonts w:hint="eastAsia" w:ascii="宋体" w:hAnsi="宋体" w:cs="宋体"/>
          <w:color w:val="auto"/>
          <w:sz w:val="24"/>
          <w:highlight w:val="none"/>
          <w:u w:val="single"/>
        </w:rPr>
        <w:t>按本合同通用条款</w:t>
      </w:r>
      <w:r>
        <w:rPr>
          <w:rFonts w:hint="eastAsia" w:ascii="宋体" w:hAnsi="宋体" w:cs="宋体"/>
          <w:color w:val="auto"/>
          <w:sz w:val="24"/>
          <w:highlight w:val="none"/>
        </w:rPr>
        <w:t>。</w:t>
      </w:r>
    </w:p>
    <w:p>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使用国外图纸的要求及费用承担：</w:t>
      </w:r>
      <w:r>
        <w:rPr>
          <w:rFonts w:ascii="宋体" w:hAnsi="宋体" w:cs="宋体"/>
          <w:color w:val="auto"/>
          <w:sz w:val="24"/>
          <w:highlight w:val="none"/>
          <w:u w:val="single"/>
        </w:rPr>
        <w:t xml:space="preserve">    /    </w:t>
      </w:r>
    </w:p>
    <w:p>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二、双方一般权利和义务</w:t>
      </w:r>
    </w:p>
    <w:p>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5</w:t>
      </w:r>
      <w:r>
        <w:rPr>
          <w:rFonts w:hint="eastAsia" w:ascii="宋体" w:hAnsi="宋体" w:cs="宋体"/>
          <w:b/>
          <w:color w:val="auto"/>
          <w:sz w:val="24"/>
          <w:highlight w:val="none"/>
        </w:rPr>
        <w:t>、工程师</w:t>
      </w:r>
    </w:p>
    <w:p>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 xml:space="preserve">5.2 </w:t>
      </w:r>
      <w:r>
        <w:rPr>
          <w:rFonts w:hint="eastAsia" w:ascii="宋体" w:hAnsi="宋体" w:cs="宋体"/>
          <w:color w:val="auto"/>
          <w:sz w:val="24"/>
          <w:highlight w:val="none"/>
        </w:rPr>
        <w:t>监理单位委派的工程师</w:t>
      </w:r>
    </w:p>
    <w:p>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姓名：</w:t>
      </w:r>
      <w:r>
        <w:rPr>
          <w:rFonts w:ascii="宋体" w:hAnsi="宋体" w:cs="宋体"/>
          <w:color w:val="auto"/>
          <w:sz w:val="24"/>
          <w:highlight w:val="none"/>
          <w:u w:val="singl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职务：</w:t>
      </w:r>
      <w:r>
        <w:rPr>
          <w:rFonts w:ascii="宋体" w:hAnsi="宋体" w:cs="宋体"/>
          <w:color w:val="auto"/>
          <w:sz w:val="24"/>
          <w:highlight w:val="none"/>
          <w:u w:val="single"/>
        </w:rPr>
        <w:t xml:space="preserve"> 总监理工程师</w:t>
      </w:r>
      <w:r>
        <w:rPr>
          <w:rFonts w:hint="eastAsia" w:ascii="宋体" w:hAnsi="宋体" w:cs="宋体"/>
          <w:color w:val="auto"/>
          <w:sz w:val="24"/>
          <w:highlight w:val="none"/>
        </w:rPr>
        <w:t>。</w:t>
      </w:r>
    </w:p>
    <w:p>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发包人委托的职权：</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对本工程进行全过程的监理</w:t>
      </w:r>
      <w:r>
        <w:rPr>
          <w:rFonts w:hint="eastAsia" w:ascii="宋体" w:hAnsi="宋体" w:cs="宋体"/>
          <w:color w:val="auto"/>
          <w:sz w:val="24"/>
          <w:highlight w:val="none"/>
        </w:rPr>
        <w:t>。</w:t>
      </w:r>
    </w:p>
    <w:p>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需要取得发包人批准才能行使的职权：</w:t>
      </w:r>
      <w:r>
        <w:rPr>
          <w:rFonts w:hint="eastAsia" w:ascii="宋体" w:hAnsi="宋体" w:cs="宋体"/>
          <w:color w:val="auto"/>
          <w:sz w:val="24"/>
          <w:highlight w:val="none"/>
          <w:u w:val="single"/>
        </w:rPr>
        <w:t>按发包人与监理单位签订的监理合同有关规定执行，涉及变更签证或费用调整、发布开工、停工、复工令等均需经发包人书面认可</w:t>
      </w:r>
      <w:r>
        <w:rPr>
          <w:rFonts w:hint="eastAsia" w:ascii="宋体" w:hAnsi="宋体" w:cs="宋体"/>
          <w:color w:val="auto"/>
          <w:sz w:val="24"/>
          <w:highlight w:val="none"/>
        </w:rPr>
        <w:t>。</w:t>
      </w:r>
    </w:p>
    <w:p>
      <w:pPr>
        <w:snapToGrid w:val="0"/>
        <w:spacing w:line="440" w:lineRule="exact"/>
        <w:ind w:firstLine="397"/>
        <w:rPr>
          <w:rFonts w:ascii="宋体" w:hAnsi="宋体" w:cs="宋体"/>
          <w:color w:val="auto"/>
          <w:sz w:val="24"/>
          <w:highlight w:val="none"/>
          <w:u w:val="single"/>
        </w:rPr>
      </w:pPr>
      <w:r>
        <w:rPr>
          <w:rFonts w:hint="eastAsia" w:ascii="宋体" w:hAnsi="宋体" w:cs="宋体"/>
          <w:color w:val="auto"/>
          <w:sz w:val="24"/>
          <w:highlight w:val="none"/>
        </w:rPr>
        <w:t>义务：</w:t>
      </w:r>
      <w:r>
        <w:rPr>
          <w:rFonts w:hint="eastAsia" w:ascii="宋体" w:hAnsi="宋体" w:cs="宋体"/>
          <w:color w:val="auto"/>
          <w:sz w:val="24"/>
          <w:highlight w:val="none"/>
          <w:u w:val="single"/>
        </w:rPr>
        <w:t>常驻现场，代表监理单位履行与发包人签订的监理合同</w:t>
      </w:r>
      <w:r>
        <w:rPr>
          <w:rFonts w:hint="eastAsia" w:ascii="宋体" w:hAnsi="宋体" w:cs="宋体"/>
          <w:color w:val="auto"/>
          <w:sz w:val="24"/>
          <w:highlight w:val="none"/>
        </w:rPr>
        <w:t>。</w:t>
      </w:r>
    </w:p>
    <w:p>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 xml:space="preserve">5.3 </w:t>
      </w:r>
      <w:r>
        <w:rPr>
          <w:rFonts w:hint="eastAsia" w:ascii="宋体" w:hAnsi="宋体" w:cs="宋体"/>
          <w:color w:val="auto"/>
          <w:sz w:val="24"/>
          <w:highlight w:val="none"/>
        </w:rPr>
        <w:t>发包人派驻的工程师</w:t>
      </w:r>
    </w:p>
    <w:p>
      <w:pPr>
        <w:snapToGrid w:val="0"/>
        <w:spacing w:line="440" w:lineRule="exact"/>
        <w:ind w:firstLine="397"/>
        <w:rPr>
          <w:rFonts w:ascii="宋体" w:hAnsi="宋体" w:cs="宋体"/>
          <w:color w:val="auto"/>
          <w:sz w:val="24"/>
          <w:highlight w:val="none"/>
          <w:u w:val="single"/>
        </w:rPr>
      </w:pPr>
      <w:r>
        <w:rPr>
          <w:rFonts w:hint="eastAsia" w:ascii="宋体" w:hAnsi="宋体" w:cs="宋体"/>
          <w:color w:val="auto"/>
          <w:sz w:val="24"/>
          <w:highlight w:val="none"/>
        </w:rPr>
        <w:t>姓名：</w:t>
      </w:r>
      <w:r>
        <w:rPr>
          <w:rFonts w:ascii="宋体" w:hAnsi="宋体" w:cs="宋体"/>
          <w:color w:val="auto"/>
          <w:sz w:val="24"/>
          <w:highlight w:val="none"/>
          <w:u w:val="single"/>
        </w:rPr>
        <w:t xml:space="preserve">    </w:t>
      </w:r>
      <w:r>
        <w:rPr>
          <w:rFonts w:ascii="宋体" w:hAnsi="宋体" w:cs="宋体"/>
          <w:color w:val="auto"/>
          <w:sz w:val="24"/>
          <w:highlight w:val="none"/>
        </w:rPr>
        <w:t xml:space="preserve"> 职务：</w:t>
      </w:r>
      <w:r>
        <w:rPr>
          <w:rFonts w:hint="eastAsia" w:ascii="宋体" w:hAnsi="宋体" w:cs="宋体"/>
          <w:color w:val="auto"/>
          <w:sz w:val="24"/>
          <w:highlight w:val="none"/>
          <w:u w:val="single"/>
        </w:rPr>
        <w:t>工</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程</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师</w:t>
      </w:r>
      <w:r>
        <w:rPr>
          <w:rFonts w:hint="eastAsia" w:ascii="宋体" w:hAnsi="宋体" w:cs="宋体"/>
          <w:color w:val="auto"/>
          <w:sz w:val="24"/>
          <w:highlight w:val="none"/>
        </w:rPr>
        <w:t>。</w:t>
      </w:r>
    </w:p>
    <w:p>
      <w:pPr>
        <w:snapToGrid w:val="0"/>
        <w:spacing w:line="440" w:lineRule="exact"/>
        <w:ind w:firstLine="397"/>
        <w:rPr>
          <w:rFonts w:ascii="宋体" w:hAnsi="宋体" w:cs="宋体"/>
          <w:color w:val="auto"/>
          <w:sz w:val="24"/>
          <w:highlight w:val="none"/>
          <w:u w:val="single"/>
        </w:rPr>
      </w:pPr>
      <w:r>
        <w:rPr>
          <w:rFonts w:hint="eastAsia" w:ascii="宋体" w:hAnsi="宋体" w:cs="宋体"/>
          <w:color w:val="auto"/>
          <w:sz w:val="24"/>
          <w:highlight w:val="none"/>
        </w:rPr>
        <w:t>职权：</w:t>
      </w:r>
      <w:r>
        <w:rPr>
          <w:rFonts w:hint="eastAsia" w:ascii="宋体" w:hAnsi="宋体" w:cs="宋体"/>
          <w:color w:val="auto"/>
          <w:sz w:val="24"/>
          <w:highlight w:val="none"/>
          <w:u w:val="single"/>
        </w:rPr>
        <w:t>发包人代表，行使发包人的权利。</w:t>
      </w:r>
    </w:p>
    <w:p>
      <w:pPr>
        <w:snapToGrid w:val="0"/>
        <w:spacing w:line="440" w:lineRule="exact"/>
        <w:ind w:firstLine="397"/>
        <w:rPr>
          <w:rFonts w:ascii="宋体" w:hAnsi="宋体" w:cs="宋体"/>
          <w:color w:val="auto"/>
          <w:spacing w:val="-8"/>
          <w:sz w:val="24"/>
          <w:highlight w:val="none"/>
          <w:u w:val="single"/>
        </w:rPr>
      </w:pPr>
      <w:r>
        <w:rPr>
          <w:rFonts w:hint="eastAsia" w:ascii="宋体" w:hAnsi="宋体" w:cs="宋体"/>
          <w:color w:val="auto"/>
          <w:spacing w:val="-8"/>
          <w:sz w:val="24"/>
          <w:highlight w:val="none"/>
        </w:rPr>
        <w:t>义务：</w:t>
      </w:r>
      <w:r>
        <w:rPr>
          <w:rFonts w:hint="eastAsia" w:ascii="宋体" w:hAnsi="宋体" w:cs="宋体"/>
          <w:color w:val="auto"/>
          <w:spacing w:val="-8"/>
          <w:sz w:val="24"/>
          <w:highlight w:val="none"/>
          <w:u w:val="single"/>
        </w:rPr>
        <w:t>常驻现场，代表发包人负责工程质量、进度、技术、投资控制等施工期间的日常管理工作，履行与承包人签订的本建设工程施工合同</w:t>
      </w:r>
      <w:r>
        <w:rPr>
          <w:rFonts w:hint="eastAsia" w:ascii="宋体" w:hAnsi="宋体" w:cs="宋体"/>
          <w:color w:val="auto"/>
          <w:spacing w:val="-8"/>
          <w:sz w:val="24"/>
          <w:highlight w:val="none"/>
        </w:rPr>
        <w:t>。</w:t>
      </w:r>
    </w:p>
    <w:p>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 xml:space="preserve">5.6 </w:t>
      </w:r>
      <w:r>
        <w:rPr>
          <w:rFonts w:hint="eastAsia" w:ascii="宋体" w:hAnsi="宋体" w:cs="宋体"/>
          <w:color w:val="auto"/>
          <w:sz w:val="24"/>
          <w:highlight w:val="none"/>
        </w:rPr>
        <w:t>不实行监理的，工程师的职权：</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7</w:t>
      </w:r>
      <w:r>
        <w:rPr>
          <w:rFonts w:hint="eastAsia" w:ascii="宋体" w:hAnsi="宋体" w:cs="宋体"/>
          <w:b/>
          <w:color w:val="auto"/>
          <w:sz w:val="24"/>
          <w:highlight w:val="none"/>
        </w:rPr>
        <w:t>、项目负责人</w:t>
      </w:r>
    </w:p>
    <w:p>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7.1（1）项目负责人</w:t>
      </w:r>
    </w:p>
    <w:p>
      <w:pPr>
        <w:snapToGrid w:val="0"/>
        <w:spacing w:line="440" w:lineRule="exact"/>
        <w:ind w:firstLine="397"/>
        <w:rPr>
          <w:rFonts w:ascii="宋体" w:hAnsi="宋体" w:cs="宋体"/>
          <w:color w:val="auto"/>
          <w:sz w:val="24"/>
          <w:highlight w:val="none"/>
          <w:u w:val="single"/>
        </w:rPr>
      </w:pPr>
      <w:r>
        <w:rPr>
          <w:rFonts w:hint="eastAsia" w:ascii="宋体" w:hAnsi="宋体" w:cs="宋体"/>
          <w:color w:val="auto"/>
          <w:sz w:val="24"/>
          <w:highlight w:val="none"/>
        </w:rPr>
        <w:t>姓名：</w:t>
      </w:r>
      <w:r>
        <w:rPr>
          <w:rFonts w:ascii="宋体" w:hAnsi="宋体" w:cs="宋体"/>
          <w:color w:val="auto"/>
          <w:sz w:val="24"/>
          <w:highlight w:val="none"/>
          <w:u w:val="singl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职权：</w:t>
      </w:r>
      <w:r>
        <w:rPr>
          <w:rFonts w:hint="eastAsia" w:ascii="宋体" w:hAnsi="宋体" w:cs="宋体"/>
          <w:color w:val="auto"/>
          <w:sz w:val="24"/>
          <w:highlight w:val="none"/>
          <w:u w:val="single"/>
        </w:rPr>
        <w:t>代表承包人全权处理本工程的一切事务</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pPr>
        <w:snapToGrid w:val="0"/>
        <w:spacing w:line="440" w:lineRule="exact"/>
        <w:ind w:firstLine="397"/>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义务：</w:t>
      </w:r>
      <w:r>
        <w:rPr>
          <w:rFonts w:hint="eastAsia" w:ascii="宋体" w:hAnsi="宋体" w:cs="宋体"/>
          <w:color w:val="auto"/>
          <w:sz w:val="24"/>
          <w:highlight w:val="none"/>
          <w:u w:val="single"/>
        </w:rPr>
        <w:t>按照在投标文件中签署的（或在签订本合同前补充签署的）《项目负责人驻场承诺书》中的承诺常驻现场，代表承包人履行与发包人签订的本建设工程施工合同</w:t>
      </w:r>
      <w:r>
        <w:rPr>
          <w:rFonts w:hint="eastAsia" w:ascii="宋体" w:hAnsi="宋体" w:cs="宋体"/>
          <w:color w:val="auto"/>
          <w:sz w:val="24"/>
          <w:highlight w:val="none"/>
        </w:rPr>
        <w:t>。</w:t>
      </w:r>
      <w:r>
        <w:rPr>
          <w:rFonts w:hint="eastAsia" w:ascii="宋体" w:hAnsi="宋体" w:eastAsia="宋体" w:cs="宋体"/>
          <w:color w:val="auto"/>
          <w:sz w:val="24"/>
          <w:highlight w:val="none"/>
          <w:u w:val="single"/>
          <w:lang w:eastAsia="zh-CN"/>
        </w:rPr>
        <w:t>本工程的项目负责人管理执行《广州市住房和城乡建设局关于加强建筑工程项目负责人管理的通知》（穗建规字〔2025〕9 号）的相关规定，如有新规，按最新规定执行。</w:t>
      </w:r>
    </w:p>
    <w:p>
      <w:pPr>
        <w:snapToGrid w:val="0"/>
        <w:spacing w:line="440" w:lineRule="exact"/>
        <w:ind w:firstLine="480" w:firstLineChars="200"/>
        <w:rPr>
          <w:rFonts w:ascii="宋体" w:hAnsi="宋体" w:cs="宋体"/>
          <w:color w:val="auto"/>
          <w:sz w:val="24"/>
          <w:highlight w:val="none"/>
        </w:rPr>
      </w:pPr>
    </w:p>
    <w:p>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7.4</w:t>
      </w:r>
      <w:r>
        <w:rPr>
          <w:rFonts w:hint="eastAsia" w:ascii="宋体" w:hAnsi="宋体" w:cs="宋体"/>
          <w:color w:val="auto"/>
          <w:sz w:val="24"/>
          <w:highlight w:val="none"/>
          <w:u w:val="single"/>
        </w:rPr>
        <w:t>承包人如需更换项目负责人或技术负责人，按有关规定执行，后任继续行使合同文件约定的前任的职权，履行前任的义务。未征得发包人书面同意，承包人不得更换项目负责人</w:t>
      </w:r>
      <w:r>
        <w:rPr>
          <w:rFonts w:hint="eastAsia" w:ascii="宋体" w:hAnsi="宋体" w:cs="宋体"/>
          <w:color w:val="auto"/>
          <w:sz w:val="24"/>
          <w:highlight w:val="none"/>
        </w:rPr>
        <w:t>。</w:t>
      </w:r>
    </w:p>
    <w:p>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7.5</w:t>
      </w:r>
      <w:r>
        <w:rPr>
          <w:rFonts w:hint="eastAsia" w:ascii="宋体" w:hAnsi="宋体" w:cs="宋体"/>
          <w:color w:val="auto"/>
          <w:sz w:val="24"/>
          <w:highlight w:val="none"/>
          <w:u w:val="single"/>
        </w:rPr>
        <w:t>发包人可以与承包人协商，建议更换其认为不称职的项目负责人，承包人应及时采纳发包人的建议予以更换，新更换的项目负责人应满足招标文件及本项目相应的资质要求并能胜任本项目的项目负责人工作</w:t>
      </w:r>
      <w:r>
        <w:rPr>
          <w:rFonts w:hint="eastAsia" w:ascii="宋体" w:hAnsi="宋体" w:cs="宋体"/>
          <w:color w:val="auto"/>
          <w:sz w:val="24"/>
          <w:highlight w:val="none"/>
        </w:rPr>
        <w:t>。</w:t>
      </w:r>
    </w:p>
    <w:p>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7.6</w:t>
      </w:r>
      <w:r>
        <w:rPr>
          <w:rFonts w:hint="eastAsia" w:ascii="宋体" w:hAnsi="宋体" w:cs="宋体"/>
          <w:color w:val="auto"/>
          <w:sz w:val="24"/>
          <w:highlight w:val="none"/>
          <w:u w:val="single"/>
        </w:rPr>
        <w:t>承包人项目负责人不得兼任其他工程项目负责人，否则发包人可按单方面终止合同处理。</w:t>
      </w:r>
    </w:p>
    <w:p>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7.7</w:t>
      </w:r>
      <w:r>
        <w:rPr>
          <w:rFonts w:hint="eastAsia" w:ascii="宋体" w:hAnsi="宋体" w:cs="宋体"/>
          <w:color w:val="auto"/>
          <w:sz w:val="24"/>
          <w:highlight w:val="none"/>
          <w:u w:val="single"/>
        </w:rPr>
        <w:t>现场管理机构</w:t>
      </w:r>
    </w:p>
    <w:p>
      <w:pPr>
        <w:snapToGrid w:val="0"/>
        <w:spacing w:line="440" w:lineRule="exact"/>
        <w:ind w:firstLine="397"/>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1）承包人必须按照投标文件的承诺建立现场管理机构，严格执行现行建设工程项目管理规范，并积极主动接受建设行政主管部门的监督和检查。</w:t>
      </w:r>
    </w:p>
    <w:p>
      <w:pPr>
        <w:snapToGrid w:val="0"/>
        <w:spacing w:line="440" w:lineRule="exact"/>
        <w:ind w:firstLine="538"/>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2）现场管理机构各部主要组织管理人员在开工前必须全部到位，并接受总监理工程师和发包人代表的查验。承包人委派的现场管理机构各部主要组织管理人员不得有兼职情况存在，并需接受监理单位的监督。</w:t>
      </w:r>
    </w:p>
    <w:p>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7.8</w:t>
      </w:r>
      <w:r>
        <w:rPr>
          <w:rFonts w:hint="eastAsia" w:ascii="宋体" w:hAnsi="宋体" w:cs="宋体"/>
          <w:color w:val="auto"/>
          <w:sz w:val="24"/>
          <w:highlight w:val="none"/>
          <w:u w:val="single"/>
        </w:rPr>
        <w:t>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7.9</w:t>
      </w:r>
      <w:r>
        <w:rPr>
          <w:rFonts w:hint="eastAsia" w:ascii="宋体" w:hAnsi="宋体" w:cs="宋体"/>
          <w:color w:val="auto"/>
          <w:sz w:val="24"/>
          <w:highlight w:val="none"/>
          <w:u w:val="single"/>
        </w:rPr>
        <w:t>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7.10</w:t>
      </w:r>
      <w:r>
        <w:rPr>
          <w:rFonts w:hint="eastAsia" w:ascii="宋体" w:hAnsi="宋体" w:cs="宋体"/>
          <w:color w:val="auto"/>
          <w:sz w:val="24"/>
          <w:highlight w:val="none"/>
          <w:u w:val="single"/>
        </w:rPr>
        <w:t>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8</w:t>
      </w:r>
      <w:r>
        <w:rPr>
          <w:rFonts w:hint="eastAsia" w:ascii="宋体" w:hAnsi="宋体" w:cs="宋体"/>
          <w:b/>
          <w:color w:val="auto"/>
          <w:sz w:val="24"/>
          <w:highlight w:val="none"/>
        </w:rPr>
        <w:t>、发包人工作</w:t>
      </w:r>
    </w:p>
    <w:p>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 xml:space="preserve">8.1 </w:t>
      </w:r>
      <w:r>
        <w:rPr>
          <w:rFonts w:hint="eastAsia" w:ascii="宋体" w:hAnsi="宋体" w:cs="宋体"/>
          <w:color w:val="auto"/>
          <w:sz w:val="24"/>
          <w:highlight w:val="none"/>
        </w:rPr>
        <w:t>发包人应按约定的时间和要求完成以下工作：</w:t>
      </w:r>
    </w:p>
    <w:p>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）施工场地具备施工条件的要求及完成的时间：</w:t>
      </w:r>
      <w:r>
        <w:rPr>
          <w:rFonts w:hint="eastAsia" w:ascii="宋体" w:hAnsi="宋体" w:cs="宋体"/>
          <w:color w:val="auto"/>
          <w:sz w:val="24"/>
          <w:highlight w:val="none"/>
          <w:u w:val="single"/>
        </w:rPr>
        <w:t>土地征收、国有土地上房屋征收、集体土地上房屋拆迁补偿工作完成时间原则上在开工前；因征收和拆迁补偿进度原因不能按时移交场地的，可采取分段逐步方式移交施工场地</w:t>
      </w:r>
      <w:r>
        <w:rPr>
          <w:rFonts w:hint="eastAsia" w:ascii="宋体" w:hAnsi="宋体" w:cs="宋体"/>
          <w:color w:val="auto"/>
          <w:sz w:val="24"/>
          <w:highlight w:val="none"/>
        </w:rPr>
        <w:t>。</w:t>
      </w:r>
      <w:r>
        <w:rPr>
          <w:rFonts w:ascii="宋体" w:hAnsi="宋体" w:cs="宋体"/>
          <w:color w:val="auto"/>
          <w:sz w:val="24"/>
          <w:highlight w:val="none"/>
        </w:rPr>
        <w:t xml:space="preserve"> </w:t>
      </w:r>
    </w:p>
    <w:p>
      <w:pPr>
        <w:snapToGrid w:val="0"/>
        <w:spacing w:line="440" w:lineRule="exact"/>
        <w:ind w:firstLine="397"/>
        <w:rPr>
          <w:rFonts w:ascii="宋体" w:hAnsi="宋体" w:cs="宋体"/>
          <w:color w:val="auto"/>
          <w:sz w:val="24"/>
          <w:highlight w:val="none"/>
          <w:u w:val="singl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）将施工所需的水、电、电讯线路接至施工场地的时间、地点和供应要求：</w:t>
      </w:r>
      <w:r>
        <w:rPr>
          <w:rFonts w:hint="eastAsia" w:ascii="宋体" w:hAnsi="宋体" w:cs="宋体"/>
          <w:color w:val="auto"/>
          <w:sz w:val="24"/>
          <w:highlight w:val="none"/>
          <w:u w:val="single"/>
        </w:rPr>
        <w:t>由承包人自行解决，费用已包在本工程中标总造价中</w:t>
      </w:r>
      <w:r>
        <w:rPr>
          <w:rFonts w:hint="eastAsia" w:ascii="宋体" w:hAnsi="宋体" w:cs="宋体"/>
          <w:color w:val="auto"/>
          <w:sz w:val="24"/>
          <w:highlight w:val="none"/>
        </w:rPr>
        <w:t>。</w:t>
      </w:r>
    </w:p>
    <w:p>
      <w:pPr>
        <w:snapToGrid w:val="0"/>
        <w:spacing w:line="440" w:lineRule="exact"/>
        <w:ind w:firstLine="397"/>
        <w:rPr>
          <w:rFonts w:ascii="宋体" w:hAnsi="宋体" w:cs="宋体"/>
          <w:color w:val="auto"/>
          <w:sz w:val="24"/>
          <w:highlight w:val="none"/>
          <w:u w:val="singl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）施工场地与公共道路的通道开通时间和要求：</w:t>
      </w:r>
      <w:r>
        <w:rPr>
          <w:rFonts w:hint="eastAsia" w:ascii="宋体" w:hAnsi="宋体" w:cs="宋体"/>
          <w:color w:val="auto"/>
          <w:sz w:val="24"/>
          <w:highlight w:val="none"/>
          <w:u w:val="single"/>
        </w:rPr>
        <w:t>通道按现状，不论满足施工要求与否，该通道及施工便道均由承包人自行解决，费用已包在本工程中标总造价中。</w:t>
      </w:r>
    </w:p>
    <w:p>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）工程地质和地下管线资料的提供时间：</w:t>
      </w:r>
      <w:r>
        <w:rPr>
          <w:rFonts w:hint="eastAsia" w:ascii="宋体" w:hAnsi="宋体" w:cs="宋体"/>
          <w:color w:val="auto"/>
          <w:sz w:val="24"/>
          <w:highlight w:val="none"/>
          <w:u w:val="single"/>
        </w:rPr>
        <w:t>根据施工计划提前提供</w:t>
      </w:r>
      <w:r>
        <w:rPr>
          <w:rFonts w:hint="eastAsia" w:ascii="宋体" w:hAnsi="宋体" w:cs="宋体"/>
          <w:color w:val="auto"/>
          <w:sz w:val="24"/>
          <w:highlight w:val="none"/>
        </w:rPr>
        <w:t>。</w:t>
      </w:r>
    </w:p>
    <w:p>
      <w:pPr>
        <w:snapToGrid w:val="0"/>
        <w:spacing w:line="440" w:lineRule="exact"/>
        <w:ind w:firstLine="397"/>
        <w:rPr>
          <w:rFonts w:ascii="宋体" w:hAnsi="宋体" w:cs="宋体"/>
          <w:color w:val="auto"/>
          <w:sz w:val="24"/>
          <w:highlight w:val="none"/>
          <w:u w:val="singl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）由发包人办理的施工所需证件、批件的名称和完成时间：</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）水准点与坐标控制点交验要求：</w:t>
      </w:r>
      <w:r>
        <w:rPr>
          <w:rFonts w:ascii="宋体" w:hAnsi="宋体" w:cs="宋体"/>
          <w:color w:val="auto"/>
          <w:sz w:val="24"/>
          <w:highlight w:val="none"/>
        </w:rPr>
        <w:t xml:space="preserve"> </w:t>
      </w:r>
      <w:r>
        <w:rPr>
          <w:rFonts w:hint="eastAsia" w:ascii="宋体" w:hAnsi="宋体" w:cs="宋体"/>
          <w:color w:val="auto"/>
          <w:sz w:val="24"/>
          <w:highlight w:val="none"/>
          <w:u w:val="single"/>
        </w:rPr>
        <w:t>开工前交验</w:t>
      </w:r>
      <w:r>
        <w:rPr>
          <w:rFonts w:hint="eastAsia" w:ascii="宋体" w:hAnsi="宋体" w:cs="宋体"/>
          <w:color w:val="auto"/>
          <w:sz w:val="24"/>
          <w:highlight w:val="none"/>
        </w:rPr>
        <w:t>。</w:t>
      </w:r>
    </w:p>
    <w:p>
      <w:pPr>
        <w:snapToGrid w:val="0"/>
        <w:spacing w:line="440" w:lineRule="exact"/>
        <w:ind w:firstLine="397"/>
        <w:rPr>
          <w:rFonts w:ascii="宋体" w:hAnsi="宋体" w:cs="宋体"/>
          <w:color w:val="auto"/>
          <w:sz w:val="24"/>
          <w:highlight w:val="none"/>
          <w:u w:val="single"/>
        </w:rPr>
      </w:pP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）图纸会审和设计交底时间：</w:t>
      </w:r>
      <w:r>
        <w:rPr>
          <w:rFonts w:hint="eastAsia" w:ascii="宋体" w:hAnsi="宋体" w:cs="宋体"/>
          <w:color w:val="auto"/>
          <w:sz w:val="24"/>
          <w:highlight w:val="none"/>
          <w:u w:val="single"/>
        </w:rPr>
        <w:t>工程施工前</w:t>
      </w:r>
      <w:r>
        <w:rPr>
          <w:rFonts w:hint="eastAsia" w:ascii="宋体" w:hAnsi="宋体" w:cs="宋体"/>
          <w:color w:val="auto"/>
          <w:sz w:val="24"/>
          <w:highlight w:val="none"/>
        </w:rPr>
        <w:t>。</w:t>
      </w:r>
    </w:p>
    <w:p>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8</w:t>
      </w:r>
      <w:r>
        <w:rPr>
          <w:rFonts w:hint="eastAsia" w:ascii="宋体" w:hAnsi="宋体" w:cs="宋体"/>
          <w:color w:val="auto"/>
          <w:sz w:val="24"/>
          <w:highlight w:val="none"/>
        </w:rPr>
        <w:t>）协调处理施工场地周围地下管线和邻近建筑物、构筑物（含文物保护建筑）、古树名木的保护工作：</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pPr>
        <w:snapToGrid w:val="0"/>
        <w:spacing w:line="440" w:lineRule="exact"/>
        <w:ind w:firstLine="397"/>
        <w:rPr>
          <w:rFonts w:ascii="宋体" w:hAnsi="宋体" w:cs="宋体"/>
          <w:color w:val="auto"/>
          <w:sz w:val="24"/>
          <w:highlight w:val="none"/>
          <w:u w:val="single"/>
        </w:rPr>
      </w:pPr>
      <w:r>
        <w:rPr>
          <w:rFonts w:hint="eastAsia" w:ascii="宋体" w:hAnsi="宋体" w:cs="宋体"/>
          <w:color w:val="auto"/>
          <w:sz w:val="24"/>
          <w:highlight w:val="none"/>
        </w:rPr>
        <w:t>（</w:t>
      </w:r>
      <w:r>
        <w:rPr>
          <w:rFonts w:ascii="宋体" w:hAnsi="宋体" w:cs="宋体"/>
          <w:color w:val="auto"/>
          <w:sz w:val="24"/>
          <w:highlight w:val="none"/>
        </w:rPr>
        <w:t>9</w:t>
      </w:r>
      <w:r>
        <w:rPr>
          <w:rFonts w:hint="eastAsia" w:ascii="宋体" w:hAnsi="宋体" w:cs="宋体"/>
          <w:color w:val="auto"/>
          <w:sz w:val="24"/>
          <w:highlight w:val="none"/>
        </w:rPr>
        <w:t>）双方约定发包人应做的其他工作：</w:t>
      </w:r>
      <w:r>
        <w:rPr>
          <w:rFonts w:hint="eastAsia" w:ascii="宋体" w:hAnsi="宋体" w:cs="宋体"/>
          <w:color w:val="auto"/>
          <w:sz w:val="24"/>
          <w:highlight w:val="none"/>
          <w:u w:val="single"/>
        </w:rPr>
        <w:t>发包人按现有场地移交给承包人，承包人应无条件接受。</w:t>
      </w:r>
    </w:p>
    <w:p>
      <w:pPr>
        <w:spacing w:line="440" w:lineRule="exact"/>
        <w:rPr>
          <w:rFonts w:ascii="宋体" w:hAnsi="宋体" w:cs="宋体"/>
          <w:color w:val="auto"/>
          <w:sz w:val="24"/>
          <w:highlight w:val="none"/>
          <w:u w:val="single"/>
        </w:rPr>
      </w:pPr>
      <w:r>
        <w:rPr>
          <w:rFonts w:ascii="宋体" w:hAnsi="宋体" w:cs="宋体"/>
          <w:color w:val="auto"/>
          <w:sz w:val="24"/>
          <w:highlight w:val="none"/>
        </w:rPr>
        <w:t xml:space="preserve">   8.2</w:t>
      </w:r>
      <w:r>
        <w:rPr>
          <w:rFonts w:hint="eastAsia" w:ascii="宋体" w:hAnsi="宋体" w:cs="宋体"/>
          <w:color w:val="auto"/>
          <w:sz w:val="24"/>
          <w:highlight w:val="none"/>
        </w:rPr>
        <w:t>发包人委托承包人办理的工作：</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工程质监登记、合同鉴证、施工许可证、购买印花税等一切施工所需的审批、申领手续以及规划验收、消防验收、环保验收、防雷报建及验收、永久用水接驳及验收等工作。费用按政策规定各自承担相应部分。</w:t>
      </w:r>
    </w:p>
    <w:p>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9</w:t>
      </w:r>
      <w:r>
        <w:rPr>
          <w:rFonts w:hint="eastAsia" w:ascii="宋体" w:hAnsi="宋体" w:cs="宋体"/>
          <w:b/>
          <w:color w:val="auto"/>
          <w:sz w:val="24"/>
          <w:highlight w:val="none"/>
        </w:rPr>
        <w:t>、承包人工作</w:t>
      </w:r>
    </w:p>
    <w:p>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 xml:space="preserve">9.1 </w:t>
      </w:r>
      <w:r>
        <w:rPr>
          <w:rFonts w:hint="eastAsia" w:ascii="宋体" w:hAnsi="宋体" w:cs="宋体"/>
          <w:color w:val="auto"/>
          <w:sz w:val="24"/>
          <w:highlight w:val="none"/>
        </w:rPr>
        <w:t>承包人应按约定时间和要求，完成以下工作：</w:t>
      </w:r>
    </w:p>
    <w:p>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）需由设计资质等级和业务范围允许的承包人完成的设计文件提交时间：</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pPr>
        <w:snapToGrid w:val="0"/>
        <w:spacing w:line="440" w:lineRule="exact"/>
        <w:ind w:firstLine="397"/>
        <w:rPr>
          <w:rFonts w:ascii="宋体" w:hAnsi="宋体" w:cs="宋体"/>
          <w:color w:val="auto"/>
          <w:sz w:val="24"/>
          <w:highlight w:val="none"/>
          <w:u w:val="singl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）应提供计划、报表的名称及完成时间：</w:t>
      </w:r>
      <w:r>
        <w:rPr>
          <w:rFonts w:hint="eastAsia" w:ascii="宋体" w:hAnsi="宋体" w:cs="宋体"/>
          <w:color w:val="auto"/>
          <w:sz w:val="24"/>
          <w:highlight w:val="none"/>
          <w:u w:val="single"/>
        </w:rPr>
        <w:t>施工组织设计、管理人员架构表，于开工前三天报。提交工程年、季、月度计划及进度统计报表。</w:t>
      </w:r>
    </w:p>
    <w:p>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3）承担施工安全保卫工作及非夜间施工照明的责任和要求：</w:t>
      </w:r>
      <w:r>
        <w:rPr>
          <w:rFonts w:hint="eastAsia" w:ascii="宋体" w:hAnsi="宋体" w:cs="宋体"/>
          <w:color w:val="auto"/>
          <w:sz w:val="24"/>
          <w:highlight w:val="none"/>
          <w:u w:val="single"/>
        </w:rPr>
        <w:t>按招标文件要求及国家、省、市、区相关规定执行，并满足本工程需要</w:t>
      </w:r>
      <w:r>
        <w:rPr>
          <w:rFonts w:hint="eastAsia" w:ascii="宋体" w:hAnsi="宋体" w:cs="宋体"/>
          <w:color w:val="auto"/>
          <w:sz w:val="24"/>
          <w:highlight w:val="none"/>
        </w:rPr>
        <w:t>。</w:t>
      </w:r>
      <w:r>
        <w:rPr>
          <w:rFonts w:hint="eastAsia" w:ascii="宋体" w:hAnsi="宋体" w:cs="宋体"/>
          <w:color w:val="auto"/>
          <w:sz w:val="24"/>
          <w:highlight w:val="none"/>
          <w:u w:val="single"/>
        </w:rPr>
        <w:t>根据工程需要，提供和维护施工使用的照明、围栏设施和警卫，并负责整个现场的安全文明施工、安全保卫。</w:t>
      </w:r>
    </w:p>
    <w:p>
      <w:pPr>
        <w:snapToGrid w:val="0"/>
        <w:spacing w:line="44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4）承包人自行解决办公、交通、生活及通讯等设施，费用已包含在</w:t>
      </w:r>
      <w:r>
        <w:rPr>
          <w:rFonts w:hint="eastAsia" w:ascii="宋体" w:hAnsi="宋体" w:cs="宋体"/>
          <w:color w:val="auto"/>
          <w:sz w:val="24"/>
          <w:highlight w:val="none"/>
          <w:u w:val="single"/>
        </w:rPr>
        <w:t>本工程中标总造价中</w:t>
      </w:r>
      <w:r>
        <w:rPr>
          <w:rFonts w:hint="eastAsia" w:ascii="宋体" w:hAnsi="宋体" w:cs="宋体"/>
          <w:color w:val="auto"/>
          <w:sz w:val="24"/>
          <w:highlight w:val="none"/>
        </w:rPr>
        <w:t>；向发包人或监理工程师提供的办公、交通和生活、通讯设施的要求：</w:t>
      </w:r>
      <w:r>
        <w:rPr>
          <w:rFonts w:hint="eastAsia" w:ascii="宋体" w:hAnsi="宋体" w:cs="宋体"/>
          <w:color w:val="auto"/>
          <w:sz w:val="24"/>
          <w:highlight w:val="none"/>
          <w:u w:val="single"/>
        </w:rPr>
        <w:t>向发包人和监理单位总共提供具备办公条件的办公用房</w:t>
      </w:r>
      <w:r>
        <w:rPr>
          <w:rFonts w:ascii="宋体" w:hAnsi="宋体" w:cs="宋体"/>
          <w:color w:val="auto"/>
          <w:sz w:val="24"/>
          <w:highlight w:val="none"/>
          <w:u w:val="single"/>
        </w:rPr>
        <w:t>4间，面积不少于100㎡。（</w:t>
      </w:r>
      <w:r>
        <w:rPr>
          <w:rFonts w:hint="eastAsia" w:ascii="宋体" w:hAnsi="宋体" w:cs="宋体"/>
          <w:color w:val="auto"/>
          <w:sz w:val="24"/>
          <w:highlight w:val="none"/>
          <w:u w:val="single"/>
        </w:rPr>
        <w:t>向发包人或监理提供的设施要求由业务部门确认）</w:t>
      </w:r>
    </w:p>
    <w:p>
      <w:pPr>
        <w:snapToGrid w:val="0"/>
        <w:spacing w:line="440" w:lineRule="exact"/>
        <w:ind w:firstLine="397"/>
        <w:rPr>
          <w:rFonts w:ascii="宋体" w:hAnsi="宋体" w:cs="宋体"/>
          <w:color w:val="auto"/>
          <w:sz w:val="24"/>
          <w:highlight w:val="none"/>
          <w:u w:val="single"/>
        </w:rPr>
      </w:pPr>
      <w:r>
        <w:rPr>
          <w:rFonts w:hint="eastAsia" w:ascii="宋体" w:hAnsi="宋体" w:cs="宋体"/>
          <w:color w:val="auto"/>
          <w:sz w:val="24"/>
          <w:highlight w:val="none"/>
        </w:rPr>
        <w:t>（</w:t>
      </w:r>
      <w:r>
        <w:rPr>
          <w:rFonts w:ascii="宋体" w:hAnsi="宋体" w:cs="宋体"/>
          <w:color w:val="auto"/>
          <w:sz w:val="24"/>
          <w:highlight w:val="none"/>
        </w:rPr>
        <w:t>5）需承包人办理有关施工场地交通、环卫和施工噪音管理等手续：</w:t>
      </w:r>
      <w:r>
        <w:rPr>
          <w:rFonts w:hint="eastAsia" w:ascii="宋体" w:hAnsi="宋体" w:cs="宋体"/>
          <w:color w:val="auto"/>
          <w:sz w:val="24"/>
          <w:highlight w:val="none"/>
          <w:u w:val="single"/>
        </w:rPr>
        <w:t>承包人按本合同通用条款要求执行，并承担相关费用</w:t>
      </w:r>
      <w:r>
        <w:rPr>
          <w:rFonts w:hint="eastAsia" w:ascii="宋体" w:hAnsi="宋体" w:cs="宋体"/>
          <w:color w:val="auto"/>
          <w:sz w:val="24"/>
          <w:highlight w:val="none"/>
        </w:rPr>
        <w:t>。</w:t>
      </w:r>
      <w:r>
        <w:rPr>
          <w:rFonts w:ascii="宋体" w:hAnsi="宋体" w:cs="宋体"/>
          <w:color w:val="auto"/>
          <w:sz w:val="24"/>
          <w:highlight w:val="none"/>
        </w:rPr>
        <w:t xml:space="preserve"> </w:t>
      </w:r>
    </w:p>
    <w:p>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）已完工程成品保护的特殊要求及费用承担：</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按本合同通用条款执行</w:t>
      </w:r>
      <w:r>
        <w:rPr>
          <w:rFonts w:hint="eastAsia" w:ascii="宋体" w:hAnsi="宋体" w:cs="宋体"/>
          <w:color w:val="auto"/>
          <w:sz w:val="24"/>
          <w:highlight w:val="none"/>
        </w:rPr>
        <w:t>。</w:t>
      </w:r>
    </w:p>
    <w:p>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）施工场地周围地下管线和邻近建筑物、构筑物（含文物保护建筑）、古树名木的保护要求及费用承担：</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除文物保护外的保护费用全部由承包人承担</w:t>
      </w:r>
      <w:r>
        <w:rPr>
          <w:rFonts w:hint="eastAsia" w:ascii="宋体" w:hAnsi="宋体" w:cs="宋体"/>
          <w:color w:val="auto"/>
          <w:sz w:val="24"/>
          <w:highlight w:val="none"/>
        </w:rPr>
        <w:t>。</w:t>
      </w:r>
    </w:p>
    <w:p>
      <w:pPr>
        <w:snapToGrid w:val="0"/>
        <w:spacing w:line="440" w:lineRule="exact"/>
        <w:ind w:firstLine="397"/>
        <w:rPr>
          <w:rFonts w:ascii="宋体" w:hAnsi="宋体" w:cs="宋体"/>
          <w:color w:val="auto"/>
          <w:sz w:val="24"/>
          <w:highlight w:val="none"/>
          <w:u w:val="single"/>
        </w:rPr>
      </w:pPr>
      <w:r>
        <w:rPr>
          <w:rFonts w:hint="eastAsia" w:ascii="宋体" w:hAnsi="宋体" w:cs="宋体"/>
          <w:color w:val="auto"/>
          <w:sz w:val="24"/>
          <w:highlight w:val="none"/>
        </w:rPr>
        <w:t>（</w:t>
      </w:r>
      <w:r>
        <w:rPr>
          <w:rFonts w:ascii="宋体" w:hAnsi="宋体" w:cs="宋体"/>
          <w:color w:val="auto"/>
          <w:sz w:val="24"/>
          <w:highlight w:val="none"/>
        </w:rPr>
        <w:t>8）施工场地清洁卫生的要求：</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满足</w:t>
      </w:r>
      <w:r>
        <w:rPr>
          <w:rFonts w:hint="eastAsia" w:ascii="宋体" w:hAnsi="宋体" w:cs="宋体"/>
          <w:color w:val="auto"/>
          <w:spacing w:val="-10"/>
          <w:sz w:val="24"/>
          <w:highlight w:val="none"/>
          <w:u w:val="single"/>
        </w:rPr>
        <w:t>文明施工要求</w:t>
      </w:r>
      <w:r>
        <w:rPr>
          <w:rFonts w:hint="eastAsia" w:ascii="宋体" w:hAnsi="宋体" w:cs="宋体"/>
          <w:color w:val="auto"/>
          <w:spacing w:val="-10"/>
          <w:sz w:val="24"/>
          <w:highlight w:val="none"/>
        </w:rPr>
        <w:t>。</w:t>
      </w:r>
      <w:r>
        <w:rPr>
          <w:rFonts w:hint="eastAsia" w:ascii="宋体" w:hAnsi="宋体" w:cs="宋体"/>
          <w:color w:val="auto"/>
          <w:sz w:val="24"/>
          <w:highlight w:val="none"/>
          <w:u w:val="single"/>
        </w:rPr>
        <w:t>保证施工场地清洁符合环境卫生管理的有关规定，交工前清理现场达到合同约定的要求（包括建筑物周围余土、垃圾、生产和生活临时设施拆除），并将门窗、玻璃、地面擦扫干净，厕所厨房的排水和给水管道清理干净、畅通，做到工完场清。承担因自身原因违反有关规定造成的损失和罚款。</w:t>
      </w:r>
    </w:p>
    <w:p>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9）双方约定承包人应做的其他工作：</w:t>
      </w:r>
    </w:p>
    <w:p>
      <w:pPr>
        <w:snapToGrid w:val="0"/>
        <w:spacing w:line="440" w:lineRule="exact"/>
        <w:ind w:firstLine="360" w:firstLineChars="150"/>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①承包人应根据相关规定及发包人的要求、合同约定对发包人另行发包的专业承包单位进行统一管理和配合服务。包括但不限于：项目总进度计划协调管理；公共临时设施管理；公共文明施工和安全生产设施管理；现场综合管理；内部沟通与外部协调；总体设计与技术督导的协调配合；为发包人另行发包的专业承包单位提供标高、基准点与平面控制、轴线；提供工作面（含基础、预埋件、预留孔洞）；提供施工用水、用电的接驳点；成品保护；协助发包人办理项目竣工验收、竣工资料和竣工备案；为发包人另行发包的专业承包单位提供生产、生活用场地；提供公共运输道路和通道；提供公共水平、垂直运输设施；提供公共外排栅、外脚手架；负责组织整体竣工验收及整体工程资料汇总及整理工作以及其它管理和配合服务。承包人应按照《广州市住房和城乡建设局关于规范房屋建筑工程施工承发包管理的通知》</w:t>
      </w:r>
      <w:r>
        <w:rPr>
          <w:rFonts w:ascii="宋体" w:hAnsi="宋体" w:cs="宋体"/>
          <w:color w:val="auto"/>
          <w:sz w:val="24"/>
          <w:highlight w:val="none"/>
        </w:rPr>
        <w:t>(穗建规字〔2019〕10号)</w:t>
      </w:r>
      <w:r>
        <w:rPr>
          <w:rFonts w:hint="eastAsia" w:ascii="宋体" w:hAnsi="宋体" w:cs="宋体"/>
          <w:color w:val="auto"/>
          <w:sz w:val="24"/>
          <w:highlight w:val="none"/>
        </w:rPr>
        <w:t>的规定，对本工程所有专业承包工程负全面管理责任，对施工现场的安全生产、文明施工等工作负总责。承包人对发包人单独发包的专业工程的安全生产、文明施工等工作承担连带责任。承包人应主动配合发包人单独发包的其他专业承包工程的施工，承担由于自身管理、配合服务和协调不到位而导致的违约责任和连带违约责任。</w:t>
      </w:r>
      <w:r>
        <w:rPr>
          <w:rFonts w:hint="eastAsia" w:ascii="宋体" w:hAnsi="宋体" w:cs="宋体"/>
          <w:b/>
          <w:color w:val="auto"/>
          <w:sz w:val="24"/>
          <w:highlight w:val="none"/>
        </w:rPr>
        <w:t>【总承包工程适用本条款】</w:t>
      </w:r>
    </w:p>
    <w:p>
      <w:pPr>
        <w:spacing w:line="44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②建筑节能要求</w:t>
      </w:r>
      <w:r>
        <w:rPr>
          <w:rFonts w:ascii="宋体" w:hAnsi="宋体" w:cs="宋体"/>
          <w:color w:val="auto"/>
          <w:sz w:val="24"/>
          <w:highlight w:val="none"/>
        </w:rPr>
        <w:t>:按照穗建技[2006]678号</w:t>
      </w:r>
      <w:r>
        <w:rPr>
          <w:rFonts w:hint="eastAsia" w:ascii="宋体" w:hAnsi="宋体" w:cs="宋体"/>
          <w:color w:val="auto"/>
          <w:sz w:val="24"/>
          <w:highlight w:val="none"/>
        </w:rPr>
        <w:t>文的规定，承包人应</w:t>
      </w:r>
      <w:r>
        <w:rPr>
          <w:rFonts w:ascii="宋体" w:hAnsi="宋体" w:cs="宋体"/>
          <w:color w:val="auto"/>
          <w:sz w:val="24"/>
          <w:highlight w:val="none"/>
        </w:rPr>
        <w:t>履行以下质量责任和义务</w:t>
      </w:r>
      <w:r>
        <w:rPr>
          <w:rFonts w:hint="eastAsia" w:ascii="宋体" w:hAnsi="宋体" w:cs="宋体"/>
          <w:color w:val="auto"/>
          <w:sz w:val="24"/>
          <w:highlight w:val="none"/>
        </w:rPr>
        <w:t>：</w:t>
      </w:r>
      <w:r>
        <w:rPr>
          <w:rFonts w:ascii="宋体" w:hAnsi="宋体" w:cs="宋体"/>
          <w:color w:val="auto"/>
          <w:sz w:val="24"/>
          <w:highlight w:val="none"/>
        </w:rPr>
        <w:t>A、严格按照审查合格的设计文件和建筑节能标准的要求进行施工，不得擅自修改设计文件。B、对进入施工现场的墙体材料、保温材料、门窗部品等进行检验。对采暖空调系统、照明设备等进行检验，保证产品说明书和产品标识上注明的性能指标符合建筑节能要求。C、应当编制建筑节能专项施工技术方案，并由施工单位专业技术人员及监理单位专业监理工程师进行审核，审核合格，由施工单位技术负责人及监理单位总监理工程师签字。D、应当加强施工过程质量控制，特别应当加强对易产生热桥和热工缺陷等重要部位的质量控制，保证符合设计要求和有关节能标准规定。E、对采暖空调、通风、电气等系统的调试，应当符合设计等要求。F、保温工程等在保修范围和保修期限内发生质量问题的，施工单位应当履行保修义务，并对造成的损失承担赔偿责任。</w:t>
      </w:r>
    </w:p>
    <w:p>
      <w:pPr>
        <w:snapToGrid w:val="0"/>
        <w:spacing w:line="44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③创“无渗漏”工程</w:t>
      </w:r>
      <w:r>
        <w:rPr>
          <w:rFonts w:ascii="宋体" w:hAnsi="宋体" w:cs="宋体"/>
          <w:color w:val="auto"/>
          <w:sz w:val="24"/>
          <w:highlight w:val="none"/>
        </w:rPr>
        <w:t>:承包</w:t>
      </w:r>
      <w:r>
        <w:rPr>
          <w:rFonts w:hint="eastAsia" w:ascii="宋体" w:hAnsi="宋体" w:cs="宋体"/>
          <w:color w:val="auto"/>
          <w:sz w:val="24"/>
          <w:highlight w:val="none"/>
        </w:rPr>
        <w:t>人为创“无渗漏”工程中必须承担的义务：对专业管线穿过楼地面或墙体等结构后留下的孔隙按要求进行填补，并达到防水的要求；卫生间、水池的试水：结构施工完成后做一次浸水试验、防水层施工完成后做一次浸水试验、管道安装完成后做一次浸水试验、装饰面层完成后做一次浸水试验、竣工验收前做一次浸水试验、移交前做一次浸水试验；屋面淋水试验：按</w:t>
      </w:r>
      <w:r>
        <w:rPr>
          <w:rFonts w:ascii="宋体" w:hAnsi="宋体" w:cs="宋体"/>
          <w:color w:val="auto"/>
          <w:sz w:val="24"/>
          <w:highlight w:val="none"/>
        </w:rPr>
        <w:t>GB50207-2002的要求做泼水、淋水、蓄水试验。以上试验所需费用已含在合同总价中。</w:t>
      </w:r>
    </w:p>
    <w:p>
      <w:pPr>
        <w:snapToGrid w:val="0"/>
        <w:spacing w:line="44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④专业深化设计工程实行限额设计要求：</w:t>
      </w:r>
      <w:r>
        <w:rPr>
          <w:rFonts w:ascii="宋体" w:hAnsi="宋体" w:cs="宋体"/>
          <w:color w:val="auto"/>
          <w:sz w:val="24"/>
          <w:highlight w:val="none"/>
        </w:rPr>
        <w:t>(选择性条款)</w:t>
      </w:r>
    </w:p>
    <w:p>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1）中标后，部分需深化设计的专业工程（如弱电、电梯工程等）应由承包人负责按招标文件的技术要求及发包人规定的时限完成深化设计，深化设计图纸加盖出图章，并经总体设计单位审核及发包人、业主最终确认后方可按确认后的图纸施工。相关深化设计费包含在投标报价中，无论发包人是否提出变更，均无需另行支付设计费。</w:t>
      </w:r>
    </w:p>
    <w:p>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2）深化设计以承包人原对应专业工程的投标报价为上限，实行限额深化设计，除非属发包人对技术规范书（技术需求与标准）进行调整或有经发包人确认的工程变更，否则，超出限额的工程费用由承包人承担。如果因深化图纸未能满足使用功能需求而发生设计变更，工程费用一律不作调整。</w:t>
      </w:r>
    </w:p>
    <w:p>
      <w:pPr>
        <w:snapToGrid w:val="0"/>
        <w:spacing w:line="44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⑤本工程要求达到“绿色建筑</w:t>
      </w:r>
      <w:r>
        <w:rPr>
          <w:rFonts w:ascii="宋体" w:hAnsi="宋体" w:cs="宋体"/>
          <w:color w:val="auto"/>
          <w:sz w:val="24"/>
          <w:highlight w:val="none"/>
        </w:rPr>
        <w:t xml:space="preserve"> </w:t>
      </w:r>
      <w:r>
        <w:rPr>
          <w:rFonts w:hint="eastAsia" w:ascii="宋体" w:hAnsi="宋体" w:cs="宋体"/>
          <w:color w:val="auto"/>
          <w:sz w:val="24"/>
          <w:highlight w:val="none"/>
        </w:rPr>
        <w:t>星级”标准，承包人需协助发包人办理“绿色建筑评价标识”的相关申报工作。</w:t>
      </w:r>
    </w:p>
    <w:p>
      <w:pPr>
        <w:snapToGrid w:val="0"/>
        <w:spacing w:line="44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⑥本工程采取样板先行的办法推进，样板涉及的全部费用已含在投标报价中，不另计费。</w:t>
      </w:r>
    </w:p>
    <w:p>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⑦承包人应按照《广州市建筑施工实名制管理办法》的规定，进场施工前在市建设领域管理应用信息平台上进行实名制登记并安排专职人员进行动态维护，实名制信息内容包含但不限以下内容：建筑从业人员基本信息、作业工人考勤与工资支付信息、施工进度情况信息等。承包人应对依法分包的专业工程和劳务工程的承包人实施统一管理，督促落实实名制管理。发包人及监理单位将不定期抽查承包人实名制管理的执行情况，如发现违反本合同有关约定的，将追究承包人相应违约责任。</w:t>
      </w:r>
    </w:p>
    <w:p>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⑧承包人应按照《广州市建设领域工人工资支付分账管理实施细则》的规定选择商业银行开立工人工资支付专用账户，在用工之日起</w:t>
      </w:r>
      <w:r>
        <w:rPr>
          <w:rFonts w:ascii="宋体" w:hAnsi="宋体" w:cs="宋体"/>
          <w:color w:val="auto"/>
          <w:sz w:val="24"/>
          <w:highlight w:val="none"/>
        </w:rPr>
        <w:t>15日内为每个工人办理工人工资个人账户，保证按时足额支付工人工资。</w:t>
      </w:r>
      <w:r>
        <w:rPr>
          <w:rFonts w:hint="eastAsia" w:ascii="宋体" w:hAnsi="宋体" w:cs="宋体"/>
          <w:color w:val="auto"/>
          <w:sz w:val="24"/>
          <w:highlight w:val="none"/>
        </w:rPr>
        <w:t>承包人应对依法分包的专业工程和劳务工程的承包人实施统一管理，严格按国家、省、市关于农民工工资实施总承包单位代发制度的相关规定代发分包单位工人工资。</w:t>
      </w:r>
    </w:p>
    <w:p>
      <w:pPr>
        <w:snapToGrid w:val="0"/>
        <w:spacing w:line="44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⑨承包人应当建立工人考勤、工资结算和支付等管理台账，存档备查，并将相关信息按月报送发包人及监理单位。</w:t>
      </w:r>
    </w:p>
    <w:p>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（10）承包人应在本项目中投入使用燃料电池汽车等新能源工程车,且投入数量占本项目投入的建筑垃圾自卸车（渣土车）总数比例不得低于  %（按投标承诺），相关费用已包含在合同价中，不另行计取。</w:t>
      </w:r>
    </w:p>
    <w:p>
      <w:pPr>
        <w:snapToGrid w:val="0"/>
        <w:spacing w:line="440" w:lineRule="exact"/>
        <w:ind w:firstLine="397" w:firstLineChars="0"/>
        <w:rPr>
          <w:rFonts w:ascii="宋体" w:hAnsi="宋体" w:cs="宋体"/>
          <w:color w:val="auto"/>
          <w:sz w:val="24"/>
          <w:highlight w:val="none"/>
        </w:rPr>
      </w:pPr>
      <w:r>
        <w:rPr>
          <w:rFonts w:hint="eastAsia" w:ascii="宋体" w:hAnsi="宋体" w:cs="宋体"/>
          <w:color w:val="auto"/>
          <w:sz w:val="24"/>
          <w:highlight w:val="none"/>
        </w:rPr>
        <w:t>（11）承包人应当建立燃料电池汽车等新能源工程车投入管理台账备查，并将投入现场的影像等相关资料按要求报送发包人及监理单位核查。（适用于复杂项目）</w:t>
      </w:r>
    </w:p>
    <w:p>
      <w:pPr>
        <w:snapToGrid w:val="0"/>
        <w:spacing w:line="440" w:lineRule="exact"/>
        <w:ind w:firstLine="397" w:firstLineChars="0"/>
        <w:rPr>
          <w:rFonts w:ascii="宋体" w:hAnsi="宋体" w:cs="宋体"/>
          <w:color w:val="auto"/>
          <w:sz w:val="24"/>
          <w:highlight w:val="none"/>
        </w:rPr>
      </w:pPr>
      <w:r>
        <w:rPr>
          <w:rFonts w:hint="eastAsia" w:ascii="宋体" w:hAnsi="宋体" w:cs="宋体"/>
          <w:color w:val="auto"/>
          <w:sz w:val="24"/>
          <w:highlight w:val="none"/>
        </w:rPr>
        <w:t>（12）承包人必须严格按照《工程建设领域农民工工资保证金规定》[人社部发（2021）65号]、《广州市建设领域施工企业工人工资支付保证金管理办法》[穗人社规字[2023]1号]等有关要求，执行工资保证金专用账户的开立、工资保证金的存储、补足或农民工工资保证金银行保函的开具、备案及提交新保函等工作（如相关规定有更新，按适时有效的最新规定执行）。</w:t>
      </w:r>
    </w:p>
    <w:p>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三、施工组织设计和工期</w:t>
      </w:r>
    </w:p>
    <w:p>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10</w:t>
      </w:r>
      <w:r>
        <w:rPr>
          <w:rFonts w:hint="eastAsia" w:ascii="宋体" w:hAnsi="宋体" w:cs="宋体"/>
          <w:b/>
          <w:color w:val="auto"/>
          <w:sz w:val="24"/>
          <w:highlight w:val="none"/>
        </w:rPr>
        <w:t>、进度计划</w:t>
      </w:r>
    </w:p>
    <w:p>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10.1 </w:t>
      </w:r>
      <w:r>
        <w:rPr>
          <w:rFonts w:hint="eastAsia" w:ascii="宋体" w:hAnsi="宋体" w:cs="宋体"/>
          <w:color w:val="auto"/>
          <w:sz w:val="24"/>
          <w:highlight w:val="none"/>
        </w:rPr>
        <w:t>承包人提供施工组织设计</w:t>
      </w:r>
      <w:r>
        <w:rPr>
          <w:rFonts w:ascii="宋体" w:hAnsi="宋体" w:cs="宋体"/>
          <w:color w:val="auto"/>
          <w:sz w:val="24"/>
          <w:highlight w:val="none"/>
        </w:rPr>
        <w:t>(施工方案)和进度计划时间：</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highlight w:val="none"/>
          <w:u w:val="single"/>
        </w:rPr>
      </w:pPr>
      <w:r>
        <w:rPr>
          <w:rFonts w:ascii="宋体" w:hAnsi="宋体" w:cs="宋体"/>
          <w:color w:val="auto"/>
          <w:sz w:val="24"/>
          <w:highlight w:val="none"/>
          <w:u w:val="single"/>
        </w:rPr>
        <w:t>1）承包人应于接到中标通知书后4天内向发包人提交总体工程进度计划（网络计划），并</w:t>
      </w:r>
      <w:r>
        <w:rPr>
          <w:rFonts w:hint="eastAsia" w:ascii="宋体" w:hAnsi="宋体" w:cs="宋体"/>
          <w:color w:val="auto"/>
          <w:sz w:val="24"/>
          <w:highlight w:val="none"/>
          <w:u w:val="single"/>
        </w:rPr>
        <w:t>于开工前</w:t>
      </w:r>
      <w:r>
        <w:rPr>
          <w:rFonts w:ascii="宋体" w:hAnsi="宋体" w:cs="宋体"/>
          <w:color w:val="auto"/>
          <w:sz w:val="24"/>
          <w:highlight w:val="none"/>
          <w:u w:val="single"/>
        </w:rPr>
        <w:t>3天内提交施工组织设计（施工方案）给发包人。</w:t>
      </w:r>
    </w:p>
    <w:p>
      <w:pPr>
        <w:snapToGrid w:val="0"/>
        <w:spacing w:line="440" w:lineRule="exact"/>
        <w:ind w:firstLine="516" w:firstLineChars="215"/>
        <w:rPr>
          <w:rFonts w:ascii="宋体" w:hAnsi="宋体" w:cs="宋体"/>
          <w:color w:val="auto"/>
          <w:sz w:val="24"/>
          <w:highlight w:val="none"/>
          <w:u w:val="single"/>
        </w:rPr>
      </w:pPr>
      <w:r>
        <w:rPr>
          <w:rFonts w:hint="eastAsia" w:ascii="宋体" w:hAnsi="宋体" w:cs="宋体"/>
          <w:color w:val="auto"/>
          <w:sz w:val="24"/>
          <w:highlight w:val="none"/>
          <w:u w:val="single"/>
        </w:rPr>
        <w:t>承包人提交的施工组织设计应当按监理工程师及国家、省、市及广州开发区关于施工承包管理的要求编制。</w:t>
      </w:r>
    </w:p>
    <w:p>
      <w:pPr>
        <w:snapToGrid w:val="0"/>
        <w:spacing w:line="440" w:lineRule="exact"/>
        <w:ind w:firstLine="516" w:firstLineChars="215"/>
        <w:rPr>
          <w:rFonts w:ascii="宋体" w:hAnsi="宋体" w:cs="宋体"/>
          <w:color w:val="auto"/>
          <w:sz w:val="24"/>
          <w:highlight w:val="none"/>
        </w:rPr>
      </w:pPr>
      <w:r>
        <w:rPr>
          <w:rFonts w:hint="eastAsia" w:ascii="宋体" w:hAnsi="宋体" w:cs="宋体"/>
          <w:color w:val="auto"/>
          <w:sz w:val="24"/>
          <w:highlight w:val="none"/>
          <w:u w:val="single"/>
        </w:rPr>
        <w:t>承包人编制的工程进度计划内容应全面详实，且应针对承包管理范围内的各专业承包工程及建筑工程的全部或分项施工作业和特点提出施工方法、施工穿插顺序及时间安排，并在各节点位置标注相应的工程量、资金使用计划、人机组织及材料消耗量。</w:t>
      </w:r>
    </w:p>
    <w:p>
      <w:pPr>
        <w:snapToGrid w:val="0"/>
        <w:spacing w:line="440" w:lineRule="exact"/>
        <w:ind w:firstLine="516" w:firstLineChars="215"/>
        <w:rPr>
          <w:rFonts w:ascii="宋体" w:hAnsi="宋体" w:cs="宋体"/>
          <w:color w:val="auto"/>
          <w:sz w:val="24"/>
          <w:highlight w:val="none"/>
          <w:u w:val="single"/>
        </w:rPr>
      </w:pPr>
      <w:r>
        <w:rPr>
          <w:rFonts w:ascii="宋体" w:hAnsi="宋体" w:cs="宋体"/>
          <w:color w:val="auto"/>
          <w:sz w:val="24"/>
          <w:highlight w:val="none"/>
        </w:rPr>
        <w:t>2）</w:t>
      </w:r>
      <w:r>
        <w:rPr>
          <w:rFonts w:hint="eastAsia" w:ascii="宋体" w:hAnsi="宋体" w:cs="宋体"/>
          <w:color w:val="auto"/>
          <w:sz w:val="24"/>
          <w:highlight w:val="none"/>
          <w:u w:val="single"/>
        </w:rPr>
        <w:t>总监理工程师在接到承包人提交的施工组织设计和工程进度计划后，予以确认或提出修改意见。</w:t>
      </w:r>
    </w:p>
    <w:p>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工程师确认的时间：</w:t>
      </w:r>
      <w:r>
        <w:rPr>
          <w:rFonts w:hint="eastAsia" w:ascii="宋体" w:hAnsi="宋体" w:cs="宋体"/>
          <w:color w:val="auto"/>
          <w:sz w:val="24"/>
          <w:highlight w:val="none"/>
          <w:u w:val="single"/>
        </w:rPr>
        <w:t>开工前。</w:t>
      </w:r>
    </w:p>
    <w:p>
      <w:pPr>
        <w:snapToGrid w:val="0"/>
        <w:spacing w:line="440" w:lineRule="exact"/>
        <w:ind w:firstLine="480" w:firstLineChars="200"/>
        <w:rPr>
          <w:rFonts w:ascii="宋体" w:hAnsi="宋体" w:cs="宋体"/>
          <w:color w:val="auto"/>
          <w:sz w:val="24"/>
          <w:highlight w:val="none"/>
          <w:u w:val="single"/>
        </w:rPr>
      </w:pPr>
      <w:r>
        <w:rPr>
          <w:rFonts w:ascii="宋体" w:hAnsi="宋体" w:cs="宋体"/>
          <w:color w:val="auto"/>
          <w:sz w:val="24"/>
          <w:highlight w:val="none"/>
        </w:rPr>
        <w:t>10.2</w:t>
      </w:r>
      <w:r>
        <w:rPr>
          <w:rFonts w:hint="eastAsia" w:ascii="宋体" w:hAnsi="宋体" w:cs="宋体"/>
          <w:color w:val="auto"/>
          <w:sz w:val="24"/>
          <w:highlight w:val="none"/>
          <w:u w:val="single"/>
        </w:rPr>
        <w:t>为便于总监理工程师掌握和控制工期，承包人应于每周一及每月底向总监理工程师填报各专业工程（含各分部、分项工程及专业承包工程）的周计划完成情况及当月进度计划完成情况（没完成计划的必须说明原因），并在此基础上更新工程进度计划、资金计划和其它工作计划。总监理工程师在接到报告后予以确认或提出书面意见，承包人必须按照总监理工程师的确认或者书面意见执行。（报监理工程师的同时，抄送一份给发包人。）</w:t>
      </w:r>
    </w:p>
    <w:p>
      <w:pPr>
        <w:snapToGrid w:val="0"/>
        <w:spacing w:line="440" w:lineRule="exact"/>
        <w:ind w:firstLine="480" w:firstLineChars="200"/>
        <w:rPr>
          <w:rFonts w:ascii="宋体" w:hAnsi="宋体" w:cs="宋体"/>
          <w:color w:val="auto"/>
          <w:sz w:val="24"/>
          <w:highlight w:val="none"/>
          <w:u w:val="single"/>
        </w:rPr>
      </w:pPr>
      <w:r>
        <w:rPr>
          <w:rFonts w:ascii="宋体" w:hAnsi="宋体" w:cs="宋体"/>
          <w:color w:val="auto"/>
          <w:sz w:val="24"/>
          <w:highlight w:val="none"/>
        </w:rPr>
        <w:t>10.3</w:t>
      </w:r>
      <w:r>
        <w:rPr>
          <w:rFonts w:hint="eastAsia" w:ascii="宋体" w:hAnsi="宋体" w:cs="宋体"/>
          <w:color w:val="auto"/>
          <w:sz w:val="24"/>
          <w:highlight w:val="none"/>
          <w:u w:val="single"/>
        </w:rPr>
        <w:t>工程实际进度与经总监理工程师确认的进度计划或者更新进度计划不符时，总监理工程师认为本工程或其中任何部分工程进度滞后而不能按预定工期完工，则应将此情况通知承包人，承包人应据此编制修改工程进度计划，采取总监理工程师同意的必要措施加快工程进度，属承包人原因，则承包人无权要求发包人支付任何附加费用。如承包人未能在工程师发布指令后</w:t>
      </w:r>
      <w:r>
        <w:rPr>
          <w:rFonts w:ascii="宋体" w:hAnsi="宋体" w:cs="宋体"/>
          <w:color w:val="auto"/>
          <w:sz w:val="24"/>
          <w:highlight w:val="none"/>
          <w:u w:val="single"/>
        </w:rPr>
        <w:t>10天内采取有效措施，工程进度仍然无明显改进，发包人有权解除部分或全部合同，将未完工程另行发包给其他有能力的第三方，承包人必须无条件服从，由此所造成的全部损失由承包人承担，并追究承包人的违约赔偿责任。</w:t>
      </w:r>
    </w:p>
    <w:p>
      <w:pPr>
        <w:snapToGrid w:val="0"/>
        <w:spacing w:line="440" w:lineRule="exact"/>
        <w:ind w:firstLine="482" w:firstLineChars="200"/>
        <w:rPr>
          <w:rFonts w:ascii="宋体" w:hAnsi="宋体" w:cs="宋体"/>
          <w:b/>
          <w:color w:val="auto"/>
          <w:sz w:val="24"/>
          <w:highlight w:val="none"/>
        </w:rPr>
      </w:pPr>
      <w:r>
        <w:rPr>
          <w:rFonts w:ascii="宋体" w:hAnsi="宋体" w:cs="宋体"/>
          <w:b/>
          <w:color w:val="auto"/>
          <w:sz w:val="24"/>
          <w:highlight w:val="none"/>
        </w:rPr>
        <w:t>11、开工及延期开工</w:t>
      </w:r>
    </w:p>
    <w:p>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11.1 </w:t>
      </w:r>
      <w:r>
        <w:rPr>
          <w:rFonts w:hint="eastAsia" w:ascii="宋体" w:hAnsi="宋体" w:cs="宋体"/>
          <w:color w:val="auto"/>
          <w:sz w:val="24"/>
          <w:highlight w:val="none"/>
        </w:rPr>
        <w:t>开工日期和竣工日期</w:t>
      </w:r>
    </w:p>
    <w:p>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11.1.1 </w:t>
      </w:r>
      <w:r>
        <w:rPr>
          <w:rFonts w:hint="eastAsia" w:ascii="宋体" w:hAnsi="宋体" w:cs="宋体"/>
          <w:color w:val="auto"/>
          <w:sz w:val="24"/>
          <w:highlight w:val="none"/>
        </w:rPr>
        <w:t>本工程工期为</w:t>
      </w:r>
      <w:r>
        <w:rPr>
          <w:rFonts w:ascii="宋体" w:hAnsi="宋体" w:cs="宋体"/>
          <w:color w:val="auto"/>
          <w:sz w:val="24"/>
          <w:highlight w:val="none"/>
          <w:u w:val="single"/>
        </w:rPr>
        <w:t xml:space="preserve">     </w:t>
      </w:r>
      <w:r>
        <w:rPr>
          <w:rFonts w:hint="eastAsia" w:ascii="宋体" w:hAnsi="宋体" w:cs="宋体"/>
          <w:color w:val="auto"/>
          <w:sz w:val="24"/>
          <w:highlight w:val="none"/>
        </w:rPr>
        <w:t>日历天。其中开工时间初定为</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rPr>
        <w:t>日。（具体开工日期以发包人或监理单位开工令或批准的开工报告日期为准）</w:t>
      </w:r>
      <w:r>
        <w:rPr>
          <w:rFonts w:ascii="宋体" w:hAnsi="宋体" w:cs="宋体"/>
          <w:color w:val="auto"/>
          <w:sz w:val="24"/>
          <w:highlight w:val="none"/>
        </w:rPr>
        <w:t xml:space="preserve"> </w:t>
      </w:r>
    </w:p>
    <w:p>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11.1.2 </w:t>
      </w:r>
      <w:r>
        <w:rPr>
          <w:rFonts w:hint="eastAsia" w:ascii="宋体" w:hAnsi="宋体" w:cs="宋体"/>
          <w:color w:val="auto"/>
          <w:sz w:val="24"/>
          <w:highlight w:val="none"/>
        </w:rPr>
        <w:t>承包人必须采取一切有效措施保证竣工日期，不得延误。除非发生了以下情形：</w:t>
      </w:r>
    </w:p>
    <w:p>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1）政府对本工程建设项目作出停建、缓建的决定；</w:t>
      </w:r>
    </w:p>
    <w:p>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2）重大设计变更导致本工程在规划、使用、功能方面有重大调整；</w:t>
      </w:r>
    </w:p>
    <w:p>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3）不可抗力持续影响而延误工期超过12天以上。</w:t>
      </w:r>
    </w:p>
    <w:p>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4）本合同专用条款约定的其他非承包人原因导致的工期延误。</w:t>
      </w:r>
    </w:p>
    <w:p>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11.2 </w:t>
      </w:r>
      <w:r>
        <w:rPr>
          <w:rFonts w:hint="eastAsia" w:ascii="宋体" w:hAnsi="宋体" w:cs="宋体"/>
          <w:color w:val="auto"/>
          <w:sz w:val="24"/>
          <w:highlight w:val="none"/>
        </w:rPr>
        <w:t>延期开工：</w:t>
      </w:r>
    </w:p>
    <w:p>
      <w:pPr>
        <w:adjustRightInd w:val="0"/>
        <w:snapToGrid w:val="0"/>
        <w:spacing w:line="440" w:lineRule="exact"/>
        <w:ind w:right="11" w:firstLine="420" w:firstLineChars="175"/>
        <w:rPr>
          <w:rFonts w:ascii="宋体" w:hAnsi="宋体" w:cs="宋体"/>
          <w:color w:val="auto"/>
          <w:sz w:val="24"/>
          <w:highlight w:val="none"/>
          <w:u w:val="single"/>
        </w:rPr>
      </w:pPr>
      <w:r>
        <w:rPr>
          <w:rFonts w:ascii="宋体" w:hAnsi="宋体" w:cs="宋体"/>
          <w:color w:val="auto"/>
          <w:sz w:val="24"/>
          <w:highlight w:val="none"/>
        </w:rPr>
        <w:t xml:space="preserve">11.2.1 </w:t>
      </w:r>
      <w:r>
        <w:rPr>
          <w:rFonts w:hint="eastAsia" w:ascii="宋体" w:hAnsi="宋体" w:cs="宋体"/>
          <w:color w:val="auto"/>
          <w:sz w:val="24"/>
          <w:highlight w:val="none"/>
          <w:u w:val="single"/>
        </w:rPr>
        <w:t>因发包人原因不能按照协议书约定的开工日期开工或暂停施工的，总监理工程师应通知承包人推迟开工日期，经监理单位、发包人确认后，工期可相应顺延，但不作费用补偿。</w:t>
      </w:r>
    </w:p>
    <w:p>
      <w:pPr>
        <w:snapToGrid w:val="0"/>
        <w:spacing w:line="440" w:lineRule="exact"/>
        <w:ind w:firstLine="480" w:firstLineChars="200"/>
        <w:rPr>
          <w:rFonts w:ascii="宋体" w:hAnsi="宋体" w:cs="宋体"/>
          <w:color w:val="auto"/>
          <w:sz w:val="24"/>
          <w:highlight w:val="none"/>
          <w:u w:val="single"/>
        </w:rPr>
      </w:pPr>
      <w:r>
        <w:rPr>
          <w:rFonts w:ascii="宋体" w:hAnsi="宋体" w:cs="宋体"/>
          <w:color w:val="auto"/>
          <w:sz w:val="24"/>
          <w:highlight w:val="none"/>
        </w:rPr>
        <w:t xml:space="preserve">11.2.2 </w:t>
      </w:r>
      <w:r>
        <w:rPr>
          <w:rFonts w:hint="eastAsia" w:ascii="宋体" w:hAnsi="宋体" w:cs="宋体"/>
          <w:color w:val="auto"/>
          <w:sz w:val="24"/>
          <w:highlight w:val="none"/>
          <w:u w:val="single"/>
        </w:rPr>
        <w:t>承包人未能主动及时地履行其协调、配合服务义务而造成专业承包单位无法开工，由此产生的工期延误等损失由承包人承担，并承担违约责任。</w:t>
      </w:r>
    </w:p>
    <w:p>
      <w:pPr>
        <w:snapToGrid w:val="0"/>
        <w:spacing w:line="440" w:lineRule="exact"/>
        <w:ind w:firstLine="482" w:firstLineChars="200"/>
        <w:rPr>
          <w:rFonts w:ascii="宋体" w:hAnsi="宋体" w:cs="宋体"/>
          <w:b/>
          <w:color w:val="auto"/>
          <w:sz w:val="24"/>
          <w:highlight w:val="none"/>
        </w:rPr>
      </w:pPr>
      <w:r>
        <w:rPr>
          <w:rFonts w:ascii="宋体" w:hAnsi="宋体" w:cs="宋体"/>
          <w:b/>
          <w:color w:val="auto"/>
          <w:sz w:val="24"/>
          <w:highlight w:val="none"/>
        </w:rPr>
        <w:t>12、暂停施工</w:t>
      </w:r>
    </w:p>
    <w:p>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12.1因下列原因，总监理工程师报经发包人同意，可通知承包人暂停施工：</w:t>
      </w:r>
    </w:p>
    <w:p>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1）工程设计发生重大变更；</w:t>
      </w:r>
    </w:p>
    <w:p>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2）</w:t>
      </w:r>
      <w:r>
        <w:rPr>
          <w:rFonts w:hint="eastAsia" w:ascii="宋体" w:hAnsi="宋体" w:cs="宋体"/>
          <w:color w:val="auto"/>
          <w:sz w:val="24"/>
          <w:highlight w:val="none"/>
          <w:u w:val="single"/>
        </w:rPr>
        <w:t>不可抗力；</w:t>
      </w:r>
    </w:p>
    <w:p>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3）质量事故；</w:t>
      </w:r>
    </w:p>
    <w:p>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4）安全生产事故；</w:t>
      </w:r>
    </w:p>
    <w:p>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5）因承包人管理不善，可能导致现场混乱；</w:t>
      </w:r>
    </w:p>
    <w:p>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6）承包人违规施工，经监理工程师通知改正但仍不执行。</w:t>
      </w:r>
    </w:p>
    <w:p>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承包人不得以与发包人有争议为由或者以争议未解决为由而单方面停工。否则，应按约定承担工期延误的违约责任。</w:t>
      </w:r>
    </w:p>
    <w:p>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因发生上述第（</w:t>
      </w:r>
      <w:r>
        <w:rPr>
          <w:rFonts w:ascii="宋体" w:hAnsi="宋体" w:cs="宋体"/>
          <w:color w:val="auto"/>
          <w:sz w:val="24"/>
          <w:highlight w:val="none"/>
          <w:u w:val="single"/>
        </w:rPr>
        <w:t>1）、（2）项原因而暂停施工的，工期可协商调整，因发生上述第（3）、（4）、（5）、（6）项原因而暂停施工的，工期不予顺延,承包人必须承担由此发生的费用并向发包人承担违约责任。</w:t>
      </w:r>
    </w:p>
    <w:p>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12.2为了保证工程质量安全，凡承包人出现下列情况之一（不限于此）的，总监理工程师有权下达停工令，责令承包人停工整改，由此造成的损失由承包人自行承担，工期不予顺延，如果造成工期延误的，承包人还应承担违约责任。</w:t>
      </w:r>
    </w:p>
    <w:p>
      <w:pPr>
        <w:snapToGrid w:val="0"/>
        <w:spacing w:line="440" w:lineRule="exact"/>
        <w:ind w:firstLine="480" w:firstLineChars="200"/>
        <w:rPr>
          <w:rFonts w:ascii="宋体" w:hAnsi="宋体" w:cs="宋体"/>
          <w:color w:val="auto"/>
          <w:sz w:val="24"/>
          <w:highlight w:val="none"/>
          <w:u w:val="single"/>
        </w:rPr>
      </w:pPr>
      <w:r>
        <w:rPr>
          <w:rFonts w:ascii="宋体" w:hAnsi="宋体" w:cs="宋体"/>
          <w:color w:val="auto"/>
          <w:sz w:val="24"/>
          <w:highlight w:val="none"/>
          <w:u w:val="single"/>
        </w:rPr>
        <w:t>(1)拒绝监理单位管理；</w:t>
      </w:r>
    </w:p>
    <w:p>
      <w:pPr>
        <w:snapToGrid w:val="0"/>
        <w:spacing w:line="440" w:lineRule="exact"/>
        <w:ind w:firstLine="480" w:firstLineChars="200"/>
        <w:rPr>
          <w:rFonts w:ascii="宋体" w:hAnsi="宋体" w:cs="宋体"/>
          <w:color w:val="auto"/>
          <w:sz w:val="24"/>
          <w:highlight w:val="none"/>
          <w:u w:val="single"/>
        </w:rPr>
      </w:pPr>
      <w:r>
        <w:rPr>
          <w:rFonts w:ascii="宋体" w:hAnsi="宋体" w:cs="宋体"/>
          <w:color w:val="auto"/>
          <w:sz w:val="24"/>
          <w:highlight w:val="none"/>
          <w:u w:val="single"/>
        </w:rPr>
        <w:t>(2)施工组织设计（方案）未获总监理工程师批准而进行施工；</w:t>
      </w:r>
    </w:p>
    <w:p>
      <w:pPr>
        <w:snapToGrid w:val="0"/>
        <w:spacing w:line="440" w:lineRule="exact"/>
        <w:ind w:firstLine="480" w:firstLineChars="200"/>
        <w:rPr>
          <w:rFonts w:ascii="宋体" w:hAnsi="宋体" w:cs="宋体"/>
          <w:color w:val="auto"/>
          <w:sz w:val="24"/>
          <w:highlight w:val="none"/>
          <w:u w:val="single"/>
        </w:rPr>
      </w:pPr>
      <w:r>
        <w:rPr>
          <w:rFonts w:ascii="宋体" w:hAnsi="宋体" w:cs="宋体"/>
          <w:color w:val="auto"/>
          <w:sz w:val="24"/>
          <w:highlight w:val="none"/>
          <w:u w:val="single"/>
        </w:rPr>
        <w:t>(3)未经监理单位检验而进行下一道工序作业者；</w:t>
      </w:r>
    </w:p>
    <w:p>
      <w:pPr>
        <w:snapToGrid w:val="0"/>
        <w:spacing w:line="440" w:lineRule="exact"/>
        <w:ind w:firstLine="480" w:firstLineChars="200"/>
        <w:rPr>
          <w:rFonts w:ascii="宋体" w:hAnsi="宋体" w:cs="宋体"/>
          <w:color w:val="auto"/>
          <w:sz w:val="24"/>
          <w:highlight w:val="none"/>
          <w:u w:val="single"/>
        </w:rPr>
      </w:pPr>
      <w:r>
        <w:rPr>
          <w:rFonts w:ascii="宋体" w:hAnsi="宋体" w:cs="宋体"/>
          <w:color w:val="auto"/>
          <w:sz w:val="24"/>
          <w:highlight w:val="none"/>
          <w:u w:val="single"/>
        </w:rPr>
        <w:t>(4)擅自采用未经监理单位及发包人认可或批准的材料的，或者使用的原材料、构配件不合格或未经检查确认的，或者擅自采用未经认可的代用材料的；</w:t>
      </w:r>
    </w:p>
    <w:p>
      <w:pPr>
        <w:snapToGrid w:val="0"/>
        <w:spacing w:line="440" w:lineRule="exact"/>
        <w:ind w:firstLine="480" w:firstLineChars="200"/>
        <w:rPr>
          <w:rFonts w:ascii="宋体" w:hAnsi="宋体" w:cs="宋体"/>
          <w:color w:val="auto"/>
          <w:sz w:val="24"/>
          <w:highlight w:val="none"/>
          <w:u w:val="single"/>
        </w:rPr>
      </w:pPr>
      <w:r>
        <w:rPr>
          <w:rFonts w:ascii="宋体" w:hAnsi="宋体" w:cs="宋体"/>
          <w:color w:val="auto"/>
          <w:sz w:val="24"/>
          <w:highlight w:val="none"/>
          <w:u w:val="single"/>
        </w:rPr>
        <w:t>(5)擅自变更设计图纸的要求；</w:t>
      </w:r>
    </w:p>
    <w:p>
      <w:pPr>
        <w:snapToGrid w:val="0"/>
        <w:spacing w:line="440" w:lineRule="exact"/>
        <w:ind w:firstLine="480" w:firstLineChars="200"/>
        <w:rPr>
          <w:rFonts w:ascii="宋体" w:hAnsi="宋体" w:cs="宋体"/>
          <w:color w:val="auto"/>
          <w:sz w:val="24"/>
          <w:highlight w:val="none"/>
          <w:u w:val="single"/>
        </w:rPr>
      </w:pPr>
      <w:r>
        <w:rPr>
          <w:rFonts w:ascii="宋体" w:hAnsi="宋体" w:cs="宋体"/>
          <w:color w:val="auto"/>
          <w:sz w:val="24"/>
          <w:highlight w:val="none"/>
          <w:u w:val="single"/>
        </w:rPr>
        <w:t>(6)转包工程；</w:t>
      </w:r>
    </w:p>
    <w:p>
      <w:pPr>
        <w:snapToGrid w:val="0"/>
        <w:spacing w:line="440" w:lineRule="exact"/>
        <w:ind w:firstLine="480" w:firstLineChars="200"/>
        <w:rPr>
          <w:rFonts w:ascii="宋体" w:hAnsi="宋体" w:cs="宋体"/>
          <w:color w:val="auto"/>
          <w:sz w:val="24"/>
          <w:highlight w:val="none"/>
          <w:u w:val="single"/>
        </w:rPr>
      </w:pPr>
      <w:r>
        <w:rPr>
          <w:rFonts w:ascii="宋体" w:hAnsi="宋体" w:cs="宋体"/>
          <w:color w:val="auto"/>
          <w:sz w:val="24"/>
          <w:highlight w:val="none"/>
          <w:u w:val="single"/>
        </w:rPr>
        <w:t>(7)擅自让未经总监理工程师批准的专业承包单位进场作业；</w:t>
      </w:r>
    </w:p>
    <w:p>
      <w:pPr>
        <w:snapToGrid w:val="0"/>
        <w:spacing w:line="440" w:lineRule="exact"/>
        <w:ind w:firstLine="480" w:firstLineChars="200"/>
        <w:rPr>
          <w:rFonts w:ascii="宋体" w:hAnsi="宋体" w:cs="宋体"/>
          <w:color w:val="auto"/>
          <w:sz w:val="24"/>
          <w:highlight w:val="none"/>
          <w:u w:val="single"/>
        </w:rPr>
      </w:pPr>
      <w:r>
        <w:rPr>
          <w:rFonts w:ascii="宋体" w:hAnsi="宋体" w:cs="宋体"/>
          <w:color w:val="auto"/>
          <w:sz w:val="24"/>
          <w:highlight w:val="none"/>
          <w:u w:val="single"/>
        </w:rPr>
        <w:t>(8)存在安全隐患，未按监理单位要求及时进行整改；</w:t>
      </w:r>
    </w:p>
    <w:p>
      <w:pPr>
        <w:snapToGrid w:val="0"/>
        <w:spacing w:line="440" w:lineRule="exact"/>
        <w:ind w:firstLine="480" w:firstLineChars="200"/>
        <w:rPr>
          <w:rFonts w:ascii="宋体" w:hAnsi="宋体" w:cs="宋体"/>
          <w:color w:val="auto"/>
          <w:sz w:val="24"/>
          <w:highlight w:val="none"/>
          <w:u w:val="single"/>
        </w:rPr>
      </w:pPr>
      <w:r>
        <w:rPr>
          <w:rFonts w:ascii="宋体" w:hAnsi="宋体" w:cs="宋体"/>
          <w:color w:val="auto"/>
          <w:sz w:val="24"/>
          <w:highlight w:val="none"/>
          <w:u w:val="single"/>
        </w:rPr>
        <w:t>(9)未按双方约定的资料上报要求上报所需资料的。</w:t>
      </w:r>
    </w:p>
    <w:p>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12.3因不可抗力引起工程停工，工期按第12.1款约定执行，费用承担按以下原则：</w:t>
      </w:r>
    </w:p>
    <w:p>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1）因工程损害导致第三方人员伤亡和财产损失，如系在工程竣工验收合格移交给发包人使用前造成的，费用由承包人承担；如系在工程竣工验收合格移交给发包人使用后发生的，费用由发包人承担。</w:t>
      </w:r>
    </w:p>
    <w:p>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2）运至施工场地用于施工的材料和待安装的设备的损害，属发包人供应的由发包人承担；属承包人采购的由承包人承担。</w:t>
      </w:r>
    </w:p>
    <w:p>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3）发包人承包人人员伤亡由其所在单位负责，并承担相应费用。</w:t>
      </w:r>
    </w:p>
    <w:p>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4）承包人机械设备损坏及停工损失由承包人承担。</w:t>
      </w:r>
    </w:p>
    <w:p>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5）停工期间，承包人应总监理工程师要求留在施工场地的必要的管理人员及保卫人员的费用由承包人承担。</w:t>
      </w:r>
    </w:p>
    <w:p>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6）工程所需清理、修复费用由发包人承担。</w:t>
      </w:r>
    </w:p>
    <w:p>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12.4由于承包人自身原因或施工承包管理、配合及协调不力，而导致专业承包工程停工，产生的费用由承包人承担。</w:t>
      </w:r>
    </w:p>
    <w:p>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13、工期延误</w:t>
      </w:r>
    </w:p>
    <w:p>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13.2对于非因承包人原因发生的工期延误，承包人应当在工期延误事件发生后7天内就延误的内容经总监理工程师向发包人提出书面报告，逾期不报告，发包人不予确认；发包人在收到经总监理工程师确认报告后15个工作日内予以答复，逾期不予答复，承包人即可视为延期要求已被确认。经确认同意延期，可顺延工期，但不作费用补偿。</w:t>
      </w:r>
    </w:p>
    <w:p>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四、质量与验收</w:t>
      </w:r>
    </w:p>
    <w:p>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15、工程质量</w:t>
      </w:r>
    </w:p>
    <w:p>
      <w:pPr>
        <w:pStyle w:val="111"/>
        <w:snapToGrid w:val="0"/>
        <w:spacing w:line="440" w:lineRule="exact"/>
        <w:ind w:firstLine="495"/>
        <w:rPr>
          <w:rFonts w:ascii="宋体" w:hAnsi="宋体" w:cs="宋体"/>
          <w:color w:val="auto"/>
          <w:sz w:val="24"/>
          <w:highlight w:val="none"/>
        </w:rPr>
      </w:pPr>
      <w:r>
        <w:rPr>
          <w:rFonts w:ascii="宋体" w:hAnsi="宋体" w:cs="宋体"/>
          <w:bCs/>
          <w:color w:val="auto"/>
          <w:sz w:val="24"/>
          <w:highlight w:val="none"/>
        </w:rPr>
        <w:t>15.3</w:t>
      </w:r>
      <w:r>
        <w:rPr>
          <w:rFonts w:hint="eastAsia" w:ascii="宋体" w:hAnsi="宋体" w:cs="宋体"/>
          <w:bCs/>
          <w:color w:val="auto"/>
          <w:sz w:val="24"/>
          <w:highlight w:val="none"/>
          <w:u w:val="single"/>
        </w:rPr>
        <w:t xml:space="preserve">承包人必须严格按照设计施工图和国家及行业颁发的现行有关设计、施工及验收规范的要求进行施工，确保工程质量，工程的质量要求达到  </w:t>
      </w:r>
      <w:r>
        <w:rPr>
          <w:rFonts w:hint="eastAsia" w:ascii="宋体" w:hAnsi="宋体" w:cs="宋体"/>
          <w:color w:val="auto"/>
          <w:sz w:val="24"/>
          <w:highlight w:val="none"/>
          <w:u w:val="single"/>
        </w:rPr>
        <w:t xml:space="preserve">按投标文件承诺填写 </w:t>
      </w:r>
      <w:r>
        <w:rPr>
          <w:rFonts w:hint="eastAsia" w:ascii="宋体" w:hAnsi="宋体" w:cs="宋体"/>
          <w:bCs/>
          <w:color w:val="auto"/>
          <w:sz w:val="24"/>
          <w:highlight w:val="none"/>
          <w:u w:val="none"/>
        </w:rPr>
        <w:t>。</w:t>
      </w:r>
    </w:p>
    <w:p>
      <w:pPr>
        <w:snapToGrid w:val="0"/>
        <w:spacing w:line="440" w:lineRule="exact"/>
        <w:ind w:firstLine="495"/>
        <w:rPr>
          <w:rFonts w:ascii="宋体" w:hAnsi="宋体" w:cs="宋体"/>
          <w:bCs/>
          <w:color w:val="auto"/>
          <w:sz w:val="24"/>
          <w:highlight w:val="none"/>
        </w:rPr>
      </w:pPr>
      <w:r>
        <w:rPr>
          <w:rFonts w:hint="eastAsia" w:ascii="宋体" w:hAnsi="宋体" w:cs="宋体"/>
          <w:bCs/>
          <w:color w:val="auto"/>
          <w:sz w:val="24"/>
          <w:highlight w:val="none"/>
          <w:u w:val="single"/>
        </w:rPr>
        <w:t>承包人对图纸中存在的问题有责任和义务提前以书面形式报告工程师及发包人，以供发包人同监理人核实并及时要求设计方修改设计图纸。</w:t>
      </w:r>
    </w:p>
    <w:p>
      <w:pPr>
        <w:snapToGrid w:val="0"/>
        <w:spacing w:line="440" w:lineRule="exact"/>
        <w:ind w:firstLine="397"/>
        <w:rPr>
          <w:rFonts w:ascii="宋体" w:hAnsi="宋体" w:cs="宋体"/>
          <w:bCs/>
          <w:color w:val="auto"/>
          <w:sz w:val="24"/>
          <w:highlight w:val="none"/>
        </w:rPr>
      </w:pPr>
      <w:r>
        <w:rPr>
          <w:rFonts w:ascii="宋体" w:hAnsi="宋体" w:cs="宋体"/>
          <w:bCs/>
          <w:color w:val="auto"/>
          <w:sz w:val="24"/>
          <w:highlight w:val="none"/>
        </w:rPr>
        <w:t>15.4</w:t>
      </w:r>
      <w:r>
        <w:rPr>
          <w:rFonts w:hint="eastAsia" w:ascii="宋体" w:hAnsi="宋体" w:cs="宋体"/>
          <w:bCs/>
          <w:color w:val="auto"/>
          <w:sz w:val="24"/>
          <w:highlight w:val="none"/>
          <w:u w:val="single"/>
        </w:rPr>
        <w:t>本工程项目的所有材料、设备及配件须达到现行中华人民共和国以及省、自治区、直辖市或行业的工程建设标准、规范的要求，产品应有生产许可证书、出厂合格证书，经监理工程师和发包人代表认可后方可使用。</w:t>
      </w:r>
    </w:p>
    <w:p>
      <w:pPr>
        <w:snapToGrid w:val="0"/>
        <w:spacing w:line="440" w:lineRule="exact"/>
        <w:ind w:firstLine="397"/>
        <w:rPr>
          <w:rFonts w:ascii="宋体" w:hAnsi="宋体" w:cs="宋体"/>
          <w:bCs/>
          <w:color w:val="auto"/>
          <w:sz w:val="24"/>
          <w:highlight w:val="none"/>
        </w:rPr>
      </w:pPr>
      <w:r>
        <w:rPr>
          <w:rFonts w:ascii="宋体" w:hAnsi="宋体" w:cs="宋体"/>
          <w:bCs/>
          <w:color w:val="auto"/>
          <w:sz w:val="24"/>
          <w:highlight w:val="none"/>
        </w:rPr>
        <w:t>15.5</w:t>
      </w:r>
      <w:r>
        <w:rPr>
          <w:rFonts w:hint="eastAsia" w:ascii="宋体" w:hAnsi="宋体" w:cs="宋体"/>
          <w:bCs/>
          <w:color w:val="auto"/>
          <w:sz w:val="24"/>
          <w:highlight w:val="none"/>
          <w:u w:val="single"/>
        </w:rPr>
        <w:t>工程质量不符合设计要求、质量不合格者，监理工程师可指令承包人停工或返工，返工费用由承包人承担，工期不予顺延。</w:t>
      </w:r>
    </w:p>
    <w:p>
      <w:pPr>
        <w:snapToGrid w:val="0"/>
        <w:spacing w:line="440" w:lineRule="exact"/>
        <w:ind w:firstLine="397"/>
        <w:rPr>
          <w:rFonts w:ascii="宋体" w:hAnsi="宋体" w:cs="宋体"/>
          <w:bCs/>
          <w:color w:val="auto"/>
          <w:sz w:val="24"/>
          <w:highlight w:val="none"/>
        </w:rPr>
      </w:pPr>
      <w:r>
        <w:rPr>
          <w:rFonts w:ascii="宋体" w:hAnsi="宋体" w:cs="宋体"/>
          <w:bCs/>
          <w:color w:val="auto"/>
          <w:sz w:val="24"/>
          <w:highlight w:val="none"/>
        </w:rPr>
        <w:t>15.6</w:t>
      </w:r>
      <w:r>
        <w:rPr>
          <w:rFonts w:hint="eastAsia" w:ascii="宋体" w:hAnsi="宋体" w:cs="宋体"/>
          <w:bCs/>
          <w:color w:val="auto"/>
          <w:sz w:val="24"/>
          <w:highlight w:val="none"/>
          <w:u w:val="single"/>
        </w:rPr>
        <w:t>发生须紧急抢修事故，承包人接到通知后，应立即到达事故现场抢修；否则，发包人可以另委托单位抢修，属承包人施工质量问题造成的修复等费用全部由承包人承担。</w:t>
      </w:r>
    </w:p>
    <w:p>
      <w:pPr>
        <w:snapToGrid w:val="0"/>
        <w:spacing w:line="440" w:lineRule="exact"/>
        <w:ind w:firstLine="397"/>
        <w:rPr>
          <w:rFonts w:ascii="宋体" w:hAnsi="宋体" w:cs="宋体"/>
          <w:bCs/>
          <w:color w:val="auto"/>
          <w:sz w:val="24"/>
          <w:highlight w:val="none"/>
        </w:rPr>
      </w:pPr>
      <w:r>
        <w:rPr>
          <w:rFonts w:ascii="宋体" w:hAnsi="宋体" w:cs="宋体"/>
          <w:bCs/>
          <w:color w:val="auto"/>
          <w:sz w:val="24"/>
          <w:highlight w:val="none"/>
        </w:rPr>
        <w:t>15.7</w:t>
      </w:r>
      <w:r>
        <w:rPr>
          <w:rFonts w:hint="eastAsia" w:ascii="宋体" w:hAnsi="宋体" w:cs="宋体"/>
          <w:bCs/>
          <w:color w:val="auto"/>
          <w:sz w:val="24"/>
          <w:highlight w:val="none"/>
          <w:u w:val="single"/>
        </w:rPr>
        <w:t>本工程按照本合同专用条款</w:t>
      </w:r>
      <w:r>
        <w:rPr>
          <w:rFonts w:ascii="宋体" w:hAnsi="宋体" w:cs="宋体"/>
          <w:bCs/>
          <w:color w:val="auto"/>
          <w:sz w:val="24"/>
          <w:highlight w:val="none"/>
          <w:u w:val="single"/>
        </w:rPr>
        <w:t>3.3的约定进行质量验收。若承包人有违反操作规程和标准或施工质量不符合规定的，发包人及监理工程师有权令其停止（或暂停）施工，由此造成的损失均由承包人负责。如在施工过程中颁发新的质量标准规范版本的，是否采用新版本规定，由监理工程师与有关各方洽商决定。</w:t>
      </w:r>
    </w:p>
    <w:p>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16、检查和返工</w:t>
      </w:r>
    </w:p>
    <w:p>
      <w:pPr>
        <w:snapToGrid w:val="0"/>
        <w:spacing w:line="440" w:lineRule="exact"/>
        <w:ind w:firstLine="397"/>
        <w:rPr>
          <w:rFonts w:ascii="宋体" w:hAnsi="宋体" w:cs="宋体"/>
          <w:bCs/>
          <w:color w:val="auto"/>
          <w:sz w:val="24"/>
          <w:highlight w:val="none"/>
        </w:rPr>
      </w:pPr>
      <w:r>
        <w:rPr>
          <w:rFonts w:ascii="宋体" w:hAnsi="宋体" w:cs="宋体"/>
          <w:bCs/>
          <w:color w:val="auto"/>
          <w:sz w:val="24"/>
          <w:highlight w:val="none"/>
        </w:rPr>
        <w:t>16.3工程师的检查检验：</w:t>
      </w:r>
      <w:r>
        <w:rPr>
          <w:rFonts w:hint="eastAsia" w:ascii="宋体" w:hAnsi="宋体" w:cs="宋体"/>
          <w:bCs/>
          <w:color w:val="auto"/>
          <w:sz w:val="24"/>
          <w:highlight w:val="none"/>
          <w:u w:val="single"/>
        </w:rPr>
        <w:t>工程师按规范、标准、设计图纸要求和频率所进行的检查检测不应成为承包人工期顺延的理由</w:t>
      </w:r>
      <w:r>
        <w:rPr>
          <w:rFonts w:hint="eastAsia" w:ascii="宋体" w:hAnsi="宋体" w:cs="宋体"/>
          <w:bCs/>
          <w:color w:val="auto"/>
          <w:sz w:val="24"/>
          <w:highlight w:val="none"/>
        </w:rPr>
        <w:t>。</w:t>
      </w:r>
    </w:p>
    <w:p>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17</w:t>
      </w:r>
      <w:r>
        <w:rPr>
          <w:rFonts w:hint="eastAsia" w:ascii="宋体" w:hAnsi="宋体" w:cs="宋体"/>
          <w:b/>
          <w:color w:val="auto"/>
          <w:sz w:val="24"/>
          <w:highlight w:val="none"/>
        </w:rPr>
        <w:t>、隐蔽工程和中间验收</w:t>
      </w:r>
    </w:p>
    <w:p>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 xml:space="preserve">17.1 </w:t>
      </w:r>
      <w:r>
        <w:rPr>
          <w:rFonts w:hint="eastAsia" w:ascii="宋体" w:hAnsi="宋体" w:cs="宋体"/>
          <w:color w:val="auto"/>
          <w:sz w:val="24"/>
          <w:highlight w:val="none"/>
        </w:rPr>
        <w:t>双方约定中间验收部位：</w:t>
      </w:r>
      <w:r>
        <w:rPr>
          <w:rFonts w:hint="eastAsia" w:ascii="宋体" w:hAnsi="宋体" w:cs="宋体"/>
          <w:color w:val="auto"/>
          <w:sz w:val="24"/>
          <w:highlight w:val="none"/>
          <w:u w:val="single"/>
        </w:rPr>
        <w:t>按相应工程施工及验收规范要求执行。</w:t>
      </w:r>
      <w:r>
        <w:rPr>
          <w:rFonts w:ascii="宋体" w:hAnsi="宋体" w:cs="宋体"/>
          <w:color w:val="auto"/>
          <w:sz w:val="24"/>
          <w:highlight w:val="none"/>
        </w:rPr>
        <w:t xml:space="preserve"> </w:t>
      </w:r>
    </w:p>
    <w:p>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19</w:t>
      </w:r>
      <w:r>
        <w:rPr>
          <w:rFonts w:hint="eastAsia" w:ascii="宋体" w:hAnsi="宋体" w:cs="宋体"/>
          <w:b/>
          <w:color w:val="auto"/>
          <w:sz w:val="24"/>
          <w:highlight w:val="none"/>
        </w:rPr>
        <w:t>、工程试车</w:t>
      </w:r>
    </w:p>
    <w:p>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 xml:space="preserve">19.5 </w:t>
      </w:r>
      <w:r>
        <w:rPr>
          <w:rFonts w:hint="eastAsia" w:ascii="宋体" w:hAnsi="宋体" w:cs="宋体"/>
          <w:color w:val="auto"/>
          <w:sz w:val="24"/>
          <w:highlight w:val="none"/>
        </w:rPr>
        <w:t>试车费用的承担：</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pPr>
        <w:snapToGrid w:val="0"/>
        <w:spacing w:line="440" w:lineRule="exact"/>
        <w:ind w:firstLine="397"/>
        <w:rPr>
          <w:rFonts w:ascii="宋体" w:hAnsi="宋体" w:cs="宋体"/>
          <w:color w:val="auto"/>
          <w:sz w:val="24"/>
          <w:highlight w:val="none"/>
        </w:rPr>
      </w:pPr>
      <w:r>
        <w:rPr>
          <w:rFonts w:hint="eastAsia" w:ascii="宋体" w:hAnsi="宋体" w:cs="宋体"/>
          <w:b/>
          <w:color w:val="auto"/>
          <w:sz w:val="24"/>
          <w:highlight w:val="none"/>
        </w:rPr>
        <w:t>五、安全施工</w:t>
      </w:r>
      <w:r>
        <w:rPr>
          <w:rFonts w:ascii="宋体" w:hAnsi="宋体" w:cs="宋体"/>
          <w:b/>
          <w:color w:val="auto"/>
          <w:sz w:val="24"/>
          <w:highlight w:val="none"/>
        </w:rPr>
        <w:t xml:space="preserve">  </w:t>
      </w:r>
    </w:p>
    <w:p>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20、安全施工与检查</w:t>
      </w:r>
    </w:p>
    <w:p>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20.3</w:t>
      </w:r>
      <w:r>
        <w:rPr>
          <w:rFonts w:hint="eastAsia" w:ascii="宋体" w:hAnsi="宋体" w:cs="宋体"/>
          <w:color w:val="auto"/>
          <w:sz w:val="24"/>
          <w:highlight w:val="none"/>
          <w:u w:val="single"/>
        </w:rPr>
        <w:t>承包人应建立安全责任制，明确各部门安全工作的岗位责任人，建立健全正常运转的各种安全工作保证体系和规章制度，将安全生产目标分解落实到实处。</w:t>
      </w:r>
    </w:p>
    <w:p>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20.4</w:t>
      </w:r>
      <w:r>
        <w:rPr>
          <w:rFonts w:hint="eastAsia" w:ascii="宋体" w:hAnsi="宋体" w:cs="宋体"/>
          <w:color w:val="auto"/>
          <w:sz w:val="24"/>
          <w:highlight w:val="none"/>
          <w:u w:val="single"/>
        </w:rPr>
        <w:t>承包人按规定数量配置安全员。</w:t>
      </w:r>
    </w:p>
    <w:p>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20.5</w:t>
      </w:r>
      <w:r>
        <w:rPr>
          <w:rFonts w:hint="eastAsia" w:ascii="宋体" w:hAnsi="宋体" w:cs="宋体"/>
          <w:color w:val="auto"/>
          <w:sz w:val="24"/>
          <w:highlight w:val="none"/>
          <w:u w:val="single"/>
        </w:rPr>
        <w:t>承包人在开工前须向质量安全监督机构提交备案的书面资料。</w:t>
      </w:r>
    </w:p>
    <w:p>
      <w:pPr>
        <w:snapToGrid w:val="0"/>
        <w:spacing w:line="440" w:lineRule="exact"/>
        <w:ind w:firstLine="397"/>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szCs w:val="24"/>
          <w:highlight w:val="none"/>
          <w:u w:val="none"/>
          <w:lang w:val="en-US" w:eastAsia="zh-CN"/>
        </w:rPr>
        <w:t>20.6</w:t>
      </w:r>
      <w:r>
        <w:rPr>
          <w:rFonts w:hint="eastAsia" w:ascii="宋体" w:hAnsi="宋体" w:eastAsia="宋体" w:cs="宋体"/>
          <w:color w:val="auto"/>
          <w:sz w:val="24"/>
          <w:highlight w:val="none"/>
          <w:u w:val="single"/>
          <w:lang w:val="en-US" w:eastAsia="zh-CN"/>
        </w:rPr>
        <w:t>承包人在编制施工组织设计时，应当根据工程的特点编制相应的安全技术措施。对危险性较大的分部分项工程和达到一定规模的危险性较大的分部分项工程应当编制专项施工方案，并附具安全验算结果，经施工单位技术负责人签字以及总监理工程师核签后实施，由专职安全生产管理人员进行现场监督。对于超过一定规模的危大工程，施工单位应当组织召开专家论证会对专项施工方案进行论证。危险性较大的分部分项工程和达到一定规模的危险性较大的分部分项工程范围按照《住房和城乡建设部办公厅关于实施&lt;危险性较大的分部分项工程安全管理规定&gt;有关问题的通知》（建办质〔2018〕31号）执行。</w:t>
      </w:r>
    </w:p>
    <w:p>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20.7</w:t>
      </w:r>
      <w:r>
        <w:rPr>
          <w:rFonts w:hint="eastAsia" w:ascii="宋体" w:hAnsi="宋体" w:cs="宋体"/>
          <w:color w:val="auto"/>
          <w:sz w:val="24"/>
          <w:highlight w:val="none"/>
          <w:u w:val="single"/>
        </w:rPr>
        <w:t>承包人按有关安全和防护的规定组织施工生产，不得使用不合标准的防护器材、机具和材料。</w:t>
      </w:r>
    </w:p>
    <w:p>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20.8</w:t>
      </w:r>
      <w:r>
        <w:rPr>
          <w:rFonts w:hint="eastAsia" w:ascii="宋体" w:hAnsi="宋体" w:cs="宋体"/>
          <w:color w:val="auto"/>
          <w:sz w:val="24"/>
          <w:highlight w:val="none"/>
          <w:u w:val="single"/>
        </w:rPr>
        <w:t>在工程实施期间，施工场地一经移交给承包人，承包人即对自身施工场地负有全过程、全面的管理责任，必须对自身施工场地范围内的治安秩序、安全保卫、环境卫生以及周围房屋、市政设施等负全责，对自身施工场地范围内的交通道路、用水、用电、场地内的协调进行的管理和协调。承包人需对其施工场地布置、人员的管理、交通组织制订详细的方案，对施工时段作出合理安排，必须采用全封闭施工方案，确保不对周边环境、道路、行人和相邻施工现场造成不利影响，不得干扰周围居民的正常生活，不得影响学生的上课及正常的活动。</w:t>
      </w:r>
    </w:p>
    <w:p>
      <w:pPr>
        <w:adjustRightInd w:val="0"/>
        <w:snapToGrid w:val="0"/>
        <w:spacing w:line="440" w:lineRule="exact"/>
        <w:ind w:right="11" w:firstLine="420" w:firstLineChars="175"/>
        <w:rPr>
          <w:rFonts w:ascii="宋体" w:hAnsi="宋体" w:cs="宋体"/>
          <w:color w:val="auto"/>
          <w:sz w:val="24"/>
          <w:highlight w:val="none"/>
          <w:u w:val="single"/>
        </w:rPr>
      </w:pPr>
      <w:r>
        <w:rPr>
          <w:rFonts w:ascii="宋体" w:hAnsi="宋体" w:cs="宋体"/>
          <w:color w:val="auto"/>
          <w:sz w:val="24"/>
          <w:highlight w:val="none"/>
        </w:rPr>
        <w:t>20.9</w:t>
      </w:r>
      <w:r>
        <w:rPr>
          <w:rFonts w:hint="eastAsia" w:ascii="宋体" w:hAnsi="宋体" w:cs="宋体"/>
          <w:color w:val="auto"/>
          <w:sz w:val="24"/>
          <w:highlight w:val="none"/>
          <w:u w:val="single"/>
        </w:rPr>
        <w:t>对于承包人或其分包人所雇佣的工人出现的伤亡事故或损失，应由承包人自行负责（但由于发包人或监理单位的行为所造成的除外）。对于这类伤亡或损失，发包人不负责任，不负担涉及这类伤亡或损失的索赔、诉讼、损害赔偿及其他费用。</w:t>
      </w:r>
    </w:p>
    <w:p>
      <w:pPr>
        <w:tabs>
          <w:tab w:val="left" w:pos="2340"/>
        </w:tabs>
        <w:spacing w:line="440" w:lineRule="exact"/>
        <w:ind w:firstLine="482" w:firstLineChars="200"/>
        <w:jc w:val="left"/>
        <w:rPr>
          <w:rFonts w:ascii="宋体" w:hAnsi="宋体" w:cs="宋体"/>
          <w:color w:val="auto"/>
          <w:sz w:val="24"/>
          <w:highlight w:val="none"/>
        </w:rPr>
      </w:pPr>
      <w:r>
        <w:rPr>
          <w:rFonts w:ascii="宋体" w:hAnsi="宋体" w:cs="宋体"/>
          <w:b/>
          <w:color w:val="auto"/>
          <w:sz w:val="24"/>
          <w:highlight w:val="none"/>
        </w:rPr>
        <w:t>21、安全防护</w:t>
      </w:r>
    </w:p>
    <w:p>
      <w:pPr>
        <w:tabs>
          <w:tab w:val="left" w:pos="2340"/>
        </w:tabs>
        <w:spacing w:line="440" w:lineRule="exact"/>
        <w:ind w:firstLine="480" w:firstLineChars="200"/>
        <w:jc w:val="left"/>
        <w:rPr>
          <w:rFonts w:ascii="宋体" w:hAnsi="宋体" w:cs="宋体"/>
          <w:color w:val="auto"/>
          <w:sz w:val="24"/>
          <w:highlight w:val="none"/>
        </w:rPr>
      </w:pPr>
      <w:r>
        <w:rPr>
          <w:rFonts w:ascii="宋体" w:hAnsi="宋体" w:cs="宋体"/>
          <w:color w:val="auto"/>
          <w:sz w:val="24"/>
          <w:highlight w:val="none"/>
        </w:rPr>
        <w:t>21.3</w:t>
      </w:r>
      <w:r>
        <w:rPr>
          <w:rFonts w:hint="eastAsia" w:ascii="宋体" w:hAnsi="宋体" w:cs="宋体"/>
          <w:color w:val="auto"/>
          <w:sz w:val="24"/>
          <w:highlight w:val="none"/>
          <w:u w:val="single"/>
        </w:rPr>
        <w:t>承包人应在施工现场采取维护安全、防范危险、预防火灾等措施，在特殊作业环境应对作业人员采取劳动保护措施。</w:t>
      </w:r>
    </w:p>
    <w:p>
      <w:pPr>
        <w:snapToGrid w:val="0"/>
        <w:spacing w:line="440" w:lineRule="exact"/>
        <w:rPr>
          <w:rFonts w:ascii="宋体" w:hAnsi="宋体" w:cs="宋体"/>
          <w:color w:val="auto"/>
          <w:sz w:val="24"/>
          <w:highlight w:val="none"/>
        </w:rPr>
      </w:pP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u w:val="none"/>
        </w:rPr>
        <w:t>21.4</w:t>
      </w:r>
      <w:r>
        <w:rPr>
          <w:rFonts w:hint="eastAsia" w:ascii="宋体" w:hAnsi="宋体" w:cs="宋体"/>
          <w:color w:val="auto"/>
          <w:sz w:val="24"/>
          <w:highlight w:val="none"/>
          <w:u w:val="none"/>
        </w:rPr>
        <w:t>承包人应加强周边学校、居民住宅的环境保护，制定绿色施工安全防护措施（包括防尘、防噪音、施工围蔽等），施工现场严格按照《广州市建设工程文明施工管理规定》（广州市人民政府令第158号）、《广州市建设工程现场文明施工管理办法》（</w:t>
      </w:r>
      <w:r>
        <w:rPr>
          <w:rFonts w:hint="eastAsia" w:ascii="宋体" w:hAnsi="宋体" w:cs="宋体"/>
          <w:bCs/>
          <w:smallCaps/>
          <w:color w:val="auto"/>
          <w:sz w:val="24"/>
          <w:highlight w:val="none"/>
          <w:u w:val="none"/>
        </w:rPr>
        <w:t>穗建质</w:t>
      </w:r>
      <w:r>
        <w:rPr>
          <w:rFonts w:hint="eastAsia" w:ascii="宋体" w:hAnsi="宋体" w:cs="宋体"/>
          <w:color w:val="auto"/>
          <w:sz w:val="24"/>
          <w:highlight w:val="none"/>
          <w:u w:val="none"/>
        </w:rPr>
        <w:t>〔2008〕</w:t>
      </w:r>
      <w:r>
        <w:rPr>
          <w:rFonts w:hint="eastAsia" w:ascii="宋体" w:hAnsi="宋体" w:cs="宋体"/>
          <w:bCs/>
          <w:smallCaps/>
          <w:color w:val="auto"/>
          <w:sz w:val="24"/>
          <w:highlight w:val="none"/>
          <w:u w:val="none"/>
        </w:rPr>
        <w:t>937号）</w:t>
      </w:r>
      <w:r>
        <w:rPr>
          <w:rFonts w:hint="eastAsia" w:ascii="宋体" w:hAnsi="宋体" w:cs="宋体"/>
          <w:color w:val="auto"/>
          <w:sz w:val="24"/>
          <w:highlight w:val="none"/>
          <w:u w:val="none"/>
        </w:rPr>
        <w:t>、《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加强规范建设施工现场围蔽的通知》（穗建质〔2018〕1008号）、《广州市建设工程绿色施工围蔽指导图集（V2.0版）》(穗建质〔2020〕1号）、</w:t>
      </w:r>
      <w:r>
        <w:rPr>
          <w:rFonts w:hint="eastAsia" w:ascii="宋体" w:hAnsi="宋体"/>
          <w:bCs/>
          <w:snapToGrid w:val="0"/>
          <w:color w:val="auto"/>
          <w:kern w:val="0"/>
          <w:sz w:val="24"/>
          <w:highlight w:val="none"/>
          <w:u w:val="none"/>
        </w:rPr>
        <w:t>《危险性较大的分部分项工程安全管理规定》(中华人民共和国住房和城乡建设部令第</w:t>
      </w:r>
      <w:r>
        <w:rPr>
          <w:rFonts w:hint="eastAsia" w:ascii="宋体" w:hAnsi="宋体"/>
          <w:b/>
          <w:bCs w:val="0"/>
          <w:snapToGrid w:val="0"/>
          <w:color w:val="auto"/>
          <w:kern w:val="0"/>
          <w:sz w:val="24"/>
          <w:highlight w:val="none"/>
          <w:u w:val="none"/>
          <w:lang w:val="en-US" w:eastAsia="zh-CN"/>
        </w:rPr>
        <w:t>4</w:t>
      </w:r>
      <w:r>
        <w:rPr>
          <w:rFonts w:hint="eastAsia" w:ascii="宋体" w:hAnsi="宋体"/>
          <w:b/>
          <w:bCs w:val="0"/>
          <w:snapToGrid w:val="0"/>
          <w:color w:val="auto"/>
          <w:kern w:val="0"/>
          <w:sz w:val="24"/>
          <w:highlight w:val="none"/>
          <w:u w:val="none"/>
        </w:rPr>
        <w:t>7号</w:t>
      </w:r>
      <w:r>
        <w:rPr>
          <w:rFonts w:hint="eastAsia" w:ascii="宋体" w:hAnsi="宋体"/>
          <w:bCs/>
          <w:snapToGrid w:val="0"/>
          <w:color w:val="auto"/>
          <w:kern w:val="0"/>
          <w:sz w:val="24"/>
          <w:highlight w:val="none"/>
          <w:u w:val="none"/>
        </w:rPr>
        <w:t>)</w:t>
      </w:r>
      <w:r>
        <w:rPr>
          <w:rFonts w:hint="eastAsia" w:ascii="宋体" w:hAnsi="宋体"/>
          <w:bCs/>
          <w:snapToGrid w:val="0"/>
          <w:color w:val="auto"/>
          <w:kern w:val="0"/>
          <w:sz w:val="24"/>
          <w:highlight w:val="none"/>
          <w:u w:val="none"/>
          <w:lang w:eastAsia="zh-CN"/>
        </w:rPr>
        <w:t>、</w:t>
      </w:r>
      <w:r>
        <w:rPr>
          <w:rFonts w:hint="eastAsia" w:ascii="宋体" w:hAnsi="宋体" w:cs="宋体"/>
          <w:color w:val="auto"/>
          <w:sz w:val="24"/>
          <w:highlight w:val="none"/>
          <w:u w:val="none"/>
        </w:rPr>
        <w:t>《关于进一步落实我区市政建设项目施工围蔽提升工作的通知》（穗埔建[2019]123号）及</w:t>
      </w:r>
      <w:r>
        <w:rPr>
          <w:rFonts w:hint="eastAsia" w:ascii="宋体" w:hAnsi="宋体" w:cs="宋体"/>
          <w:color w:val="auto"/>
          <w:sz w:val="24"/>
          <w:szCs w:val="24"/>
          <w:highlight w:val="none"/>
          <w:u w:val="none"/>
        </w:rPr>
        <w:t>《黄埔区住房和城乡建设局</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广州开发区建设和交通局关于进一步规范全区建设工程施工围蔽标准的通知》（穗埔建﹝</w:t>
      </w:r>
      <w:r>
        <w:rPr>
          <w:rFonts w:ascii="宋体" w:hAnsi="宋体" w:cs="宋体"/>
          <w:color w:val="auto"/>
          <w:sz w:val="24"/>
          <w:szCs w:val="24"/>
          <w:highlight w:val="none"/>
          <w:u w:val="none"/>
        </w:rPr>
        <w:t>2020﹞183号）实施。</w:t>
      </w:r>
      <w:r>
        <w:rPr>
          <w:rFonts w:ascii="宋体" w:hAnsi="宋体" w:cs="宋体"/>
          <w:color w:val="auto"/>
          <w:sz w:val="24"/>
          <w:highlight w:val="none"/>
          <w:u w:val="none"/>
        </w:rPr>
        <w:t>以上文件要求不一致的，以后发布文件为准，若相关部门发布有关施工围蔽新文件规定的，按新规定执行。</w:t>
      </w:r>
      <w:r>
        <w:rPr>
          <w:rFonts w:hint="eastAsia" w:ascii="宋体" w:hAnsi="宋体" w:cs="宋体"/>
          <w:color w:val="auto"/>
          <w:sz w:val="24"/>
          <w:highlight w:val="none"/>
          <w:u w:val="none"/>
        </w:rPr>
        <w:t>如承包人未及时按要求做好围蔽、落实工地扬尘防治等绿色施工安全防护措施，业主可另行委托单位实施，业主在工程款中扣减相应措施费用。承包人应当在项目施工前编制扬尘污染防治专项方案和扬尘污染防治费用使用计划，明确扬尘控制目标、防治部位、控制措施，并将扬尘污染防治费用专项使用。</w:t>
      </w:r>
    </w:p>
    <w:p>
      <w:pPr>
        <w:snapToGrid w:val="0"/>
        <w:spacing w:line="440" w:lineRule="exact"/>
        <w:rPr>
          <w:rFonts w:ascii="宋体" w:hAnsi="宋体" w:cs="宋体"/>
          <w:color w:val="auto"/>
          <w:sz w:val="24"/>
          <w:highlight w:val="none"/>
          <w:u w:val="single"/>
        </w:rPr>
      </w:pPr>
      <w:r>
        <w:rPr>
          <w:rFonts w:ascii="宋体" w:hAnsi="宋体" w:cs="宋体"/>
          <w:color w:val="auto"/>
          <w:sz w:val="24"/>
          <w:highlight w:val="none"/>
        </w:rPr>
        <w:t xml:space="preserve">   21.5</w:t>
      </w:r>
      <w:r>
        <w:rPr>
          <w:rFonts w:hint="eastAsia" w:ascii="宋体" w:hAnsi="宋体" w:cs="宋体"/>
          <w:color w:val="auto"/>
          <w:sz w:val="24"/>
          <w:highlight w:val="none"/>
          <w:u w:val="single"/>
        </w:rPr>
        <w:t>承包人应按规定对工程施工人员进行安全教育和管理。</w:t>
      </w:r>
    </w:p>
    <w:p>
      <w:pPr>
        <w:spacing w:line="440" w:lineRule="exact"/>
        <w:ind w:firstLine="360" w:firstLineChars="150"/>
        <w:rPr>
          <w:rFonts w:ascii="宋体" w:hAnsi="宋体" w:cs="宋体"/>
          <w:color w:val="auto"/>
          <w:sz w:val="24"/>
          <w:highlight w:val="none"/>
          <w:u w:val="single"/>
        </w:rPr>
      </w:pPr>
      <w:r>
        <w:rPr>
          <w:rFonts w:ascii="宋体" w:hAnsi="宋体" w:cs="宋体"/>
          <w:color w:val="auto"/>
          <w:sz w:val="24"/>
          <w:highlight w:val="none"/>
        </w:rPr>
        <w:t>21.6</w:t>
      </w:r>
      <w:r>
        <w:rPr>
          <w:rFonts w:hint="eastAsia" w:ascii="宋体" w:hAnsi="宋体" w:cs="宋体"/>
          <w:color w:val="auto"/>
          <w:sz w:val="24"/>
          <w:highlight w:val="none"/>
          <w:u w:val="single"/>
        </w:rPr>
        <w:t>承包人应书面记录专项安全施工组织设计方案审查、安全检查、安全技术交底、安全隐患整改、安全教育等重要安全管理活动。</w:t>
      </w:r>
    </w:p>
    <w:p>
      <w:pPr>
        <w:spacing w:line="440" w:lineRule="exact"/>
        <w:ind w:firstLine="360" w:firstLineChars="150"/>
        <w:rPr>
          <w:rFonts w:ascii="宋体" w:hAnsi="宋体" w:cs="宋体"/>
          <w:color w:val="auto"/>
          <w:sz w:val="24"/>
          <w:highlight w:val="none"/>
          <w:u w:val="single"/>
        </w:rPr>
      </w:pPr>
      <w:r>
        <w:rPr>
          <w:rFonts w:ascii="宋体" w:hAnsi="宋体" w:cs="宋体"/>
          <w:color w:val="auto"/>
          <w:sz w:val="24"/>
          <w:highlight w:val="none"/>
        </w:rPr>
        <w:t>21.7</w:t>
      </w:r>
      <w:r>
        <w:rPr>
          <w:rFonts w:hint="eastAsia" w:ascii="宋体" w:hAnsi="宋体" w:cs="宋体"/>
          <w:color w:val="auto"/>
          <w:sz w:val="24"/>
          <w:highlight w:val="none"/>
          <w:u w:val="single"/>
        </w:rPr>
        <w:t>承包人用于本项目的非标起重机械设备须严格执行《关于印发</w:t>
      </w:r>
      <w:r>
        <w:rPr>
          <w:rFonts w:ascii="宋体" w:hAnsi="宋体" w:cs="宋体"/>
          <w:color w:val="auto"/>
          <w:sz w:val="24"/>
          <w:highlight w:val="none"/>
          <w:u w:val="single"/>
        </w:rPr>
        <w:t>&lt;</w:t>
      </w:r>
      <w:r>
        <w:rPr>
          <w:rFonts w:hint="eastAsia" w:ascii="宋体" w:hAnsi="宋体" w:cs="宋体"/>
          <w:color w:val="auto"/>
          <w:sz w:val="24"/>
          <w:highlight w:val="none"/>
          <w:u w:val="single"/>
        </w:rPr>
        <w:t>广州市非标建筑起重机械管理办法</w:t>
      </w:r>
      <w:r>
        <w:rPr>
          <w:rFonts w:ascii="宋体" w:hAnsi="宋体" w:cs="宋体"/>
          <w:color w:val="auto"/>
          <w:sz w:val="24"/>
          <w:highlight w:val="none"/>
          <w:u w:val="single"/>
        </w:rPr>
        <w:t>&gt;</w:t>
      </w:r>
      <w:r>
        <w:rPr>
          <w:rFonts w:hint="eastAsia" w:ascii="宋体" w:hAnsi="宋体" w:cs="宋体"/>
          <w:color w:val="auto"/>
          <w:sz w:val="24"/>
          <w:highlight w:val="none"/>
          <w:u w:val="single"/>
        </w:rPr>
        <w:t>的通知》</w:t>
      </w:r>
      <w:r>
        <w:rPr>
          <w:rFonts w:ascii="宋体" w:hAnsi="宋体" w:cs="宋体"/>
          <w:color w:val="auto"/>
          <w:sz w:val="24"/>
          <w:highlight w:val="none"/>
          <w:u w:val="single"/>
        </w:rPr>
        <w:t>(穗建质[2010]999号)</w:t>
      </w:r>
      <w:r>
        <w:rPr>
          <w:rFonts w:hint="eastAsia" w:ascii="宋体" w:hAnsi="宋体" w:cs="宋体"/>
          <w:color w:val="auto"/>
          <w:sz w:val="24"/>
          <w:highlight w:val="none"/>
          <w:u w:val="single"/>
        </w:rPr>
        <w:t>的相关规定，非标起重机械设备是指没有国家或行业制造标准的各类起重机械设备，如非标架桥设备、</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竖井提升设备、非标龙门吊、贝雷架式或扒杆式起重装置等。</w:t>
      </w:r>
    </w:p>
    <w:p>
      <w:pPr>
        <w:spacing w:line="440" w:lineRule="exact"/>
        <w:ind w:firstLine="360" w:firstLineChars="150"/>
        <w:rPr>
          <w:rFonts w:ascii="宋体" w:hAnsi="宋体" w:cs="宋体"/>
          <w:color w:val="auto"/>
          <w:sz w:val="24"/>
          <w:highlight w:val="none"/>
          <w:u w:val="single"/>
        </w:rPr>
      </w:pPr>
      <w:r>
        <w:rPr>
          <w:rFonts w:ascii="宋体" w:hAnsi="宋体" w:cs="宋体"/>
          <w:color w:val="auto"/>
          <w:sz w:val="24"/>
          <w:highlight w:val="none"/>
        </w:rPr>
        <w:t>21.8</w:t>
      </w:r>
      <w:r>
        <w:rPr>
          <w:rFonts w:hint="eastAsia" w:ascii="宋体" w:hAnsi="宋体" w:cs="宋体"/>
          <w:color w:val="auto"/>
          <w:sz w:val="24"/>
          <w:highlight w:val="none"/>
          <w:u w:val="single"/>
        </w:rPr>
        <w:t>承包人用于本项目的起重设备须严格执行《广州市住房和城乡建设委员会关于启用建筑起重机械设备安全监管系统的通知</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》（穗建质〔</w:t>
      </w:r>
      <w:r>
        <w:rPr>
          <w:rFonts w:ascii="宋体" w:hAnsi="宋体" w:cs="宋体"/>
          <w:color w:val="auto"/>
          <w:sz w:val="24"/>
          <w:highlight w:val="none"/>
          <w:u w:val="single"/>
        </w:rPr>
        <w:t xml:space="preserve">2018〕889号）、《广州市住房和城乡建设局关于进一步加强建筑起重机械安全管理的通知 </w:t>
      </w:r>
      <w:r>
        <w:rPr>
          <w:rFonts w:hint="eastAsia" w:ascii="宋体" w:hAnsi="宋体" w:cs="宋体"/>
          <w:color w:val="auto"/>
          <w:sz w:val="24"/>
          <w:highlight w:val="none"/>
          <w:u w:val="single"/>
        </w:rPr>
        <w:t>》（穗建质【</w:t>
      </w:r>
      <w:r>
        <w:rPr>
          <w:rFonts w:ascii="宋体" w:hAnsi="宋体" w:cs="宋体"/>
          <w:color w:val="auto"/>
          <w:sz w:val="24"/>
          <w:highlight w:val="none"/>
          <w:u w:val="single"/>
        </w:rPr>
        <w:t>2020】216号）、《广州市住房和城乡建设委员会关于进一步加强建筑起重机械设备信息化安全监管的通知》</w:t>
      </w:r>
      <w:r>
        <w:rPr>
          <w:rFonts w:hint="eastAsia" w:ascii="宋体" w:hAnsi="宋体" w:cs="宋体"/>
          <w:color w:val="auto"/>
          <w:sz w:val="24"/>
          <w:highlight w:val="none"/>
          <w:u w:val="single"/>
        </w:rPr>
        <w:t>等相关规定。</w:t>
      </w:r>
    </w:p>
    <w:p>
      <w:pPr>
        <w:spacing w:line="440" w:lineRule="exact"/>
        <w:ind w:firstLine="360" w:firstLineChars="150"/>
        <w:rPr>
          <w:rFonts w:ascii="宋体" w:hAnsi="宋体" w:cs="宋体"/>
          <w:color w:val="auto"/>
          <w:sz w:val="24"/>
          <w:highlight w:val="none"/>
          <w:u w:val="single"/>
        </w:rPr>
      </w:pPr>
      <w:r>
        <w:rPr>
          <w:rFonts w:ascii="宋体" w:hAnsi="宋体" w:cs="宋体"/>
          <w:color w:val="auto"/>
          <w:sz w:val="24"/>
          <w:highlight w:val="none"/>
        </w:rPr>
        <w:t>21.9</w:t>
      </w:r>
      <w:r>
        <w:rPr>
          <w:rFonts w:hint="eastAsia" w:ascii="宋体" w:hAnsi="宋体" w:cs="宋体"/>
          <w:color w:val="auto"/>
          <w:sz w:val="24"/>
          <w:highlight w:val="none"/>
          <w:u w:val="single"/>
        </w:rPr>
        <w:t>承包人在工程实施过程中，按照国家、省、市的相关规定制定相关的专项安全施工方案（如高支模、基坑支护、沉井等），组织专家评审通过后，报监理人、发包人审批后方可开展专项工程的施工。</w:t>
      </w:r>
    </w:p>
    <w:p>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21.10根据《广州市城乡建设委员会关于印发广州市建设工程施工机械设备环保管理整治联合行动工作方案的函》（穗建质函[2014]2763号）要求，承包人应按上述文件规定执行，确保所有在用施工机械设备整洁、安全、有效，防止尾气污染的超标排放。所有施工机械必须具有出厂合格证明文件或进口设备检测证明文件，机械设备必须使用广州市推广使用的车用燃油。承包人应对正使用的机械设备定期维护保养并采取有效措施减少污染排放。承包人未按上述要求执行的，视为未按约定投入机械设备，按35.2.6</w:t>
      </w:r>
      <w:r>
        <w:rPr>
          <w:rFonts w:hint="eastAsia" w:ascii="宋体" w:hAnsi="宋体" w:cs="宋体"/>
          <w:color w:val="auto"/>
          <w:sz w:val="24"/>
          <w:highlight w:val="none"/>
        </w:rPr>
        <w:t>款（</w:t>
      </w:r>
      <w:r>
        <w:rPr>
          <w:rFonts w:ascii="宋体" w:hAnsi="宋体" w:cs="宋体"/>
          <w:color w:val="auto"/>
          <w:sz w:val="24"/>
          <w:highlight w:val="none"/>
        </w:rPr>
        <w:t>2）项承担违约责任。</w:t>
      </w:r>
    </w:p>
    <w:p>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21.11承包人在施工期间要确保工程外场地清洁及道路畅通，如须使用他方道路，则还必须负责养护、保洁责任，否则责任自负。施工和警示标志明显，因施工造成人身损害和财产损失的，由承包人承担责任。</w:t>
      </w:r>
    </w:p>
    <w:p>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21.12承包人必须考虑安全、环保等因素在局部施工范围进行围蔽施工，现场围蔽不符合国家有关安全措施及技术要求的，不得开展施工作业，由此造成的工期延长，由承包人自己负责，当作延误工期处理。</w:t>
      </w:r>
    </w:p>
    <w:p>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21.13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pPr>
        <w:spacing w:line="440" w:lineRule="exact"/>
        <w:ind w:firstLine="480" w:firstLineChars="200"/>
        <w:rPr>
          <w:rFonts w:ascii="宋体" w:hAnsi="宋体" w:cs="宋体"/>
          <w:color w:val="auto"/>
          <w:sz w:val="24"/>
          <w:highlight w:val="none"/>
          <w:u w:val="single"/>
        </w:rPr>
      </w:pPr>
      <w:r>
        <w:rPr>
          <w:rFonts w:ascii="宋体" w:hAnsi="宋体" w:cs="宋体"/>
          <w:color w:val="auto"/>
          <w:sz w:val="24"/>
          <w:highlight w:val="none"/>
        </w:rPr>
        <w:t>21.14承包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计入措施项目费中，</w:t>
      </w:r>
      <w:r>
        <w:rPr>
          <w:rFonts w:hint="eastAsia" w:ascii="宋体" w:hAnsi="宋体" w:cs="宋体"/>
          <w:color w:val="auto"/>
          <w:sz w:val="24"/>
          <w:highlight w:val="none"/>
        </w:rPr>
        <w:t>结算时按发包人批准的实施方案，按合同约定结算。如果承包人不及时按要求设置，发包人可以另行委托实施。发包人按实际发生的费用在工程款中扣除，承包人不得有任何异议。</w:t>
      </w:r>
    </w:p>
    <w:p>
      <w:pPr>
        <w:spacing w:line="440" w:lineRule="exact"/>
        <w:ind w:firstLine="360" w:firstLineChars="150"/>
        <w:rPr>
          <w:rFonts w:ascii="宋体" w:hAnsi="宋体" w:cs="宋体"/>
          <w:color w:val="auto"/>
          <w:sz w:val="24"/>
          <w:highlight w:val="none"/>
          <w:u w:val="single"/>
        </w:rPr>
      </w:pPr>
      <w:r>
        <w:rPr>
          <w:rFonts w:ascii="宋体" w:hAnsi="宋体" w:cs="宋体"/>
          <w:color w:val="auto"/>
          <w:sz w:val="24"/>
          <w:highlight w:val="none"/>
        </w:rPr>
        <w:t>22、</w:t>
      </w:r>
      <w:r>
        <w:rPr>
          <w:rFonts w:hint="eastAsia" w:ascii="宋体" w:hAnsi="宋体" w:cs="宋体"/>
          <w:color w:val="auto"/>
          <w:sz w:val="24"/>
          <w:highlight w:val="none"/>
          <w:u w:val="single"/>
        </w:rPr>
        <w:t>事故处理</w:t>
      </w:r>
    </w:p>
    <w:p>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22.3</w:t>
      </w:r>
      <w:r>
        <w:rPr>
          <w:rFonts w:hint="eastAsia" w:ascii="宋体" w:hAnsi="宋体" w:cs="宋体"/>
          <w:color w:val="auto"/>
          <w:sz w:val="24"/>
          <w:highlight w:val="none"/>
          <w:u w:val="single"/>
        </w:rPr>
        <w:t>如发生安全事故，除按法定程序办理有关事宜外，还必须按以下程序进行处理：</w:t>
      </w:r>
    </w:p>
    <w:p>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22.3.1</w:t>
      </w:r>
      <w:r>
        <w:rPr>
          <w:rFonts w:hint="eastAsia" w:ascii="宋体" w:hAnsi="宋体" w:cs="宋体"/>
          <w:color w:val="auto"/>
          <w:sz w:val="24"/>
          <w:highlight w:val="none"/>
          <w:u w:val="single"/>
        </w:rPr>
        <w:t>报告安全事故：安全事故发生后，承包人应在</w:t>
      </w:r>
      <w:r>
        <w:rPr>
          <w:rFonts w:ascii="宋体" w:hAnsi="宋体" w:cs="宋体"/>
          <w:color w:val="auto"/>
          <w:sz w:val="24"/>
          <w:highlight w:val="none"/>
          <w:u w:val="single"/>
        </w:rPr>
        <w:t>1小时内用最快的信息传递手段，将发生事故的时间、地点、伤亡人数、事故原因等情况，报工程师和发包人。</w:t>
      </w:r>
    </w:p>
    <w:p>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22.3.2</w:t>
      </w:r>
      <w:r>
        <w:rPr>
          <w:rFonts w:hint="eastAsia" w:ascii="宋体" w:hAnsi="宋体" w:cs="宋体"/>
          <w:color w:val="auto"/>
          <w:sz w:val="24"/>
          <w:highlight w:val="none"/>
          <w:u w:val="single"/>
        </w:rPr>
        <w:t>事故处理：承包人负责抢救伤员、排除险情，防止事故扩大蔓延，保护好现场，并做好标志，启动保险理赔程序。</w:t>
      </w:r>
    </w:p>
    <w:p>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22.3.3</w:t>
      </w:r>
      <w:r>
        <w:rPr>
          <w:rFonts w:hint="eastAsia" w:ascii="宋体" w:hAnsi="宋体" w:cs="宋体"/>
          <w:color w:val="auto"/>
          <w:sz w:val="24"/>
          <w:highlight w:val="none"/>
          <w:u w:val="single"/>
        </w:rPr>
        <w:t>事故调查：承包人应组织内部技术安全、质量部门的人员组成调查组，开展调查，并配合做好发包人或政府有关部门组织的调查工作。</w:t>
      </w:r>
    </w:p>
    <w:p>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22.3.4</w:t>
      </w:r>
      <w:r>
        <w:rPr>
          <w:rFonts w:hint="eastAsia" w:ascii="宋体" w:hAnsi="宋体" w:cs="宋体"/>
          <w:color w:val="auto"/>
          <w:sz w:val="24"/>
          <w:highlight w:val="none"/>
          <w:u w:val="single"/>
        </w:rPr>
        <w:t>调查报告：承包人应把事故发生经过、原因、性质、损失、责任、处理意见、纠正和预防措施撰写成调查报告，送工程师会审后报发包人。</w:t>
      </w:r>
    </w:p>
    <w:p>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六、合同价款与支付</w:t>
      </w:r>
    </w:p>
    <w:p>
      <w:pPr>
        <w:snapToGrid w:val="0"/>
        <w:spacing w:line="440" w:lineRule="exact"/>
        <w:ind w:firstLine="360" w:firstLineChars="150"/>
        <w:rPr>
          <w:rFonts w:ascii="宋体" w:hAnsi="宋体" w:cs="宋体"/>
          <w:color w:val="auto"/>
          <w:sz w:val="24"/>
          <w:highlight w:val="none"/>
          <w:u w:val="single"/>
        </w:rPr>
      </w:pPr>
      <w:r>
        <w:rPr>
          <w:rFonts w:ascii="宋体" w:hAnsi="宋体" w:cs="宋体"/>
          <w:color w:val="auto"/>
          <w:sz w:val="24"/>
          <w:highlight w:val="none"/>
        </w:rPr>
        <w:t xml:space="preserve">23.2 </w:t>
      </w:r>
      <w:r>
        <w:rPr>
          <w:rFonts w:hint="eastAsia" w:ascii="宋体" w:hAnsi="宋体" w:cs="宋体"/>
          <w:color w:val="auto"/>
          <w:sz w:val="24"/>
          <w:highlight w:val="none"/>
          <w:u w:val="single"/>
        </w:rPr>
        <w:t>本合同价款按照协议书第五条、本条及专用条款</w:t>
      </w:r>
      <w:r>
        <w:rPr>
          <w:rFonts w:ascii="宋体" w:hAnsi="宋体" w:cs="宋体"/>
          <w:color w:val="auto"/>
          <w:sz w:val="24"/>
          <w:highlight w:val="none"/>
          <w:u w:val="single"/>
        </w:rPr>
        <w:t>23.3款、23.5款约定执行，</w:t>
      </w:r>
      <w:r>
        <w:rPr>
          <w:rFonts w:hint="eastAsia" w:ascii="宋体" w:hAnsi="宋体" w:cs="宋体"/>
          <w:snapToGrid w:val="0"/>
          <w:color w:val="auto"/>
          <w:kern w:val="0"/>
          <w:sz w:val="24"/>
          <w:highlight w:val="none"/>
          <w:u w:val="single"/>
        </w:rPr>
        <w:t>最终按结算终审部门审定价结算</w:t>
      </w:r>
      <w:r>
        <w:rPr>
          <w:rFonts w:hint="eastAsia" w:ascii="宋体" w:hAnsi="宋体" w:cs="宋体"/>
          <w:color w:val="auto"/>
          <w:sz w:val="24"/>
          <w:highlight w:val="none"/>
          <w:u w:val="single"/>
        </w:rPr>
        <w:t>。</w:t>
      </w:r>
    </w:p>
    <w:p>
      <w:pPr>
        <w:snapToGrid w:val="0"/>
        <w:spacing w:line="440" w:lineRule="exact"/>
        <w:ind w:firstLine="360" w:firstLineChars="150"/>
        <w:rPr>
          <w:rFonts w:ascii="宋体" w:hAnsi="宋体" w:cs="宋体"/>
          <w:color w:val="auto"/>
          <w:sz w:val="24"/>
          <w:highlight w:val="none"/>
          <w:u w:val="single"/>
        </w:rPr>
      </w:pPr>
      <w:r>
        <w:rPr>
          <w:rFonts w:hint="eastAsia" w:ascii="宋体" w:hAnsi="宋体" w:cs="宋体"/>
          <w:color w:val="auto"/>
          <w:sz w:val="24"/>
          <w:highlight w:val="none"/>
          <w:u w:val="single"/>
        </w:rPr>
        <w:t>本合同价款采用分部分项工程量清单固定综合单价方式确定，具体办法如下：</w:t>
      </w:r>
    </w:p>
    <w:p>
      <w:pPr>
        <w:snapToGrid w:val="0"/>
        <w:spacing w:line="440" w:lineRule="exact"/>
        <w:ind w:firstLine="360" w:firstLineChars="15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1）分部分项工程量清单费：除23.5.1及23.5.2规定情况外，分部分项工程量清单综合单价固定不变，工程量按实计量。</w:t>
      </w:r>
    </w:p>
    <w:p>
      <w:pPr>
        <w:snapToGrid w:val="0"/>
        <w:spacing w:line="440" w:lineRule="exact"/>
        <w:ind w:firstLine="360" w:firstLineChars="15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2）措施项目费：</w:t>
      </w:r>
      <w:r>
        <w:rPr>
          <w:rFonts w:hint="eastAsia" w:ascii="宋体" w:hAnsi="宋体" w:cs="宋体"/>
          <w:color w:val="auto"/>
          <w:sz w:val="24"/>
          <w:highlight w:val="none"/>
          <w:u w:val="single"/>
        </w:rPr>
        <w:t>措施项目费（除施工围蔽费用外）固定不变，包干使用，结算时不予调整，施工围蔽清单综合单价固定不变，工程量按实计量。</w:t>
      </w:r>
    </w:p>
    <w:p>
      <w:pPr>
        <w:snapToGrid w:val="0"/>
        <w:spacing w:line="440" w:lineRule="exact"/>
        <w:ind w:firstLine="360" w:firstLineChars="15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3）其他项目部分：</w:t>
      </w:r>
    </w:p>
    <w:p>
      <w:pPr>
        <w:snapToGrid w:val="0"/>
        <w:spacing w:line="440" w:lineRule="exact"/>
        <w:ind w:firstLine="315"/>
        <w:rPr>
          <w:rFonts w:ascii="宋体" w:hAnsi="宋体" w:cs="宋体"/>
          <w:color w:val="auto"/>
          <w:sz w:val="24"/>
          <w:highlight w:val="none"/>
        </w:rPr>
      </w:pPr>
      <w:r>
        <w:rPr>
          <w:rFonts w:hint="eastAsia" w:ascii="宋体" w:hAnsi="宋体" w:cs="宋体"/>
          <w:color w:val="auto"/>
          <w:sz w:val="24"/>
          <w:highlight w:val="none"/>
        </w:rPr>
        <w:t xml:space="preserve">  ①</w:t>
      </w:r>
      <w:r>
        <w:rPr>
          <w:rFonts w:hint="eastAsia" w:ascii="宋体" w:hAnsi="宋体" w:cs="宋体"/>
          <w:color w:val="auto"/>
          <w:sz w:val="24"/>
          <w:highlight w:val="none"/>
          <w:u w:val="single"/>
        </w:rPr>
        <w:t>招标人部分为暂定价，按实际签订的专业承包合同或预留金使用情况进行调整和结算；</w:t>
      </w:r>
    </w:p>
    <w:p>
      <w:pPr>
        <w:snapToGrid w:val="0"/>
        <w:spacing w:line="440" w:lineRule="exact"/>
        <w:ind w:firstLine="315"/>
        <w:rPr>
          <w:rFonts w:ascii="宋体" w:hAnsi="宋体" w:cs="宋体"/>
          <w:color w:val="auto"/>
          <w:sz w:val="24"/>
          <w:szCs w:val="24"/>
          <w:highlight w:val="none"/>
          <w:u w:val="single"/>
        </w:rPr>
      </w:pPr>
      <w:r>
        <w:rPr>
          <w:rFonts w:hint="eastAsia" w:ascii="宋体" w:hAnsi="宋体" w:cs="宋体"/>
          <w:color w:val="auto"/>
          <w:sz w:val="24"/>
          <w:highlight w:val="none"/>
        </w:rPr>
        <w:t xml:space="preserve">  ②</w:t>
      </w:r>
      <w:r>
        <w:rPr>
          <w:rFonts w:hint="eastAsia" w:ascii="宋体" w:hAnsi="宋体" w:cs="宋体"/>
          <w:color w:val="auto"/>
          <w:sz w:val="24"/>
          <w:highlight w:val="none"/>
          <w:u w:val="single"/>
        </w:rPr>
        <w:t>投标人部分为固定价格，结算时不作调整。（若实际没有发生，在结算时扣除未发生项目的费用）</w:t>
      </w:r>
    </w:p>
    <w:p>
      <w:pPr>
        <w:snapToGrid w:val="0"/>
        <w:spacing w:line="440" w:lineRule="exact"/>
        <w:ind w:firstLine="315"/>
        <w:rPr>
          <w:rFonts w:ascii="宋体" w:hAnsi="宋体" w:cs="宋体"/>
          <w:color w:val="auto"/>
          <w:sz w:val="24"/>
          <w:highlight w:val="none"/>
          <w:u w:val="single"/>
        </w:rPr>
      </w:pPr>
      <w:r>
        <w:rPr>
          <w:rFonts w:ascii="宋体" w:hAnsi="宋体" w:cs="宋体"/>
          <w:color w:val="auto"/>
          <w:sz w:val="24"/>
          <w:highlight w:val="none"/>
        </w:rPr>
        <w:t xml:space="preserve">  ③</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投标人预算包干费部分按投标人报价中的费率取费，费率结算时不作调整。</w:t>
      </w:r>
    </w:p>
    <w:p>
      <w:pPr>
        <w:snapToGrid w:val="0"/>
        <w:spacing w:line="440" w:lineRule="exact"/>
        <w:ind w:firstLine="360" w:firstLineChars="15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4）</w:t>
      </w:r>
      <w:r>
        <w:rPr>
          <w:rFonts w:hint="eastAsia" w:ascii="宋体" w:hAnsi="宋体" w:cs="宋体"/>
          <w:color w:val="auto"/>
          <w:sz w:val="24"/>
          <w:highlight w:val="none"/>
          <w:u w:val="single"/>
        </w:rPr>
        <w:t>税金：税金按实计取，费率固定不变。</w:t>
      </w:r>
    </w:p>
    <w:p>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23.3</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双方约定合同价款的调整因素：</w:t>
      </w:r>
    </w:p>
    <w:p>
      <w:pPr>
        <w:numPr>
          <w:ilvl w:val="0"/>
          <w:numId w:val="3"/>
        </w:num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发包人及监理单位共同确认工程量偏差；</w:t>
      </w:r>
    </w:p>
    <w:p>
      <w:pPr>
        <w:numPr>
          <w:ilvl w:val="0"/>
          <w:numId w:val="3"/>
        </w:num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发包人及监理单位共同确认工程变更、签证和新增工程；</w:t>
      </w:r>
    </w:p>
    <w:p>
      <w:pPr>
        <w:numPr>
          <w:ilvl w:val="0"/>
          <w:numId w:val="3"/>
        </w:num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物价变化；</w:t>
      </w:r>
    </w:p>
    <w:p>
      <w:pPr>
        <w:numPr>
          <w:ilvl w:val="0"/>
          <w:numId w:val="3"/>
        </w:num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费用索赔事件或发包人负责的其他情况。</w:t>
      </w:r>
    </w:p>
    <w:p>
      <w:pPr>
        <w:snapToGrid w:val="0"/>
        <w:spacing w:line="44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以上调整事项涉及的价款计价原则按</w:t>
      </w:r>
      <w:r>
        <w:rPr>
          <w:rFonts w:ascii="宋体" w:hAnsi="宋体" w:cs="宋体"/>
          <w:color w:val="auto"/>
          <w:sz w:val="24"/>
          <w:highlight w:val="none"/>
        </w:rPr>
        <w:t>23.5款约定执行。</w:t>
      </w:r>
    </w:p>
    <w:p>
      <w:pPr>
        <w:snapToGrid w:val="0"/>
        <w:spacing w:line="440" w:lineRule="exact"/>
        <w:ind w:firstLine="338" w:firstLineChars="141"/>
        <w:rPr>
          <w:rFonts w:ascii="宋体" w:hAnsi="宋体" w:cs="宋体"/>
          <w:color w:val="auto"/>
          <w:sz w:val="24"/>
          <w:highlight w:val="none"/>
        </w:rPr>
      </w:pPr>
      <w:r>
        <w:rPr>
          <w:rFonts w:ascii="宋体" w:hAnsi="宋体" w:cs="宋体"/>
          <w:color w:val="auto"/>
          <w:sz w:val="24"/>
          <w:highlight w:val="none"/>
        </w:rPr>
        <w:t>23.4承包人应在第23.3款情况发生后3天内，将调整原因、金额以书面形式通知监理单位，必须经监理单位和发包人书面批准后作为调整合同价款的依据。对承包人在没有得到发包人的同意和正式盖章书面函件的前提下进行的调整，发包人不予认可，一切责任和后果由承包人承担。</w:t>
      </w:r>
    </w:p>
    <w:p>
      <w:pPr>
        <w:pStyle w:val="57"/>
        <w:snapToGrid w:val="0"/>
        <w:spacing w:line="440" w:lineRule="exact"/>
        <w:ind w:firstLine="338" w:firstLineChars="141"/>
        <w:rPr>
          <w:rFonts w:ascii="宋体" w:hAnsi="宋体" w:cs="宋体"/>
          <w:color w:val="auto"/>
          <w:sz w:val="24"/>
          <w:highlight w:val="none"/>
          <w:u w:val="single"/>
        </w:rPr>
      </w:pPr>
      <w:r>
        <w:rPr>
          <w:rFonts w:ascii="宋体" w:hAnsi="宋体" w:cs="宋体"/>
          <w:color w:val="auto"/>
          <w:sz w:val="24"/>
          <w:highlight w:val="none"/>
        </w:rPr>
        <w:t xml:space="preserve"> 23.5</w:t>
      </w:r>
      <w:r>
        <w:rPr>
          <w:rFonts w:hint="eastAsia" w:ascii="宋体" w:hAnsi="宋体" w:cs="宋体"/>
          <w:color w:val="auto"/>
          <w:sz w:val="24"/>
          <w:highlight w:val="none"/>
          <w:u w:val="single"/>
        </w:rPr>
        <w:t>合同价款调整原则</w:t>
      </w:r>
    </w:p>
    <w:p>
      <w:pPr>
        <w:pStyle w:val="108"/>
        <w:spacing w:line="440" w:lineRule="exact"/>
        <w:ind w:firstLine="480" w:firstLineChars="200"/>
        <w:rPr>
          <w:rFonts w:ascii="宋体" w:hAnsi="宋体" w:cs="宋体"/>
          <w:color w:val="auto"/>
          <w:sz w:val="24"/>
          <w:highlight w:val="none"/>
          <w:u w:val="single"/>
        </w:rPr>
      </w:pPr>
      <w:r>
        <w:rPr>
          <w:rFonts w:ascii="宋体" w:hAnsi="宋体" w:cs="宋体"/>
          <w:color w:val="auto"/>
          <w:sz w:val="24"/>
          <w:highlight w:val="none"/>
        </w:rPr>
        <w:t>23.5.1</w:t>
      </w:r>
      <w:r>
        <w:rPr>
          <w:rFonts w:hint="eastAsia" w:ascii="宋体" w:hAnsi="宋体" w:cs="宋体"/>
          <w:color w:val="auto"/>
          <w:sz w:val="24"/>
          <w:highlight w:val="none"/>
          <w:u w:val="single"/>
        </w:rPr>
        <w:t>变更、签证工程和新增工程：工程项目实施期间和结算时，招标文件工程量清单中漏列而由监理单位和招标人现场签证确认的工程项目；由于设计需要或项目建设实际需要，会引致工程量清单内数量发生变化、或工程量清单内项目的局部内容发生变化、或新增了工程量清单内没有的项目；原设计没有而由招标人批准设计变更产生的工程项目及经监理单位和招标人现场签证确认的工程项目；合同所确定的工程内容以外，非施工单位原因造成而施工过程中实际发生且需支付工程费用的，并经监理单位和招标人现场签证确认工程实际内容。变更、签证工程和新增工程按以下办法确定价格：</w:t>
      </w:r>
    </w:p>
    <w:p>
      <w:pPr>
        <w:pStyle w:val="57"/>
        <w:spacing w:line="440" w:lineRule="exact"/>
        <w:ind w:firstLine="57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1）合同工程量清单中有相同适用项目的，则采用该项目投标综合单价；合同工程量清单中相同适用项目有多个的，取最有利于发包人的相同适用项目的投标综合单价。但新增工程量超过15%的，比较招标控制价对应的综合单价并执行中标下浮率和投标综合单价，取两者的较小值作为超出15%的新增工程量的综合单价。</w:t>
      </w:r>
    </w:p>
    <w:p>
      <w:pPr>
        <w:pStyle w:val="57"/>
        <w:spacing w:line="440" w:lineRule="exact"/>
        <w:ind w:firstLine="395"/>
        <w:rPr>
          <w:rFonts w:ascii="宋体" w:hAnsi="宋体" w:cs="宋体"/>
          <w:color w:val="auto"/>
          <w:sz w:val="24"/>
          <w:highlight w:val="none"/>
        </w:rPr>
      </w:pPr>
      <w:r>
        <w:rPr>
          <w:rFonts w:hint="eastAsia" w:ascii="宋体" w:hAnsi="宋体" w:cs="宋体"/>
          <w:color w:val="auto"/>
          <w:sz w:val="24"/>
          <w:highlight w:val="none"/>
        </w:rPr>
        <w:t>（2）合同工程量清单中无相同适用项目、只有类似适用项目的，则按类似项目的综合单价对相应子目、消耗量、材料设备价格等进行调整换算，原管理费、利润水平不变，仅调整主材和主要设备价格。如合同工程量清单中类似项目的综合单价有两个以上，则由发包人按消耗量最少、管理费和利润取费最低的优先顺序选择类似项目综合单价进行换算。所换算主材及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且需对选用的厂商价格信息重新进行市场调研询价后方可使用。《广州地区建设工程常用材料税前综合价格》及《广州地区建设工程材料（设备）厂商价格信息》均没有的材料、设备价格，由发包人、监理单位、承包人结合市场价共同协商确定。按上述原则调整后的换算综合单价最终均应执行中标下浮率。</w:t>
      </w:r>
    </w:p>
    <w:p>
      <w:pPr>
        <w:pStyle w:val="57"/>
        <w:spacing w:line="440" w:lineRule="exact"/>
        <w:ind w:firstLine="395"/>
        <w:rPr>
          <w:rFonts w:ascii="宋体" w:hAnsi="宋体" w:cs="宋体"/>
          <w:color w:val="auto"/>
          <w:sz w:val="24"/>
          <w:highlight w:val="none"/>
          <w:u w:val="single"/>
        </w:rPr>
      </w:pPr>
      <w:r>
        <w:rPr>
          <w:rFonts w:hint="eastAsia" w:ascii="宋体" w:hAnsi="宋体" w:cs="宋体"/>
          <w:color w:val="auto"/>
          <w:sz w:val="24"/>
          <w:highlight w:val="none"/>
        </w:rPr>
        <w:t>（3）</w:t>
      </w:r>
      <w:r>
        <w:rPr>
          <w:rFonts w:hint="eastAsia" w:ascii="宋体" w:hAnsi="宋体" w:cs="宋体"/>
          <w:color w:val="auto"/>
          <w:sz w:val="24"/>
          <w:highlight w:val="none"/>
          <w:u w:val="single"/>
        </w:rPr>
        <w:t>合同工程量清单报价中没有相同或类似适用项目的，按以下原则计价</w:t>
      </w:r>
      <w:r>
        <w:rPr>
          <w:rFonts w:hint="eastAsia" w:ascii="宋体" w:hAnsi="宋体" w:cs="宋体"/>
          <w:color w:val="auto"/>
          <w:sz w:val="24"/>
          <w:highlight w:val="none"/>
        </w:rPr>
        <w:t>：</w:t>
      </w:r>
    </w:p>
    <w:p>
      <w:pPr>
        <w:pStyle w:val="57"/>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① 由承包人依据变更工程资料，计量原则，按《广东省市政工程综合定额》（2018年）、《广东省房屋建筑与装饰工程综合定额》（2018年）、《广东省通用安装工程综合定额》（2018年）、《广东省园林绿化工程综合定额》（2018年）、《广东省建设工程施工机具台班费用编制规则》（2018）等相关定额标准及工程实施期工程造价管理机构发布的材料设备参考价格编制综合单价并执行中标下浮率。其中材料、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w:t>
      </w:r>
      <w:r>
        <w:rPr>
          <w:rFonts w:hint="eastAsia" w:ascii="宋体" w:hAnsi="宋体" w:cs="宋体"/>
          <w:color w:val="auto"/>
          <w:sz w:val="24"/>
          <w:highlight w:val="none"/>
        </w:rPr>
        <w:t>，且需对选用的厂商价格信息重新进行市场调研询价后方可使用。</w:t>
      </w:r>
      <w:r>
        <w:rPr>
          <w:rFonts w:hint="eastAsia" w:ascii="宋体" w:hAnsi="宋体" w:cs="宋体"/>
          <w:color w:val="auto"/>
          <w:sz w:val="24"/>
          <w:highlight w:val="none"/>
          <w:u w:val="single"/>
        </w:rPr>
        <w:t>《广州地区建设工程常用材料税前综合价格》及《广州地区建设工程材料（设备）厂商价格信息》均没有的相关价格的，由发包人、监理单位、承包人结合市场价共同协商确定</w:t>
      </w:r>
      <w:r>
        <w:rPr>
          <w:rFonts w:hint="eastAsia" w:ascii="宋体" w:hAnsi="宋体" w:cs="宋体"/>
          <w:color w:val="auto"/>
          <w:sz w:val="24"/>
          <w:highlight w:val="none"/>
        </w:rPr>
        <w:t>。</w:t>
      </w:r>
    </w:p>
    <w:p>
      <w:pPr>
        <w:pStyle w:val="57"/>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② </w:t>
      </w:r>
      <w:r>
        <w:rPr>
          <w:rFonts w:hint="eastAsia" w:ascii="宋体" w:hAnsi="宋体" w:cs="宋体"/>
          <w:color w:val="auto"/>
          <w:sz w:val="24"/>
          <w:highlight w:val="none"/>
          <w:u w:val="single"/>
        </w:rPr>
        <w:t>合同工程量清单没有相同或相类似且无相关定额的项目，承包人参照《广东省市政工程综合定额》（2018年）、《广东省房屋建筑与装饰工程综合定额》（2018年）、《广东省通用安装工程综合定额》（2018年）、《广东省园林绿化工程综合定额》（2018年）、《广东省建设工程施工机具台班费用编制规则》（2018）等相关定额编制原则（上述定额查找不到的可参考其它相关定额或由发包人与承包人协商确定）及工程实施期工程造价管理机构发布的材料设备参考价格编制综合单价并执行中标下浮率。其中材料、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w:t>
      </w:r>
      <w:r>
        <w:rPr>
          <w:rFonts w:hint="eastAsia" w:ascii="宋体" w:hAnsi="宋体" w:cs="宋体"/>
          <w:color w:val="auto"/>
          <w:sz w:val="24"/>
          <w:highlight w:val="none"/>
        </w:rPr>
        <w:t>，且需对选用的厂商价格信息重新进行市场调研询价后方可使用。</w:t>
      </w:r>
      <w:r>
        <w:rPr>
          <w:rFonts w:hint="eastAsia" w:ascii="宋体" w:hAnsi="宋体" w:cs="宋体"/>
          <w:color w:val="auto"/>
          <w:sz w:val="24"/>
          <w:highlight w:val="none"/>
          <w:u w:val="single"/>
        </w:rPr>
        <w:t>《广州地区建设工程常用材料税前综合价格》及《广州地区建设工程材料（设备）厂商价格信息》均没有的相关价格的，由发包人、监理单位、承包人结合市场价共同协商确定</w:t>
      </w:r>
      <w:r>
        <w:rPr>
          <w:rFonts w:hint="eastAsia" w:ascii="宋体" w:hAnsi="宋体" w:cs="宋体"/>
          <w:color w:val="auto"/>
          <w:sz w:val="24"/>
          <w:highlight w:val="none"/>
        </w:rPr>
        <w:t>。</w:t>
      </w:r>
    </w:p>
    <w:p>
      <w:pPr>
        <w:pStyle w:val="57"/>
        <w:adjustRightInd w:val="0"/>
        <w:snapToGrid w:val="0"/>
        <w:spacing w:line="440" w:lineRule="exact"/>
        <w:ind w:right="11" w:firstLine="360" w:firstLineChars="15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u w:val="single"/>
        </w:rPr>
        <w:t>按上述原则确定价格时，措施项目费用（除施工围蔽外）不计取,清单计价及税金的计取，应符合《广东省住房和城乡建设厅关于营业税改征增值税后调整广东省建设工程计价依据的通知》（粤建市【2016】1113号）、《广州市住房和城乡建设委员会转发关于营业税改增值税后调整广东省建设工程计价依据有关事项的通知》（穗建筑【2016】744号）及《广州市建设工程造价管理站关于营业税改征增值税后广州市建设工程计价有关问题的通知》（穗建造价【2016】31号）、《广东省住房和城乡建设厅关于印发&lt;广东省建设工程计价依据（2018)&gt;的通知》（穗建市〔2019〕6号）等相关文件的规定。</w:t>
      </w:r>
    </w:p>
    <w:p>
      <w:pPr>
        <w:snapToGrid w:val="0"/>
        <w:spacing w:line="440" w:lineRule="exact"/>
        <w:ind w:firstLine="338" w:firstLineChars="141"/>
        <w:rPr>
          <w:rFonts w:ascii="宋体" w:hAnsi="宋体" w:cs="宋体"/>
          <w:color w:val="auto"/>
          <w:sz w:val="24"/>
          <w:highlight w:val="none"/>
        </w:rPr>
      </w:pPr>
      <w:r>
        <w:rPr>
          <w:rFonts w:hint="eastAsia" w:ascii="宋体" w:hAnsi="宋体" w:cs="宋体"/>
          <w:color w:val="auto"/>
          <w:sz w:val="24"/>
          <w:highlight w:val="none"/>
        </w:rPr>
        <w:t xml:space="preserve">23.5.2 </w:t>
      </w:r>
      <w:r>
        <w:rPr>
          <w:rFonts w:hint="eastAsia" w:ascii="宋体" w:hAnsi="宋体" w:cs="宋体"/>
          <w:color w:val="auto"/>
          <w:sz w:val="24"/>
          <w:highlight w:val="none"/>
          <w:u w:val="single"/>
        </w:rPr>
        <w:t>工程量发生变化时，如项目综合单价与招标控制价对应的综合单价×（1-中标下浮率)（下称基价）偏差超过一定幅度时，相应调整项目综合单价。其中项目综合单价＞（1+15%）×基价且工程量增加的，增加部分工程量的综合单价按基价执行；项目综合单价＜（1-15%）×基价且工程量减少的，减少部分工程量的综合单价按基价执行，并从合同价款中扣除</w:t>
      </w:r>
      <w:r>
        <w:rPr>
          <w:rFonts w:hint="eastAsia" w:ascii="宋体" w:hAnsi="宋体" w:cs="宋体"/>
          <w:color w:val="auto"/>
          <w:sz w:val="24"/>
          <w:highlight w:val="none"/>
        </w:rPr>
        <w:t>。</w:t>
      </w:r>
    </w:p>
    <w:p>
      <w:pPr>
        <w:snapToGrid w:val="0"/>
        <w:spacing w:line="440" w:lineRule="exact"/>
        <w:ind w:firstLine="338" w:firstLineChars="141"/>
        <w:rPr>
          <w:rFonts w:ascii="宋体" w:hAnsi="宋体" w:cs="宋体"/>
          <w:color w:val="auto"/>
          <w:sz w:val="24"/>
          <w:highlight w:val="none"/>
          <w:u w:val="single"/>
        </w:rPr>
      </w:pPr>
      <w:r>
        <w:rPr>
          <w:rFonts w:hint="eastAsia" w:ascii="宋体" w:hAnsi="宋体" w:cs="宋体"/>
          <w:color w:val="auto"/>
          <w:sz w:val="24"/>
          <w:highlight w:val="none"/>
        </w:rPr>
        <w:t>23.5.3</w:t>
      </w:r>
      <w:r>
        <w:rPr>
          <w:rFonts w:hint="eastAsia" w:ascii="宋体" w:hAnsi="宋体" w:cs="宋体"/>
          <w:color w:val="auto"/>
          <w:sz w:val="24"/>
          <w:highlight w:val="none"/>
          <w:u w:val="single"/>
        </w:rPr>
        <w:t>物价涨跌的价格调整</w:t>
      </w:r>
    </w:p>
    <w:p>
      <w:pPr>
        <w:snapToGrid w:val="0"/>
        <w:spacing w:line="440" w:lineRule="exact"/>
        <w:ind w:firstLine="338" w:firstLineChars="141"/>
        <w:rPr>
          <w:rFonts w:ascii="宋体" w:hAnsi="宋体" w:cs="宋体"/>
          <w:color w:val="auto"/>
          <w:sz w:val="24"/>
          <w:highlight w:val="none"/>
          <w:u w:val="single"/>
        </w:rPr>
      </w:pPr>
      <w:r>
        <w:rPr>
          <w:rFonts w:hint="eastAsia" w:ascii="宋体" w:hAnsi="宋体" w:cs="宋体"/>
          <w:color w:val="auto"/>
          <w:sz w:val="24"/>
          <w:highlight w:val="none"/>
          <w:u w:val="single"/>
        </w:rPr>
        <w:t>（1）合同履行期间，出现工程造价管理机构发布的人工、材料、工程设备和施工设备、机械台班单价涨跌超过本工程招标文件规定的投标截止日期前第28天时广州市建设工程造价管理部门发布的人工、材料、工程设备和施工设备、机械台班相应单价且符合以下规定的，应调整合同价款。</w:t>
      </w:r>
    </w:p>
    <w:p>
      <w:pPr>
        <w:snapToGrid w:val="0"/>
        <w:spacing w:line="440" w:lineRule="exact"/>
        <w:ind w:firstLine="338" w:firstLineChars="141"/>
        <w:rPr>
          <w:rFonts w:ascii="宋体" w:hAnsi="宋体" w:cs="宋体"/>
          <w:color w:val="auto"/>
          <w:sz w:val="24"/>
          <w:highlight w:val="none"/>
          <w:u w:val="single"/>
        </w:rPr>
      </w:pPr>
      <w:r>
        <w:rPr>
          <w:rFonts w:hint="eastAsia" w:ascii="宋体" w:hAnsi="宋体" w:cs="宋体"/>
          <w:color w:val="auto"/>
          <w:sz w:val="24"/>
          <w:highlight w:val="none"/>
          <w:u w:val="single"/>
        </w:rPr>
        <w:t>承包人承担工料机价格涨跌幅度在10%以内（含10%）的风险，不予调整合同价款；工料机价格涨跌幅度超过10%时，可以调整合同价款, 调整范围为人工、机械台班、砂、碎石、石屑，及《印发&lt;关于区财政投资工程人工、材料（设备）、机械价格调整的意见&gt;的通知》（穗开环建〔2008〕59号）附件《各类工程可调价差材料（设备）清单》中对应工程类别规定的可调价材料（设备）且属《广州地区建设工程常用材料税前综合价格》（以下简称“综合价格”）包含的材料、设备；“综合价格”中没有的材料、设备均不予调整。</w:t>
      </w:r>
    </w:p>
    <w:p>
      <w:pPr>
        <w:snapToGrid w:val="0"/>
        <w:spacing w:line="440" w:lineRule="exact"/>
        <w:ind w:firstLine="338" w:firstLineChars="141"/>
        <w:rPr>
          <w:rFonts w:ascii="宋体" w:hAnsi="宋体" w:cs="宋体"/>
          <w:color w:val="auto"/>
          <w:sz w:val="24"/>
          <w:highlight w:val="none"/>
          <w:u w:val="single"/>
        </w:rPr>
      </w:pPr>
      <w:r>
        <w:rPr>
          <w:rFonts w:hint="eastAsia" w:ascii="宋体" w:hAnsi="宋体" w:cs="宋体"/>
          <w:color w:val="auto"/>
          <w:sz w:val="24"/>
          <w:highlight w:val="none"/>
          <w:u w:val="single"/>
        </w:rPr>
        <w:t>（2）价款调整的方法</w:t>
      </w:r>
    </w:p>
    <w:p>
      <w:pPr>
        <w:snapToGrid w:val="0"/>
        <w:spacing w:line="440" w:lineRule="exact"/>
        <w:ind w:firstLine="338" w:firstLineChars="141"/>
        <w:rPr>
          <w:rFonts w:ascii="宋体" w:hAnsi="宋体" w:cs="宋体"/>
          <w:color w:val="auto"/>
          <w:sz w:val="24"/>
          <w:highlight w:val="none"/>
          <w:u w:val="single"/>
        </w:rPr>
      </w:pPr>
      <w:r>
        <w:rPr>
          <w:rFonts w:hint="eastAsia" w:ascii="宋体" w:hAnsi="宋体" w:cs="宋体"/>
          <w:color w:val="auto"/>
          <w:sz w:val="24"/>
          <w:highlight w:val="none"/>
          <w:u w:val="single"/>
        </w:rPr>
        <w:t>①当人工、机械台班、可调价格的材料设备价格上涨幅度超过10%时，超出10%的部分由发包人承担；当人工、机械台班、可调价格的材料设备价格下跌幅度超过10%时，超出10%的部分由承包人退回发包人。人工、机械台班价格按实际发生的数量调整，材料（设备）按各类工程消耗的主要材料（设备）进行调整。</w:t>
      </w:r>
    </w:p>
    <w:p>
      <w:pPr>
        <w:snapToGrid w:val="0"/>
        <w:spacing w:line="440" w:lineRule="exact"/>
        <w:ind w:firstLine="338" w:firstLineChars="141"/>
        <w:rPr>
          <w:rFonts w:ascii="宋体" w:hAnsi="宋体" w:cs="宋体"/>
          <w:color w:val="auto"/>
          <w:sz w:val="24"/>
          <w:highlight w:val="none"/>
          <w:u w:val="single"/>
        </w:rPr>
      </w:pPr>
      <w:r>
        <w:rPr>
          <w:rFonts w:hint="eastAsia" w:ascii="宋体" w:hAnsi="宋体" w:cs="宋体"/>
          <w:color w:val="auto"/>
          <w:sz w:val="24"/>
          <w:highlight w:val="none"/>
          <w:u w:val="single"/>
        </w:rPr>
        <w:t>② 价款调整以各调价工料机的数量乘以单价价差，再乘以（1-中标下浮率）计算。各工料机的数量按该当期实际完成的适用投标单价项目的工程量计取，各调价工料机的单价价差以广州市建设工程造价管理部门发布的价格信息为依据，按施工当月信息价格与招标文件规定的投标截止日期前第28天时广州市建设工程造价管理部门发布的人工、材料、工程设备和施工设备、机械台班信息价格差值计取。</w:t>
      </w:r>
    </w:p>
    <w:p>
      <w:pPr>
        <w:snapToGrid w:val="0"/>
        <w:spacing w:line="440" w:lineRule="exact"/>
        <w:ind w:firstLine="338" w:firstLineChars="141"/>
        <w:rPr>
          <w:rFonts w:ascii="宋体" w:hAnsi="宋体" w:cs="宋体"/>
          <w:color w:val="auto"/>
          <w:sz w:val="24"/>
          <w:highlight w:val="none"/>
          <w:u w:val="single"/>
        </w:rPr>
      </w:pPr>
      <w:r>
        <w:rPr>
          <w:rFonts w:hint="eastAsia" w:ascii="宋体" w:hAnsi="宋体" w:cs="宋体"/>
          <w:color w:val="auto"/>
          <w:sz w:val="24"/>
          <w:highlight w:val="none"/>
          <w:u w:val="single"/>
        </w:rPr>
        <w:t>③ 价款调整以月为单位计算，结算时一次性调整，如施工期间需调整价款的，经发包人、承包人协商一致后可签订价差补充协议，作为追加（减）合同价款和支付工程进度款的依据。</w:t>
      </w:r>
    </w:p>
    <w:p>
      <w:pPr>
        <w:snapToGrid w:val="0"/>
        <w:spacing w:line="440" w:lineRule="exact"/>
        <w:ind w:firstLine="338" w:firstLineChars="141"/>
        <w:rPr>
          <w:rFonts w:ascii="宋体" w:hAnsi="宋体" w:cs="宋体"/>
          <w:color w:val="auto"/>
          <w:sz w:val="24"/>
          <w:highlight w:val="none"/>
          <w:u w:val="single"/>
        </w:rPr>
      </w:pPr>
      <w:r>
        <w:rPr>
          <w:rFonts w:hint="eastAsia" w:ascii="宋体" w:hAnsi="宋体" w:cs="宋体"/>
          <w:color w:val="auto"/>
          <w:sz w:val="24"/>
          <w:highlight w:val="none"/>
          <w:u w:val="single"/>
        </w:rPr>
        <w:t>④ 各调价材料、设备的信息价格按广州市建设工程造价管理部门发布的当月 “综合价格”计取，综合价格中没有的材料、设备单价，价差不予调整。</w:t>
      </w:r>
    </w:p>
    <w:p>
      <w:pPr>
        <w:snapToGrid w:val="0"/>
        <w:spacing w:line="440" w:lineRule="exact"/>
        <w:ind w:firstLine="338" w:firstLineChars="141"/>
        <w:rPr>
          <w:rFonts w:ascii="宋体" w:hAnsi="宋体" w:cs="宋体"/>
          <w:color w:val="auto"/>
          <w:sz w:val="24"/>
          <w:highlight w:val="none"/>
          <w:u w:val="single"/>
        </w:rPr>
      </w:pPr>
      <w:r>
        <w:rPr>
          <w:rFonts w:hint="eastAsia" w:ascii="宋体" w:hAnsi="宋体" w:cs="宋体"/>
          <w:color w:val="auto"/>
          <w:sz w:val="24"/>
          <w:highlight w:val="none"/>
          <w:u w:val="single"/>
        </w:rPr>
        <w:t>（3）由于承包人原因导致工期延误的，所延误时段内物价上涨的风险全部由承包人承担，不予调整；如物价下跌，则仍按第（2）款约定计算及扣回相应价款。</w:t>
      </w:r>
    </w:p>
    <w:p>
      <w:pPr>
        <w:spacing w:line="440" w:lineRule="exact"/>
        <w:rPr>
          <w:rFonts w:ascii="宋体" w:hAnsi="宋体" w:cs="宋体"/>
          <w:color w:val="auto"/>
          <w:sz w:val="24"/>
          <w:highlight w:val="none"/>
        </w:rPr>
      </w:pPr>
    </w:p>
    <w:p>
      <w:pPr>
        <w:snapToGrid w:val="0"/>
        <w:spacing w:line="440" w:lineRule="exact"/>
        <w:rPr>
          <w:rFonts w:ascii="宋体" w:hAnsi="宋体" w:cs="宋体"/>
          <w:b/>
          <w:color w:val="auto"/>
          <w:sz w:val="24"/>
          <w:highlight w:val="none"/>
        </w:rPr>
      </w:pPr>
      <w:r>
        <w:rPr>
          <w:rFonts w:ascii="宋体" w:hAnsi="宋体" w:cs="宋体"/>
          <w:color w:val="auto"/>
          <w:sz w:val="24"/>
          <w:highlight w:val="none"/>
        </w:rPr>
        <w:t xml:space="preserve">  24</w:t>
      </w:r>
      <w:r>
        <w:rPr>
          <w:rFonts w:hint="eastAsia" w:ascii="宋体" w:hAnsi="宋体" w:cs="宋体"/>
          <w:b/>
          <w:color w:val="auto"/>
          <w:sz w:val="24"/>
          <w:highlight w:val="none"/>
        </w:rPr>
        <w:t>、工程预付款及工人工资</w:t>
      </w:r>
    </w:p>
    <w:p>
      <w:pPr>
        <w:snapToGrid w:val="0"/>
        <w:spacing w:line="440" w:lineRule="exact"/>
        <w:ind w:firstLine="338" w:firstLineChars="141"/>
        <w:rPr>
          <w:rFonts w:ascii="宋体" w:hAnsi="宋体" w:cs="宋体"/>
          <w:color w:val="auto"/>
          <w:sz w:val="24"/>
          <w:highlight w:val="none"/>
        </w:rPr>
      </w:pPr>
      <w:r>
        <w:rPr>
          <w:rFonts w:ascii="宋体" w:hAnsi="宋体" w:cs="宋体"/>
          <w:color w:val="auto"/>
          <w:sz w:val="24"/>
          <w:highlight w:val="none"/>
        </w:rPr>
        <w:t>24.1工程预付款</w:t>
      </w:r>
    </w:p>
    <w:p>
      <w:pPr>
        <w:snapToGrid w:val="0"/>
        <w:spacing w:line="440" w:lineRule="exact"/>
        <w:ind w:firstLine="338" w:firstLineChars="141"/>
        <w:rPr>
          <w:rFonts w:ascii="宋体" w:hAnsi="宋体" w:cs="宋体"/>
          <w:color w:val="auto"/>
          <w:sz w:val="24"/>
          <w:highlight w:val="none"/>
        </w:rPr>
      </w:pPr>
      <w:r>
        <w:rPr>
          <w:rFonts w:ascii="宋体" w:hAnsi="宋体" w:cs="宋体"/>
          <w:color w:val="auto"/>
          <w:sz w:val="24"/>
          <w:highlight w:val="none"/>
        </w:rPr>
        <w:t xml:space="preserve">24.1.1发包人向承包人预付工程款的时间和金额或占合同价款总额的比例：按广州开发区财政投资建设项目管理中心 </w:t>
      </w:r>
      <w:r>
        <w:rPr>
          <w:rFonts w:hint="eastAsia" w:ascii="宋体" w:hAnsi="宋体" w:cs="宋体"/>
          <w:color w:val="auto"/>
          <w:sz w:val="24"/>
          <w:highlight w:val="none"/>
        </w:rPr>
        <w:t>《关于加强建设工程预付款管理的通知》</w:t>
      </w:r>
      <w:r>
        <w:rPr>
          <w:rFonts w:hint="eastAsia" w:ascii="宋体" w:hAnsi="宋体" w:cs="宋体"/>
          <w:color w:val="auto"/>
          <w:sz w:val="24"/>
          <w:szCs w:val="24"/>
          <w:highlight w:val="none"/>
        </w:rPr>
        <w:t>及相关</w:t>
      </w:r>
      <w:r>
        <w:rPr>
          <w:rFonts w:hint="eastAsia" w:ascii="宋体" w:hAnsi="宋体" w:cs="宋体"/>
          <w:color w:val="auto"/>
          <w:sz w:val="24"/>
          <w:highlight w:val="none"/>
        </w:rPr>
        <w:t>规定核查，承包人相关情况符合要求，且合同生效及财政拨款到位后，发包人预付合同价【扣除绿色施工安全防护措施费，若工程量清单中有暂定金则扣除暂定金（含暂列金额和暂估价）部分】的</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30</w:t>
      </w:r>
      <w:r>
        <w:rPr>
          <w:rFonts w:ascii="宋体" w:hAnsi="宋体" w:cs="宋体"/>
          <w:color w:val="auto"/>
          <w:sz w:val="24"/>
          <w:highlight w:val="none"/>
          <w:u w:val="single"/>
        </w:rPr>
        <w:t xml:space="preserve"> </w:t>
      </w:r>
      <w:r>
        <w:rPr>
          <w:rFonts w:ascii="宋体" w:hAnsi="宋体" w:cs="宋体"/>
          <w:color w:val="auto"/>
          <w:sz w:val="24"/>
          <w:highlight w:val="none"/>
        </w:rPr>
        <w:t>%作为预付款，但最高不超过</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1000</w:t>
      </w:r>
      <w:r>
        <w:rPr>
          <w:rFonts w:hint="eastAsia" w:ascii="宋体" w:hAnsi="宋体" w:cs="宋体"/>
          <w:color w:val="auto"/>
          <w:sz w:val="24"/>
          <w:highlight w:val="none"/>
        </w:rPr>
        <w:t>万元。预付款中，（预付款×工人工资比例）的部分需支付至工人工资专用账户。（注：根据工程实际，执行《广州开发区财政投资建设项目管理中心建设工程招投标管理办法补充规定（</w:t>
      </w:r>
      <w:r>
        <w:rPr>
          <w:rFonts w:ascii="宋体" w:hAnsi="宋体" w:cs="宋体"/>
          <w:color w:val="auto"/>
          <w:sz w:val="24"/>
          <w:highlight w:val="none"/>
        </w:rPr>
        <w:t>2021年试行版）</w:t>
      </w:r>
      <w:r>
        <w:rPr>
          <w:rFonts w:hint="eastAsia" w:ascii="宋体" w:hAnsi="宋体" w:cs="宋体"/>
          <w:color w:val="auto"/>
          <w:sz w:val="24"/>
          <w:highlight w:val="none"/>
        </w:rPr>
        <w:t>广州开发区财政投资建设项目管理中心</w:t>
      </w:r>
      <w:r>
        <w:rPr>
          <w:rFonts w:ascii="宋体" w:hAnsi="宋体" w:cs="宋体"/>
          <w:color w:val="auto"/>
          <w:sz w:val="24"/>
          <w:highlight w:val="none"/>
        </w:rPr>
        <w:t xml:space="preserve"> </w:t>
      </w:r>
      <w:r>
        <w:rPr>
          <w:rFonts w:hint="eastAsia" w:ascii="宋体" w:hAnsi="宋体" w:cs="宋体"/>
          <w:color w:val="auto"/>
          <w:sz w:val="24"/>
          <w:highlight w:val="none"/>
        </w:rPr>
        <w:t>建设工程招投标管理办法补充规定》）</w:t>
      </w:r>
    </w:p>
    <w:p>
      <w:pPr>
        <w:snapToGrid w:val="0"/>
        <w:spacing w:line="440" w:lineRule="exact"/>
        <w:ind w:firstLine="338" w:firstLineChars="141"/>
        <w:rPr>
          <w:rFonts w:ascii="宋体" w:hAnsi="宋体" w:cs="宋体"/>
          <w:color w:val="auto"/>
          <w:sz w:val="24"/>
          <w:highlight w:val="none"/>
        </w:rPr>
      </w:pPr>
      <w:r>
        <w:rPr>
          <w:rFonts w:ascii="宋体" w:hAnsi="宋体" w:cs="宋体"/>
          <w:color w:val="auto"/>
          <w:sz w:val="24"/>
          <w:highlight w:val="none"/>
        </w:rPr>
        <w:t xml:space="preserve"> 24.1.2承包人收取预付款后，应优先用于按有关规定缴纳工伤保险和办理建筑意外伤害险，专款专用。</w:t>
      </w:r>
    </w:p>
    <w:p>
      <w:pPr>
        <w:snapToGrid w:val="0"/>
        <w:spacing w:line="440" w:lineRule="exact"/>
        <w:ind w:firstLine="456" w:firstLineChars="190"/>
        <w:rPr>
          <w:rFonts w:ascii="宋体" w:hAnsi="宋体" w:cs="宋体"/>
          <w:color w:val="auto"/>
          <w:sz w:val="24"/>
          <w:highlight w:val="none"/>
        </w:rPr>
      </w:pPr>
      <w:r>
        <w:rPr>
          <w:rFonts w:ascii="宋体" w:hAnsi="宋体" w:cs="宋体"/>
          <w:color w:val="auto"/>
          <w:sz w:val="24"/>
          <w:highlight w:val="none"/>
        </w:rPr>
        <w:t>24.1.3扣回预付款的时间、比例：按本合同专用条款26条约定执行。</w:t>
      </w:r>
    </w:p>
    <w:p>
      <w:pPr>
        <w:snapToGrid w:val="0"/>
        <w:spacing w:line="440" w:lineRule="exact"/>
        <w:ind w:firstLine="456" w:firstLineChars="190"/>
        <w:rPr>
          <w:rFonts w:ascii="宋体" w:hAnsi="宋体" w:cs="宋体"/>
          <w:color w:val="auto"/>
          <w:sz w:val="24"/>
          <w:highlight w:val="none"/>
        </w:rPr>
      </w:pPr>
      <w:r>
        <w:rPr>
          <w:rFonts w:ascii="宋体" w:hAnsi="宋体" w:cs="宋体"/>
          <w:color w:val="auto"/>
          <w:sz w:val="24"/>
          <w:highlight w:val="none"/>
        </w:rPr>
        <w:t>24.2工人工资</w:t>
      </w:r>
    </w:p>
    <w:p>
      <w:pPr>
        <w:snapToGrid w:val="0"/>
        <w:spacing w:line="440" w:lineRule="exact"/>
        <w:ind w:firstLine="456" w:firstLineChars="190"/>
        <w:rPr>
          <w:rFonts w:ascii="宋体" w:hAnsi="宋体" w:cs="宋体"/>
          <w:color w:val="auto"/>
          <w:sz w:val="24"/>
          <w:highlight w:val="none"/>
        </w:rPr>
      </w:pPr>
      <w:r>
        <w:rPr>
          <w:rFonts w:ascii="宋体" w:hAnsi="宋体" w:cs="宋体"/>
          <w:color w:val="auto"/>
          <w:sz w:val="24"/>
          <w:highlight w:val="none"/>
        </w:rPr>
        <w:t>24.2.1承包人需按有关规定与商业银行另行签订广州市建设领域工人工资支付专用账户管理协议、开设专用账户并报发包人备案,工人工资支付至专用账户。</w:t>
      </w:r>
    </w:p>
    <w:p>
      <w:pPr>
        <w:snapToGrid w:val="0"/>
        <w:spacing w:line="440" w:lineRule="exact"/>
        <w:ind w:firstLine="456" w:firstLineChars="190"/>
        <w:rPr>
          <w:rFonts w:ascii="宋体" w:hAnsi="宋体" w:cs="宋体"/>
          <w:color w:val="auto"/>
          <w:sz w:val="24"/>
          <w:highlight w:val="none"/>
        </w:rPr>
      </w:pPr>
      <w:r>
        <w:rPr>
          <w:rFonts w:ascii="宋体" w:hAnsi="宋体" w:cs="宋体"/>
          <w:color w:val="auto"/>
          <w:sz w:val="24"/>
          <w:highlight w:val="none"/>
        </w:rPr>
        <w:t>24.2.2工人工资进度款与工程进度款同步支付，其中每期需支付的工程进度款×工人工资比例为该期工人工资进度款，支付至工人工资专用账户。</w:t>
      </w:r>
    </w:p>
    <w:p>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25</w:t>
      </w:r>
      <w:r>
        <w:rPr>
          <w:rFonts w:hint="eastAsia" w:ascii="宋体" w:hAnsi="宋体" w:cs="宋体"/>
          <w:b/>
          <w:color w:val="auto"/>
          <w:sz w:val="24"/>
          <w:highlight w:val="none"/>
        </w:rPr>
        <w:t>、工程量确认</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 xml:space="preserve">25.1 </w:t>
      </w:r>
      <w:r>
        <w:rPr>
          <w:rFonts w:hint="eastAsia" w:ascii="宋体" w:hAnsi="宋体" w:cs="宋体"/>
          <w:color w:val="auto"/>
          <w:sz w:val="24"/>
          <w:highlight w:val="none"/>
        </w:rPr>
        <w:t>承包人向工程师提交已完工程量报告的时间：</w:t>
      </w:r>
      <w:r>
        <w:rPr>
          <w:rFonts w:hint="eastAsia" w:ascii="宋体" w:hAnsi="宋体" w:cs="宋体"/>
          <w:color w:val="auto"/>
          <w:sz w:val="24"/>
          <w:highlight w:val="none"/>
          <w:u w:val="single"/>
        </w:rPr>
        <w:t>自开工之日起每周及每月报告已完成工程状况</w:t>
      </w:r>
      <w:r>
        <w:rPr>
          <w:rFonts w:hint="eastAsia"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highlight w:val="none"/>
          <w:u w:val="single"/>
        </w:rPr>
      </w:pPr>
      <w:r>
        <w:rPr>
          <w:rFonts w:ascii="宋体" w:hAnsi="宋体" w:cs="宋体"/>
          <w:color w:val="auto"/>
          <w:sz w:val="24"/>
          <w:highlight w:val="none"/>
        </w:rPr>
        <w:t>25.2双方一致同意不适用通用条款25.2款。承包人完成工程量必须经发包人书面确认。</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26</w:t>
      </w:r>
      <w:r>
        <w:rPr>
          <w:rFonts w:hint="eastAsia" w:ascii="宋体" w:hAnsi="宋体" w:cs="宋体"/>
          <w:color w:val="auto"/>
          <w:sz w:val="24"/>
          <w:highlight w:val="none"/>
        </w:rPr>
        <w:t>、</w:t>
      </w:r>
      <w:r>
        <w:rPr>
          <w:rFonts w:hint="eastAsia" w:ascii="宋体" w:hAnsi="宋体" w:cs="宋体"/>
          <w:b/>
          <w:color w:val="auto"/>
          <w:sz w:val="24"/>
          <w:highlight w:val="none"/>
        </w:rPr>
        <w:t>工程款（进度款）支付</w:t>
      </w:r>
    </w:p>
    <w:p>
      <w:pPr>
        <w:snapToGrid w:val="0"/>
        <w:spacing w:line="440" w:lineRule="exact"/>
        <w:ind w:firstLine="480"/>
        <w:rPr>
          <w:rFonts w:ascii="宋体" w:hAnsi="宋体" w:cs="宋体"/>
          <w:color w:val="auto"/>
          <w:sz w:val="24"/>
          <w:highlight w:val="none"/>
        </w:rPr>
      </w:pPr>
      <w:r>
        <w:rPr>
          <w:rFonts w:ascii="宋体" w:hAnsi="宋体" w:cs="宋体"/>
          <w:color w:val="auto"/>
          <w:sz w:val="24"/>
          <w:highlight w:val="none"/>
        </w:rPr>
        <w:t>26.1双方约定的工程款（进度款）支付采取如下的</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26.1.2</w:t>
      </w:r>
      <w:r>
        <w:rPr>
          <w:rFonts w:ascii="宋体" w:hAnsi="宋体" w:cs="宋体"/>
          <w:color w:val="auto"/>
          <w:sz w:val="24"/>
          <w:highlight w:val="none"/>
          <w:u w:val="single"/>
        </w:rPr>
        <w:t xml:space="preserve">  </w:t>
      </w:r>
      <w:r>
        <w:rPr>
          <w:rFonts w:hint="eastAsia" w:ascii="宋体" w:hAnsi="宋体" w:cs="宋体"/>
          <w:color w:val="auto"/>
          <w:sz w:val="24"/>
          <w:highlight w:val="none"/>
        </w:rPr>
        <w:t>方式进行：</w:t>
      </w:r>
    </w:p>
    <w:p>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26.1.1 </w:t>
      </w:r>
      <w:r>
        <w:rPr>
          <w:rFonts w:hint="eastAsia" w:ascii="宋体" w:hAnsi="宋体" w:cs="宋体"/>
          <w:color w:val="auto"/>
          <w:sz w:val="24"/>
          <w:highlight w:val="none"/>
        </w:rPr>
        <w:t>按累计完成工作量百分率支付工程款（进度款）方式：</w:t>
      </w:r>
    </w:p>
    <w:p>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 xml:space="preserve">1）当完成工作量达到 60% </w:t>
      </w:r>
      <w:r>
        <w:rPr>
          <w:rFonts w:hint="eastAsia" w:ascii="宋体" w:hAnsi="宋体" w:cs="宋体"/>
          <w:color w:val="auto"/>
          <w:sz w:val="24"/>
          <w:highlight w:val="none"/>
        </w:rPr>
        <w:t>时，支付工程进度款</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25</w:t>
      </w:r>
      <w:r>
        <w:rPr>
          <w:rFonts w:ascii="宋体" w:hAnsi="宋体" w:cs="宋体"/>
          <w:color w:val="auto"/>
          <w:sz w:val="24"/>
          <w:highlight w:val="none"/>
          <w:u w:val="single"/>
        </w:rPr>
        <w:t xml:space="preserve"> </w:t>
      </w:r>
      <w:r>
        <w:rPr>
          <w:rFonts w:ascii="宋体" w:hAnsi="宋体" w:cs="宋体"/>
          <w:color w:val="auto"/>
          <w:sz w:val="24"/>
          <w:highlight w:val="none"/>
        </w:rPr>
        <w:t>%</w:t>
      </w:r>
      <w:r>
        <w:rPr>
          <w:rFonts w:hint="eastAsia" w:ascii="宋体" w:hAnsi="宋体" w:cs="宋体"/>
          <w:color w:val="auto"/>
          <w:sz w:val="24"/>
          <w:highlight w:val="none"/>
          <w:u w:val="single"/>
        </w:rPr>
        <w:t>【</w:t>
      </w:r>
      <w:r>
        <w:rPr>
          <w:rFonts w:ascii="宋体" w:hAnsi="宋体" w:cs="宋体"/>
          <w:color w:val="auto"/>
          <w:sz w:val="24"/>
          <w:highlight w:val="none"/>
          <w:u w:val="single"/>
        </w:rPr>
        <w:t>累计付款(含已支付的绿色施工安全防护措施费)至合同价款</w:t>
      </w:r>
      <w:r>
        <w:rPr>
          <w:rFonts w:hint="eastAsia" w:ascii="宋体" w:hAnsi="宋体" w:cs="宋体"/>
          <w:color w:val="auto"/>
          <w:sz w:val="24"/>
          <w:highlight w:val="none"/>
          <w:u w:val="single"/>
        </w:rPr>
        <w:t>若有暂定金</w:t>
      </w:r>
      <w:r>
        <w:rPr>
          <w:rFonts w:ascii="宋体" w:hAnsi="宋体" w:cs="宋体"/>
          <w:color w:val="auto"/>
          <w:sz w:val="24"/>
          <w:highlight w:val="none"/>
          <w:u w:val="single"/>
        </w:rPr>
        <w:t>(含暂列金额和暂估价)扣除未计量部分暂定金(含暂列金额和暂估价)后的55%</w:t>
      </w:r>
      <w:r>
        <w:rPr>
          <w:rFonts w:hint="eastAsia" w:ascii="宋体" w:hAnsi="宋体" w:cs="宋体"/>
          <w:color w:val="auto"/>
          <w:sz w:val="24"/>
          <w:highlight w:val="none"/>
          <w:u w:val="single"/>
        </w:rPr>
        <w:t>】</w:t>
      </w:r>
      <w:r>
        <w:rPr>
          <w:rFonts w:hint="eastAsia" w:ascii="宋体" w:hAnsi="宋体" w:cs="宋体"/>
          <w:color w:val="auto"/>
          <w:sz w:val="24"/>
          <w:highlight w:val="none"/>
        </w:rPr>
        <w:t>；</w:t>
      </w:r>
    </w:p>
    <w:p>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2）工程完工，并通过初验后支付合同价款30%</w:t>
      </w:r>
      <w:r>
        <w:rPr>
          <w:rFonts w:hint="eastAsia" w:ascii="宋体" w:hAnsi="宋体" w:cs="宋体"/>
          <w:color w:val="auto"/>
          <w:sz w:val="24"/>
          <w:highlight w:val="none"/>
          <w:u w:val="single"/>
        </w:rPr>
        <w:t>【</w:t>
      </w:r>
      <w:r>
        <w:rPr>
          <w:rFonts w:ascii="宋体" w:hAnsi="宋体" w:cs="宋体"/>
          <w:color w:val="auto"/>
          <w:sz w:val="24"/>
          <w:highlight w:val="none"/>
          <w:u w:val="single"/>
        </w:rPr>
        <w:t>累计付款(含绿色施工安全防护措施费）至合同价款</w:t>
      </w:r>
      <w:r>
        <w:rPr>
          <w:rFonts w:hint="eastAsia" w:ascii="宋体" w:hAnsi="宋体" w:cs="宋体"/>
          <w:color w:val="auto"/>
          <w:sz w:val="24"/>
          <w:highlight w:val="none"/>
          <w:u w:val="single"/>
        </w:rPr>
        <w:t>若有暂定金</w:t>
      </w:r>
      <w:r>
        <w:rPr>
          <w:rFonts w:ascii="宋体" w:hAnsi="宋体" w:cs="宋体"/>
          <w:color w:val="auto"/>
          <w:sz w:val="24"/>
          <w:highlight w:val="none"/>
          <w:u w:val="single"/>
        </w:rPr>
        <w:t>(含暂列金额和暂估价)扣除未计量部分暂定金(含暂列金额和暂估价)后的85%</w:t>
      </w:r>
      <w:r>
        <w:rPr>
          <w:rFonts w:hint="eastAsia" w:ascii="宋体" w:hAnsi="宋体" w:cs="宋体"/>
          <w:color w:val="auto"/>
          <w:sz w:val="24"/>
          <w:highlight w:val="none"/>
          <w:u w:val="single"/>
        </w:rPr>
        <w:t>】</w:t>
      </w:r>
      <w:r>
        <w:rPr>
          <w:rFonts w:hint="eastAsia" w:ascii="宋体" w:hAnsi="宋体" w:cs="宋体"/>
          <w:color w:val="auto"/>
          <w:sz w:val="24"/>
          <w:highlight w:val="none"/>
        </w:rPr>
        <w:t>；</w:t>
      </w:r>
    </w:p>
    <w:p>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3）工程通过验收并经广州开发区财政局审定施工结算后支付工程款</w:t>
      </w:r>
      <w:r>
        <w:rPr>
          <w:rFonts w:ascii="宋体" w:hAnsi="宋体" w:cs="宋体"/>
          <w:color w:val="auto"/>
          <w:sz w:val="24"/>
          <w:highlight w:val="none"/>
          <w:u w:val="single"/>
        </w:rPr>
        <w:t>(</w:t>
      </w:r>
      <w:r>
        <w:rPr>
          <w:rFonts w:hint="eastAsia" w:ascii="宋体" w:hAnsi="宋体" w:cs="宋体"/>
          <w:color w:val="auto"/>
          <w:sz w:val="24"/>
          <w:highlight w:val="none"/>
          <w:u w:val="single"/>
        </w:rPr>
        <w:t>含绿色施工安全防护措施费）</w:t>
      </w:r>
      <w:r>
        <w:rPr>
          <w:rFonts w:hint="eastAsia" w:ascii="宋体" w:hAnsi="宋体" w:cs="宋体"/>
          <w:color w:val="auto"/>
          <w:sz w:val="24"/>
          <w:highlight w:val="none"/>
        </w:rPr>
        <w:t>至结算价的</w:t>
      </w:r>
      <w:r>
        <w:rPr>
          <w:rFonts w:ascii="宋体" w:hAnsi="宋体" w:cs="宋体"/>
          <w:color w:val="auto"/>
          <w:sz w:val="24"/>
          <w:highlight w:val="none"/>
        </w:rPr>
        <w:t>97%，工程质量要求达到“</w:t>
      </w:r>
      <w:r>
        <w:rPr>
          <w:rFonts w:ascii="宋体" w:hAnsi="宋体" w:cs="宋体"/>
          <w:color w:val="auto"/>
          <w:sz w:val="24"/>
          <w:highlight w:val="none"/>
          <w:u w:val="single"/>
        </w:rPr>
        <w:t xml:space="preserve"> （按投标</w:t>
      </w:r>
      <w:r>
        <w:rPr>
          <w:rFonts w:hint="eastAsia" w:ascii="宋体" w:hAnsi="宋体" w:cs="宋体"/>
          <w:color w:val="auto"/>
          <w:sz w:val="24"/>
          <w:highlight w:val="none"/>
          <w:u w:val="single"/>
        </w:rPr>
        <w:t>文件承诺填写）</w:t>
      </w:r>
      <w:r>
        <w:rPr>
          <w:rFonts w:ascii="宋体" w:hAnsi="宋体" w:cs="宋体"/>
          <w:color w:val="auto"/>
          <w:sz w:val="24"/>
          <w:highlight w:val="none"/>
          <w:u w:val="single"/>
        </w:rPr>
        <w:t xml:space="preserve"> </w:t>
      </w:r>
      <w:r>
        <w:rPr>
          <w:rFonts w:hint="eastAsia" w:ascii="宋体" w:hAnsi="宋体" w:cs="宋体"/>
          <w:color w:val="auto"/>
          <w:sz w:val="24"/>
          <w:highlight w:val="none"/>
        </w:rPr>
        <w:t>”的质量标准而支付此款项时尚未获得相关称号的，暂按未达到质量要求暂扣相应违约金，获得相关称号后再行支付给承包人；工程结算价款额度的</w:t>
      </w:r>
      <w:r>
        <w:rPr>
          <w:rFonts w:ascii="宋体" w:hAnsi="宋体" w:cs="宋体"/>
          <w:color w:val="auto"/>
          <w:sz w:val="24"/>
          <w:highlight w:val="none"/>
        </w:rPr>
        <w:t>3%作为保修金，待缺陷责任期结束后结清（不计利息）。</w:t>
      </w:r>
    </w:p>
    <w:p>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上述所有款项均在广州开发区财政局审定该专项资金并拨款到位后支付，每期需支付的工程进度款×工人工资比例为该期工人工资进度款，支付至工人工资专用账户。办理工程款财政请款手续的时间不计入付款期限。</w:t>
      </w:r>
    </w:p>
    <w:p>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26.1.2按月度支付工程款（进度款）：</w:t>
      </w:r>
    </w:p>
    <w:p>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承包人每月上报完成工程量报表，经监理审核及发包人确认后，发包人按经审定月度完成工程量的</w:t>
      </w:r>
      <w:r>
        <w:rPr>
          <w:rFonts w:ascii="宋体" w:hAnsi="宋体" w:cs="宋体"/>
          <w:color w:val="auto"/>
          <w:sz w:val="24"/>
          <w:highlight w:val="none"/>
        </w:rPr>
        <w:t>85%支付工程进度款。</w:t>
      </w:r>
    </w:p>
    <w:p>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从本工程发生的第一次进度款支付起，发包人每次按审定月度完成工程量的</w:t>
      </w:r>
      <w:r>
        <w:rPr>
          <w:rFonts w:ascii="宋体" w:hAnsi="宋体" w:cs="宋体"/>
          <w:color w:val="auto"/>
          <w:sz w:val="24"/>
          <w:highlight w:val="none"/>
        </w:rPr>
        <w:t>85%中之50%扣回预付款，每次按审定月度完成工程量的85%扣除应扣回的预付款后支付承包人当次的工程进度款，直至预付款全部扣回完毕止。预付款扣回完毕后，发包人按审定月度完成工程量的85%支付工程进度款；工程完工，累计支付工程款</w:t>
      </w:r>
      <w:r>
        <w:rPr>
          <w:rFonts w:hint="eastAsia" w:ascii="宋体" w:hAnsi="宋体" w:cs="宋体"/>
          <w:color w:val="auto"/>
          <w:sz w:val="24"/>
          <w:highlight w:val="none"/>
          <w:u w:val="single"/>
        </w:rPr>
        <w:t>（含绿色施工安全防护措施费）</w:t>
      </w:r>
      <w:r>
        <w:rPr>
          <w:rFonts w:hint="eastAsia" w:ascii="宋体" w:hAnsi="宋体" w:cs="宋体"/>
          <w:color w:val="auto"/>
          <w:sz w:val="24"/>
          <w:highlight w:val="none"/>
          <w:lang w:eastAsia="zh-CN"/>
        </w:rPr>
        <w:t>不超过</w:t>
      </w:r>
      <w:r>
        <w:rPr>
          <w:rFonts w:hint="eastAsia" w:ascii="宋体" w:hAnsi="宋体" w:cs="宋体"/>
          <w:color w:val="auto"/>
          <w:sz w:val="24"/>
          <w:highlight w:val="none"/>
        </w:rPr>
        <w:t>合同价扣除若有暂定金</w:t>
      </w:r>
      <w:r>
        <w:rPr>
          <w:rFonts w:hint="eastAsia" w:ascii="宋体" w:hAnsi="宋体" w:cs="宋体"/>
          <w:color w:val="auto"/>
          <w:sz w:val="24"/>
          <w:highlight w:val="none"/>
          <w:u w:val="single"/>
        </w:rPr>
        <w:t>（含暂列金额及暂估价）</w:t>
      </w:r>
      <w:r>
        <w:rPr>
          <w:rFonts w:hint="eastAsia" w:ascii="宋体" w:hAnsi="宋体" w:cs="宋体"/>
          <w:color w:val="auto"/>
          <w:sz w:val="24"/>
          <w:highlight w:val="none"/>
        </w:rPr>
        <w:t>则扣除未计量部分暂定金后的</w:t>
      </w:r>
      <w:r>
        <w:rPr>
          <w:rFonts w:ascii="宋体" w:hAnsi="宋体" w:cs="宋体"/>
          <w:color w:val="auto"/>
          <w:sz w:val="24"/>
          <w:highlight w:val="none"/>
        </w:rPr>
        <w:t>85%。</w:t>
      </w:r>
    </w:p>
    <w:p>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工程通过验收并经广州开发区财政局审定施工结算后支付工程款</w:t>
      </w:r>
      <w:r>
        <w:rPr>
          <w:rFonts w:hint="eastAsia" w:ascii="宋体" w:hAnsi="宋体" w:cs="宋体"/>
          <w:color w:val="auto"/>
          <w:sz w:val="24"/>
          <w:highlight w:val="none"/>
          <w:u w:val="single"/>
        </w:rPr>
        <w:t>（含绿色施工安全防护措施费）</w:t>
      </w:r>
      <w:r>
        <w:rPr>
          <w:rFonts w:hint="eastAsia" w:ascii="宋体" w:hAnsi="宋体" w:cs="宋体"/>
          <w:color w:val="auto"/>
          <w:sz w:val="24"/>
          <w:highlight w:val="none"/>
        </w:rPr>
        <w:t>至结算价的</w:t>
      </w:r>
      <w:r>
        <w:rPr>
          <w:rFonts w:ascii="宋体" w:hAnsi="宋体" w:cs="宋体"/>
          <w:color w:val="auto"/>
          <w:sz w:val="24"/>
          <w:highlight w:val="none"/>
        </w:rPr>
        <w:t>97%，□工程质量要求达到“</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（按投标文件承诺填写）</w:t>
      </w:r>
      <w:r>
        <w:rPr>
          <w:rFonts w:ascii="宋体" w:hAnsi="宋体" w:cs="宋体"/>
          <w:color w:val="auto"/>
          <w:sz w:val="24"/>
          <w:highlight w:val="none"/>
          <w:u w:val="single"/>
        </w:rPr>
        <w:t xml:space="preserve"> </w:t>
      </w:r>
      <w:r>
        <w:rPr>
          <w:rFonts w:hint="eastAsia" w:ascii="宋体" w:hAnsi="宋体" w:cs="宋体"/>
          <w:color w:val="auto"/>
          <w:sz w:val="24"/>
          <w:highlight w:val="none"/>
        </w:rPr>
        <w:t>”的质量标准而支付此款项时尚未获得相关称号的，暂按未达到质量要求暂扣相应违约金，获得相关称号后再行支付给承包人；工程结算价款额度的</w:t>
      </w:r>
      <w:r>
        <w:rPr>
          <w:rFonts w:ascii="宋体" w:hAnsi="宋体" w:cs="宋体"/>
          <w:color w:val="auto"/>
          <w:sz w:val="24"/>
          <w:highlight w:val="none"/>
        </w:rPr>
        <w:t>3%作为保修金，待缺陷责任期期结束后结清（不计利息）。</w:t>
      </w:r>
    </w:p>
    <w:p>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上述所有款项均在广州开发区财政局审定该专项资金并拨款到位后支付，每期需支付的工程进度款×工人工资比例为该期工人工资进度款，支付至工人工资专用账户。办理工程款财政请款手续的时间不计入付款期限。</w:t>
      </w:r>
    </w:p>
    <w:p>
      <w:pPr>
        <w:adjustRightInd w:val="0"/>
        <w:snapToGrid w:val="0"/>
        <w:spacing w:line="440" w:lineRule="exact"/>
        <w:ind w:right="11" w:firstLine="420" w:firstLineChars="175"/>
        <w:rPr>
          <w:rFonts w:ascii="宋体" w:hAnsi="宋体" w:cs="宋体"/>
          <w:color w:val="auto"/>
          <w:sz w:val="24"/>
          <w:highlight w:val="none"/>
        </w:rPr>
      </w:pPr>
      <w:r>
        <w:rPr>
          <w:rFonts w:ascii="宋体" w:hAnsi="宋体" w:cs="宋体"/>
          <w:color w:val="auto"/>
          <w:sz w:val="24"/>
          <w:highlight w:val="none"/>
        </w:rPr>
        <w:t>26.2所有因变更、签证及价格调整等原因所调整增加的工程价款均应由承包人按广州开发区、黄埔区及建设业主相关规定程序，报监理初审，并经发包人审批同意后，按审定金额另行签订补充协议支付，或在工程结算中一并支付。</w:t>
      </w:r>
    </w:p>
    <w:p>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26.4工程价款的支付条件：</w:t>
      </w:r>
    </w:p>
    <w:p>
      <w:pPr>
        <w:snapToGrid w:val="0"/>
        <w:spacing w:line="440" w:lineRule="exact"/>
        <w:ind w:firstLine="480"/>
        <w:rPr>
          <w:rFonts w:ascii="宋体" w:hAnsi="宋体" w:cs="宋体"/>
          <w:snapToGrid w:val="0"/>
          <w:color w:val="auto"/>
          <w:sz w:val="24"/>
          <w:highlight w:val="none"/>
          <w:u w:val="single"/>
        </w:rPr>
      </w:pPr>
      <w:r>
        <w:rPr>
          <w:rFonts w:hint="eastAsia" w:ascii="宋体" w:hAnsi="宋体" w:cs="宋体"/>
          <w:color w:val="auto"/>
          <w:sz w:val="24"/>
          <w:highlight w:val="none"/>
        </w:rPr>
        <w:t>（</w:t>
      </w:r>
      <w:r>
        <w:rPr>
          <w:rFonts w:ascii="宋体" w:hAnsi="宋体" w:cs="宋体"/>
          <w:color w:val="auto"/>
          <w:sz w:val="24"/>
          <w:highlight w:val="none"/>
        </w:rPr>
        <w:t>1）支付预付款：</w:t>
      </w:r>
      <w:r>
        <w:rPr>
          <w:rFonts w:hint="eastAsia" w:ascii="宋体" w:hAnsi="宋体" w:cs="宋体"/>
          <w:color w:val="auto"/>
          <w:sz w:val="24"/>
          <w:highlight w:val="none"/>
          <w:u w:val="single"/>
        </w:rPr>
        <w:t>承包人已与发包人签订工程施工合同，承包人承诺的项目管理人员、机械设备到位。已生效的履约担保已按发包人要求准时提交发包人，工程已经监理工程师批准动工，该工程财政拨款已到位。如工程因用地、拆迁等原因导致不能全面开工，则预付款的支付将按开工部分的工程量占总工程量的比例做相应调整</w:t>
      </w:r>
      <w:r>
        <w:rPr>
          <w:rFonts w:hint="eastAsia" w:ascii="宋体" w:hAnsi="宋体" w:cs="宋体"/>
          <w:snapToGrid w:val="0"/>
          <w:color w:val="auto"/>
          <w:sz w:val="24"/>
          <w:highlight w:val="none"/>
          <w:u w:val="single"/>
        </w:rPr>
        <w:t>。</w:t>
      </w:r>
    </w:p>
    <w:p>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w:t>
      </w:r>
      <w:r>
        <w:rPr>
          <w:rFonts w:ascii="宋体" w:hAnsi="宋体" w:cs="宋体"/>
          <w:color w:val="auto"/>
          <w:sz w:val="24"/>
          <w:highlight w:val="none"/>
        </w:rPr>
        <w:t>2）支付工程款（进度款）：</w:t>
      </w:r>
      <w:r>
        <w:rPr>
          <w:rFonts w:hint="eastAsia" w:ascii="宋体" w:hAnsi="宋体" w:cs="宋体"/>
          <w:color w:val="auto"/>
          <w:sz w:val="24"/>
          <w:highlight w:val="none"/>
          <w:u w:val="single"/>
        </w:rPr>
        <w:t>承包人必须及时向监理工程师提供其完成工作量的计量支付汇总报表和相应的分项工程计量支付报表。完成的全部分项工程数量均需有监理工程师的签认手续，计算依据和相关的质量合格证明资料，需通过测量确定数量的必须附有完整的测量资料且有监理工程师的签认。</w:t>
      </w:r>
    </w:p>
    <w:p>
      <w:pPr>
        <w:pStyle w:val="39"/>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26.5</w:t>
      </w:r>
      <w:r>
        <w:rPr>
          <w:rFonts w:hint="eastAsia" w:ascii="宋体" w:hAnsi="宋体" w:eastAsia="宋体" w:cs="宋体"/>
          <w:color w:val="auto"/>
          <w:sz w:val="24"/>
          <w:highlight w:val="none"/>
          <w:u w:val="single"/>
        </w:rPr>
        <w:t>绿色施工安全防护措施费</w:t>
      </w:r>
      <w:r>
        <w:rPr>
          <w:rFonts w:hint="eastAsia" w:ascii="宋体" w:hAnsi="宋体" w:eastAsia="宋体" w:cs="宋体"/>
          <w:color w:val="auto"/>
          <w:sz w:val="24"/>
          <w:highlight w:val="none"/>
        </w:rPr>
        <w:t>支付的支付条件：</w:t>
      </w:r>
    </w:p>
    <w:p>
      <w:pPr>
        <w:pStyle w:val="39"/>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绿色施工安全防护措施费</w:t>
      </w:r>
      <w:r>
        <w:rPr>
          <w:rFonts w:hint="eastAsia" w:ascii="宋体" w:hAnsi="宋体" w:eastAsia="宋体" w:cs="宋体"/>
          <w:color w:val="auto"/>
          <w:sz w:val="24"/>
          <w:highlight w:val="none"/>
        </w:rPr>
        <w:t>按在工程投标最高报价中的</w:t>
      </w:r>
      <w:r>
        <w:rPr>
          <w:rFonts w:hint="eastAsia" w:ascii="宋体" w:hAnsi="宋体" w:eastAsia="宋体" w:cs="宋体"/>
          <w:color w:val="auto"/>
          <w:sz w:val="24"/>
          <w:highlight w:val="none"/>
          <w:u w:val="single"/>
        </w:rPr>
        <w:t>绿色施工安全防护措施费</w:t>
      </w:r>
      <w:r>
        <w:rPr>
          <w:rFonts w:hint="eastAsia" w:ascii="宋体" w:hAnsi="宋体" w:eastAsia="宋体" w:cs="宋体"/>
          <w:color w:val="auto"/>
          <w:sz w:val="24"/>
          <w:highlight w:val="none"/>
        </w:rPr>
        <w:t>用计取，专款专用，并从本施工合同价款中提取（</w:t>
      </w:r>
      <w:r>
        <w:rPr>
          <w:rFonts w:hint="eastAsia" w:ascii="宋体" w:hAnsi="宋体" w:eastAsia="宋体" w:cs="宋体"/>
          <w:color w:val="auto"/>
          <w:sz w:val="24"/>
          <w:highlight w:val="none"/>
          <w:u w:val="single"/>
        </w:rPr>
        <w:t>绿色施工安全防护措施费</w:t>
      </w:r>
      <w:r>
        <w:rPr>
          <w:rFonts w:hint="eastAsia" w:ascii="宋体" w:hAnsi="宋体" w:eastAsia="宋体" w:cs="宋体"/>
          <w:color w:val="auto"/>
          <w:sz w:val="24"/>
          <w:highlight w:val="none"/>
        </w:rPr>
        <w:t>已包含在本工程中标价即施工合同价中）。该费用根据《广州开发区财政投资建设项目管理中心建设项目绿色施工安全防护措施费支付管理实施细则（2024年修订）》（穗开建管〔2024〕47号）及“穗建筑【2008】967号”文及“穗建筑【2018】981号”规定，分阶段支付</w:t>
      </w:r>
      <w:r>
        <w:rPr>
          <w:rFonts w:hint="eastAsia" w:ascii="宋体" w:hAnsi="宋体" w:eastAsia="宋体" w:cs="宋体"/>
          <w:color w:val="auto"/>
          <w:sz w:val="24"/>
          <w:highlight w:val="none"/>
          <w:u w:val="single"/>
        </w:rPr>
        <w:t>绿色施工安全防护措施费</w:t>
      </w:r>
      <w:r>
        <w:rPr>
          <w:rFonts w:hint="eastAsia" w:ascii="宋体" w:hAnsi="宋体" w:eastAsia="宋体" w:cs="宋体"/>
          <w:color w:val="auto"/>
          <w:sz w:val="24"/>
          <w:highlight w:val="none"/>
        </w:rPr>
        <w:t>：</w:t>
      </w:r>
    </w:p>
    <w:p>
      <w:pPr>
        <w:spacing w:line="440" w:lineRule="exact"/>
        <w:rPr>
          <w:rFonts w:ascii="宋体" w:hAnsi="宋体" w:cs="宋体"/>
          <w:color w:val="auto"/>
          <w:sz w:val="24"/>
          <w:highlight w:val="none"/>
        </w:rPr>
      </w:pPr>
      <w:r>
        <w:rPr>
          <w:rFonts w:ascii="宋体" w:hAnsi="宋体" w:cs="宋体"/>
          <w:color w:val="auto"/>
          <w:sz w:val="24"/>
          <w:highlight w:val="none"/>
        </w:rPr>
        <w:t xml:space="preserve">    1</w:t>
      </w:r>
      <w:r>
        <w:rPr>
          <w:rFonts w:hint="eastAsia" w:ascii="宋体" w:hAnsi="宋体" w:cs="宋体"/>
          <w:color w:val="auto"/>
          <w:sz w:val="24"/>
          <w:highlight w:val="none"/>
        </w:rPr>
        <w:t>、</w:t>
      </w:r>
      <w:r>
        <w:rPr>
          <w:rFonts w:hint="eastAsia" w:ascii="宋体" w:hAnsi="宋体" w:eastAsia="宋体" w:cs="宋体"/>
          <w:color w:val="auto"/>
          <w:sz w:val="24"/>
          <w:szCs w:val="24"/>
          <w:highlight w:val="none"/>
        </w:rPr>
        <w:t>工程项目开工日一个月内，由</w:t>
      </w:r>
      <w:r>
        <w:rPr>
          <w:rFonts w:hint="eastAsia" w:ascii="宋体" w:hAnsi="宋体" w:cs="宋体"/>
          <w:color w:val="auto"/>
          <w:sz w:val="24"/>
          <w:highlight w:val="none"/>
        </w:rPr>
        <w:t>承包人</w:t>
      </w:r>
      <w:r>
        <w:rPr>
          <w:rFonts w:hint="eastAsia" w:ascii="宋体" w:hAnsi="宋体" w:eastAsia="宋体" w:cs="宋体"/>
          <w:color w:val="auto"/>
          <w:sz w:val="24"/>
          <w:szCs w:val="24"/>
          <w:highlight w:val="none"/>
        </w:rPr>
        <w:t>主动向</w:t>
      </w:r>
      <w:r>
        <w:rPr>
          <w:rFonts w:hint="eastAsia" w:ascii="宋体" w:hAnsi="宋体" w:cs="宋体"/>
          <w:color w:val="auto"/>
          <w:sz w:val="24"/>
          <w:highlight w:val="none"/>
        </w:rPr>
        <w:t>发包人</w:t>
      </w:r>
      <w:r>
        <w:rPr>
          <w:rFonts w:hint="eastAsia" w:ascii="宋体" w:hAnsi="宋体" w:eastAsia="宋体" w:cs="宋体"/>
          <w:color w:val="auto"/>
          <w:sz w:val="24"/>
          <w:szCs w:val="24"/>
          <w:highlight w:val="none"/>
        </w:rPr>
        <w:t>提出申请</w:t>
      </w:r>
      <w:r>
        <w:rPr>
          <w:rFonts w:hint="eastAsia" w:ascii="宋体" w:hAnsi="宋体" w:cs="宋体"/>
          <w:color w:val="auto"/>
          <w:sz w:val="24"/>
          <w:highlight w:val="none"/>
        </w:rPr>
        <w:t>，预付绿色施工安全防护措施费的</w:t>
      </w:r>
      <w:r>
        <w:rPr>
          <w:rFonts w:ascii="宋体" w:hAnsi="宋体" w:cs="宋体"/>
          <w:color w:val="auto"/>
          <w:sz w:val="24"/>
          <w:highlight w:val="none"/>
        </w:rPr>
        <w:t>50%</w:t>
      </w:r>
      <w:r>
        <w:rPr>
          <w:rFonts w:hint="eastAsia" w:ascii="宋体" w:hAnsi="宋体" w:cs="宋体"/>
          <w:color w:val="auto"/>
          <w:sz w:val="24"/>
          <w:highlight w:val="none"/>
        </w:rPr>
        <w:t>。</w:t>
      </w:r>
    </w:p>
    <w:p>
      <w:pPr>
        <w:spacing w:line="440" w:lineRule="exact"/>
        <w:rPr>
          <w:rFonts w:ascii="宋体" w:hAnsi="宋体" w:cs="宋体"/>
          <w:color w:val="auto"/>
          <w:sz w:val="24"/>
          <w:highlight w:val="none"/>
        </w:rPr>
      </w:pPr>
      <w:r>
        <w:rPr>
          <w:rFonts w:ascii="宋体" w:hAnsi="宋体" w:cs="宋体"/>
          <w:color w:val="auto"/>
          <w:sz w:val="24"/>
          <w:highlight w:val="none"/>
        </w:rPr>
        <w:t xml:space="preserve">    2</w:t>
      </w:r>
      <w:r>
        <w:rPr>
          <w:rFonts w:hint="eastAsia" w:ascii="宋体" w:hAnsi="宋体" w:cs="宋体"/>
          <w:color w:val="auto"/>
          <w:sz w:val="24"/>
          <w:highlight w:val="none"/>
        </w:rPr>
        <w:t>、第一次现场验收合格后可以申请绿色施工安全防护措施费的40%。申请需提供区建管中心出具的《检查记录表》，且评定等级为合格或以上。</w:t>
      </w:r>
    </w:p>
    <w:p>
      <w:pPr>
        <w:spacing w:line="440" w:lineRule="exact"/>
        <w:ind w:firstLine="480"/>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、第二次现场验收合格后可以申请绿色施工安全防护措施费的10%。申请需提供区质监站出具的《建设工程施工安全评价书》且评定等级为合格或以上。</w:t>
      </w:r>
    </w:p>
    <w:p>
      <w:pPr>
        <w:spacing w:line="440" w:lineRule="exact"/>
        <w:ind w:firstLine="480"/>
        <w:rPr>
          <w:rFonts w:ascii="宋体" w:hAnsi="宋体" w:cs="宋体"/>
          <w:color w:val="auto"/>
          <w:sz w:val="24"/>
          <w:highlight w:val="none"/>
        </w:rPr>
      </w:pPr>
      <w:r>
        <w:rPr>
          <w:rFonts w:hint="eastAsia" w:ascii="宋体" w:hAnsi="宋体" w:eastAsia="宋体" w:cs="宋体"/>
          <w:color w:val="auto"/>
          <w:sz w:val="24"/>
          <w:szCs w:val="24"/>
          <w:highlight w:val="none"/>
          <w:u w:val="single"/>
        </w:rPr>
        <w:t>如存在特殊情况的，</w:t>
      </w:r>
      <w:r>
        <w:rPr>
          <w:rFonts w:hint="eastAsia" w:ascii="宋体" w:hAnsi="宋体" w:cs="宋体"/>
          <w:color w:val="auto"/>
          <w:sz w:val="24"/>
          <w:highlight w:val="none"/>
          <w:u w:val="single"/>
        </w:rPr>
        <w:t>绿色施工安全防护措施费</w:t>
      </w:r>
      <w:r>
        <w:rPr>
          <w:rFonts w:hint="eastAsia" w:ascii="宋体" w:hAnsi="宋体" w:cs="宋体"/>
          <w:color w:val="auto"/>
          <w:sz w:val="24"/>
          <w:highlight w:val="none"/>
        </w:rPr>
        <w:t>具体支付方式及条件以《广州开发区财政投资建设项目管理中心建设项目绿色施工安全防护措施费支付管理实施细则（2024年修订）》（穗开建管〔2024〕47号）为准。</w:t>
      </w:r>
    </w:p>
    <w:p>
      <w:pPr>
        <w:pStyle w:val="59"/>
        <w:spacing w:line="440" w:lineRule="exact"/>
        <w:ind w:firstLine="480" w:firstLineChars="200"/>
        <w:outlineLvl w:val="1"/>
        <w:rPr>
          <w:rFonts w:ascii="宋体" w:hAnsi="宋体" w:cs="宋体"/>
          <w:color w:val="auto"/>
          <w:sz w:val="24"/>
          <w:szCs w:val="24"/>
          <w:highlight w:val="none"/>
        </w:rPr>
      </w:pPr>
      <w:r>
        <w:rPr>
          <w:rFonts w:ascii="宋体" w:hAnsi="宋体" w:cs="宋体"/>
          <w:color w:val="auto"/>
          <w:sz w:val="24"/>
          <w:szCs w:val="24"/>
          <w:highlight w:val="none"/>
        </w:rPr>
        <w:t>26.6</w:t>
      </w:r>
      <w:r>
        <w:rPr>
          <w:rFonts w:hint="eastAsia" w:ascii="宋体" w:hAnsi="宋体" w:cs="宋体"/>
          <w:color w:val="auto"/>
          <w:sz w:val="24"/>
          <w:szCs w:val="24"/>
          <w:highlight w:val="none"/>
        </w:rPr>
        <w:t>根据广州市环境保护局《关于开展建筑施工扬尘排污费征收工作的通知》（穗环〔2015〕114号）及广州开发区建设和环境保护局《关于开展建筑施工扬尘排污费征收工作的通知》（穗开环〔2015〕20号）规定，本工程需向环保部门交纳建筑施工扬尘排污费，该费用由环保部门根据《广州市建筑施工扬尘排放量核算办法》和《排污费征收标准及计算方法》核定。根据环保部门开具的《排放污染物与排污费缴纳金额核定表》，超标及落后产能部分由承包人承担，其余部分由发包人承担。缴纳方式如下：由承包人以发包人名义先行垫付资金向环保部门缴纳，并在10个工作日内凭缴费凭证就除超标及落后产能外的费用向发包人提交报销申请，逾期未提出申请视为放弃相关权利。</w:t>
      </w:r>
    </w:p>
    <w:p>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七、材料设备供应</w:t>
      </w:r>
    </w:p>
    <w:p>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27</w:t>
      </w:r>
      <w:r>
        <w:rPr>
          <w:rFonts w:hint="eastAsia" w:ascii="宋体" w:hAnsi="宋体" w:cs="宋体"/>
          <w:b/>
          <w:color w:val="auto"/>
          <w:sz w:val="24"/>
          <w:highlight w:val="none"/>
        </w:rPr>
        <w:t>、发包人供应材料设备</w:t>
      </w:r>
    </w:p>
    <w:p>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 xml:space="preserve">27.4 </w:t>
      </w:r>
      <w:r>
        <w:rPr>
          <w:rFonts w:hint="eastAsia" w:ascii="宋体" w:hAnsi="宋体" w:cs="宋体"/>
          <w:color w:val="auto"/>
          <w:sz w:val="24"/>
          <w:highlight w:val="none"/>
        </w:rPr>
        <w:t>发包人供应的材料设备与一览表不符时，双方约定发包人承担责任如下：</w:t>
      </w:r>
    </w:p>
    <w:p>
      <w:pPr>
        <w:snapToGrid w:val="0"/>
        <w:spacing w:line="440" w:lineRule="exact"/>
        <w:ind w:left="397" w:firstLine="397"/>
        <w:rPr>
          <w:rFonts w:ascii="宋体" w:hAnsi="宋体" w:cs="宋体"/>
          <w:color w:val="auto"/>
          <w:sz w:val="24"/>
          <w:highlight w:val="none"/>
          <w:u w:val="singl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材料设备单价与一览表不符：</w:t>
      </w:r>
      <w:r>
        <w:rPr>
          <w:rFonts w:ascii="宋体" w:hAnsi="宋体" w:cs="宋体"/>
          <w:color w:val="auto"/>
          <w:sz w:val="24"/>
          <w:highlight w:val="none"/>
          <w:u w:val="single"/>
        </w:rPr>
        <mc:AlternateContent>
          <mc:Choice Requires="wps">
            <w:drawing>
              <wp:anchor distT="0" distB="0" distL="114300" distR="114300" simplePos="0" relativeHeight="251669504" behindDoc="0" locked="0" layoutInCell="0" allowOverlap="1">
                <wp:simplePos x="0" y="0"/>
                <wp:positionH relativeFrom="column">
                  <wp:posOffset>3556000</wp:posOffset>
                </wp:positionH>
                <wp:positionV relativeFrom="paragraph">
                  <wp:posOffset>0</wp:posOffset>
                </wp:positionV>
                <wp:extent cx="635" cy="0"/>
                <wp:effectExtent l="0" t="4445" r="0" b="5080"/>
                <wp:wrapNone/>
                <wp:docPr id="14" name="直线 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margin-left:280pt;margin-top:0pt;height:0pt;width:0.05pt;z-index:251669504;mso-width-relative:page;mso-height-relative:page;" filled="f" stroked="t" coordsize="21600,21600" o:allowincell="f" o:gfxdata="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zl5BDTAAAA&#10;BQEAAA8AAAAAAAAAAQAgAAAAIgAAAGRycy9kb3ducmV2LnhtbFBLAQIUABQAAAAIAIdO4kAKqKEW&#10;6QEAAOYDAAAOAAAAAAAAAAEAIAAAACIBAABkcnMvZTJvRG9jLnhtbFBLBQYAAAAABgAGAFkBAAB9&#10;BQAAAAA=&#10;">
                <v:fill on="f" focussize="0,0"/>
                <v:stroke color="#000000" joinstyle="round"/>
                <v:imagedata o:title=""/>
                <o:lock v:ext="edit" aspectratio="f"/>
              </v:line>
            </w:pict>
          </mc:Fallback>
        </mc:AlternateConten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pPr>
        <w:snapToGrid w:val="0"/>
        <w:spacing w:line="440" w:lineRule="exact"/>
        <w:ind w:left="397" w:firstLine="397"/>
        <w:rPr>
          <w:rFonts w:ascii="宋体" w:hAnsi="宋体" w:cs="宋体"/>
          <w:color w:val="auto"/>
          <w:sz w:val="24"/>
          <w:highlight w:val="none"/>
          <w:u w:val="singl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材料设备的品种、规格、型号、质量等级与一览表不符：</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pPr>
        <w:snapToGrid w:val="0"/>
        <w:spacing w:line="440" w:lineRule="exact"/>
        <w:ind w:left="397"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承包人可代为调剂串换的材料：</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pPr>
        <w:snapToGrid w:val="0"/>
        <w:spacing w:line="440" w:lineRule="exact"/>
        <w:ind w:left="397"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到货地点与一览表不符：</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pPr>
        <w:snapToGrid w:val="0"/>
        <w:spacing w:line="440" w:lineRule="exact"/>
        <w:ind w:left="397"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）供应数量与一览表不符：</w:t>
      </w:r>
      <w:r>
        <w:rPr>
          <w:rFonts w:ascii="宋体" w:hAnsi="宋体" w:cs="宋体"/>
          <w:color w:val="auto"/>
          <w:sz w:val="24"/>
          <w:highlight w:val="none"/>
          <w:u w:val="single"/>
        </w:rPr>
        <w:t xml:space="preserve">           /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pPr>
        <w:snapToGrid w:val="0"/>
        <w:spacing w:line="440" w:lineRule="exact"/>
        <w:ind w:left="397"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）到货时间与一览表不符；</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pPr>
        <w:tabs>
          <w:tab w:val="left" w:pos="700"/>
        </w:tabs>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 xml:space="preserve">27.6 </w:t>
      </w:r>
      <w:r>
        <w:rPr>
          <w:rFonts w:hint="eastAsia" w:ascii="宋体" w:hAnsi="宋体" w:cs="宋体"/>
          <w:color w:val="auto"/>
          <w:sz w:val="24"/>
          <w:highlight w:val="none"/>
        </w:rPr>
        <w:t>发包人供应材料设备的结算方法：</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28</w:t>
      </w:r>
      <w:r>
        <w:rPr>
          <w:rFonts w:hint="eastAsia" w:ascii="宋体" w:hAnsi="宋体" w:cs="宋体"/>
          <w:b/>
          <w:color w:val="auto"/>
          <w:sz w:val="24"/>
          <w:highlight w:val="none"/>
        </w:rPr>
        <w:t>、承包人采购材料设备</w:t>
      </w:r>
    </w:p>
    <w:p>
      <w:pPr>
        <w:spacing w:line="440" w:lineRule="exact"/>
        <w:ind w:firstLine="410" w:firstLineChars="171"/>
        <w:rPr>
          <w:rFonts w:ascii="宋体" w:hAnsi="宋体" w:cs="宋体"/>
          <w:color w:val="auto"/>
          <w:sz w:val="24"/>
          <w:highlight w:val="none"/>
          <w:u w:val="single"/>
        </w:rPr>
      </w:pPr>
      <w:r>
        <w:rPr>
          <w:rFonts w:ascii="宋体" w:hAnsi="宋体" w:cs="宋体"/>
          <w:color w:val="auto"/>
          <w:sz w:val="24"/>
          <w:highlight w:val="none"/>
        </w:rPr>
        <w:t xml:space="preserve">28.1 </w:t>
      </w:r>
      <w:r>
        <w:rPr>
          <w:rFonts w:hint="eastAsia" w:ascii="宋体" w:hAnsi="宋体" w:cs="宋体"/>
          <w:color w:val="auto"/>
          <w:sz w:val="24"/>
          <w:highlight w:val="none"/>
        </w:rPr>
        <w:t>承包人采购材料设备的约定：</w:t>
      </w:r>
      <w:r>
        <w:rPr>
          <w:rFonts w:hint="eastAsia" w:ascii="宋体" w:hAnsi="宋体" w:cs="宋体"/>
          <w:color w:val="auto"/>
          <w:sz w:val="24"/>
          <w:highlight w:val="none"/>
          <w:u w:val="single"/>
        </w:rPr>
        <w:t>由承包人负责采购材料设备的，按招标文件规定和本合同专用条款第</w:t>
      </w:r>
      <w:r>
        <w:rPr>
          <w:rFonts w:ascii="宋体" w:hAnsi="宋体" w:cs="宋体"/>
          <w:color w:val="auto"/>
          <w:sz w:val="24"/>
          <w:highlight w:val="none"/>
          <w:u w:val="single"/>
        </w:rPr>
        <w:t>47.28</w:t>
      </w:r>
      <w:r>
        <w:rPr>
          <w:rFonts w:hint="eastAsia" w:ascii="宋体" w:hAnsi="宋体" w:cs="宋体"/>
          <w:color w:val="auto"/>
          <w:sz w:val="24"/>
          <w:highlight w:val="none"/>
          <w:u w:val="single"/>
        </w:rPr>
        <w:t>条约定、工程设计的有关标准并以符合相关行政主管部门颁发的环保标准或要求进行采购，对材料设备质量负责。承包人应将各项材料设备的供货人及品种、规格、数量和供货时间等报送监理人审批，并向监理人提交其负责提供材料设备的合格证明和质量证明文件，满足合同约定的质量标准，承包人在材料设备到货前</w:t>
      </w:r>
      <w:r>
        <w:rPr>
          <w:rFonts w:ascii="宋体" w:hAnsi="宋体" w:cs="宋体"/>
          <w:color w:val="auto"/>
          <w:sz w:val="24"/>
          <w:highlight w:val="none"/>
          <w:u w:val="single"/>
        </w:rPr>
        <w:t>24</w:t>
      </w:r>
      <w:r>
        <w:rPr>
          <w:rFonts w:hint="eastAsia" w:ascii="宋体" w:hAnsi="宋体" w:cs="宋体"/>
          <w:color w:val="auto"/>
          <w:sz w:val="24"/>
          <w:highlight w:val="none"/>
          <w:u w:val="single"/>
        </w:rPr>
        <w:t>小时通知工程师清点。</w:t>
      </w:r>
    </w:p>
    <w:p>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28.2</w:t>
      </w:r>
      <w:r>
        <w:rPr>
          <w:rFonts w:hint="eastAsia" w:ascii="宋体" w:hAnsi="宋体" w:cs="宋体"/>
          <w:color w:val="auto"/>
          <w:sz w:val="24"/>
          <w:highlight w:val="none"/>
          <w:u w:val="single"/>
        </w:rPr>
        <w:t>对承包人提供的材料和设备，承包人应会同监理人、发包人进行检验和交货验收，查验材料合格证明和产品合格证书，并按合同约定和监理人或发包人的指示，进行材料的抽样检验和工程设备的检验检测，检验检测结果提交监理人。不合格的不得使用，该部分检验或试验费用由承包人承担。</w:t>
      </w:r>
    </w:p>
    <w:p>
      <w:pPr>
        <w:snapToGrid w:val="0"/>
        <w:spacing w:line="440" w:lineRule="exact"/>
        <w:ind w:firstLine="397"/>
        <w:rPr>
          <w:rFonts w:ascii="宋体" w:hAnsi="宋体" w:cs="宋体"/>
          <w:color w:val="auto"/>
          <w:sz w:val="24"/>
          <w:highlight w:val="none"/>
          <w:u w:val="single"/>
        </w:rPr>
      </w:pPr>
      <w:r>
        <w:rPr>
          <w:rFonts w:hint="eastAsia" w:ascii="宋体" w:hAnsi="宋体" w:cs="宋体"/>
          <w:color w:val="auto"/>
          <w:sz w:val="24"/>
          <w:highlight w:val="none"/>
        </w:rPr>
        <w:t>28.3</w:t>
      </w:r>
      <w:r>
        <w:rPr>
          <w:rFonts w:hint="eastAsia" w:ascii="宋体" w:hAnsi="宋体" w:cs="宋体"/>
          <w:color w:val="auto"/>
          <w:sz w:val="24"/>
          <w:highlight w:val="none"/>
          <w:u w:val="single"/>
        </w:rPr>
        <w:t>所有材料、设备报价必须报监理、业主同意后方可使用。</w:t>
      </w:r>
    </w:p>
    <w:p>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八、工程变更</w:t>
      </w:r>
    </w:p>
    <w:p>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29、工程设计变更</w:t>
      </w:r>
    </w:p>
    <w:p>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29.4</w:t>
      </w:r>
      <w:r>
        <w:rPr>
          <w:rFonts w:hint="eastAsia" w:ascii="宋体" w:hAnsi="宋体" w:cs="宋体"/>
          <w:color w:val="auto"/>
          <w:sz w:val="24"/>
          <w:highlight w:val="none"/>
          <w:u w:val="single"/>
        </w:rPr>
        <w:t>开工前，发包人组织承包人、监理单位、设计单位对施工图纸进行会审。</w:t>
      </w:r>
    </w:p>
    <w:p>
      <w:pPr>
        <w:snapToGrid w:val="0"/>
        <w:spacing w:line="440" w:lineRule="exact"/>
        <w:ind w:firstLine="397"/>
        <w:rPr>
          <w:rFonts w:ascii="宋体" w:hAnsi="宋体" w:cs="宋体"/>
          <w:color w:val="auto"/>
          <w:sz w:val="24"/>
          <w:highlight w:val="none"/>
          <w:u w:val="single"/>
        </w:rPr>
      </w:pPr>
      <w:r>
        <w:rPr>
          <w:rFonts w:hint="eastAsia" w:ascii="宋体" w:hAnsi="宋体" w:cs="宋体"/>
          <w:color w:val="auto"/>
          <w:sz w:val="24"/>
          <w:highlight w:val="none"/>
          <w:u w:val="single"/>
        </w:rPr>
        <w:t>同时，如实施工程变更，承包人应以书面形式通知发包人和监理工程师，经监理工程师审查并报发包人同意后，由发包人与设计单位商定修改或变更设计方案进行实施。</w:t>
      </w:r>
    </w:p>
    <w:p>
      <w:pPr>
        <w:snapToGrid w:val="0"/>
        <w:spacing w:line="440" w:lineRule="exact"/>
        <w:ind w:firstLine="480"/>
        <w:rPr>
          <w:rFonts w:ascii="宋体" w:hAnsi="宋体" w:cs="宋体"/>
          <w:color w:val="auto"/>
          <w:sz w:val="24"/>
          <w:highlight w:val="none"/>
          <w:u w:val="single"/>
        </w:rPr>
      </w:pPr>
      <w:r>
        <w:rPr>
          <w:rFonts w:ascii="宋体" w:hAnsi="宋体" w:cs="宋体"/>
          <w:color w:val="auto"/>
          <w:sz w:val="24"/>
          <w:highlight w:val="none"/>
        </w:rPr>
        <w:t>29.5</w:t>
      </w:r>
      <w:r>
        <w:rPr>
          <w:rFonts w:hint="eastAsia" w:ascii="宋体" w:hAnsi="宋体" w:cs="宋体"/>
          <w:color w:val="auto"/>
          <w:sz w:val="24"/>
          <w:highlight w:val="none"/>
          <w:u w:val="single"/>
        </w:rPr>
        <w:t>变更应由监理工程师发出变更指令，没有监理工程师的指令，承包人不得进行上述变更。</w:t>
      </w:r>
    </w:p>
    <w:p>
      <w:pPr>
        <w:snapToGrid w:val="0"/>
        <w:spacing w:line="440" w:lineRule="exact"/>
        <w:ind w:firstLine="480"/>
        <w:rPr>
          <w:rFonts w:ascii="宋体" w:hAnsi="宋体" w:cs="宋体"/>
          <w:color w:val="auto"/>
          <w:sz w:val="24"/>
          <w:highlight w:val="none"/>
        </w:rPr>
      </w:pPr>
      <w:r>
        <w:rPr>
          <w:rFonts w:ascii="宋体" w:hAnsi="宋体" w:cs="宋体"/>
          <w:color w:val="auto"/>
          <w:sz w:val="24"/>
          <w:highlight w:val="none"/>
        </w:rPr>
        <w:t>29.6</w:t>
      </w:r>
      <w:r>
        <w:rPr>
          <w:rFonts w:hint="eastAsia" w:ascii="宋体" w:hAnsi="宋体" w:cs="宋体"/>
          <w:color w:val="auto"/>
          <w:sz w:val="24"/>
          <w:highlight w:val="none"/>
          <w:u w:val="single"/>
        </w:rPr>
        <w:t>按施工图纸实施使得工程量少于施工合同工程量清单中已确定或有规定的数量的，则该项工程量减少不需要任何指令。</w:t>
      </w:r>
    </w:p>
    <w:p>
      <w:pPr>
        <w:snapToGrid w:val="0"/>
        <w:spacing w:line="440" w:lineRule="exact"/>
        <w:ind w:firstLine="480"/>
        <w:rPr>
          <w:rFonts w:ascii="宋体" w:hAnsi="宋体" w:cs="宋体"/>
          <w:color w:val="auto"/>
          <w:sz w:val="24"/>
          <w:highlight w:val="none"/>
          <w:u w:val="single"/>
        </w:rPr>
      </w:pPr>
      <w:r>
        <w:rPr>
          <w:rFonts w:ascii="宋体" w:hAnsi="宋体" w:cs="宋体"/>
          <w:color w:val="auto"/>
          <w:sz w:val="24"/>
          <w:highlight w:val="none"/>
        </w:rPr>
        <w:t>29.7</w:t>
      </w:r>
      <w:r>
        <w:rPr>
          <w:rFonts w:hint="eastAsia" w:ascii="宋体" w:hAnsi="宋体" w:cs="宋体"/>
          <w:color w:val="auto"/>
          <w:sz w:val="24"/>
          <w:highlight w:val="none"/>
          <w:u w:val="single"/>
        </w:rPr>
        <w:t>所有涉及工期和工程量的变更均应获得发包人书面批准才能生效。</w:t>
      </w:r>
    </w:p>
    <w:p>
      <w:pPr>
        <w:snapToGrid w:val="0"/>
        <w:spacing w:line="440" w:lineRule="exact"/>
        <w:ind w:firstLine="480"/>
        <w:rPr>
          <w:rFonts w:ascii="宋体" w:hAnsi="宋体" w:cs="宋体"/>
          <w:color w:val="auto"/>
          <w:sz w:val="24"/>
          <w:highlight w:val="none"/>
          <w:u w:val="single"/>
        </w:rPr>
      </w:pPr>
      <w:r>
        <w:rPr>
          <w:rFonts w:ascii="宋体" w:hAnsi="宋体" w:cs="宋体"/>
          <w:color w:val="auto"/>
          <w:sz w:val="24"/>
          <w:highlight w:val="none"/>
        </w:rPr>
        <w:t xml:space="preserve">29.8 </w:t>
      </w:r>
      <w:r>
        <w:rPr>
          <w:rFonts w:hint="eastAsia" w:ascii="宋体" w:hAnsi="宋体" w:cs="宋体"/>
          <w:color w:val="auto"/>
          <w:sz w:val="24"/>
          <w:highlight w:val="none"/>
          <w:u w:val="single"/>
        </w:rPr>
        <w:t>当发包人提出变更通知，承包人认为产生了增加费用，承包人应在发包人提出通知要求后</w:t>
      </w:r>
      <w:r>
        <w:rPr>
          <w:rFonts w:ascii="宋体" w:hAnsi="宋体" w:cs="宋体"/>
          <w:color w:val="auto"/>
          <w:sz w:val="24"/>
          <w:highlight w:val="none"/>
          <w:u w:val="single"/>
        </w:rPr>
        <w:t>3-7天（时间视变更大小而定）内向发包人提交增加费用报告，报告内应说明变更原因、增加费用金额、增加费用计算书，若承包人不在规定的时间内提供增加费用报告，该类变更所涉及的增加费用视为包括在合同价款中。发包人提出变更通知的时间是指承包人收取变更通知时进行登记交接的时间。</w:t>
      </w:r>
    </w:p>
    <w:p>
      <w:pPr>
        <w:snapToGrid w:val="0"/>
        <w:spacing w:line="440" w:lineRule="exact"/>
        <w:ind w:firstLine="480"/>
        <w:rPr>
          <w:rFonts w:ascii="宋体" w:hAnsi="宋体" w:cs="宋体"/>
          <w:color w:val="auto"/>
          <w:sz w:val="24"/>
          <w:highlight w:val="none"/>
          <w:u w:val="single"/>
        </w:rPr>
      </w:pPr>
      <w:r>
        <w:rPr>
          <w:rFonts w:ascii="宋体" w:hAnsi="宋体" w:cs="宋体"/>
          <w:color w:val="auto"/>
          <w:sz w:val="24"/>
          <w:highlight w:val="none"/>
        </w:rPr>
        <w:t>29.9</w:t>
      </w:r>
      <w:r>
        <w:rPr>
          <w:rFonts w:hint="eastAsia" w:ascii="宋体" w:hAnsi="宋体" w:cs="宋体"/>
          <w:color w:val="auto"/>
          <w:sz w:val="24"/>
          <w:highlight w:val="none"/>
          <w:u w:val="single"/>
        </w:rPr>
        <w:t>工程变更申报程序按广州开发区、黄埔区以及建设业主的有关规定执行。</w:t>
      </w:r>
    </w:p>
    <w:p>
      <w:pPr>
        <w:widowControl/>
        <w:spacing w:line="440" w:lineRule="exact"/>
        <w:ind w:firstLine="480" w:firstLineChars="200"/>
        <w:jc w:val="left"/>
        <w:rPr>
          <w:rFonts w:ascii="宋体" w:hAnsi="宋体" w:cs="宋体"/>
          <w:color w:val="auto"/>
          <w:sz w:val="24"/>
          <w:highlight w:val="none"/>
          <w:u w:val="single"/>
        </w:rPr>
      </w:pPr>
      <w:r>
        <w:rPr>
          <w:rFonts w:ascii="宋体" w:hAnsi="宋体" w:cs="宋体"/>
          <w:color w:val="auto"/>
          <w:sz w:val="24"/>
          <w:highlight w:val="none"/>
        </w:rPr>
        <w:t>29.10</w:t>
      </w:r>
      <w:r>
        <w:rPr>
          <w:rFonts w:ascii="宋体" w:hAnsi="宋体" w:cs="宋体"/>
          <w:color w:val="auto"/>
          <w:sz w:val="24"/>
          <w:highlight w:val="none"/>
          <w:u w:val="single"/>
        </w:rPr>
        <w:t>工程实施过程中发包人有权对承包内容和范围进行调整，如实际工程量相对施工图纸及施工合同工程量发生变化，承包人不得有任何异议，且承包人不得以任何理由要求发包人补偿任何费用（承包人要充分考虑最不利因素影响）。涉及本合同约定的合同价款调整的，按相关约定处理。</w:t>
      </w:r>
    </w:p>
    <w:p>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30、其它变更</w:t>
      </w:r>
    </w:p>
    <w:p>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30.1工程现场签证：</w:t>
      </w:r>
      <w:r>
        <w:rPr>
          <w:rFonts w:hint="eastAsia" w:ascii="宋体" w:hAnsi="宋体" w:cs="宋体"/>
          <w:color w:val="auto"/>
          <w:sz w:val="24"/>
          <w:highlight w:val="none"/>
          <w:u w:val="single"/>
        </w:rPr>
        <w:t>工程现场签证是指施工生产活动中用以证实在施工中遇到的某些特殊情况的一种书证明资料，一般指按承发包合同约定，由承发包双方代表就施工过程中涉及合同价款之外的责任事件所作的签认证明。</w:t>
      </w:r>
    </w:p>
    <w:p>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u w:val="single"/>
        </w:rPr>
        <w:t>承包人需对施工图纸进行会审，如需对工程量清单错漏进行确认，承包人需在前四分之一工期阶段内且最长不得超过中标通知书发出之日起</w:t>
      </w:r>
      <w:r>
        <w:rPr>
          <w:rFonts w:ascii="宋体" w:hAnsi="宋体" w:cs="宋体"/>
          <w:color w:val="auto"/>
          <w:sz w:val="24"/>
          <w:highlight w:val="none"/>
          <w:u w:val="single"/>
        </w:rPr>
        <w:t>6个月内向发包人提出，</w:t>
      </w:r>
      <w:r>
        <w:rPr>
          <w:rFonts w:hint="eastAsia" w:ascii="宋体" w:hAnsi="宋体" w:cs="宋体"/>
          <w:color w:val="auto"/>
          <w:sz w:val="24"/>
          <w:highlight w:val="none"/>
          <w:u w:val="single"/>
        </w:rPr>
        <w:t>并按《广州开发区财政投资建设项目管理中心工程量清单错漏申报管理办法（202</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年）》（穗开建管〔202</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5</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号）办理申报手续，同时需配合发包人的复核工作，双方对复核结果盖章签名后方可作为最终结算依据；如因特殊原因，承包人无法在规定时间内申报的，经发包人同意后方可申报。承包人未按上述规定进行申报的，发包人对应申报而未办理申报手续的漏量漏项不予确认。</w:t>
      </w:r>
    </w:p>
    <w:p>
      <w:pPr>
        <w:snapToGrid w:val="0"/>
        <w:spacing w:line="440" w:lineRule="exact"/>
        <w:ind w:left="0" w:leftChars="0" w:firstLine="420" w:firstLineChars="0"/>
        <w:rPr>
          <w:rFonts w:ascii="宋体" w:hAnsi="宋体" w:cs="宋体"/>
          <w:color w:val="auto"/>
          <w:sz w:val="24"/>
          <w:highlight w:val="none"/>
          <w:u w:val="single"/>
        </w:rPr>
      </w:pPr>
      <w:r>
        <w:rPr>
          <w:rFonts w:ascii="宋体" w:hAnsi="宋体" w:cs="宋体"/>
          <w:color w:val="auto"/>
          <w:sz w:val="24"/>
          <w:highlight w:val="none"/>
        </w:rPr>
        <w:t>30.2</w:t>
      </w:r>
      <w:r>
        <w:rPr>
          <w:rFonts w:hint="eastAsia" w:ascii="宋体" w:hAnsi="宋体" w:cs="宋体"/>
          <w:color w:val="auto"/>
          <w:sz w:val="24"/>
          <w:highlight w:val="none"/>
          <w:u w:val="single"/>
        </w:rPr>
        <w:t>签证的计价：按招标文件及合同中关于工程变更的计价有关规定执行。</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highlight w:val="none"/>
          <w:u w:val="single"/>
        </w:rPr>
      </w:pPr>
      <w:r>
        <w:rPr>
          <w:rFonts w:ascii="宋体" w:hAnsi="宋体" w:cs="宋体"/>
          <w:color w:val="auto"/>
          <w:sz w:val="24"/>
          <w:highlight w:val="none"/>
        </w:rPr>
        <w:t>30.3签证实施前所需的施工方案：</w:t>
      </w:r>
      <w:r>
        <w:rPr>
          <w:rFonts w:hint="eastAsia" w:ascii="宋体" w:hAnsi="宋体" w:cs="宋体"/>
          <w:color w:val="auto"/>
          <w:sz w:val="24"/>
          <w:highlight w:val="none"/>
          <w:u w:val="single"/>
        </w:rPr>
        <w:t>若签证事件发生时，需使用没有被监理工程师批准过的施工方案，则必须将该施工方案提前报监理工程师和发包人批准，经批准后才能实施，否则发包人将按最经济的施工方案对该签证进行计价。</w:t>
      </w:r>
    </w:p>
    <w:p>
      <w:pPr>
        <w:snapToGrid w:val="0"/>
        <w:spacing w:line="440" w:lineRule="exact"/>
        <w:ind w:firstLine="480"/>
        <w:rPr>
          <w:rFonts w:ascii="宋体" w:hAnsi="宋体" w:cs="宋体"/>
          <w:color w:val="auto"/>
          <w:sz w:val="24"/>
          <w:highlight w:val="none"/>
          <w:u w:val="single"/>
        </w:rPr>
      </w:pPr>
      <w:r>
        <w:rPr>
          <w:rFonts w:ascii="宋体" w:hAnsi="宋体" w:cs="宋体"/>
          <w:color w:val="auto"/>
          <w:sz w:val="24"/>
          <w:highlight w:val="none"/>
        </w:rPr>
        <w:t>30.4</w:t>
      </w:r>
      <w:r>
        <w:rPr>
          <w:rFonts w:hint="eastAsia" w:ascii="宋体" w:hAnsi="宋体" w:cs="宋体"/>
          <w:color w:val="auto"/>
          <w:sz w:val="24"/>
          <w:highlight w:val="none"/>
          <w:u w:val="single"/>
        </w:rPr>
        <w:t>工程现场签证申报程序按广州开发区、黄埔区以及建设业主的有关规定执行。</w:t>
      </w:r>
    </w:p>
    <w:p>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31、确定变更价款</w:t>
      </w:r>
    </w:p>
    <w:p>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31.1承包人在工程变更确定后14天内，提出变更工程价款的报告，经工程师确认后调整合同价款。</w:t>
      </w:r>
      <w:r>
        <w:rPr>
          <w:rFonts w:hint="eastAsia" w:ascii="宋体" w:hAnsi="宋体" w:cs="宋体"/>
          <w:color w:val="auto"/>
          <w:sz w:val="24"/>
          <w:highlight w:val="none"/>
          <w:u w:val="single"/>
        </w:rPr>
        <w:t>变更合同价款确定原则按本合同相关约定执行。</w:t>
      </w:r>
    </w:p>
    <w:p>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31.3</w:t>
      </w:r>
      <w:r>
        <w:rPr>
          <w:rFonts w:hint="eastAsia" w:ascii="宋体" w:hAnsi="宋体" w:cs="宋体"/>
          <w:color w:val="auto"/>
          <w:sz w:val="24"/>
          <w:highlight w:val="none"/>
          <w:u w:val="single"/>
        </w:rPr>
        <w:t>所有变更工程价款的报告必须按规定程序报发包人审核确认。</w:t>
      </w:r>
    </w:p>
    <w:p>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31.5</w:t>
      </w:r>
      <w:r>
        <w:rPr>
          <w:rFonts w:hint="eastAsia" w:ascii="宋体" w:hAnsi="宋体" w:cs="宋体"/>
          <w:color w:val="auto"/>
          <w:sz w:val="24"/>
          <w:highlight w:val="none"/>
          <w:u w:val="single"/>
        </w:rPr>
        <w:t>工程变更价款的支付按本合同相关约定支付。</w:t>
      </w:r>
    </w:p>
    <w:p>
      <w:pPr>
        <w:snapToGrid w:val="0"/>
        <w:spacing w:line="440" w:lineRule="exact"/>
        <w:ind w:firstLine="360" w:firstLineChars="150"/>
        <w:rPr>
          <w:rFonts w:ascii="宋体" w:hAnsi="宋体" w:cs="宋体"/>
          <w:color w:val="auto"/>
          <w:sz w:val="24"/>
          <w:highlight w:val="none"/>
        </w:rPr>
      </w:pPr>
      <w:r>
        <w:rPr>
          <w:rFonts w:ascii="宋体" w:hAnsi="宋体" w:cs="宋体"/>
          <w:color w:val="auto"/>
          <w:sz w:val="24"/>
          <w:highlight w:val="none"/>
        </w:rPr>
        <w:t xml:space="preserve">31.7 </w:t>
      </w:r>
      <w:r>
        <w:rPr>
          <w:rFonts w:hint="eastAsia" w:ascii="宋体" w:hAnsi="宋体" w:cs="宋体"/>
          <w:color w:val="auto"/>
          <w:sz w:val="24"/>
          <w:highlight w:val="none"/>
          <w:u w:val="single"/>
        </w:rPr>
        <w:t>发生上述规定的变更后，承包人在收到发包人变更通知的</w:t>
      </w:r>
      <w:r>
        <w:rPr>
          <w:rFonts w:ascii="宋体" w:hAnsi="宋体" w:cs="宋体"/>
          <w:color w:val="auto"/>
          <w:sz w:val="24"/>
          <w:highlight w:val="none"/>
          <w:u w:val="single"/>
        </w:rPr>
        <w:t>7天内按合同文件规定的计价方式内容编出变更工程建议送交监理单位。</w:t>
      </w:r>
    </w:p>
    <w:p>
      <w:pPr>
        <w:snapToGrid w:val="0"/>
        <w:spacing w:line="440" w:lineRule="exact"/>
        <w:ind w:firstLine="480"/>
        <w:rPr>
          <w:rFonts w:ascii="宋体" w:hAnsi="宋体" w:cs="宋体"/>
          <w:color w:val="auto"/>
          <w:sz w:val="24"/>
          <w:highlight w:val="none"/>
          <w:u w:val="single"/>
        </w:rPr>
      </w:pPr>
      <w:r>
        <w:rPr>
          <w:rFonts w:ascii="宋体" w:hAnsi="宋体" w:cs="宋体"/>
          <w:color w:val="auto"/>
          <w:sz w:val="24"/>
          <w:highlight w:val="none"/>
        </w:rPr>
        <w:t>31.8</w:t>
      </w:r>
      <w:r>
        <w:rPr>
          <w:rFonts w:hint="eastAsia" w:ascii="宋体" w:hAnsi="宋体" w:cs="宋体"/>
          <w:color w:val="auto"/>
          <w:sz w:val="24"/>
          <w:highlight w:val="none"/>
          <w:u w:val="single"/>
        </w:rPr>
        <w:t>在工程变更价款计算时，承包人应按招标文件相关规定编制变更工程的预算，提供变更依据及详细的计算资料，报监理单位和发包人批准。</w:t>
      </w:r>
    </w:p>
    <w:p>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31.9</w:t>
      </w:r>
      <w:r>
        <w:rPr>
          <w:rFonts w:hint="eastAsia" w:ascii="宋体" w:hAnsi="宋体" w:cs="宋体"/>
          <w:color w:val="auto"/>
          <w:sz w:val="24"/>
          <w:highlight w:val="none"/>
          <w:u w:val="single"/>
        </w:rPr>
        <w:t>工程变更、签证申报程序按广州开发区、黄埔区以及建设业主的有关规定执行。</w:t>
      </w:r>
    </w:p>
    <w:p>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九、竣工验收与结算</w:t>
      </w:r>
    </w:p>
    <w:p>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32</w:t>
      </w:r>
      <w:r>
        <w:rPr>
          <w:rFonts w:hint="eastAsia" w:ascii="宋体" w:hAnsi="宋体" w:cs="宋体"/>
          <w:b/>
          <w:color w:val="auto"/>
          <w:sz w:val="24"/>
          <w:highlight w:val="none"/>
        </w:rPr>
        <w:t>、竣工验收</w:t>
      </w:r>
    </w:p>
    <w:p>
      <w:pPr>
        <w:snapToGrid w:val="0"/>
        <w:spacing w:line="440" w:lineRule="exact"/>
        <w:ind w:firstLine="480"/>
        <w:rPr>
          <w:rFonts w:ascii="宋体" w:hAnsi="宋体" w:cs="宋体"/>
          <w:color w:val="auto"/>
          <w:sz w:val="24"/>
          <w:highlight w:val="none"/>
          <w:u w:val="single"/>
        </w:rPr>
      </w:pPr>
      <w:r>
        <w:rPr>
          <w:rFonts w:ascii="宋体" w:hAnsi="宋体" w:cs="宋体"/>
          <w:color w:val="auto"/>
          <w:sz w:val="24"/>
          <w:highlight w:val="none"/>
        </w:rPr>
        <w:t xml:space="preserve">32.1 </w:t>
      </w:r>
      <w:r>
        <w:rPr>
          <w:rFonts w:hint="eastAsia" w:ascii="宋体" w:hAnsi="宋体" w:cs="宋体"/>
          <w:color w:val="auto"/>
          <w:sz w:val="24"/>
          <w:highlight w:val="none"/>
        </w:rPr>
        <w:t>承包人提供竣工图纸的约定：</w:t>
      </w:r>
      <w:r>
        <w:rPr>
          <w:rFonts w:hint="eastAsia" w:ascii="宋体" w:hAnsi="宋体" w:cs="宋体"/>
          <w:color w:val="auto"/>
          <w:sz w:val="24"/>
          <w:highlight w:val="none"/>
          <w:u w:val="single"/>
        </w:rPr>
        <w:t>承包人工程竣工资料必须按照国家及广州市、开发区有关工程竣工资料档案管理的要求进行整理归档。承包人在工程竣工验收合格后四十五个日历天内，向建设单位提供符合要求按规格编制成册的工程竣工图及有关的技术档案资料一式伍份。</w:t>
      </w:r>
    </w:p>
    <w:p>
      <w:pPr>
        <w:snapToGrid w:val="0"/>
        <w:spacing w:line="440" w:lineRule="exact"/>
        <w:ind w:firstLine="480"/>
        <w:rPr>
          <w:rFonts w:ascii="宋体" w:hAnsi="宋体" w:cs="宋体"/>
          <w:color w:val="auto"/>
          <w:sz w:val="24"/>
          <w:highlight w:val="none"/>
          <w:u w:val="single"/>
        </w:rPr>
      </w:pPr>
      <w:r>
        <w:rPr>
          <w:rFonts w:ascii="宋体" w:hAnsi="宋体" w:cs="宋体"/>
          <w:color w:val="auto"/>
          <w:sz w:val="24"/>
          <w:highlight w:val="none"/>
        </w:rPr>
        <w:t xml:space="preserve">32.6 </w:t>
      </w:r>
      <w:r>
        <w:rPr>
          <w:rFonts w:hint="eastAsia" w:ascii="宋体" w:hAnsi="宋体" w:cs="宋体"/>
          <w:color w:val="auto"/>
          <w:sz w:val="24"/>
          <w:highlight w:val="none"/>
        </w:rPr>
        <w:t>中间交工工程的范围和竣工时间：</w:t>
      </w:r>
      <w:r>
        <w:rPr>
          <w:rFonts w:ascii="宋体" w:hAnsi="宋体" w:cs="宋体"/>
          <w:color w:val="auto"/>
          <w:sz w:val="24"/>
          <w:highlight w:val="none"/>
          <w:u w:val="single"/>
        </w:rPr>
        <w:t xml:space="preserve">      /     </w:t>
      </w:r>
    </w:p>
    <w:p>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33、竣工结算</w:t>
      </w:r>
    </w:p>
    <w:p>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承发包双方一致同意不适用</w:t>
      </w:r>
      <w:r>
        <w:rPr>
          <w:rFonts w:hint="eastAsia" w:ascii="宋体" w:hAnsi="宋体" w:cs="宋体"/>
          <w:color w:val="auto"/>
          <w:sz w:val="24"/>
          <w:szCs w:val="24"/>
          <w:highlight w:val="none"/>
          <w:u w:val="single"/>
        </w:rPr>
        <w:t>通用条款</w:t>
      </w:r>
      <w:r>
        <w:rPr>
          <w:rFonts w:ascii="宋体" w:hAnsi="宋体" w:cs="宋体"/>
          <w:color w:val="auto"/>
          <w:sz w:val="24"/>
          <w:szCs w:val="24"/>
          <w:highlight w:val="none"/>
          <w:u w:val="single"/>
        </w:rPr>
        <w:t>33.2款、33.3款、33.4款</w:t>
      </w:r>
      <w:r>
        <w:rPr>
          <w:rFonts w:hint="eastAsia" w:ascii="宋体" w:hAnsi="宋体" w:cs="宋体"/>
          <w:color w:val="auto"/>
          <w:sz w:val="24"/>
          <w:szCs w:val="24"/>
          <w:highlight w:val="none"/>
        </w:rPr>
        <w:t>。</w:t>
      </w:r>
    </w:p>
    <w:p>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竣工结算办法：</w:t>
      </w:r>
      <w:r>
        <w:rPr>
          <w:rFonts w:hint="eastAsia" w:ascii="宋体" w:hAnsi="宋体" w:cs="宋体"/>
          <w:color w:val="auto"/>
          <w:sz w:val="24"/>
          <w:szCs w:val="24"/>
          <w:highlight w:val="none"/>
          <w:u w:val="single"/>
        </w:rPr>
        <w:t>所有工程量（含暂定工程量的结算）的结算均以广州开发区财政局审定的金额为准。工程竣工后，承包人编制本工程的结算书送监理单位审核，经监理单位审核后送发包人复审，按规定送广州开发区财政局审核，并以区财政局审定本工程的结算为准</w:t>
      </w:r>
      <w:r>
        <w:rPr>
          <w:rFonts w:hint="eastAsia" w:ascii="宋体" w:hAnsi="宋体" w:cs="宋体"/>
          <w:color w:val="auto"/>
          <w:sz w:val="24"/>
          <w:szCs w:val="24"/>
          <w:highlight w:val="none"/>
        </w:rPr>
        <w:t>。</w:t>
      </w:r>
    </w:p>
    <w:p>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竣工结算提交时间：</w:t>
      </w:r>
      <w:r>
        <w:rPr>
          <w:rFonts w:hint="eastAsia" w:ascii="宋体" w:hAnsi="宋体" w:cs="宋体"/>
          <w:color w:val="auto"/>
          <w:sz w:val="24"/>
          <w:szCs w:val="24"/>
          <w:highlight w:val="none"/>
          <w:u w:val="single"/>
        </w:rPr>
        <w:t>承包人须按</w:t>
      </w:r>
      <w:r>
        <w:rPr>
          <w:rFonts w:hint="eastAsia" w:ascii="宋体" w:hAnsi="宋体" w:cs="宋体"/>
          <w:color w:val="auto"/>
          <w:sz w:val="24"/>
          <w:highlight w:val="none"/>
          <w:u w:val="single"/>
        </w:rPr>
        <w:t>《广州开发区财政投资建设项目管理中心施工类合同结算编审指引（2024年修订稿）》（穗开建管【2024】65号）</w:t>
      </w:r>
      <w:r>
        <w:rPr>
          <w:rFonts w:hint="eastAsia" w:ascii="宋体" w:hAnsi="宋体" w:cs="宋体"/>
          <w:color w:val="auto"/>
          <w:sz w:val="24"/>
          <w:szCs w:val="24"/>
          <w:highlight w:val="none"/>
          <w:u w:val="single"/>
        </w:rPr>
        <w:t>及区有关规定编制及办理建设项目工程结算</w:t>
      </w:r>
      <w:r>
        <w:rPr>
          <w:rFonts w:hint="eastAsia" w:ascii="宋体" w:hAnsi="宋体" w:cs="宋体"/>
          <w:color w:val="auto"/>
          <w:sz w:val="24"/>
          <w:szCs w:val="24"/>
          <w:highlight w:val="none"/>
        </w:rPr>
        <w:t>。</w:t>
      </w:r>
    </w:p>
    <w:p>
      <w:pPr>
        <w:pStyle w:val="58"/>
        <w:spacing w:line="440" w:lineRule="exact"/>
        <w:ind w:firstLine="481"/>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承包人未按前款规定的期限和内容编制及办理建设项目工程结算（非承包人原因无法办理工程结算的情况除外），经发包人或代建单位或监理人书面通知之日起</w:t>
      </w:r>
      <w:r>
        <w:rPr>
          <w:rFonts w:ascii="宋体" w:hAnsi="宋体" w:cs="宋体"/>
          <w:color w:val="auto"/>
          <w:sz w:val="24"/>
          <w:szCs w:val="24"/>
          <w:highlight w:val="none"/>
          <w:u w:val="single"/>
        </w:rPr>
        <w:t>2个月内（最长期限不得超过6个月）仍未提交编制及办理建设项目工程结算的相关文件的，监理人和发包人有权根据发包人已有资料进行审核，并报区财政局审定，区财政局审定的竣工结算合同总价视同是经承包人认可的工程竣工结算合同总价。</w:t>
      </w:r>
    </w:p>
    <w:p>
      <w:pPr>
        <w:pStyle w:val="58"/>
        <w:spacing w:line="440" w:lineRule="exact"/>
        <w:ind w:firstLine="240" w:firstLineChars="100"/>
        <w:rPr>
          <w:rFonts w:hint="default"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（4）承包人应实事求是报审项目投资，编制项目竣工结算报告，如提交的施工合同结算，经财政评审后核减率超过10%的，超出部分产生的中介评审费用由承包人负担，在结算审核中予以扣除。</w:t>
      </w:r>
    </w:p>
    <w:p>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十、违约、索赔和争议</w:t>
      </w:r>
    </w:p>
    <w:p>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35</w:t>
      </w:r>
      <w:r>
        <w:rPr>
          <w:rFonts w:hint="eastAsia" w:ascii="宋体" w:hAnsi="宋体" w:cs="宋体"/>
          <w:b/>
          <w:color w:val="auto"/>
          <w:sz w:val="24"/>
          <w:highlight w:val="none"/>
        </w:rPr>
        <w:t>、违约</w:t>
      </w:r>
    </w:p>
    <w:p>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35.1</w:t>
      </w:r>
      <w:r>
        <w:rPr>
          <w:rFonts w:hint="eastAsia" w:ascii="宋体" w:hAnsi="宋体" w:cs="宋体"/>
          <w:color w:val="auto"/>
          <w:sz w:val="24"/>
          <w:highlight w:val="none"/>
        </w:rPr>
        <w:t>本合同中关于发包人违约的具体责任如下：</w:t>
      </w:r>
    </w:p>
    <w:p>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本合同通用条款第</w:t>
      </w:r>
      <w:r>
        <w:rPr>
          <w:rFonts w:ascii="宋体" w:hAnsi="宋体" w:cs="宋体"/>
          <w:color w:val="auto"/>
          <w:sz w:val="24"/>
          <w:highlight w:val="none"/>
        </w:rPr>
        <w:t>35.1条约定发包人违约应承担的责任：</w:t>
      </w:r>
      <w:r>
        <w:rPr>
          <w:rFonts w:hint="eastAsia" w:ascii="宋体" w:hAnsi="宋体" w:cs="宋体"/>
          <w:color w:val="auto"/>
          <w:sz w:val="24"/>
          <w:highlight w:val="none"/>
          <w:u w:val="single"/>
        </w:rPr>
        <w:t>顺延工期，但不作费用赔偿</w:t>
      </w:r>
      <w:r>
        <w:rPr>
          <w:rFonts w:hint="eastAsia" w:ascii="宋体" w:hAnsi="宋体" w:cs="宋体"/>
          <w:color w:val="auto"/>
          <w:sz w:val="24"/>
          <w:highlight w:val="none"/>
        </w:rPr>
        <w:t>。</w:t>
      </w:r>
    </w:p>
    <w:p>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双方约定的发包人其他违约责任：</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35.2 </w:t>
      </w:r>
      <w:r>
        <w:rPr>
          <w:rFonts w:hint="eastAsia" w:ascii="宋体" w:hAnsi="宋体" w:cs="宋体"/>
          <w:color w:val="auto"/>
          <w:sz w:val="24"/>
          <w:highlight w:val="none"/>
        </w:rPr>
        <w:t>本合同中关于承包人违约的具体责任如下：</w:t>
      </w:r>
    </w:p>
    <w:p>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35.2.1工期延误的违约责任</w:t>
      </w:r>
    </w:p>
    <w:p>
      <w:pPr>
        <w:spacing w:line="440" w:lineRule="exact"/>
        <w:ind w:firstLine="567"/>
        <w:rPr>
          <w:rFonts w:ascii="宋体" w:hAnsi="宋体" w:cs="宋体"/>
          <w:color w:val="auto"/>
          <w:sz w:val="24"/>
          <w:highlight w:val="none"/>
          <w:u w:val="none"/>
        </w:rPr>
      </w:pPr>
      <w:r>
        <w:rPr>
          <w:rFonts w:hint="eastAsia" w:ascii="宋体" w:hAnsi="宋体" w:cs="宋体"/>
          <w:color w:val="auto"/>
          <w:sz w:val="24"/>
          <w:highlight w:val="none"/>
          <w:u w:val="none"/>
        </w:rPr>
        <w:t>（</w:t>
      </w:r>
      <w:r>
        <w:rPr>
          <w:rFonts w:ascii="宋体" w:hAnsi="宋体" w:cs="宋体"/>
          <w:color w:val="auto"/>
          <w:sz w:val="24"/>
          <w:highlight w:val="none"/>
          <w:u w:val="none"/>
        </w:rPr>
        <w:t>1）承包人未按发包人或监理单位开工令要求时间开工的，每迟延开工1天，应向发包人支付违约金5000元；迟延开工超过20天的，发包人有权根据实际情况单方面解除合同。</w:t>
      </w:r>
    </w:p>
    <w:p>
      <w:pPr>
        <w:spacing w:line="440" w:lineRule="exact"/>
        <w:ind w:firstLine="567"/>
        <w:rPr>
          <w:rFonts w:ascii="宋体" w:hAnsi="宋体" w:cs="宋体"/>
          <w:color w:val="auto"/>
          <w:sz w:val="24"/>
          <w:highlight w:val="none"/>
          <w:u w:val="none"/>
        </w:rPr>
      </w:pPr>
      <w:r>
        <w:rPr>
          <w:rFonts w:ascii="宋体" w:hAnsi="宋体" w:cs="宋体"/>
          <w:color w:val="auto"/>
          <w:sz w:val="24"/>
          <w:highlight w:val="none"/>
          <w:u w:val="none"/>
        </w:rPr>
        <w:t>(2）因承包人的原因造成工期延误，其中属节点工期延误，从延误的第一天起，每天支付违约金5000元，如在下一个节点赶回工期，可免除上述违约金。属总工期延误，从总工期延误的第一天起，每天支付违约金20000元。</w:t>
      </w:r>
      <w:r>
        <w:rPr>
          <w:rFonts w:hint="eastAsia" w:ascii="宋体" w:hAnsi="宋体" w:cs="宋体"/>
          <w:color w:val="auto"/>
          <w:sz w:val="24"/>
          <w:highlight w:val="none"/>
        </w:rPr>
        <w:t>延误工期超过</w:t>
      </w:r>
      <w:r>
        <w:rPr>
          <w:rFonts w:ascii="宋体" w:hAnsi="宋体" w:cs="宋体"/>
          <w:color w:val="auto"/>
          <w:sz w:val="24"/>
          <w:highlight w:val="none"/>
        </w:rPr>
        <w:t>20天的，发包人可视情况终止合同。</w:t>
      </w:r>
    </w:p>
    <w:p>
      <w:pPr>
        <w:spacing w:line="440" w:lineRule="exact"/>
        <w:ind w:firstLine="567"/>
        <w:rPr>
          <w:rFonts w:ascii="宋体" w:hAnsi="宋体" w:cs="宋体"/>
          <w:color w:val="auto"/>
          <w:sz w:val="24"/>
          <w:highlight w:val="none"/>
          <w:u w:val="none"/>
        </w:rPr>
      </w:pPr>
      <w:r>
        <w:rPr>
          <w:rFonts w:ascii="宋体" w:hAnsi="宋体" w:cs="宋体"/>
          <w:color w:val="auto"/>
          <w:sz w:val="24"/>
          <w:highlight w:val="none"/>
          <w:u w:val="none"/>
        </w:rPr>
        <w:t>(3）承包人必须按期完成主要工序的施工任务，若属承包人原因逾期达10天未完成主要节点的施工任务时，除按第（2）项约定承担违约责任外，发包人可要求撤换项目负责人，承包人应予以执行，并在总工期不调整的前提下自行消化节点工期的延误。逾期20天未完成主要节点的施工任务时，属承包人进度严重违约行为，发包人可单方面终止合同，将承包人作不良纪录报区建设行政主管备案。并由承包人承担相应的进度严重违约责任。</w:t>
      </w:r>
    </w:p>
    <w:p>
      <w:pPr>
        <w:spacing w:line="440" w:lineRule="exact"/>
        <w:ind w:firstLine="480" w:firstLineChars="200"/>
        <w:rPr>
          <w:rFonts w:ascii="宋体" w:hAnsi="宋体" w:cs="宋体"/>
          <w:color w:val="auto"/>
          <w:sz w:val="24"/>
          <w:highlight w:val="none"/>
          <w:u w:val="none"/>
        </w:rPr>
      </w:pPr>
      <w:r>
        <w:rPr>
          <w:rFonts w:ascii="宋体" w:hAnsi="宋体" w:cs="宋体"/>
          <w:color w:val="auto"/>
          <w:sz w:val="24"/>
          <w:highlight w:val="none"/>
          <w:u w:val="none"/>
        </w:rPr>
        <w:t>(4）承包人承担的进度严重违约责任为：</w:t>
      </w:r>
    </w:p>
    <w:p>
      <w:pPr>
        <w:spacing w:line="440" w:lineRule="exact"/>
        <w:ind w:firstLine="567" w:firstLineChars="0"/>
        <w:rPr>
          <w:rFonts w:ascii="宋体" w:hAnsi="宋体" w:cs="宋体"/>
          <w:color w:val="auto"/>
          <w:sz w:val="24"/>
          <w:highlight w:val="none"/>
          <w:u w:val="none"/>
        </w:rPr>
      </w:pPr>
      <w:r>
        <w:rPr>
          <w:rFonts w:hint="eastAsia" w:ascii="宋体" w:hAnsi="宋体" w:cs="宋体"/>
          <w:color w:val="auto"/>
          <w:sz w:val="24"/>
          <w:highlight w:val="none"/>
          <w:u w:val="none"/>
        </w:rPr>
        <w:t>如果承包人出现进度严重违约事件，则须无条件接受发包人终止合同，并在接到终止合同通知书之日起</w:t>
      </w:r>
      <w:r>
        <w:rPr>
          <w:rFonts w:ascii="宋体" w:hAnsi="宋体" w:cs="宋体"/>
          <w:color w:val="auto"/>
          <w:sz w:val="24"/>
          <w:highlight w:val="none"/>
          <w:u w:val="none"/>
        </w:rPr>
        <w:t>5个日历天内（发包人应予以配合），在监理工程师的监督下退场完毕。退场完毕后由监理工程师出具《退出完结证明书》，并据此进行相关结算。承包人按履约担保金额支付违约金。给发包人造成的损失超过履约担保金额的部分，承包人还应承担赔偿责任。</w:t>
      </w:r>
    </w:p>
    <w:p>
      <w:pPr>
        <w:spacing w:line="440" w:lineRule="exact"/>
        <w:ind w:firstLine="567" w:firstLineChars="0"/>
        <w:rPr>
          <w:rFonts w:ascii="宋体" w:hAnsi="宋体" w:cs="宋体"/>
          <w:color w:val="auto"/>
          <w:sz w:val="24"/>
          <w:highlight w:val="none"/>
          <w:u w:val="none"/>
        </w:rPr>
      </w:pPr>
      <w:r>
        <w:rPr>
          <w:rFonts w:ascii="宋体" w:hAnsi="宋体" w:cs="宋体"/>
          <w:color w:val="auto"/>
          <w:sz w:val="24"/>
          <w:highlight w:val="none"/>
          <w:u w:val="none"/>
        </w:rPr>
        <w:t xml:space="preserve"> (5）工程施工过程中（竣工验收前），承包人必须按发包人、监理人的要求及时为专业工程（电信、电力管线、电力走廊、煤气、道路绿化、路灯、交通设施等）提供工作面及为专业工程穿插施工所需各项配合工作给予方便，承包人应在施工方案中充分考虑专业工程穿插施工所需的穿插工作面及工期，由于承包人未能给予专业工程穿插施工，造成总施工工期的延误，施工工期不予顺延，承包人承担由于工期延误所产生的损失。因承包人原因造成其他专业工程工期延误的，从延误其他专业工程工期第一天起，每延误一天，承包人支付5000元违约金。</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snapToGrid w:val="0"/>
          <w:color w:val="auto"/>
          <w:kern w:val="0"/>
          <w:sz w:val="24"/>
          <w:highlight w:val="none"/>
          <w:u w:val="none"/>
        </w:rPr>
        <w:t>（</w:t>
      </w:r>
      <w:r>
        <w:rPr>
          <w:rFonts w:ascii="宋体" w:hAnsi="宋体" w:cs="宋体"/>
          <w:snapToGrid w:val="0"/>
          <w:color w:val="auto"/>
          <w:kern w:val="0"/>
          <w:sz w:val="24"/>
          <w:highlight w:val="none"/>
          <w:u w:val="none"/>
        </w:rPr>
        <w:t>6）承包人违反合同专用条款的约定和发包人的规定，逾期完成竣工档案的整理、移交、送审备案工作的，每逾期1天，承包人支付违约金5000元。</w:t>
      </w:r>
    </w:p>
    <w:p>
      <w:pPr>
        <w:adjustRightInd w:val="0"/>
        <w:snapToGrid w:val="0"/>
        <w:spacing w:line="440" w:lineRule="exact"/>
        <w:ind w:firstLine="480" w:firstLineChars="200"/>
        <w:rPr>
          <w:rFonts w:ascii="宋体" w:hAnsi="宋体" w:cs="宋体"/>
          <w:color w:val="auto"/>
          <w:sz w:val="24"/>
          <w:highlight w:val="none"/>
          <w:u w:val="none"/>
        </w:rPr>
      </w:pPr>
      <w:r>
        <w:rPr>
          <w:rFonts w:ascii="宋体" w:hAnsi="宋体" w:cs="宋体"/>
          <w:color w:val="auto"/>
          <w:sz w:val="24"/>
          <w:highlight w:val="none"/>
        </w:rPr>
        <w:t>35.2.2</w:t>
      </w:r>
      <w:r>
        <w:rPr>
          <w:rFonts w:hint="eastAsia" w:ascii="宋体" w:hAnsi="宋体" w:cs="宋体"/>
          <w:color w:val="auto"/>
          <w:sz w:val="24"/>
          <w:highlight w:val="none"/>
          <w:u w:val="none"/>
        </w:rPr>
        <w:t>安全、文明施工要求及违约处理</w:t>
      </w:r>
    </w:p>
    <w:p>
      <w:pPr>
        <w:snapToGrid w:val="0"/>
        <w:spacing w:line="440" w:lineRule="exact"/>
        <w:ind w:firstLine="397"/>
        <w:rPr>
          <w:rFonts w:hint="eastAsia" w:ascii="微软雅黑" w:hAnsi="微软雅黑" w:eastAsia="微软雅黑" w:cs="微软雅黑"/>
          <w:b/>
          <w:bCs/>
          <w:i w:val="0"/>
          <w:iCs w:val="0"/>
          <w:caps w:val="0"/>
          <w:color w:val="auto"/>
          <w:spacing w:val="0"/>
          <w:sz w:val="21"/>
          <w:szCs w:val="21"/>
          <w:highlight w:val="none"/>
          <w:shd w:val="clear" w:color="auto" w:fill="DDEEEE"/>
          <w:lang w:val="en-US" w:eastAsia="zh-CN"/>
        </w:rPr>
      </w:pPr>
      <w:r>
        <w:rPr>
          <w:rFonts w:hint="eastAsia" w:ascii="宋体" w:hAnsi="宋体" w:eastAsia="宋体" w:cs="宋体"/>
          <w:color w:val="auto"/>
          <w:sz w:val="24"/>
          <w:szCs w:val="24"/>
          <w:highlight w:val="none"/>
          <w:u w:val="none"/>
          <w:lang w:val="en-US" w:eastAsia="zh-CN"/>
        </w:rPr>
        <w:t>（1）承包人必须按本合同的约定编制施工组织设计（施工方案、</w:t>
      </w:r>
      <w:r>
        <w:rPr>
          <w:rFonts w:hint="eastAsia" w:ascii="宋体" w:hAnsi="宋体" w:eastAsia="宋体" w:cs="宋体"/>
          <w:b/>
          <w:bCs/>
          <w:color w:val="auto"/>
          <w:sz w:val="24"/>
          <w:szCs w:val="24"/>
          <w:highlight w:val="none"/>
          <w:u w:val="single"/>
          <w:lang w:val="en-US" w:eastAsia="zh-CN"/>
        </w:rPr>
        <w:t>危险性较大工程专项施工方案</w:t>
      </w:r>
      <w:r>
        <w:rPr>
          <w:rFonts w:hint="eastAsia" w:ascii="宋体" w:hAnsi="宋体" w:eastAsia="宋体" w:cs="宋体"/>
          <w:color w:val="auto"/>
          <w:sz w:val="24"/>
          <w:szCs w:val="24"/>
          <w:highlight w:val="none"/>
          <w:u w:val="none"/>
          <w:lang w:val="en-US" w:eastAsia="zh-CN"/>
        </w:rPr>
        <w:t>、包括安全文明施工措施），经过监理人和发包人审核确认后按其施工，不得随意更改。如果根据实际情况确需修改，则需经工程师及发包人审批同意。如果未经工程师及发包人审批同意而擅自更改施工组织设计（施工方案，</w:t>
      </w:r>
      <w:r>
        <w:rPr>
          <w:rFonts w:hint="eastAsia" w:ascii="宋体" w:hAnsi="宋体" w:eastAsia="宋体" w:cs="宋体"/>
          <w:b/>
          <w:bCs/>
          <w:color w:val="auto"/>
          <w:sz w:val="24"/>
          <w:szCs w:val="24"/>
          <w:highlight w:val="none"/>
          <w:u w:val="single"/>
          <w:lang w:val="en-US" w:eastAsia="zh-CN"/>
        </w:rPr>
        <w:t>危险性较大工程专项施工方案</w:t>
      </w:r>
      <w:r>
        <w:rPr>
          <w:rFonts w:hint="eastAsia" w:ascii="宋体" w:hAnsi="宋体" w:eastAsia="宋体" w:cs="宋体"/>
          <w:color w:val="auto"/>
          <w:sz w:val="24"/>
          <w:szCs w:val="24"/>
          <w:highlight w:val="none"/>
          <w:u w:val="none"/>
          <w:lang w:val="en-US" w:eastAsia="zh-CN"/>
        </w:rPr>
        <w:t>、包括安全文明施工措施）或不按照施工组织设计（施工方案，</w:t>
      </w:r>
      <w:r>
        <w:rPr>
          <w:rFonts w:hint="eastAsia" w:ascii="宋体" w:hAnsi="宋体" w:eastAsia="宋体" w:cs="宋体"/>
          <w:b/>
          <w:bCs/>
          <w:color w:val="auto"/>
          <w:sz w:val="24"/>
          <w:szCs w:val="24"/>
          <w:highlight w:val="none"/>
          <w:u w:val="single"/>
          <w:lang w:val="en-US" w:eastAsia="zh-CN"/>
        </w:rPr>
        <w:t>危险性较大工程专项施工方案</w:t>
      </w:r>
      <w:r>
        <w:rPr>
          <w:rFonts w:hint="eastAsia" w:ascii="宋体" w:hAnsi="宋体" w:eastAsia="宋体" w:cs="宋体"/>
          <w:color w:val="auto"/>
          <w:sz w:val="24"/>
          <w:szCs w:val="24"/>
          <w:highlight w:val="none"/>
          <w:u w:val="none"/>
          <w:lang w:val="en-US" w:eastAsia="zh-CN"/>
        </w:rPr>
        <w:t>、包括安全文明施工措施）施工，则发包人将扣减更改部分的造价（该造价按广东省相关综合定额和取费标准计算，不下浮）；同时，每擅自更改一次，承包人需支付10000元人民币违约金给发包人。</w:t>
      </w:r>
    </w:p>
    <w:p>
      <w:pPr>
        <w:adjustRightInd w:val="0"/>
        <w:spacing w:line="440" w:lineRule="exact"/>
        <w:ind w:right="11" w:firstLine="480" w:firstLineChars="200"/>
        <w:rPr>
          <w:rFonts w:ascii="宋体" w:hAnsi="宋体" w:cs="宋体"/>
          <w:color w:val="auto"/>
          <w:sz w:val="24"/>
          <w:highlight w:val="none"/>
          <w:u w:val="none"/>
        </w:rPr>
      </w:pPr>
      <w:r>
        <w:rPr>
          <w:rFonts w:ascii="宋体" w:hAnsi="宋体" w:cs="宋体"/>
          <w:color w:val="auto"/>
          <w:sz w:val="24"/>
          <w:highlight w:val="none"/>
          <w:u w:val="none"/>
        </w:rPr>
        <w:t>(2）承包人应严格遵守国家、省、市及开发区有关防火、爆破和施工安全以及文明施工、深夜施工、环卫和城市管理等规定，建立规章制度和防护措施，并组织施工。在相关部门的检查中，承包人施工场地被评为不合格工地或被通报批评或者被新闻媒体曝光的，每发生一次，承包人支付10000元违约金，如发包人因此被相关部门处罚的，罚金由承包人承担。</w:t>
      </w:r>
    </w:p>
    <w:p>
      <w:pPr>
        <w:snapToGrid w:val="0"/>
        <w:spacing w:line="440" w:lineRule="exact"/>
        <w:ind w:firstLine="360" w:firstLineChars="150"/>
        <w:rPr>
          <w:rFonts w:ascii="宋体" w:hAnsi="宋体" w:cs="宋体"/>
          <w:color w:val="auto"/>
          <w:sz w:val="24"/>
          <w:highlight w:val="none"/>
          <w:u w:val="none"/>
        </w:rPr>
      </w:pPr>
      <w:r>
        <w:rPr>
          <w:rFonts w:hint="eastAsia" w:ascii="宋体" w:hAnsi="宋体" w:cs="宋体"/>
          <w:color w:val="auto"/>
          <w:sz w:val="24"/>
          <w:highlight w:val="none"/>
          <w:u w:val="none"/>
        </w:rPr>
        <w:t>（</w:t>
      </w:r>
      <w:r>
        <w:rPr>
          <w:rFonts w:ascii="宋体" w:hAnsi="宋体" w:cs="宋体"/>
          <w:color w:val="auto"/>
          <w:sz w:val="24"/>
          <w:highlight w:val="none"/>
          <w:u w:val="none"/>
        </w:rPr>
        <w:t>3）如果承包人未按招投标文件及本合同要求做好安全、文明施工相关措施，经监理工程师或发包人检查发现的，每发现一次，承包人支付5000元违约金，并按发包人或监理单位要求限期整改，未在限期内完成整改的，每延期一天，承包人支付10000元违约金。</w:t>
      </w:r>
    </w:p>
    <w:p>
      <w:pPr>
        <w:adjustRightInd w:val="0"/>
        <w:spacing w:line="440" w:lineRule="exact"/>
        <w:ind w:firstLine="480" w:firstLineChars="200"/>
        <w:rPr>
          <w:rFonts w:ascii="宋体" w:hAnsi="宋体" w:cs="宋体"/>
          <w:snapToGrid w:val="0"/>
          <w:color w:val="auto"/>
          <w:kern w:val="0"/>
          <w:sz w:val="24"/>
          <w:highlight w:val="none"/>
          <w:u w:val="none"/>
        </w:rPr>
      </w:pPr>
      <w:r>
        <w:rPr>
          <w:rFonts w:ascii="宋体" w:hAnsi="宋体" w:cs="宋体"/>
          <w:color w:val="auto"/>
          <w:sz w:val="24"/>
          <w:highlight w:val="none"/>
          <w:u w:val="none"/>
        </w:rPr>
        <w:t>(4）在施工过程中发生安全事故的，除按照国家、省、市规定进行处理外。若导致人员伤亡的，承包人按下列办法支付违约金：如发生死亡事故，死亡1人，支付20万元；死亡2人，支付40万元；死亡3人或以上，支付80万元。如发生重伤事故，重伤1人，支付10万元；重伤2人，支付20万元；重伤3人或以上，支付40万元。因承包人原因发生一般安全事故，未造成人员伤亡或造成人员轻伤及轻微财产损失的，每发生一次，承包人支付违约金5000元。</w:t>
      </w:r>
    </w:p>
    <w:p>
      <w:pPr>
        <w:spacing w:line="440" w:lineRule="exact"/>
        <w:ind w:firstLine="480" w:firstLineChars="200"/>
        <w:rPr>
          <w:rFonts w:ascii="宋体" w:hAnsi="宋体" w:cs="宋体"/>
          <w:color w:val="auto"/>
          <w:sz w:val="24"/>
          <w:highlight w:val="none"/>
          <w:u w:val="none"/>
        </w:rPr>
      </w:pPr>
      <w:r>
        <w:rPr>
          <w:rFonts w:hint="eastAsia" w:ascii="宋体" w:hAnsi="宋体" w:cs="宋体"/>
          <w:color w:val="auto"/>
          <w:sz w:val="24"/>
          <w:highlight w:val="none"/>
          <w:u w:val="none"/>
        </w:rPr>
        <w:t>（</w:t>
      </w:r>
      <w:r>
        <w:rPr>
          <w:rFonts w:ascii="宋体" w:hAnsi="宋体" w:cs="宋体"/>
          <w:color w:val="auto"/>
          <w:sz w:val="24"/>
          <w:highlight w:val="none"/>
          <w:u w:val="none"/>
        </w:rPr>
        <w:t>5)</w:t>
      </w:r>
      <w:r>
        <w:rPr>
          <w:rFonts w:hint="eastAsia" w:ascii="宋体" w:hAnsi="宋体" w:cs="宋体"/>
          <w:color w:val="auto"/>
          <w:sz w:val="24"/>
          <w:highlight w:val="none"/>
          <w:u w:val="none"/>
        </w:rPr>
        <w:t>在本工程余泥渣土清运施工和建筑垃圾排放运输时，承包人必须严格执行《广州市建筑废弃物管理条例（</w:t>
      </w:r>
      <w:r>
        <w:rPr>
          <w:rFonts w:ascii="宋体" w:hAnsi="宋体" w:cs="宋体"/>
          <w:color w:val="auto"/>
          <w:sz w:val="24"/>
          <w:highlight w:val="none"/>
          <w:u w:val="none"/>
        </w:rPr>
        <w:t>2015年修正本）》</w:t>
      </w:r>
      <w:r>
        <w:rPr>
          <w:rFonts w:hint="eastAsia" w:ascii="宋体" w:hAnsi="宋体" w:cs="宋体"/>
          <w:color w:val="auto"/>
          <w:sz w:val="24"/>
          <w:highlight w:val="none"/>
          <w:u w:val="none"/>
        </w:rPr>
        <w:t>、《广州市市容环境卫生管理规定》、《广州市建设工程现场文明施工管理办法》《关于加强施工现场余泥渣土排放管理工作的通知》（穗建筑【</w:t>
      </w:r>
      <w:r>
        <w:rPr>
          <w:rFonts w:ascii="宋体" w:hAnsi="宋体" w:cs="宋体"/>
          <w:color w:val="auto"/>
          <w:sz w:val="24"/>
          <w:highlight w:val="none"/>
          <w:u w:val="none"/>
        </w:rPr>
        <w:t>2008】60号）等广州市、黄埔区相关管理规定的标准和要求，保证落实“一不准进，三不准出”规定，办齐排放有关证照，雇请有合格准运证车辆和具备资质的运输企业，设立专职人员管理余泥渣土、建筑垃圾的运输工作，并对分包单位依法排放余泥渣土、建筑垃圾进行监管。承包人因违反本款约定所造成的一切责任后果全部由承包人承担。经发包人或相关部门检查发现承包人未执行本款约定的，每发现一次，承包人支付5000元违约金。同时，发包人将根据承包人违反余泥渣土运输管理有关规定而造成的不良后果的严重程度，上报区建设行政主管部门进行处理。</w:t>
      </w:r>
    </w:p>
    <w:p>
      <w:pPr>
        <w:spacing w:line="440" w:lineRule="exact"/>
        <w:ind w:firstLine="480" w:firstLineChars="200"/>
        <w:rPr>
          <w:rFonts w:ascii="宋体" w:hAnsi="宋体" w:cs="宋体"/>
          <w:color w:val="auto"/>
          <w:sz w:val="24"/>
          <w:highlight w:val="none"/>
          <w:u w:val="none"/>
        </w:rPr>
      </w:pPr>
      <w:r>
        <w:rPr>
          <w:rFonts w:hint="eastAsia" w:ascii="宋体" w:hAnsi="宋体" w:cs="宋体"/>
          <w:color w:val="auto"/>
          <w:sz w:val="24"/>
          <w:highlight w:val="none"/>
          <w:u w:val="none"/>
        </w:rPr>
        <w:t>（</w:t>
      </w:r>
      <w:r>
        <w:rPr>
          <w:rFonts w:ascii="宋体" w:hAnsi="宋体" w:cs="宋体"/>
          <w:color w:val="auto"/>
          <w:sz w:val="24"/>
          <w:highlight w:val="none"/>
          <w:u w:val="none"/>
        </w:rPr>
        <w:t>6）经发包人或监理单位抽查发现承包人违反合同专用条款的约定，其技术管理人员或施工作业人员没有佩带平安卡的，承包人按每人次1000元的标准向发包人支付违约金并立即改正。</w:t>
      </w:r>
    </w:p>
    <w:p>
      <w:pPr>
        <w:adjustRightInd w:val="0"/>
        <w:snapToGrid w:val="0"/>
        <w:spacing w:line="440" w:lineRule="exact"/>
        <w:ind w:right="11" w:firstLine="480" w:firstLineChars="200"/>
        <w:rPr>
          <w:rFonts w:ascii="宋体" w:hAnsi="宋体" w:cs="宋体"/>
          <w:color w:val="auto"/>
          <w:sz w:val="24"/>
          <w:highlight w:val="none"/>
          <w:u w:val="none"/>
        </w:rPr>
      </w:pPr>
      <w:r>
        <w:rPr>
          <w:rFonts w:ascii="宋体" w:hAnsi="宋体" w:cs="宋体"/>
          <w:color w:val="auto"/>
          <w:sz w:val="24"/>
          <w:highlight w:val="none"/>
        </w:rPr>
        <w:t>35.2.3</w:t>
      </w:r>
      <w:r>
        <w:rPr>
          <w:rFonts w:hint="eastAsia" w:ascii="宋体" w:hAnsi="宋体" w:cs="宋体"/>
          <w:color w:val="auto"/>
          <w:sz w:val="24"/>
          <w:highlight w:val="none"/>
          <w:u w:val="none"/>
        </w:rPr>
        <w:t>工程质量方面的违约责任</w:t>
      </w:r>
    </w:p>
    <w:p>
      <w:pPr>
        <w:numPr>
          <w:ilvl w:val="0"/>
          <w:numId w:val="4"/>
        </w:numPr>
        <w:spacing w:line="440" w:lineRule="exact"/>
        <w:ind w:firstLine="480" w:firstLineChars="200"/>
        <w:rPr>
          <w:rFonts w:ascii="宋体" w:hAnsi="宋体" w:cs="宋体"/>
          <w:color w:val="auto"/>
          <w:sz w:val="24"/>
          <w:highlight w:val="none"/>
          <w:u w:val="none"/>
        </w:rPr>
      </w:pPr>
      <w:r>
        <w:rPr>
          <w:rFonts w:hint="eastAsia" w:ascii="宋体" w:hAnsi="宋体" w:cs="宋体"/>
          <w:color w:val="auto"/>
          <w:sz w:val="24"/>
          <w:highlight w:val="none"/>
          <w:u w:val="none"/>
        </w:rPr>
        <w:t>承包人必须保证用于本合同工程所有的材料设备的品牌、型号、规格、质量等符合本合同及招投标文件的要求，严禁假冒伪劣产品，严禁以次充好，严禁未经发包人批准即以其他产品（包括承包人的产品）顶替本合同及招投标文件中规定的产品。承包人在施工中偷工减料、使用不合格的建筑材料、建筑构配件或设备、不按照工程设计图纸、施工技术标准施工，或者未对建筑材料、建筑构配件、设备、商品混凝土进行检验，或者未对涉及结构安全的试块、试件以及有关材料取样送检的，应负责无偿修理或返工，并应支付合同价款百分之二的违约金给发包人。</w:t>
      </w:r>
    </w:p>
    <w:p>
      <w:pPr>
        <w:spacing w:line="44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eastAsia="zh-CN"/>
        </w:rPr>
        <w:t>2</w:t>
      </w:r>
      <w:r>
        <w:rPr>
          <w:rFonts w:ascii="宋体" w:hAnsi="宋体" w:cs="宋体"/>
          <w:color w:val="auto"/>
          <w:sz w:val="24"/>
          <w:highlight w:val="none"/>
        </w:rPr>
        <w:t>）承包人在缺陷责任期内，未能对工程接收证书所列的缺陷清单的内容或缺陷责任期内发生的缺陷进行修复，而又拒绝按监理人指示再进行修复，发包人可委托其他单位修复，所需费用由承包人承担，发包人可在工程质量保修金中抵扣，保修金不足抵扣的，由承包人另行支付。</w:t>
      </w:r>
    </w:p>
    <w:p>
      <w:pPr>
        <w:snapToGrid w:val="0"/>
        <w:spacing w:line="440" w:lineRule="exact"/>
        <w:ind w:firstLine="48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ascii="宋体" w:hAnsi="宋体" w:cs="宋体"/>
          <w:color w:val="auto"/>
          <w:sz w:val="24"/>
          <w:highlight w:val="none"/>
        </w:rPr>
        <w:t>）对施工质量问题存在争议，应请国家认可的第三方机构出具检测报告，检测费用由责任方承担。</w:t>
      </w:r>
    </w:p>
    <w:p>
      <w:pPr>
        <w:adjustRightInd w:val="0"/>
        <w:spacing w:line="440" w:lineRule="exact"/>
        <w:ind w:right="11" w:firstLine="480" w:firstLineChars="200"/>
        <w:rPr>
          <w:rFonts w:ascii="宋体" w:hAnsi="宋体" w:cs="宋体"/>
          <w:color w:val="auto"/>
          <w:sz w:val="24"/>
          <w:highlight w:val="none"/>
          <w:u w:val="none"/>
        </w:rPr>
      </w:pPr>
      <w:r>
        <w:rPr>
          <w:rFonts w:ascii="宋体" w:hAnsi="宋体" w:cs="宋体"/>
          <w:color w:val="auto"/>
          <w:sz w:val="24"/>
          <w:highlight w:val="none"/>
          <w:u w:val="none"/>
        </w:rPr>
        <w:t>35.2.4关于第三方质量安全评估的违约责任：</w:t>
      </w:r>
    </w:p>
    <w:p>
      <w:pPr>
        <w:adjustRightInd w:val="0"/>
        <w:spacing w:line="440" w:lineRule="exact"/>
        <w:ind w:right="11" w:firstLine="480" w:firstLineChars="200"/>
        <w:rPr>
          <w:rFonts w:ascii="宋体" w:hAnsi="宋体" w:cs="宋体"/>
          <w:color w:val="auto"/>
          <w:sz w:val="24"/>
          <w:highlight w:val="none"/>
          <w:u w:val="none"/>
        </w:rPr>
      </w:pPr>
      <w:r>
        <w:rPr>
          <w:rFonts w:hint="eastAsia" w:ascii="宋体" w:hAnsi="宋体" w:cs="宋体"/>
          <w:color w:val="auto"/>
          <w:sz w:val="24"/>
          <w:highlight w:val="none"/>
          <w:u w:val="none"/>
        </w:rPr>
        <w:t>承包人应严格遵守中心制定的建设工程第三方质量安全评估服务相关管理办法，配合完成第三方质量安全评估工作。根据每次评估结果，经评估确定为一般违约情况的，承包人每次应支付</w:t>
      </w:r>
      <w:r>
        <w:rPr>
          <w:rFonts w:ascii="宋体" w:hAnsi="宋体" w:cs="宋体"/>
          <w:color w:val="auto"/>
          <w:sz w:val="24"/>
          <w:highlight w:val="none"/>
          <w:u w:val="none"/>
        </w:rPr>
        <w:t>10000元违约金给发包人；经评估确定为严重违约情况的，承包人每次应支付50000元违约金给发包人。</w:t>
      </w:r>
    </w:p>
    <w:p>
      <w:pPr>
        <w:spacing w:line="440" w:lineRule="exact"/>
        <w:ind w:firstLine="480" w:firstLineChars="200"/>
        <w:rPr>
          <w:rFonts w:ascii="宋体" w:hAnsi="宋体" w:cs="宋体"/>
          <w:color w:val="auto"/>
          <w:sz w:val="24"/>
          <w:highlight w:val="none"/>
          <w:u w:val="none"/>
        </w:rPr>
      </w:pPr>
      <w:r>
        <w:rPr>
          <w:rFonts w:ascii="宋体" w:hAnsi="宋体" w:cs="宋体"/>
          <w:color w:val="auto"/>
          <w:sz w:val="24"/>
          <w:highlight w:val="none"/>
        </w:rPr>
        <w:t>35.2.5</w:t>
      </w:r>
      <w:r>
        <w:rPr>
          <w:rFonts w:hint="eastAsia" w:ascii="宋体" w:hAnsi="宋体" w:cs="宋体"/>
          <w:color w:val="auto"/>
          <w:sz w:val="24"/>
          <w:highlight w:val="none"/>
          <w:u w:val="none"/>
        </w:rPr>
        <w:t>关于农民工工资支付的违约责任</w:t>
      </w:r>
    </w:p>
    <w:p>
      <w:pPr>
        <w:adjustRightInd w:val="0"/>
        <w:spacing w:line="440" w:lineRule="exact"/>
        <w:ind w:right="11" w:firstLine="480" w:firstLineChars="200"/>
        <w:rPr>
          <w:rFonts w:ascii="宋体" w:hAnsi="宋体" w:cs="宋体"/>
          <w:color w:val="auto"/>
          <w:sz w:val="24"/>
          <w:highlight w:val="none"/>
          <w:u w:val="none"/>
        </w:rPr>
      </w:pPr>
      <w:r>
        <w:rPr>
          <w:rFonts w:hint="eastAsia" w:ascii="宋体" w:hAnsi="宋体" w:cs="宋体"/>
          <w:color w:val="auto"/>
          <w:sz w:val="24"/>
          <w:highlight w:val="none"/>
          <w:u w:val="none"/>
        </w:rPr>
        <w:t>承包人拖欠农民工工资（含代发的分包单位工人工资），被农民工投诉属实的，承包人必须在</w:t>
      </w:r>
      <w:r>
        <w:rPr>
          <w:rFonts w:ascii="宋体" w:hAnsi="宋体" w:cs="宋体"/>
          <w:color w:val="auto"/>
          <w:sz w:val="24"/>
          <w:highlight w:val="none"/>
          <w:u w:val="none"/>
        </w:rPr>
        <w:t>3天内发放拖欠的款项。若继续拖延被投诉2次及以上，经查实，承包人除应立即支付拖欠款项外，还应支付10000违约金给发包人。因承包人拖欠农民工工资，导致农民工采取停工、集聚围阻发包人办公地点甚至政府办公部门等过激行动的，承包人应支付50000元违约金，并立即采取切实有效措施予以整改；拒不采取切实有效措施整改的，或整改效果不明显的，发包人可用承包人工程款垫付。若承包人在本工程内发生无故拖欠农民工工资现象，将被作不良记录，上报区建设行政主管部门。</w:t>
      </w:r>
    </w:p>
    <w:p>
      <w:pPr>
        <w:pStyle w:val="57"/>
        <w:snapToGrid w:val="0"/>
        <w:spacing w:line="440" w:lineRule="exact"/>
        <w:ind w:firstLine="397"/>
        <w:rPr>
          <w:rFonts w:ascii="宋体" w:hAnsi="宋体" w:cs="宋体"/>
          <w:color w:val="auto"/>
          <w:sz w:val="24"/>
          <w:highlight w:val="none"/>
          <w:u w:val="none"/>
        </w:rPr>
      </w:pPr>
      <w:r>
        <w:rPr>
          <w:rFonts w:ascii="宋体" w:hAnsi="宋体" w:cs="宋体"/>
          <w:color w:val="auto"/>
          <w:sz w:val="24"/>
          <w:highlight w:val="none"/>
        </w:rPr>
        <w:t>35.2.6</w:t>
      </w:r>
      <w:r>
        <w:rPr>
          <w:rFonts w:hint="eastAsia" w:ascii="宋体" w:hAnsi="宋体" w:cs="宋体"/>
          <w:color w:val="auto"/>
          <w:sz w:val="24"/>
          <w:highlight w:val="none"/>
          <w:u w:val="none"/>
        </w:rPr>
        <w:t>项目管理机构人员、机械设备、劳动力到位方面的违约责任：</w:t>
      </w:r>
    </w:p>
    <w:p>
      <w:pPr>
        <w:pStyle w:val="57"/>
        <w:numPr>
          <w:ilvl w:val="0"/>
          <w:numId w:val="5"/>
        </w:numPr>
        <w:snapToGrid w:val="0"/>
        <w:spacing w:line="440" w:lineRule="exact"/>
        <w:ind w:firstLine="397"/>
        <w:rPr>
          <w:rFonts w:ascii="宋体" w:hAnsi="宋体" w:cs="宋体"/>
          <w:color w:val="auto"/>
          <w:sz w:val="24"/>
          <w:highlight w:val="none"/>
          <w:u w:val="none"/>
        </w:rPr>
      </w:pPr>
      <w:r>
        <w:rPr>
          <w:rFonts w:hint="eastAsia" w:ascii="宋体" w:hAnsi="宋体" w:cs="宋体"/>
          <w:color w:val="auto"/>
          <w:sz w:val="24"/>
          <w:highlight w:val="none"/>
          <w:u w:val="none"/>
        </w:rPr>
        <w:t>承包人必须保证投标文件中确定的项目负责人及其项目技术负责人、主要施工管理人员能及时地、始终地参与本工程施工管理，在未征得发包人书面同意之前不得更换。如未征得发包人书面同意，擅自更换项目负责人或项目技术负责人的，承包人每更换一人次，需支付</w:t>
      </w:r>
      <w:r>
        <w:rPr>
          <w:rFonts w:ascii="宋体" w:hAnsi="宋体" w:cs="宋体"/>
          <w:color w:val="auto"/>
          <w:sz w:val="24"/>
          <w:highlight w:val="none"/>
          <w:u w:val="none"/>
        </w:rPr>
        <w:t>50000元违约金给发包人，擅自更换主要施工管理人员的，每更换一人次，承包人需支付30000元违约金给发包人。但征得发包人书面同意更换或因发包人按本协议要求更换仍需支付违约金，具体为：更换项目负责人或项目技术负责人的，承包人每更换一人次，需支付30000元违约金给发包人，更换主要施工管理人员的，每更换一人次，承包人需支付10000元违约金给发包人</w:t>
      </w:r>
      <w:r>
        <w:rPr>
          <w:rFonts w:hint="eastAsia" w:ascii="宋体" w:hAnsi="宋体" w:cs="宋体"/>
          <w:color w:val="auto"/>
          <w:sz w:val="24"/>
          <w:highlight w:val="none"/>
          <w:u w:val="none"/>
        </w:rPr>
        <w:t>。</w:t>
      </w:r>
    </w:p>
    <w:p>
      <w:pPr>
        <w:pStyle w:val="57"/>
        <w:snapToGrid w:val="0"/>
        <w:spacing w:line="440" w:lineRule="exact"/>
        <w:ind w:firstLine="480" w:firstLineChars="200"/>
        <w:rPr>
          <w:rFonts w:ascii="宋体" w:hAnsi="宋体" w:cs="宋体"/>
          <w:color w:val="auto"/>
          <w:sz w:val="24"/>
          <w:highlight w:val="none"/>
          <w:u w:val="none"/>
        </w:rPr>
      </w:pPr>
      <w:r>
        <w:rPr>
          <w:rFonts w:hint="eastAsia" w:ascii="宋体" w:hAnsi="宋体" w:cs="宋体"/>
          <w:color w:val="auto"/>
          <w:sz w:val="24"/>
          <w:highlight w:val="none"/>
        </w:rPr>
        <w:t>（2）</w:t>
      </w:r>
      <w:r>
        <w:rPr>
          <w:rFonts w:hint="eastAsia" w:ascii="宋体" w:hAnsi="宋体" w:cs="宋体"/>
          <w:color w:val="auto"/>
          <w:sz w:val="24"/>
          <w:highlight w:val="none"/>
          <w:u w:val="none"/>
        </w:rPr>
        <w:t>如果承包人未按投标文件中的《拟投入本工程施工的主要机械设备配备表》投入机械设备，经监理工程师或发包人代表检查发现的，将书面告知限期整改，未在限期内完成整改的，每延期一天，承包人需支付</w:t>
      </w:r>
      <w:r>
        <w:rPr>
          <w:rFonts w:ascii="宋体" w:hAnsi="宋体" w:cs="宋体"/>
          <w:color w:val="auto"/>
          <w:sz w:val="24"/>
          <w:highlight w:val="none"/>
          <w:u w:val="none"/>
        </w:rPr>
        <w:t>10000元违约金给发包人。且承包人应按照本合同相关约定投入相应比例的新能源工程车，否则发包人有权要求其限期整改，逾期不整改的，每缺少提供一台，承包人支付违约金20000元/台。</w:t>
      </w:r>
    </w:p>
    <w:p>
      <w:pPr>
        <w:pStyle w:val="57"/>
        <w:snapToGrid w:val="0"/>
        <w:spacing w:line="440" w:lineRule="exact"/>
        <w:ind w:firstLine="480" w:firstLineChars="200"/>
        <w:rPr>
          <w:rFonts w:ascii="宋体" w:hAnsi="宋体" w:cs="宋体"/>
          <w:color w:val="auto"/>
          <w:sz w:val="24"/>
          <w:highlight w:val="none"/>
          <w:u w:val="none"/>
        </w:rPr>
      </w:pPr>
      <w:r>
        <w:rPr>
          <w:rFonts w:hint="eastAsia" w:ascii="宋体" w:hAnsi="宋体" w:cs="宋体"/>
          <w:color w:val="auto"/>
          <w:sz w:val="24"/>
          <w:highlight w:val="none"/>
          <w:u w:val="none"/>
        </w:rPr>
        <w:t>（</w:t>
      </w:r>
      <w:r>
        <w:rPr>
          <w:rFonts w:ascii="宋体" w:hAnsi="宋体" w:cs="宋体"/>
          <w:color w:val="auto"/>
          <w:sz w:val="24"/>
          <w:highlight w:val="none"/>
          <w:u w:val="none"/>
        </w:rPr>
        <w:t>3）如果承包人未投标文件中的人力投入计划投入人力，经监理工程师和发包人代表检查发现的，每发现一次，承包人支付10000元违约金给发包人。</w:t>
      </w:r>
    </w:p>
    <w:p>
      <w:pPr>
        <w:pStyle w:val="57"/>
        <w:snapToGrid w:val="0"/>
        <w:spacing w:line="440" w:lineRule="exact"/>
        <w:ind w:firstLine="480" w:firstLineChars="200"/>
        <w:rPr>
          <w:rFonts w:ascii="宋体" w:hAnsi="宋体" w:cs="宋体"/>
          <w:color w:val="auto"/>
          <w:sz w:val="24"/>
          <w:highlight w:val="none"/>
          <w:u w:val="none"/>
        </w:rPr>
      </w:pPr>
      <w:r>
        <w:rPr>
          <w:rFonts w:hint="eastAsia" w:ascii="宋体" w:hAnsi="宋体" w:cs="宋体"/>
          <w:color w:val="auto"/>
          <w:sz w:val="24"/>
          <w:highlight w:val="none"/>
          <w:u w:val="none"/>
        </w:rPr>
        <w:t>（</w:t>
      </w:r>
      <w:r>
        <w:rPr>
          <w:rFonts w:ascii="宋体" w:hAnsi="宋体" w:cs="宋体"/>
          <w:color w:val="auto"/>
          <w:sz w:val="24"/>
          <w:highlight w:val="none"/>
          <w:u w:val="none"/>
        </w:rPr>
        <w:t>4）如果检查发现承包人超过三次未按承诺投入的人力、机械、物力组织施工，发包人将作为不良纪录报区建设行政主管部门备案。如果检查发现承包人没有按施工组织设计的进度安排推进工程建设，使主要工序的工期延误超过10天，没有按发包人的意见撤换现场负责人；或者按发包人的意见撤换现场负责人后，仍然无法有效控制工程进度，承包人除需按本条第（1）项支付违约金外，发包人将发出书面警告，警告发出后15天内，主要工序的工期延误仍然超过10天，发包人将作为不良纪录报区建设行政主管部门备案。对此，承包人不得有异议。</w:t>
      </w:r>
    </w:p>
    <w:p>
      <w:pPr>
        <w:pStyle w:val="57"/>
        <w:snapToGrid w:val="0"/>
        <w:spacing w:line="440" w:lineRule="exact"/>
        <w:ind w:firstLine="397"/>
        <w:rPr>
          <w:rFonts w:ascii="宋体" w:hAnsi="宋体" w:cs="宋体"/>
          <w:color w:val="auto"/>
          <w:sz w:val="24"/>
          <w:highlight w:val="none"/>
          <w:u w:val="none"/>
        </w:rPr>
      </w:pPr>
      <w:r>
        <w:rPr>
          <w:rFonts w:hint="eastAsia" w:ascii="宋体" w:hAnsi="宋体" w:cs="宋体"/>
          <w:color w:val="auto"/>
          <w:sz w:val="24"/>
          <w:highlight w:val="none"/>
          <w:u w:val="none"/>
        </w:rPr>
        <w:t>（</w:t>
      </w:r>
      <w:r>
        <w:rPr>
          <w:rFonts w:ascii="宋体" w:hAnsi="宋体" w:cs="宋体"/>
          <w:color w:val="auto"/>
          <w:sz w:val="24"/>
          <w:highlight w:val="none"/>
          <w:u w:val="none"/>
        </w:rPr>
        <w:t>5）承包人的项目负责人、技术负责人、安全负责人、质量负责人、防火负责人等必须常驻施工现场，且须无条件参加每周的工地例会以及发包人书面通知的其它会议，如有缺席，则每人每缺席一次，承包人需支付5000元人民币违约金。</w:t>
      </w:r>
    </w:p>
    <w:p>
      <w:pPr>
        <w:spacing w:line="440" w:lineRule="exact"/>
        <w:rPr>
          <w:rFonts w:ascii="宋体" w:hAnsi="宋体" w:cs="宋体"/>
          <w:color w:val="auto"/>
          <w:sz w:val="24"/>
          <w:highlight w:val="none"/>
          <w:u w:val="none"/>
        </w:rPr>
      </w:pPr>
      <w:r>
        <w:rPr>
          <w:rFonts w:ascii="宋体" w:hAnsi="宋体" w:cs="宋体"/>
          <w:color w:val="auto"/>
          <w:sz w:val="24"/>
          <w:highlight w:val="none"/>
        </w:rPr>
        <w:t xml:space="preserve">    35.2.7</w:t>
      </w:r>
      <w:r>
        <w:rPr>
          <w:rFonts w:hint="eastAsia" w:ascii="宋体" w:hAnsi="宋体" w:cs="宋体"/>
          <w:color w:val="auto"/>
          <w:sz w:val="24"/>
          <w:highlight w:val="none"/>
          <w:u w:val="none"/>
        </w:rPr>
        <w:t>工程转包违约责任</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在本工程中有转包、转让、出借资质证书或者以其他方式允许他人以本企业的名义承揽工程的，发包人将解除合同，承包人按合同价的10%承担违约金。因此导致发包人损失超出违约金的部分，承包人应负责赔偿。</w:t>
      </w:r>
    </w:p>
    <w:p>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合同约定的工程项目承包人不得转包，必须分包的少量子项工程和专业工程，承包人应按招标文件、投标文件要求向小微企业工程分包（分包意向协议约定小微企业的合同份额占到合同总金额</w:t>
      </w:r>
      <w:r>
        <w:rPr>
          <w:rFonts w:ascii="宋体" w:hAnsi="宋体" w:cs="宋体"/>
          <w:color w:val="auto"/>
          <w:sz w:val="24"/>
          <w:highlight w:val="none"/>
          <w:u w:val="single"/>
        </w:rPr>
        <w:t>30%以上的</w:t>
      </w:r>
      <w:r>
        <w:rPr>
          <w:rFonts w:hint="eastAsia" w:ascii="宋体" w:hAnsi="宋体" w:cs="宋体"/>
          <w:color w:val="auto"/>
          <w:sz w:val="24"/>
          <w:highlight w:val="none"/>
          <w:u w:val="single"/>
        </w:rPr>
        <w:t>）。并事先需取得监理人、发包人的审查同意后方可进场施工。否则，发包人有权单方面终止合同，并令其立即退场，工程项目另行处理，承包人还应按履约担保金额支付违约金，发包人的损失超过履约担保金额的部分，承包人还应承担赔偿责任。发包人有权将承包人列入黑名单，拒绝承包人在一年内参与发包人后续项目投标，且发包人将上报建设主管部门，对承包人违法行为进行处罚。</w:t>
      </w:r>
    </w:p>
    <w:p>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35.2.8</w:t>
      </w:r>
      <w:r>
        <w:rPr>
          <w:rFonts w:hint="eastAsia" w:ascii="宋体" w:hAnsi="宋体" w:cs="宋体"/>
          <w:color w:val="auto"/>
          <w:sz w:val="24"/>
          <w:highlight w:val="none"/>
        </w:rPr>
        <w:t>解除合同的违约责任</w:t>
      </w:r>
    </w:p>
    <w:p>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35.2.8.1</w:t>
      </w:r>
      <w:r>
        <w:rPr>
          <w:rFonts w:hint="eastAsia" w:ascii="宋体" w:hAnsi="宋体" w:cs="宋体"/>
          <w:color w:val="auto"/>
          <w:sz w:val="24"/>
          <w:highlight w:val="none"/>
        </w:rPr>
        <w:t>因承包人严重违约，发包人单方面解除合同或承包人违约擅自解除合同的，承包人应向发包人支付本合同价款</w:t>
      </w:r>
      <w:r>
        <w:rPr>
          <w:rFonts w:ascii="宋体" w:hAnsi="宋体" w:cs="宋体"/>
          <w:color w:val="auto"/>
          <w:sz w:val="24"/>
          <w:highlight w:val="none"/>
        </w:rPr>
        <w:t>10%</w:t>
      </w:r>
      <w:r>
        <w:rPr>
          <w:rFonts w:hint="eastAsia" w:ascii="宋体" w:hAnsi="宋体" w:cs="宋体"/>
          <w:color w:val="auto"/>
          <w:sz w:val="24"/>
          <w:highlight w:val="none"/>
        </w:rPr>
        <w:t>的违约金，因解除合同导致发包人的损失超过违约金的部分，承包人还应承担赔偿责任。合同解除后，承包人应妥善做好已完工程和已购材料、设备的保护和移交工作。发包人可派员进驻施工场地，另行组织人员或委托其他承包人施工。发包人因继续完成该工程的需要，有权扣留使用承包人在现场的材料、设备和临时设施，也可要求承包人自行将自有机械设备和人员撤出施工场地，但发包人的这一行为不免除承包人应承担的违约责任，也不影响发包人根据合同约定享有的索赔权利。</w:t>
      </w:r>
    </w:p>
    <w:p>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35.2.8.2</w:t>
      </w:r>
      <w:r>
        <w:rPr>
          <w:rFonts w:hint="eastAsia" w:ascii="宋体" w:hAnsi="宋体" w:cs="宋体"/>
          <w:color w:val="auto"/>
          <w:sz w:val="24"/>
          <w:highlight w:val="none"/>
        </w:rPr>
        <w:t>不适用通用条款</w:t>
      </w:r>
      <w:r>
        <w:rPr>
          <w:rFonts w:ascii="宋体" w:hAnsi="宋体" w:cs="宋体"/>
          <w:color w:val="auto"/>
          <w:sz w:val="24"/>
          <w:highlight w:val="none"/>
        </w:rPr>
        <w:t>44.6</w:t>
      </w:r>
      <w:r>
        <w:rPr>
          <w:rFonts w:hint="eastAsia" w:ascii="宋体" w:hAnsi="宋体" w:cs="宋体"/>
          <w:color w:val="auto"/>
          <w:sz w:val="24"/>
          <w:highlight w:val="none"/>
        </w:rPr>
        <w:t>条的约定。</w:t>
      </w:r>
    </w:p>
    <w:p>
      <w:pPr>
        <w:pStyle w:val="107"/>
        <w:tabs>
          <w:tab w:val="left" w:pos="8280"/>
        </w:tabs>
        <w:spacing w:line="440" w:lineRule="exact"/>
        <w:ind w:right="28" w:firstLine="480" w:firstLineChars="200"/>
        <w:rPr>
          <w:rFonts w:ascii="宋体" w:hAnsi="宋体" w:cs="宋体"/>
          <w:bCs/>
          <w:snapToGrid w:val="0"/>
          <w:color w:val="auto"/>
          <w:kern w:val="0"/>
          <w:sz w:val="24"/>
          <w:highlight w:val="none"/>
          <w:u w:val="none"/>
        </w:rPr>
      </w:pPr>
      <w:r>
        <w:rPr>
          <w:rFonts w:ascii="宋体" w:hAnsi="宋体" w:cs="宋体"/>
          <w:bCs/>
          <w:snapToGrid w:val="0"/>
          <w:color w:val="auto"/>
          <w:kern w:val="0"/>
          <w:sz w:val="24"/>
          <w:highlight w:val="none"/>
        </w:rPr>
        <w:t>35.2.9</w:t>
      </w:r>
      <w:r>
        <w:rPr>
          <w:rFonts w:hint="eastAsia" w:ascii="宋体" w:hAnsi="宋体" w:cs="宋体"/>
          <w:bCs/>
          <w:snapToGrid w:val="0"/>
          <w:color w:val="auto"/>
          <w:kern w:val="0"/>
          <w:sz w:val="24"/>
          <w:highlight w:val="none"/>
          <w:u w:val="none"/>
        </w:rPr>
        <w:t>办理结算的违约责任：</w:t>
      </w:r>
    </w:p>
    <w:p>
      <w:pPr>
        <w:pStyle w:val="107"/>
        <w:tabs>
          <w:tab w:val="left" w:pos="8280"/>
        </w:tabs>
        <w:spacing w:line="440" w:lineRule="exact"/>
        <w:ind w:right="28" w:firstLine="480" w:firstLineChars="200"/>
        <w:rPr>
          <w:rFonts w:ascii="宋体" w:hAnsi="宋体" w:cs="宋体"/>
          <w:bCs/>
          <w:snapToGrid w:val="0"/>
          <w:color w:val="auto"/>
          <w:kern w:val="0"/>
          <w:sz w:val="24"/>
          <w:highlight w:val="none"/>
          <w:u w:val="none"/>
        </w:rPr>
      </w:pPr>
      <w:r>
        <w:rPr>
          <w:rFonts w:hint="eastAsia" w:ascii="宋体" w:hAnsi="宋体" w:cs="宋体"/>
          <w:bCs/>
          <w:snapToGrid w:val="0"/>
          <w:color w:val="auto"/>
          <w:kern w:val="0"/>
          <w:sz w:val="24"/>
          <w:highlight w:val="none"/>
          <w:u w:val="none"/>
        </w:rPr>
        <w:t>承包人不执行</w:t>
      </w:r>
      <w:r>
        <w:rPr>
          <w:rFonts w:hint="eastAsia" w:ascii="宋体" w:hAnsi="宋体" w:cs="宋体"/>
          <w:color w:val="auto"/>
          <w:sz w:val="24"/>
          <w:highlight w:val="none"/>
          <w:u w:val="single"/>
        </w:rPr>
        <w:t>《广州开发区财政投资建设项目管理中心施工类合同结算编审指引（2024年修订稿）》（穗开建管【2024】65号）</w:t>
      </w:r>
      <w:r>
        <w:rPr>
          <w:rFonts w:hint="eastAsia" w:ascii="宋体" w:hAnsi="宋体" w:cs="宋体"/>
          <w:bCs/>
          <w:snapToGrid w:val="0"/>
          <w:color w:val="auto"/>
          <w:kern w:val="0"/>
          <w:sz w:val="24"/>
          <w:highlight w:val="none"/>
          <w:u w:val="none"/>
        </w:rPr>
        <w:t>有关规定的，须按该指引有关规定承担违约责任。</w:t>
      </w:r>
    </w:p>
    <w:p>
      <w:pPr>
        <w:spacing w:line="440" w:lineRule="exact"/>
        <w:ind w:firstLine="480" w:firstLineChars="200"/>
        <w:rPr>
          <w:rFonts w:ascii="宋体" w:hAnsi="宋体" w:cs="宋体"/>
          <w:color w:val="auto"/>
          <w:sz w:val="24"/>
          <w:highlight w:val="none"/>
          <w:u w:val="none"/>
        </w:rPr>
      </w:pPr>
      <w:r>
        <w:rPr>
          <w:rFonts w:ascii="宋体" w:hAnsi="宋体" w:cs="宋体"/>
          <w:color w:val="auto"/>
          <w:sz w:val="24"/>
          <w:highlight w:val="none"/>
        </w:rPr>
        <w:t>35.2.10</w:t>
      </w:r>
      <w:r>
        <w:rPr>
          <w:rFonts w:ascii="宋体" w:hAnsi="宋体" w:cs="宋体"/>
          <w:color w:val="auto"/>
          <w:sz w:val="24"/>
          <w:highlight w:val="none"/>
          <w:u w:val="none"/>
        </w:rPr>
        <w:t xml:space="preserve"> 除上述违约责任外，因承包人履行本合同不符合约定或相关规定，发包人可根据实际情况，给予承包人通报批评及作不良记录等处罚措施；情节严重的，可报请上级行政主管部门给予相应处罚。</w:t>
      </w:r>
    </w:p>
    <w:p>
      <w:pPr>
        <w:adjustRightInd w:val="0"/>
        <w:snapToGrid w:val="0"/>
        <w:spacing w:line="440" w:lineRule="exact"/>
        <w:ind w:firstLine="480" w:firstLineChars="200"/>
        <w:outlineLvl w:val="3"/>
        <w:rPr>
          <w:rFonts w:ascii="宋体" w:hAnsi="宋体" w:cs="宋体"/>
          <w:color w:val="auto"/>
          <w:sz w:val="24"/>
          <w:highlight w:val="none"/>
        </w:rPr>
      </w:pPr>
      <w:r>
        <w:rPr>
          <w:rFonts w:ascii="宋体" w:hAnsi="宋体" w:cs="宋体"/>
          <w:color w:val="auto"/>
          <w:sz w:val="24"/>
          <w:highlight w:val="none"/>
        </w:rPr>
        <w:t>35.2.11</w:t>
      </w:r>
      <w:r>
        <w:rPr>
          <w:rFonts w:hint="eastAsia" w:ascii="宋体" w:hAnsi="宋体" w:cs="宋体"/>
          <w:color w:val="auto"/>
          <w:sz w:val="24"/>
          <w:highlight w:val="none"/>
        </w:rPr>
        <w:t>承包人违约责任的认定方式、送达程序及违约金的处理</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1）认定方式：以发包人发出的通知、通报、会议纪要等书面文件确定的内容为准。</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2）送达程序：发包人以下列方式之一将书面违约处理决定送达承包人：</w:t>
      </w:r>
    </w:p>
    <w:p>
      <w:pPr>
        <w:adjustRightInd w:val="0"/>
        <w:snapToGrid w:val="0"/>
        <w:spacing w:line="440" w:lineRule="exact"/>
        <w:ind w:firstLine="720" w:firstLineChars="300"/>
        <w:rPr>
          <w:rFonts w:ascii="宋体" w:hAnsi="宋体" w:cs="宋体"/>
          <w:color w:val="auto"/>
          <w:sz w:val="24"/>
          <w:highlight w:val="none"/>
        </w:rPr>
      </w:pPr>
      <w:r>
        <w:rPr>
          <w:rFonts w:ascii="宋体" w:hAnsi="宋体" w:cs="宋体"/>
          <w:color w:val="auto"/>
          <w:sz w:val="24"/>
          <w:highlight w:val="none"/>
        </w:rPr>
        <w:t>1）承包人现场管理机构工作人员签收。</w:t>
      </w:r>
    </w:p>
    <w:p>
      <w:pPr>
        <w:adjustRightInd w:val="0"/>
        <w:snapToGrid w:val="0"/>
        <w:spacing w:line="440" w:lineRule="exact"/>
        <w:ind w:firstLine="720" w:firstLineChars="300"/>
        <w:rPr>
          <w:rFonts w:ascii="宋体" w:hAnsi="宋体" w:cs="宋体"/>
          <w:color w:val="auto"/>
          <w:sz w:val="24"/>
          <w:highlight w:val="none"/>
        </w:rPr>
      </w:pPr>
      <w:r>
        <w:rPr>
          <w:rFonts w:ascii="宋体" w:hAnsi="宋体" w:cs="宋体"/>
          <w:color w:val="auto"/>
          <w:sz w:val="24"/>
          <w:highlight w:val="none"/>
        </w:rPr>
        <w:t>2）承包人其他工作人员签收。</w:t>
      </w:r>
    </w:p>
    <w:p>
      <w:pPr>
        <w:adjustRightInd w:val="0"/>
        <w:snapToGrid w:val="0"/>
        <w:spacing w:line="440" w:lineRule="exact"/>
        <w:ind w:firstLine="720" w:firstLineChars="300"/>
        <w:rPr>
          <w:rFonts w:ascii="宋体" w:hAnsi="宋体" w:cs="宋体"/>
          <w:color w:val="auto"/>
          <w:sz w:val="24"/>
          <w:highlight w:val="none"/>
        </w:rPr>
      </w:pPr>
      <w:r>
        <w:rPr>
          <w:rFonts w:ascii="宋体" w:hAnsi="宋体" w:cs="宋体"/>
          <w:color w:val="auto"/>
          <w:sz w:val="24"/>
          <w:highlight w:val="none"/>
        </w:rPr>
        <w:t>3）发包人邮寄送达。</w:t>
      </w:r>
    </w:p>
    <w:p>
      <w:pPr>
        <w:adjustRightInd w:val="0"/>
        <w:snapToGrid w:val="0"/>
        <w:spacing w:line="440" w:lineRule="exact"/>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个工作日内审核完毕且作出书面决定并通知承包人。在异议审核期间，承包人须正常施工，不得以审核未确定为由拖延或者中止工程施工。</w:t>
      </w:r>
    </w:p>
    <w:p>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37</w:t>
      </w:r>
      <w:r>
        <w:rPr>
          <w:rFonts w:hint="eastAsia" w:ascii="宋体" w:hAnsi="宋体" w:cs="宋体"/>
          <w:b/>
          <w:color w:val="auto"/>
          <w:sz w:val="24"/>
          <w:highlight w:val="none"/>
        </w:rPr>
        <w:t>、争议</w:t>
      </w:r>
    </w:p>
    <w:p>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 xml:space="preserve">37.1 </w:t>
      </w:r>
      <w:r>
        <w:rPr>
          <w:rFonts w:hint="eastAsia" w:ascii="宋体" w:hAnsi="宋体" w:cs="宋体"/>
          <w:color w:val="auto"/>
          <w:sz w:val="24"/>
          <w:highlight w:val="none"/>
        </w:rPr>
        <w:t>双方约定，在履行合同过程中产生争议时：</w:t>
      </w:r>
    </w:p>
    <w:p>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）由双方协商解决；</w:t>
      </w:r>
    </w:p>
    <w:p>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）协商不成的，向</w:t>
      </w:r>
      <w:r>
        <w:rPr>
          <w:rFonts w:ascii="宋体" w:hAnsi="宋体" w:cs="宋体"/>
          <w:color w:val="auto"/>
          <w:sz w:val="24"/>
          <w:highlight w:val="none"/>
          <w:u w:val="single"/>
        </w:rPr>
        <w:t xml:space="preserve"> 工程所在地 </w:t>
      </w:r>
      <w:r>
        <w:rPr>
          <w:rFonts w:hint="eastAsia" w:ascii="宋体" w:hAnsi="宋体" w:cs="宋体"/>
          <w:color w:val="auto"/>
          <w:sz w:val="24"/>
          <w:highlight w:val="none"/>
        </w:rPr>
        <w:t>人民法院提起诉讼。</w:t>
      </w:r>
    </w:p>
    <w:p>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十一、其他</w:t>
      </w:r>
    </w:p>
    <w:p>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38</w:t>
      </w:r>
      <w:r>
        <w:rPr>
          <w:rFonts w:hint="eastAsia" w:ascii="宋体" w:hAnsi="宋体" w:cs="宋体"/>
          <w:b/>
          <w:color w:val="auto"/>
          <w:sz w:val="24"/>
          <w:highlight w:val="none"/>
        </w:rPr>
        <w:t>、工程分包</w:t>
      </w:r>
    </w:p>
    <w:p>
      <w:pPr>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38.1（1）本工程发包人同意承包人分包的工程：非主体非关键工程。承包人发包专业工程或劳务作业以及专业分包单位发包劳务作业的，应将拟分包专业工程或劳务作业的内容、数量、分包单位的资质、信誉、施工能力等情况形成书面报告，经监理单位审核通过，报发包人审批同意后实施，否则不得分包。 劳务分包必须严格执行广州市相关规定，禁止分包劳务给无资质单位或个人。在发包人同意承包人进行劳务分包的情况下，劳务分包单位须与向政府相关部门备案的劳务分包的单位一致，不得私自变更劳务分包单位。 </w:t>
      </w:r>
    </w:p>
    <w:p>
      <w:pPr>
        <w:numPr>
          <w:ilvl w:val="0"/>
          <w:numId w:val="5"/>
        </w:numPr>
        <w:snapToGrid w:val="0"/>
        <w:spacing w:line="440" w:lineRule="exact"/>
        <w:ind w:left="0" w:leftChars="0" w:firstLine="397"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承包人向一家或者多家小微施工企业分包的合同份额为合同总金额   %（其中：向 XXXX公司分包工程本合同金额占比为   %、向 XXXX公司分包工程本合同金额占比为   %...）（按《中小企业声明函》执行）。经查实，该分包企业若不具备承接分包工作任务相应资质的，承包人需另行分包给具备承接分包工作任务资质的小微企业，分包给小微企业的总分包合同（含专业工程分包和劳务分包）金额占比不得低于《中小企业声明函》执行,且发包人予以承包人中标价的千分之五的处罚，并限制其一定期限内参与招标人后续项目投标。（本条适用于承包人为大中型企业，且其投标出具《中小企业声明函》，并享受中小企业扶持政策，否则签订合同做删除）承包人需建立分包管理台账，定期报监理、发包人审核和检查。</w:t>
      </w:r>
    </w:p>
    <w:p>
      <w:pPr>
        <w:numPr>
          <w:ilvl w:val="0"/>
          <w:numId w:val="0"/>
        </w:numPr>
        <w:snapToGrid w:val="0"/>
        <w:spacing w:line="440" w:lineRule="exact"/>
        <w:ind w:left="0" w:leftChars="0"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承包人和分包单位应当采用国家制定的施工分包合同示范文本，依法签订分包合同，明确各自的安全生产方面的权利、义务。承包人与分包单位签订的分包合同中应明确工人工资比例及支付期限，款项支付严格按照《保障中小企业款项支付条例》执行。施工总承包单位应将分包合同分别报建设、监理单位备存。 若承包人违反以上条款，承包人应按总监理工程师或者发包人的指令限期改正。承包人拒不改正或未及时完成整改的，发包人有权视情节要求承包人承担一般违约责任或严重违约责任，同时前述违约情形与承包人履约评价考核挂钩。发包人可根据实际情况，给予承包人通报批评、拒绝其一段时期投标等处罚措施；情节严重的，可报请上级行政主管部门给予相应处罚。</w:t>
      </w:r>
    </w:p>
    <w:p>
      <w:pPr>
        <w:snapToGrid w:val="0"/>
        <w:spacing w:line="440" w:lineRule="exact"/>
        <w:ind w:firstLine="0"/>
        <w:rPr>
          <w:rFonts w:ascii="宋体" w:hAnsi="宋体" w:cs="宋体"/>
          <w:b/>
          <w:color w:val="auto"/>
          <w:sz w:val="24"/>
          <w:highlight w:val="none"/>
        </w:rPr>
      </w:pPr>
      <w:r>
        <w:rPr>
          <w:rFonts w:ascii="宋体" w:hAnsi="宋体" w:cs="宋体"/>
          <w:b/>
          <w:color w:val="auto"/>
          <w:sz w:val="24"/>
          <w:highlight w:val="none"/>
        </w:rPr>
        <w:t>39</w:t>
      </w:r>
      <w:r>
        <w:rPr>
          <w:rFonts w:hint="eastAsia" w:ascii="宋体" w:hAnsi="宋体" w:cs="宋体"/>
          <w:b/>
          <w:color w:val="auto"/>
          <w:sz w:val="24"/>
          <w:highlight w:val="none"/>
        </w:rPr>
        <w:t>、不可抗力</w:t>
      </w:r>
    </w:p>
    <w:p>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 xml:space="preserve">39.1 </w:t>
      </w:r>
      <w:r>
        <w:rPr>
          <w:rFonts w:hint="eastAsia" w:ascii="宋体" w:hAnsi="宋体" w:cs="宋体"/>
          <w:color w:val="auto"/>
          <w:sz w:val="24"/>
          <w:highlight w:val="none"/>
        </w:rPr>
        <w:t>双方关于不可抗力的约定：</w:t>
      </w:r>
      <w:r>
        <w:rPr>
          <w:rFonts w:ascii="宋体" w:hAnsi="宋体" w:cs="宋体"/>
          <w:color w:val="auto"/>
          <w:sz w:val="24"/>
          <w:highlight w:val="none"/>
        </w:rPr>
        <w:t xml:space="preserve"> </w:t>
      </w:r>
      <w:r>
        <w:rPr>
          <w:rFonts w:hint="eastAsia" w:ascii="宋体" w:hAnsi="宋体" w:cs="宋体"/>
          <w:color w:val="auto"/>
          <w:sz w:val="24"/>
          <w:highlight w:val="none"/>
        </w:rPr>
        <w:t>按本合同通用条款执行。自然灾害的范围及其认定方式，按下述约定执行：</w:t>
      </w:r>
    </w:p>
    <w:p>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异常天气：仅指50年一遇以上（含50年）的洪水、10级（含本数）以上台风，因异常天气袭击工地为确保安全而停工的，承包人应于台风、洪水天气结束之日起七日内，向当地气象部门索取工程所在地台风、暴雨天气资料或报告（含气象实况及对此分析的内容），连同施工日志、现场照片办理证据保全公证，方可认定为是不可抗力。</w:t>
      </w:r>
    </w:p>
    <w:p>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2）里氏5级（含本数）以上地震。</w:t>
      </w:r>
    </w:p>
    <w:p>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39.3双方关于不可抗力事件导致的</w:t>
      </w:r>
      <w:r>
        <w:rPr>
          <w:rFonts w:hint="eastAsia" w:ascii="宋体" w:hAnsi="宋体" w:cs="宋体"/>
          <w:color w:val="auto"/>
          <w:sz w:val="24"/>
          <w:highlight w:val="none"/>
          <w:u w:val="single"/>
        </w:rPr>
        <w:t>费用承担按本专用条款</w:t>
      </w:r>
      <w:r>
        <w:rPr>
          <w:rFonts w:ascii="宋体" w:hAnsi="宋体" w:cs="宋体"/>
          <w:color w:val="auto"/>
          <w:sz w:val="24"/>
          <w:highlight w:val="none"/>
          <w:u w:val="single"/>
        </w:rPr>
        <w:t>12.3款约定执行。</w:t>
      </w:r>
    </w:p>
    <w:p>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40</w:t>
      </w:r>
      <w:r>
        <w:rPr>
          <w:rFonts w:hint="eastAsia" w:ascii="宋体" w:hAnsi="宋体" w:cs="宋体"/>
          <w:b/>
          <w:color w:val="auto"/>
          <w:sz w:val="24"/>
          <w:highlight w:val="none"/>
        </w:rPr>
        <w:t>、保险</w:t>
      </w:r>
    </w:p>
    <w:p>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40.2承包人对其运至施工场地内用于工程的材料和待安装设备办理保险并支付保险费用。</w:t>
      </w:r>
    </w:p>
    <w:p>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 xml:space="preserve">40.6 </w:t>
      </w:r>
      <w:r>
        <w:rPr>
          <w:rFonts w:hint="eastAsia" w:ascii="宋体" w:hAnsi="宋体" w:cs="宋体"/>
          <w:color w:val="auto"/>
          <w:sz w:val="24"/>
          <w:highlight w:val="none"/>
        </w:rPr>
        <w:t>本工程双方约定投保内容如下</w:t>
      </w:r>
    </w:p>
    <w:p>
      <w:pPr>
        <w:tabs>
          <w:tab w:val="left" w:pos="960"/>
          <w:tab w:val="left" w:pos="1080"/>
        </w:tabs>
        <w:snapToGrid w:val="0"/>
        <w:spacing w:line="440" w:lineRule="exact"/>
        <w:ind w:left="397" w:firstLine="397"/>
        <w:rPr>
          <w:rFonts w:ascii="宋体" w:hAnsi="宋体" w:cs="宋体"/>
          <w:color w:val="auto"/>
          <w:sz w:val="24"/>
          <w:highlight w:val="none"/>
          <w:u w:val="single"/>
        </w:rPr>
      </w:pPr>
      <w:r>
        <w:rPr>
          <w:rFonts w:hint="eastAsia" w:ascii="宋体" w:hAnsi="宋体" w:cs="宋体"/>
          <w:color w:val="auto"/>
          <w:sz w:val="24"/>
          <w:highlight w:val="none"/>
        </w:rPr>
        <w:t>（一）发包人投保内容：</w:t>
      </w:r>
      <w:r>
        <w:rPr>
          <w:rFonts w:hint="eastAsia" w:ascii="宋体" w:hAnsi="宋体" w:cs="宋体"/>
          <w:color w:val="auto"/>
          <w:sz w:val="24"/>
          <w:highlight w:val="none"/>
          <w:u w:val="single"/>
        </w:rPr>
        <w:t>按广州市建设项目劳动保险相关规定投保</w:t>
      </w:r>
      <w:r>
        <w:rPr>
          <w:rFonts w:hint="eastAsia" w:ascii="宋体" w:hAnsi="宋体" w:cs="宋体"/>
          <w:color w:val="auto"/>
          <w:sz w:val="24"/>
          <w:highlight w:val="none"/>
        </w:rPr>
        <w:t>。</w:t>
      </w:r>
    </w:p>
    <w:p>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发包人委托承包人办理的保险事项：</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pPr>
        <w:tabs>
          <w:tab w:val="left" w:pos="960"/>
          <w:tab w:val="left" w:pos="1080"/>
        </w:tabs>
        <w:snapToGrid w:val="0"/>
        <w:spacing w:line="440" w:lineRule="exact"/>
        <w:ind w:left="397" w:firstLine="397"/>
        <w:rPr>
          <w:rFonts w:ascii="宋体" w:hAnsi="宋体" w:cs="宋体"/>
          <w:color w:val="auto"/>
          <w:sz w:val="24"/>
          <w:highlight w:val="none"/>
          <w:u w:val="single"/>
        </w:rPr>
      </w:pPr>
      <w:r>
        <w:rPr>
          <w:rFonts w:hint="eastAsia" w:ascii="宋体" w:hAnsi="宋体" w:cs="宋体"/>
          <w:color w:val="auto"/>
          <w:sz w:val="24"/>
          <w:highlight w:val="none"/>
        </w:rPr>
        <w:t>（二）承包人投保内容：</w:t>
      </w:r>
      <w:r>
        <w:rPr>
          <w:rFonts w:hint="eastAsia" w:ascii="宋体" w:hAnsi="宋体" w:cs="宋体"/>
          <w:color w:val="auto"/>
          <w:sz w:val="24"/>
          <w:highlight w:val="none"/>
          <w:u w:val="single"/>
        </w:rPr>
        <w:t>开工前承包人应当投保安全生产责任保险，且该保险保障场所应包含本项目，合同价视作已含该项费用。承包人未按规定购买安全生产责任保险，发包人可视严重程度拒绝该单位一定时期内参与后续工程投标。</w:t>
      </w:r>
    </w:p>
    <w:p>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41</w:t>
      </w:r>
      <w:r>
        <w:rPr>
          <w:rFonts w:hint="eastAsia" w:ascii="宋体" w:hAnsi="宋体" w:cs="宋体"/>
          <w:b/>
          <w:color w:val="auto"/>
          <w:sz w:val="24"/>
          <w:highlight w:val="none"/>
        </w:rPr>
        <w:t>、担保</w:t>
      </w:r>
    </w:p>
    <w:p>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 xml:space="preserve">41.1 </w:t>
      </w:r>
      <w:r>
        <w:rPr>
          <w:rFonts w:hint="eastAsia" w:ascii="宋体" w:hAnsi="宋体" w:cs="宋体"/>
          <w:color w:val="auto"/>
          <w:sz w:val="24"/>
          <w:highlight w:val="none"/>
        </w:rPr>
        <w:t>本工程双方约定担保事项如下：</w:t>
      </w:r>
    </w:p>
    <w:p>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1）发包人向承包人提供支付担保，担保方式为：支付担保保函。</w:t>
      </w:r>
    </w:p>
    <w:p>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2）承包人按如下方式向发包人提供履约担保：</w:t>
      </w:r>
    </w:p>
    <w:p>
      <w:pPr>
        <w:snapToGrid w:val="0"/>
        <w:spacing w:line="440" w:lineRule="exact"/>
        <w:ind w:firstLine="516" w:firstLineChars="215"/>
        <w:rPr>
          <w:rFonts w:ascii="宋体" w:hAnsi="宋体" w:cs="宋体"/>
          <w:color w:val="auto"/>
          <w:sz w:val="24"/>
          <w:highlight w:val="none"/>
        </w:rPr>
      </w:pPr>
      <w:r>
        <w:rPr>
          <w:rFonts w:hint="eastAsia" w:ascii="宋体" w:hAnsi="宋体" w:cs="宋体"/>
          <w:color w:val="auto"/>
          <w:sz w:val="24"/>
          <w:highlight w:val="none"/>
        </w:rPr>
        <w:t>①</w:t>
      </w:r>
      <w:r>
        <w:rPr>
          <w:rFonts w:ascii="宋体" w:hAnsi="宋体" w:cs="宋体"/>
          <w:color w:val="auto"/>
          <w:sz w:val="24"/>
          <w:highlight w:val="none"/>
        </w:rPr>
        <w:t xml:space="preserve"> </w:t>
      </w:r>
      <w:r>
        <w:rPr>
          <w:rFonts w:hint="eastAsia" w:ascii="宋体" w:hAnsi="宋体" w:cs="宋体"/>
          <w:color w:val="auto"/>
          <w:sz w:val="24"/>
          <w:highlight w:val="none"/>
        </w:rPr>
        <w:t>履约担保：承包人向发包人提交担保金额为中标价</w:t>
      </w:r>
      <w:r>
        <w:rPr>
          <w:rFonts w:ascii="宋体" w:hAnsi="宋体" w:cs="宋体"/>
          <w:color w:val="auto"/>
          <w:sz w:val="24"/>
          <w:highlight w:val="none"/>
        </w:rPr>
        <w:t xml:space="preserve">10%的履约担保，担保形式执行《关于规范招投标领域工程建设保证金收取有关工作的通知》（粤发改法规函〔2022〕1178 </w:t>
      </w:r>
      <w:r>
        <w:rPr>
          <w:rFonts w:hint="eastAsia" w:ascii="宋体" w:hAnsi="宋体" w:cs="宋体"/>
          <w:color w:val="auto"/>
          <w:sz w:val="24"/>
          <w:highlight w:val="none"/>
        </w:rPr>
        <w:t>号）规定。担保到期但工程尚未验收的，承包人应自觉办理担保延期手续，确保担保期限不出现空缺，否则，发包人不予支付工程款。</w:t>
      </w:r>
    </w:p>
    <w:p>
      <w:pPr>
        <w:snapToGrid w:val="0"/>
        <w:spacing w:line="440" w:lineRule="exact"/>
        <w:ind w:firstLine="516" w:firstLineChars="215"/>
        <w:rPr>
          <w:rFonts w:ascii="宋体" w:hAnsi="宋体" w:cs="宋体"/>
          <w:color w:val="auto"/>
          <w:sz w:val="24"/>
          <w:highlight w:val="none"/>
        </w:rPr>
      </w:pPr>
      <w:r>
        <w:rPr>
          <w:rFonts w:hint="eastAsia" w:ascii="宋体" w:hAnsi="宋体" w:cs="宋体"/>
          <w:color w:val="auto"/>
          <w:sz w:val="24"/>
          <w:highlight w:val="none"/>
        </w:rPr>
        <w:t>首次办理履约担保，如合同工期低于</w:t>
      </w:r>
      <w:r>
        <w:rPr>
          <w:rFonts w:ascii="宋体" w:hAnsi="宋体" w:cs="宋体"/>
          <w:color w:val="auto"/>
          <w:sz w:val="24"/>
          <w:highlight w:val="none"/>
        </w:rPr>
        <w:t xml:space="preserve">1 </w:t>
      </w:r>
      <w:r>
        <w:rPr>
          <w:rFonts w:hint="eastAsia" w:ascii="宋体" w:hAnsi="宋体" w:cs="宋体"/>
          <w:color w:val="auto"/>
          <w:sz w:val="24"/>
          <w:highlight w:val="none"/>
        </w:rPr>
        <w:t>年的，担保期限可按合同工期，如合同工期高于</w:t>
      </w:r>
      <w:r>
        <w:rPr>
          <w:rFonts w:ascii="宋体" w:hAnsi="宋体" w:cs="宋体"/>
          <w:color w:val="auto"/>
          <w:sz w:val="24"/>
          <w:highlight w:val="none"/>
        </w:rPr>
        <w:t xml:space="preserve">1年的，担保期限不低于1 </w:t>
      </w:r>
      <w:r>
        <w:rPr>
          <w:rFonts w:hint="eastAsia" w:ascii="宋体" w:hAnsi="宋体" w:cs="宋体"/>
          <w:color w:val="auto"/>
          <w:sz w:val="24"/>
          <w:highlight w:val="none"/>
        </w:rPr>
        <w:t>年。</w:t>
      </w:r>
    </w:p>
    <w:p>
      <w:pPr>
        <w:snapToGrid w:val="0"/>
        <w:spacing w:line="440" w:lineRule="exact"/>
        <w:ind w:firstLine="516" w:firstLineChars="215"/>
        <w:rPr>
          <w:rFonts w:ascii="宋体" w:hAnsi="宋体" w:cs="宋体"/>
          <w:color w:val="auto"/>
          <w:sz w:val="24"/>
          <w:highlight w:val="none"/>
        </w:rPr>
      </w:pPr>
      <w:r>
        <w:rPr>
          <w:rFonts w:hint="eastAsia" w:ascii="宋体" w:hAnsi="宋体" w:cs="宋体"/>
          <w:color w:val="auto"/>
          <w:sz w:val="24"/>
          <w:highlight w:val="none"/>
        </w:rPr>
        <w:t>履约担保办理延期手续时，若项目的完成工程量不足一半，担保金额按中标价的</w:t>
      </w:r>
      <w:r>
        <w:rPr>
          <w:rFonts w:ascii="宋体" w:hAnsi="宋体" w:cs="宋体"/>
          <w:color w:val="auto"/>
          <w:sz w:val="24"/>
          <w:highlight w:val="none"/>
        </w:rPr>
        <w:t>10%；若项目的完成工程量超过一半，担保金额可按中标价的5%；其他特殊情况需调整的，需报发包人审议同意。</w:t>
      </w:r>
    </w:p>
    <w:p>
      <w:pPr>
        <w:snapToGrid w:val="0"/>
        <w:spacing w:line="44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szCs w:val="24"/>
          <w:highlight w:val="none"/>
          <w:u w:val="single"/>
          <w:lang w:val="en-US" w:eastAsia="zh-CN"/>
        </w:rPr>
        <w:t>履约担保</w:t>
      </w:r>
      <w:r>
        <w:rPr>
          <w:rFonts w:hint="eastAsia" w:ascii="宋体" w:hAnsi="宋体" w:cs="宋体"/>
          <w:color w:val="auto"/>
          <w:sz w:val="24"/>
          <w:szCs w:val="24"/>
          <w:highlight w:val="none"/>
          <w:u w:val="single"/>
        </w:rPr>
        <w:t>的管理和格式按《广州开发区财政投资建设项目管理中心建设工程履约担保管理细则（2025修订版）》执行。</w:t>
      </w:r>
    </w:p>
    <w:p>
      <w:pPr>
        <w:snapToGrid w:val="0"/>
        <w:spacing w:line="440" w:lineRule="exact"/>
        <w:ind w:firstLine="516" w:firstLineChars="215"/>
        <w:rPr>
          <w:rFonts w:ascii="宋体" w:hAnsi="宋体" w:cs="宋体"/>
          <w:color w:val="auto"/>
          <w:sz w:val="24"/>
          <w:highlight w:val="none"/>
        </w:rPr>
      </w:pPr>
      <w:r>
        <w:rPr>
          <w:rFonts w:hint="eastAsia" w:ascii="宋体" w:hAnsi="宋体" w:cs="宋体"/>
          <w:color w:val="auto"/>
          <w:sz w:val="24"/>
          <w:highlight w:val="none"/>
        </w:rPr>
        <w:t>②</w:t>
      </w:r>
      <w:r>
        <w:rPr>
          <w:rFonts w:ascii="宋体" w:hAnsi="宋体" w:cs="宋体"/>
          <w:color w:val="auto"/>
          <w:sz w:val="24"/>
          <w:highlight w:val="none"/>
        </w:rPr>
        <w:t xml:space="preserve"> </w:t>
      </w:r>
      <w:r>
        <w:rPr>
          <w:rFonts w:hint="eastAsia" w:ascii="宋体" w:hAnsi="宋体" w:cs="宋体"/>
          <w:color w:val="auto"/>
          <w:sz w:val="24"/>
          <w:highlight w:val="none"/>
        </w:rPr>
        <w:t>履约担保的返还方式：在工程</w:t>
      </w:r>
      <w:r>
        <w:rPr>
          <w:rFonts w:hint="eastAsia" w:ascii="宋体" w:hAnsi="宋体" w:cs="宋体"/>
          <w:color w:val="auto"/>
          <w:sz w:val="24"/>
          <w:highlight w:val="none"/>
          <w:lang w:val="en-US" w:eastAsia="zh-CN"/>
        </w:rPr>
        <w:t>竣工</w:t>
      </w:r>
      <w:r>
        <w:rPr>
          <w:rFonts w:hint="eastAsia" w:ascii="宋体" w:hAnsi="宋体" w:cs="宋体"/>
          <w:color w:val="auto"/>
          <w:sz w:val="24"/>
          <w:highlight w:val="none"/>
        </w:rPr>
        <w:t>验收合格后返还承包人。</w:t>
      </w:r>
    </w:p>
    <w:p>
      <w:pPr>
        <w:snapToGrid w:val="0"/>
        <w:spacing w:line="440" w:lineRule="exact"/>
        <w:ind w:firstLine="516" w:firstLineChars="215"/>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3）承包人提交的履约担保是对本合同约定的承包人的全部义务（包括但不限于承包人违约后应支付的违约金和赔偿金）的担保，承包人的任何一次不履行或不完全履行合同义务的行为，发包人均有权提出索赔。</w:t>
      </w:r>
    </w:p>
    <w:p>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46</w:t>
      </w:r>
      <w:r>
        <w:rPr>
          <w:rFonts w:hint="eastAsia" w:ascii="宋体" w:hAnsi="宋体" w:cs="宋体"/>
          <w:b/>
          <w:color w:val="auto"/>
          <w:sz w:val="24"/>
          <w:highlight w:val="none"/>
        </w:rPr>
        <w:t>、合同份数</w:t>
      </w:r>
    </w:p>
    <w:p>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 xml:space="preserve">46.1 </w:t>
      </w:r>
      <w:r>
        <w:rPr>
          <w:rFonts w:hint="eastAsia" w:ascii="宋体" w:hAnsi="宋体" w:cs="宋体"/>
          <w:color w:val="auto"/>
          <w:sz w:val="24"/>
          <w:highlight w:val="none"/>
        </w:rPr>
        <w:t>双方约定合同正副本份数：</w:t>
      </w:r>
      <w:r>
        <w:rPr>
          <w:rFonts w:hint="eastAsia" w:ascii="宋体" w:hAnsi="宋体" w:cs="宋体"/>
          <w:color w:val="auto"/>
          <w:sz w:val="24"/>
          <w:highlight w:val="none"/>
          <w:u w:val="single"/>
        </w:rPr>
        <w:t>共十份，正本一式二份，发包人承包人各执一份；副本共八份，发包人四份，承包人四份（含监理人一份）</w:t>
      </w:r>
      <w:r>
        <w:rPr>
          <w:rFonts w:hint="eastAsia" w:ascii="宋体" w:hAnsi="宋体" w:cs="宋体"/>
          <w:color w:val="auto"/>
          <w:sz w:val="24"/>
          <w:highlight w:val="none"/>
          <w:u w:val="none"/>
        </w:rPr>
        <w:t>。</w:t>
      </w:r>
    </w:p>
    <w:p>
      <w:pPr>
        <w:spacing w:line="440" w:lineRule="exact"/>
        <w:ind w:firstLine="397"/>
        <w:rPr>
          <w:rFonts w:ascii="宋体" w:hAnsi="宋体" w:cs="宋体"/>
          <w:b/>
          <w:color w:val="auto"/>
          <w:sz w:val="24"/>
          <w:highlight w:val="none"/>
        </w:rPr>
      </w:pPr>
      <w:r>
        <w:rPr>
          <w:rFonts w:ascii="宋体" w:hAnsi="宋体" w:cs="宋体"/>
          <w:b/>
          <w:color w:val="auto"/>
          <w:sz w:val="24"/>
          <w:highlight w:val="none"/>
        </w:rPr>
        <w:t>47</w:t>
      </w:r>
      <w:r>
        <w:rPr>
          <w:rFonts w:hint="eastAsia" w:ascii="宋体" w:hAnsi="宋体" w:cs="宋体"/>
          <w:b/>
          <w:color w:val="auto"/>
          <w:sz w:val="24"/>
          <w:highlight w:val="none"/>
        </w:rPr>
        <w:t>、补充条款</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安全、文明、科学、规范的施工要求</w:t>
      </w:r>
      <w:r>
        <w:rPr>
          <w:rFonts w:hint="eastAsia" w:ascii="宋体" w:hAnsi="宋体" w:eastAsia="宋体" w:cs="宋体"/>
          <w:color w:val="auto"/>
          <w:sz w:val="24"/>
          <w:highlight w:val="none"/>
        </w:rPr>
        <w:t>）</w:t>
      </w:r>
    </w:p>
    <w:p>
      <w:pPr>
        <w:spacing w:line="440" w:lineRule="exact"/>
        <w:ind w:firstLine="480" w:firstLineChars="200"/>
        <w:rPr>
          <w:rFonts w:ascii="宋体" w:hAnsi="宋体" w:cs="宋体"/>
          <w:color w:val="auto"/>
          <w:sz w:val="24"/>
          <w:highlight w:val="none"/>
          <w:u w:val="none"/>
        </w:rPr>
      </w:pPr>
      <w:r>
        <w:rPr>
          <w:rFonts w:ascii="宋体" w:hAnsi="宋体" w:cs="宋体"/>
          <w:color w:val="auto"/>
          <w:sz w:val="24"/>
          <w:highlight w:val="none"/>
        </w:rPr>
        <w:t>47.1</w:t>
      </w:r>
      <w:r>
        <w:rPr>
          <w:rFonts w:hint="eastAsia" w:ascii="宋体" w:hAnsi="宋体" w:cs="宋体"/>
          <w:color w:val="auto"/>
          <w:sz w:val="24"/>
          <w:highlight w:val="none"/>
          <w:u w:val="none"/>
        </w:rPr>
        <w:t>承包人在开工前，必须按照广州市、开发区有关要求办理好相应的施工手续方可开工。</w:t>
      </w:r>
    </w:p>
    <w:p>
      <w:pPr>
        <w:spacing w:line="440" w:lineRule="exact"/>
        <w:ind w:firstLine="480" w:firstLineChars="200"/>
        <w:rPr>
          <w:rFonts w:ascii="宋体" w:hAnsi="宋体" w:cs="宋体"/>
          <w:color w:val="auto"/>
          <w:sz w:val="24"/>
          <w:highlight w:val="none"/>
          <w:u w:val="none"/>
        </w:rPr>
      </w:pPr>
      <w:r>
        <w:rPr>
          <w:rFonts w:ascii="宋体" w:hAnsi="宋体" w:cs="宋体"/>
          <w:color w:val="auto"/>
          <w:sz w:val="24"/>
          <w:highlight w:val="none"/>
        </w:rPr>
        <w:t>47.2</w:t>
      </w:r>
      <w:r>
        <w:rPr>
          <w:rFonts w:hint="eastAsia" w:ascii="宋体" w:hAnsi="宋体" w:cs="宋体"/>
          <w:color w:val="auto"/>
          <w:sz w:val="24"/>
          <w:highlight w:val="none"/>
          <w:u w:val="none"/>
        </w:rPr>
        <w:t>施工范围的具体位置及可交付承包人施工安排的用地范围，由承包人根据现场勘察情况报发包人同意确定，建筑轴线控制基点由承包人联系规划局提供。</w:t>
      </w:r>
    </w:p>
    <w:p>
      <w:pPr>
        <w:spacing w:line="440" w:lineRule="exact"/>
        <w:ind w:firstLine="480" w:firstLineChars="200"/>
        <w:rPr>
          <w:rFonts w:ascii="宋体" w:hAnsi="宋体" w:cs="宋体"/>
          <w:color w:val="auto"/>
          <w:sz w:val="24"/>
          <w:highlight w:val="none"/>
          <w:u w:val="none"/>
        </w:rPr>
      </w:pPr>
      <w:r>
        <w:rPr>
          <w:rFonts w:ascii="宋体" w:hAnsi="宋体" w:cs="宋体"/>
          <w:color w:val="auto"/>
          <w:sz w:val="24"/>
          <w:highlight w:val="none"/>
        </w:rPr>
        <w:t>47.3</w:t>
      </w:r>
      <w:r>
        <w:rPr>
          <w:rFonts w:hint="eastAsia" w:ascii="宋体" w:hAnsi="宋体" w:cs="宋体"/>
          <w:color w:val="auto"/>
          <w:sz w:val="24"/>
          <w:highlight w:val="none"/>
          <w:u w:val="none"/>
        </w:rPr>
        <w:t>承包人必须保证在收到中标通知书后五天内进场作好施工准备，十五天内提交有关开工报告、施工组织设计、主要材料厂家、材料品牌的选择报验，完成本工程所需的相关工作（如配合比试验、土工试验、场地原地面标高测量、导线放线及复测工作、水准点加密、现场临时设施建设等工作），经监理工程师批准开工或下达开工令后正式施工。</w:t>
      </w:r>
    </w:p>
    <w:p>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47.4</w:t>
      </w:r>
      <w:r>
        <w:rPr>
          <w:rFonts w:hint="eastAsia" w:ascii="宋体" w:hAnsi="宋体" w:cs="宋体"/>
          <w:color w:val="auto"/>
          <w:sz w:val="24"/>
          <w:highlight w:val="none"/>
          <w:u w:val="none"/>
        </w:rPr>
        <w:t>承包人在施工期间要确保工程外场地清洁及道路畅通，如须使用他方道路，则还必须负责养护、保洁责任，否则责任自负。施工和警示标志明显，因施工造成人身损害和财产损失的，由承包人承担责任。</w:t>
      </w:r>
    </w:p>
    <w:p>
      <w:pPr>
        <w:spacing w:line="440" w:lineRule="exact"/>
        <w:ind w:firstLine="480" w:firstLineChars="200"/>
        <w:rPr>
          <w:rFonts w:ascii="宋体" w:hAnsi="宋体" w:cs="宋体"/>
          <w:color w:val="auto"/>
          <w:sz w:val="24"/>
          <w:highlight w:val="none"/>
          <w:u w:val="none"/>
        </w:rPr>
      </w:pPr>
      <w:r>
        <w:rPr>
          <w:rFonts w:ascii="宋体" w:hAnsi="宋体" w:cs="宋体"/>
          <w:color w:val="auto"/>
          <w:sz w:val="24"/>
          <w:highlight w:val="none"/>
        </w:rPr>
        <w:t>47.5</w:t>
      </w:r>
      <w:r>
        <w:rPr>
          <w:rFonts w:hint="eastAsia" w:ascii="宋体" w:hAnsi="宋体" w:cs="宋体"/>
          <w:color w:val="auto"/>
          <w:sz w:val="24"/>
          <w:highlight w:val="none"/>
          <w:u w:val="none"/>
        </w:rPr>
        <w:t>承包人必须考虑安全、环保等因素在局部施工范围进行围蔽施工，现场围蔽不符合国家有关安全措施及技术要求的，不得开展施工作业，由此造成的工期延长，由承包人自己负责，当作延误工期处理。</w:t>
      </w:r>
    </w:p>
    <w:p>
      <w:pPr>
        <w:spacing w:line="440" w:lineRule="exact"/>
        <w:ind w:firstLine="480" w:firstLineChars="200"/>
        <w:rPr>
          <w:rFonts w:ascii="宋体" w:hAnsi="宋体" w:cs="宋体"/>
          <w:color w:val="auto"/>
          <w:sz w:val="24"/>
          <w:highlight w:val="none"/>
          <w:u w:val="none"/>
        </w:rPr>
      </w:pPr>
      <w:r>
        <w:rPr>
          <w:rFonts w:ascii="宋体" w:hAnsi="宋体" w:cs="宋体"/>
          <w:color w:val="auto"/>
          <w:sz w:val="24"/>
          <w:highlight w:val="none"/>
        </w:rPr>
        <w:t>47.6</w:t>
      </w:r>
      <w:r>
        <w:rPr>
          <w:rFonts w:hint="eastAsia" w:ascii="宋体" w:hAnsi="宋体" w:cs="宋体"/>
          <w:color w:val="auto"/>
          <w:sz w:val="24"/>
          <w:highlight w:val="none"/>
          <w:u w:val="none"/>
        </w:rPr>
        <w:t>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pPr>
        <w:spacing w:line="440" w:lineRule="exact"/>
        <w:ind w:firstLine="480" w:firstLineChars="200"/>
        <w:rPr>
          <w:rFonts w:ascii="宋体" w:hAnsi="宋体" w:cs="宋体"/>
          <w:color w:val="auto"/>
          <w:sz w:val="24"/>
          <w:highlight w:val="none"/>
          <w:u w:val="none"/>
        </w:rPr>
      </w:pPr>
      <w:r>
        <w:rPr>
          <w:rFonts w:ascii="宋体" w:hAnsi="宋体" w:cs="宋体"/>
          <w:color w:val="auto"/>
          <w:sz w:val="24"/>
          <w:highlight w:val="none"/>
        </w:rPr>
        <w:t>47.7</w:t>
      </w:r>
      <w:r>
        <w:rPr>
          <w:rFonts w:hint="eastAsia" w:ascii="宋体" w:hAnsi="宋体" w:cs="宋体"/>
          <w:color w:val="auto"/>
          <w:sz w:val="24"/>
          <w:highlight w:val="none"/>
          <w:u w:val="none"/>
        </w:rPr>
        <w:t>场内土方开挖时，承包人向发包人书面申请，并按发包人的书面批复进行调配平衡，不得任意处置，多余土方由承包人自行安排外运，竣工退场时必须清理施工现场，并达到发包人要求；若承包人未及时外运，则由发包人另行委托其他单位外运，所需费用从承包人工程款中扣付。</w:t>
      </w:r>
    </w:p>
    <w:p>
      <w:pPr>
        <w:spacing w:line="440" w:lineRule="exact"/>
        <w:ind w:firstLine="480" w:firstLineChars="200"/>
        <w:rPr>
          <w:rFonts w:ascii="宋体" w:hAnsi="宋体" w:cs="宋体"/>
          <w:color w:val="auto"/>
          <w:sz w:val="24"/>
          <w:highlight w:val="none"/>
          <w:u w:val="none"/>
        </w:rPr>
      </w:pPr>
      <w:r>
        <w:rPr>
          <w:rFonts w:ascii="宋体" w:hAnsi="宋体" w:cs="宋体"/>
          <w:color w:val="auto"/>
          <w:sz w:val="24"/>
          <w:highlight w:val="none"/>
        </w:rPr>
        <w:t>47.8</w:t>
      </w:r>
      <w:r>
        <w:rPr>
          <w:rFonts w:hint="eastAsia" w:ascii="宋体" w:hAnsi="宋体" w:cs="宋体"/>
          <w:color w:val="auto"/>
          <w:sz w:val="24"/>
          <w:highlight w:val="none"/>
          <w:u w:val="none"/>
        </w:rPr>
        <w:t>若遇阻碍施工需拆迁的旧建（构）筑物、地下孤石等障碍物，由承包人负责清障，所需清障费用经监理、发包人现场签证调整。</w:t>
      </w:r>
    </w:p>
    <w:p>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47.9</w:t>
      </w:r>
      <w:r>
        <w:rPr>
          <w:rFonts w:hint="eastAsia" w:ascii="宋体" w:hAnsi="宋体" w:cs="宋体"/>
          <w:color w:val="auto"/>
          <w:sz w:val="24"/>
          <w:highlight w:val="none"/>
          <w:u w:val="none"/>
        </w:rPr>
        <w:t>在工程完成初验及工程实物移交给发包人或开发区有关的接收单位或部门后一个月内，承包人必须拆除本工程全部的施工临时设施，做到工完场清；否则，发包人有权安排清拆，由此所发生的一切费用在承包人的结算工程款中扣除。</w:t>
      </w:r>
    </w:p>
    <w:p>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47.10双方根据国家有关规定，结合具体工程约定质量缺陷责任期如下：</w:t>
      </w:r>
    </w:p>
    <w:p>
      <w:pPr>
        <w:pStyle w:val="57"/>
        <w:snapToGrid w:val="0"/>
        <w:spacing w:line="440" w:lineRule="exact"/>
        <w:ind w:firstLine="578" w:firstLineChars="241"/>
        <w:rPr>
          <w:rFonts w:ascii="宋体" w:hAnsi="宋体" w:cs="宋体"/>
          <w:color w:val="auto"/>
          <w:sz w:val="24"/>
          <w:highlight w:val="none"/>
        </w:rPr>
      </w:pPr>
      <w:r>
        <w:rPr>
          <w:rFonts w:ascii="宋体" w:hAnsi="宋体" w:cs="宋体"/>
          <w:color w:val="auto"/>
          <w:sz w:val="24"/>
          <w:highlight w:val="none"/>
        </w:rPr>
        <w:t>1、基础设施工程，房屋建筑的地基基础工程和主体结构工程为2年；</w:t>
      </w:r>
    </w:p>
    <w:p>
      <w:pPr>
        <w:pStyle w:val="57"/>
        <w:snapToGrid w:val="0"/>
        <w:spacing w:line="440" w:lineRule="exact"/>
        <w:ind w:firstLine="578" w:firstLineChars="241"/>
        <w:rPr>
          <w:rFonts w:ascii="宋体" w:hAnsi="宋体" w:cs="宋体"/>
          <w:color w:val="auto"/>
          <w:sz w:val="24"/>
          <w:highlight w:val="none"/>
        </w:rPr>
      </w:pPr>
      <w:r>
        <w:rPr>
          <w:rFonts w:ascii="宋体" w:hAnsi="宋体" w:cs="宋体"/>
          <w:color w:val="auto"/>
          <w:sz w:val="24"/>
          <w:highlight w:val="none"/>
        </w:rPr>
        <w:t>2、屋面防水工程、有防水要求的卫生间、房间和外墙面的防渗漏为 2年；</w:t>
      </w:r>
    </w:p>
    <w:p>
      <w:pPr>
        <w:pStyle w:val="57"/>
        <w:snapToGrid w:val="0"/>
        <w:spacing w:line="440" w:lineRule="exact"/>
        <w:ind w:firstLine="578" w:firstLineChars="241"/>
        <w:rPr>
          <w:rFonts w:ascii="宋体" w:hAnsi="宋体" w:cs="宋体"/>
          <w:color w:val="auto"/>
          <w:sz w:val="24"/>
          <w:highlight w:val="none"/>
        </w:rPr>
      </w:pPr>
      <w:r>
        <w:rPr>
          <w:rFonts w:ascii="宋体" w:hAnsi="宋体" w:cs="宋体"/>
          <w:color w:val="auto"/>
          <w:sz w:val="24"/>
          <w:highlight w:val="none"/>
        </w:rPr>
        <w:t xml:space="preserve">3、电气管线、给排水管道、设备安装工程为 2 </w:t>
      </w:r>
      <w:r>
        <w:rPr>
          <w:rFonts w:hint="eastAsia" w:ascii="宋体" w:hAnsi="宋体" w:cs="宋体"/>
          <w:color w:val="auto"/>
          <w:sz w:val="24"/>
          <w:highlight w:val="none"/>
        </w:rPr>
        <w:t>年；</w:t>
      </w:r>
    </w:p>
    <w:p>
      <w:pPr>
        <w:pStyle w:val="57"/>
        <w:snapToGrid w:val="0"/>
        <w:spacing w:line="440" w:lineRule="exact"/>
        <w:ind w:firstLine="578" w:firstLineChars="241"/>
        <w:rPr>
          <w:rFonts w:ascii="宋体" w:hAnsi="宋体" w:cs="宋体"/>
          <w:color w:val="auto"/>
          <w:sz w:val="24"/>
          <w:highlight w:val="none"/>
        </w:rPr>
      </w:pPr>
      <w:r>
        <w:rPr>
          <w:rFonts w:ascii="宋体" w:hAnsi="宋体" w:cs="宋体"/>
          <w:color w:val="auto"/>
          <w:sz w:val="24"/>
          <w:highlight w:val="none"/>
        </w:rPr>
        <w:t xml:space="preserve">4、供热及供冷为 2 </w:t>
      </w:r>
      <w:r>
        <w:rPr>
          <w:rFonts w:hint="eastAsia" w:ascii="宋体" w:hAnsi="宋体" w:cs="宋体"/>
          <w:color w:val="auto"/>
          <w:sz w:val="24"/>
          <w:highlight w:val="none"/>
        </w:rPr>
        <w:t>个采暖期及供冷期；</w:t>
      </w:r>
    </w:p>
    <w:p>
      <w:pPr>
        <w:pStyle w:val="57"/>
        <w:snapToGrid w:val="0"/>
        <w:spacing w:line="440" w:lineRule="exact"/>
        <w:ind w:firstLine="578" w:firstLineChars="241"/>
        <w:rPr>
          <w:rFonts w:ascii="宋体" w:hAnsi="宋体" w:cs="宋体"/>
          <w:color w:val="auto"/>
          <w:sz w:val="24"/>
          <w:highlight w:val="none"/>
        </w:rPr>
      </w:pPr>
      <w:r>
        <w:rPr>
          <w:rFonts w:ascii="宋体" w:hAnsi="宋体" w:cs="宋体"/>
          <w:color w:val="auto"/>
          <w:sz w:val="24"/>
          <w:highlight w:val="none"/>
        </w:rPr>
        <w:t xml:space="preserve">5、装饰装修工程为 2 </w:t>
      </w:r>
      <w:r>
        <w:rPr>
          <w:rFonts w:hint="eastAsia" w:ascii="宋体" w:hAnsi="宋体" w:cs="宋体"/>
          <w:color w:val="auto"/>
          <w:sz w:val="24"/>
          <w:highlight w:val="none"/>
        </w:rPr>
        <w:t>年；</w:t>
      </w:r>
    </w:p>
    <w:p>
      <w:pPr>
        <w:pStyle w:val="57"/>
        <w:snapToGrid w:val="0"/>
        <w:spacing w:line="440" w:lineRule="exact"/>
        <w:ind w:firstLine="578" w:firstLineChars="241"/>
        <w:rPr>
          <w:rFonts w:ascii="宋体" w:hAnsi="宋体" w:cs="宋体"/>
          <w:color w:val="auto"/>
          <w:sz w:val="24"/>
          <w:highlight w:val="none"/>
        </w:rPr>
      </w:pPr>
      <w:r>
        <w:rPr>
          <w:rFonts w:ascii="宋体" w:hAnsi="宋体" w:cs="宋体"/>
          <w:color w:val="auto"/>
          <w:sz w:val="24"/>
          <w:highlight w:val="none"/>
        </w:rPr>
        <w:t>6、室外的上下水和小区道路等市政公用工程为 2 年；</w:t>
      </w:r>
    </w:p>
    <w:p>
      <w:pPr>
        <w:pStyle w:val="57"/>
        <w:snapToGrid w:val="0"/>
        <w:spacing w:line="440" w:lineRule="exact"/>
        <w:ind w:firstLine="578" w:firstLineChars="241"/>
        <w:rPr>
          <w:rFonts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在本项目建成投入使用的前两年内，需对钢结构的节点、杆件应力集中部位、支座等受力关键部位进行应力、应变监控（监测方案由双方确定）。</w:t>
      </w:r>
    </w:p>
    <w:p>
      <w:pPr>
        <w:pStyle w:val="57"/>
        <w:snapToGrid w:val="0"/>
        <w:spacing w:line="440" w:lineRule="exact"/>
        <w:ind w:firstLine="578" w:firstLineChars="241"/>
        <w:rPr>
          <w:rFonts w:ascii="宋体" w:hAnsi="宋体" w:cs="宋体"/>
          <w:color w:val="auto"/>
          <w:sz w:val="24"/>
          <w:highlight w:val="none"/>
        </w:rPr>
      </w:pPr>
      <w:r>
        <w:rPr>
          <w:rFonts w:ascii="宋体" w:hAnsi="宋体" w:cs="宋体"/>
          <w:color w:val="auto"/>
          <w:sz w:val="24"/>
          <w:highlight w:val="none"/>
        </w:rPr>
        <w:t xml:space="preserve">8、园林建筑工程为 1 </w:t>
      </w:r>
      <w:r>
        <w:rPr>
          <w:rFonts w:hint="eastAsia" w:ascii="宋体" w:hAnsi="宋体" w:cs="宋体"/>
          <w:color w:val="auto"/>
          <w:sz w:val="24"/>
          <w:highlight w:val="none"/>
        </w:rPr>
        <w:t>年，喷淋工程为</w:t>
      </w:r>
      <w:r>
        <w:rPr>
          <w:rFonts w:ascii="宋体" w:hAnsi="宋体" w:cs="宋体"/>
          <w:color w:val="auto"/>
          <w:sz w:val="24"/>
          <w:highlight w:val="none"/>
        </w:rPr>
        <w:t xml:space="preserve"> 2 </w:t>
      </w:r>
      <w:r>
        <w:rPr>
          <w:rFonts w:hint="eastAsia" w:ascii="宋体" w:hAnsi="宋体" w:cs="宋体"/>
          <w:color w:val="auto"/>
          <w:sz w:val="24"/>
          <w:highlight w:val="none"/>
        </w:rPr>
        <w:t>年，胸径</w:t>
      </w:r>
      <w:r>
        <w:rPr>
          <w:rFonts w:ascii="宋体" w:hAnsi="宋体" w:cs="宋体"/>
          <w:color w:val="auto"/>
          <w:sz w:val="24"/>
          <w:highlight w:val="none"/>
        </w:rPr>
        <w:t xml:space="preserve">15cm以内（含15cm）的苗木养护期为 3 </w:t>
      </w:r>
      <w:r>
        <w:rPr>
          <w:rFonts w:hint="eastAsia" w:ascii="宋体" w:hAnsi="宋体" w:cs="宋体"/>
          <w:color w:val="auto"/>
          <w:sz w:val="24"/>
          <w:highlight w:val="none"/>
        </w:rPr>
        <w:t>个月，胸径</w:t>
      </w:r>
      <w:r>
        <w:rPr>
          <w:rFonts w:ascii="宋体" w:hAnsi="宋体" w:cs="宋体"/>
          <w:color w:val="auto"/>
          <w:sz w:val="24"/>
          <w:highlight w:val="none"/>
        </w:rPr>
        <w:t xml:space="preserve">15cm以上的苗木养护期为 1 </w:t>
      </w:r>
      <w:r>
        <w:rPr>
          <w:rFonts w:hint="eastAsia" w:ascii="宋体" w:hAnsi="宋体" w:cs="宋体"/>
          <w:color w:val="auto"/>
          <w:sz w:val="24"/>
          <w:highlight w:val="none"/>
        </w:rPr>
        <w:t>年。</w:t>
      </w:r>
    </w:p>
    <w:p>
      <w:pPr>
        <w:pStyle w:val="57"/>
        <w:snapToGrid w:val="0"/>
        <w:spacing w:line="440" w:lineRule="exact"/>
        <w:ind w:firstLine="578" w:firstLineChars="241"/>
        <w:rPr>
          <w:rFonts w:ascii="宋体" w:hAnsi="宋体" w:cs="宋体"/>
          <w:color w:val="auto"/>
          <w:sz w:val="24"/>
          <w:highlight w:val="none"/>
        </w:rPr>
      </w:pPr>
      <w:r>
        <w:rPr>
          <w:rFonts w:hint="eastAsia" w:ascii="宋体" w:hAnsi="宋体" w:cs="宋体"/>
          <w:color w:val="auto"/>
          <w:sz w:val="24"/>
          <w:highlight w:val="none"/>
        </w:rPr>
        <w:t>除上述专业工程外其它工程的质量缺陷责任期按相关规定或经双方另行协商确定。</w:t>
      </w:r>
    </w:p>
    <w:p>
      <w:pPr>
        <w:pStyle w:val="57"/>
        <w:snapToGrid w:val="0"/>
        <w:spacing w:line="440" w:lineRule="exact"/>
        <w:ind w:firstLine="480" w:firstLineChars="200"/>
        <w:rPr>
          <w:rFonts w:ascii="宋体" w:hAnsi="宋体" w:cs="宋体"/>
          <w:color w:val="auto"/>
          <w:sz w:val="24"/>
          <w:highlight w:val="none"/>
          <w:u w:val="none"/>
        </w:rPr>
      </w:pPr>
      <w:r>
        <w:rPr>
          <w:rFonts w:hint="eastAsia" w:ascii="宋体" w:hAnsi="宋体" w:cs="宋体"/>
          <w:color w:val="auto"/>
          <w:sz w:val="24"/>
          <w:highlight w:val="none"/>
        </w:rPr>
        <w:t>本工程质量缺陷责任期从自广州开发区管委会或其相关职能部门批准的提前移交之日或工程竣工验收合格之日起（以先发生日期为准）计算（广州开发区、黄埔区对工程竣工验收有相关规定的，按该规定执行）。缺陷责任期内，由承包人原因造成的缺陷，承包人应负责维修，并承担鉴定及维修费用。如承包人不维修也不承担费用，发包人可按合同约定扣除质量保修金，并由承包人承担违约责任。承包人维修并承担相应费用后，不免除对工程的一般损失赔偿责任。</w:t>
      </w:r>
    </w:p>
    <w:p>
      <w:pPr>
        <w:spacing w:line="440" w:lineRule="exact"/>
        <w:ind w:firstLine="480" w:firstLineChars="200"/>
        <w:rPr>
          <w:rFonts w:ascii="宋体" w:hAnsi="宋体" w:cs="宋体"/>
          <w:color w:val="auto"/>
          <w:sz w:val="24"/>
          <w:highlight w:val="none"/>
          <w:u w:val="none"/>
        </w:rPr>
      </w:pPr>
      <w:r>
        <w:rPr>
          <w:rFonts w:ascii="宋体" w:hAnsi="宋体" w:cs="宋体"/>
          <w:color w:val="auto"/>
          <w:sz w:val="24"/>
          <w:highlight w:val="none"/>
        </w:rPr>
        <w:t>47.11</w:t>
      </w:r>
      <w:r>
        <w:rPr>
          <w:rFonts w:hint="eastAsia" w:ascii="宋体" w:hAnsi="宋体" w:cs="宋体"/>
          <w:color w:val="auto"/>
          <w:sz w:val="24"/>
          <w:highlight w:val="none"/>
          <w:u w:val="none"/>
        </w:rPr>
        <w:t>本工程的保修期按本合同《工程质量保修责任书》规定的保修期限实行。在保修期内因施工质量而造成返修，其费用由承包人负责。工程质量按房建工程现行验评标准组织验收认定。</w:t>
      </w:r>
    </w:p>
    <w:p>
      <w:pPr>
        <w:spacing w:line="440" w:lineRule="exact"/>
        <w:ind w:firstLine="480" w:firstLineChars="200"/>
        <w:rPr>
          <w:rFonts w:ascii="宋体" w:hAnsi="宋体" w:cs="宋体"/>
          <w:color w:val="auto"/>
          <w:sz w:val="24"/>
          <w:highlight w:val="none"/>
          <w:u w:val="single"/>
        </w:rPr>
      </w:pPr>
      <w:r>
        <w:rPr>
          <w:rFonts w:ascii="宋体" w:hAnsi="宋体" w:cs="宋体"/>
          <w:color w:val="auto"/>
          <w:sz w:val="24"/>
          <w:highlight w:val="none"/>
        </w:rPr>
        <w:t>47.12施工现场生活区应设置信息公示栏，每月10日前将上月作业工人考勤和工资结算和支付信息在信息公示栏进行公示，公示期不少于5天。</w:t>
      </w:r>
    </w:p>
    <w:p>
      <w:pPr>
        <w:spacing w:line="440" w:lineRule="exact"/>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农民工佣工要求</w:t>
      </w:r>
      <w:r>
        <w:rPr>
          <w:rFonts w:hint="eastAsia" w:ascii="宋体" w:hAnsi="宋体" w:eastAsia="宋体" w:cs="宋体"/>
          <w:color w:val="auto"/>
          <w:sz w:val="24"/>
          <w:highlight w:val="none"/>
        </w:rPr>
        <w:t>）</w:t>
      </w:r>
    </w:p>
    <w:p>
      <w:pPr>
        <w:spacing w:line="440" w:lineRule="exact"/>
        <w:ind w:firstLine="480" w:firstLineChars="200"/>
        <w:rPr>
          <w:rFonts w:ascii="宋体" w:hAnsi="宋体" w:cs="宋体"/>
          <w:color w:val="auto"/>
          <w:sz w:val="24"/>
          <w:highlight w:val="none"/>
          <w:u w:val="none"/>
        </w:rPr>
      </w:pPr>
      <w:r>
        <w:rPr>
          <w:rFonts w:ascii="宋体" w:hAnsi="宋体" w:cs="宋体"/>
          <w:color w:val="auto"/>
          <w:sz w:val="24"/>
          <w:highlight w:val="none"/>
        </w:rPr>
        <w:t>47.13</w:t>
      </w:r>
      <w:r>
        <w:rPr>
          <w:rFonts w:hint="eastAsia" w:ascii="宋体" w:hAnsi="宋体" w:cs="宋体"/>
          <w:color w:val="auto"/>
          <w:sz w:val="24"/>
          <w:highlight w:val="none"/>
          <w:u w:val="none"/>
        </w:rPr>
        <w:t>承包人必须按照穗开规『</w:t>
      </w:r>
      <w:r>
        <w:rPr>
          <w:rFonts w:ascii="宋体" w:hAnsi="宋体" w:cs="宋体"/>
          <w:color w:val="auto"/>
          <w:sz w:val="24"/>
          <w:highlight w:val="none"/>
          <w:u w:val="none"/>
        </w:rPr>
        <w:t>2004』58号文的有关要求及规定优先使用广州开发区的农民工。</w:t>
      </w:r>
    </w:p>
    <w:p>
      <w:pPr>
        <w:spacing w:line="440" w:lineRule="exact"/>
        <w:ind w:firstLine="480" w:firstLineChars="200"/>
        <w:rPr>
          <w:rFonts w:ascii="宋体" w:hAnsi="宋体" w:cs="宋体"/>
          <w:color w:val="auto"/>
          <w:sz w:val="24"/>
          <w:highlight w:val="none"/>
          <w:u w:val="none"/>
        </w:rPr>
      </w:pPr>
      <w:r>
        <w:rPr>
          <w:rFonts w:ascii="宋体" w:hAnsi="宋体" w:cs="宋体"/>
          <w:color w:val="auto"/>
          <w:sz w:val="24"/>
          <w:highlight w:val="none"/>
        </w:rPr>
        <w:t>47.14</w:t>
      </w:r>
      <w:r>
        <w:rPr>
          <w:rFonts w:hint="eastAsia" w:ascii="宋体" w:hAnsi="宋体" w:cs="宋体"/>
          <w:color w:val="auto"/>
          <w:sz w:val="24"/>
          <w:highlight w:val="none"/>
          <w:u w:val="none"/>
        </w:rPr>
        <w:t>承包人必须严格执行穗开纪</w:t>
      </w:r>
      <w:r>
        <w:rPr>
          <w:rFonts w:ascii="宋体" w:hAnsi="宋体" w:cs="宋体"/>
          <w:color w:val="auto"/>
          <w:sz w:val="24"/>
          <w:highlight w:val="none"/>
          <w:u w:val="none"/>
        </w:rPr>
        <w:t>[2005]10号文的规定和要求，在本工程施工中使用劳工时，一律由承包人签订用工合同，建立工资直接支付制度，承包人每月按时发放劳工工资，自觉接受发包人和主管部门的监督，不论何种原因决不拖欠或克扣劳工工资。否则，可由员工代表知会有关部门，或拨打投诉电话。承包人必须将上述内容在本工程开工的十日内向全体员工张榜公开。如承包人违约，发包人有权解除合同，并追究承包人由此给发包人造成的一切损失。</w:t>
      </w:r>
    </w:p>
    <w:p>
      <w:pPr>
        <w:spacing w:line="440" w:lineRule="exact"/>
        <w:ind w:firstLine="480" w:firstLineChars="200"/>
        <w:rPr>
          <w:rFonts w:ascii="宋体" w:hAnsi="宋体" w:cs="宋体"/>
          <w:color w:val="auto"/>
          <w:sz w:val="24"/>
          <w:highlight w:val="none"/>
          <w:u w:val="none"/>
        </w:rPr>
      </w:pPr>
      <w:r>
        <w:rPr>
          <w:rFonts w:ascii="宋体" w:hAnsi="宋体" w:cs="宋体"/>
          <w:color w:val="auto"/>
          <w:sz w:val="24"/>
          <w:highlight w:val="none"/>
        </w:rPr>
        <w:t>47.15</w:t>
      </w:r>
      <w:r>
        <w:rPr>
          <w:rFonts w:hint="eastAsia" w:ascii="宋体" w:hAnsi="宋体" w:cs="宋体"/>
          <w:color w:val="auto"/>
          <w:sz w:val="24"/>
          <w:highlight w:val="none"/>
          <w:u w:val="none"/>
        </w:rPr>
        <w:t>承包人必须严格执行广州市黄埔区人民政府办公室《关于贯彻实施国家劳动部、建设部</w:t>
      </w:r>
      <w:r>
        <w:rPr>
          <w:rFonts w:ascii="宋体" w:hAnsi="宋体" w:cs="宋体"/>
          <w:color w:val="auto"/>
          <w:sz w:val="24"/>
          <w:highlight w:val="none"/>
          <w:u w:val="none"/>
        </w:rPr>
        <w:t>&lt;</w:t>
      </w:r>
      <w:r>
        <w:rPr>
          <w:rFonts w:hint="eastAsia" w:ascii="宋体" w:hAnsi="宋体" w:cs="宋体"/>
          <w:color w:val="auto"/>
          <w:sz w:val="24"/>
          <w:highlight w:val="none"/>
          <w:u w:val="none"/>
        </w:rPr>
        <w:t>建设领域农民工工资支付管理暂行办法</w:t>
      </w:r>
      <w:r>
        <w:rPr>
          <w:rFonts w:ascii="宋体" w:hAnsi="宋体" w:cs="宋体"/>
          <w:color w:val="auto"/>
          <w:sz w:val="24"/>
          <w:highlight w:val="none"/>
          <w:u w:val="none"/>
        </w:rPr>
        <w:t>&gt;</w:t>
      </w:r>
      <w:r>
        <w:rPr>
          <w:rFonts w:hint="eastAsia" w:ascii="宋体" w:hAnsi="宋体" w:cs="宋体"/>
          <w:color w:val="auto"/>
          <w:sz w:val="24"/>
          <w:highlight w:val="none"/>
          <w:u w:val="none"/>
        </w:rPr>
        <w:t>的若干意见》（穗萝府办</w:t>
      </w:r>
      <w:r>
        <w:rPr>
          <w:rFonts w:ascii="宋体" w:hAnsi="宋体" w:cs="宋体"/>
          <w:color w:val="auto"/>
          <w:sz w:val="24"/>
          <w:highlight w:val="none"/>
          <w:u w:val="none"/>
        </w:rPr>
        <w:t>[2005]21号）的有关规定（包括但不限于）：必须向区劳动保障部门申报用工人数、工资支付制度、工程规模等情况；必须定期参加区劳动保障部门在区建设领域建立和推行的劳动管理培训；本工程开工前，按有关规定向区劳动保障部门缴付农民工工资支付保障金，并在本工程施工合同履行过程中确保此保障金额度符合区劳动保障部门的规定。</w:t>
      </w:r>
    </w:p>
    <w:p>
      <w:pPr>
        <w:spacing w:line="440" w:lineRule="exact"/>
        <w:ind w:firstLine="480" w:firstLineChars="200"/>
        <w:rPr>
          <w:rFonts w:ascii="宋体" w:hAnsi="宋体" w:cs="宋体"/>
          <w:b/>
          <w:color w:val="auto"/>
          <w:sz w:val="24"/>
          <w:highlight w:val="none"/>
        </w:rPr>
      </w:pPr>
      <w:r>
        <w:rPr>
          <w:rFonts w:ascii="宋体" w:hAnsi="宋体" w:cs="宋体"/>
          <w:color w:val="auto"/>
          <w:sz w:val="24"/>
          <w:highlight w:val="none"/>
        </w:rPr>
        <w:t>47.16</w:t>
      </w:r>
      <w:r>
        <w:rPr>
          <w:rFonts w:hint="eastAsia" w:ascii="宋体" w:hAnsi="宋体" w:cs="宋体"/>
          <w:color w:val="auto"/>
          <w:sz w:val="24"/>
          <w:highlight w:val="none"/>
          <w:u w:val="none"/>
        </w:rPr>
        <w:t>若承包人在本工程内发生无故拖欠农民工工资现象，将被作不良记录，上报区建设主管部门。</w:t>
      </w:r>
      <w:r>
        <w:rPr>
          <w:rFonts w:hint="eastAsia" w:ascii="宋体" w:hAnsi="宋体" w:cs="宋体"/>
          <w:color w:val="auto"/>
          <w:sz w:val="24"/>
          <w:highlight w:val="none"/>
        </w:rPr>
        <w:t>若承包人转包或者违法分包造成拖欠工人工资的，除上报区建设行政主管部门外，还将提请省建设行业主管部门禁止在广东省行政区域范围内承包工程。</w:t>
      </w:r>
    </w:p>
    <w:p>
      <w:pPr>
        <w:spacing w:line="440" w:lineRule="exact"/>
        <w:ind w:firstLine="480" w:firstLineChars="200"/>
        <w:rPr>
          <w:rFonts w:ascii="宋体" w:hAnsi="宋体" w:eastAsia="宋体" w:cs="宋体"/>
          <w:b/>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项目管理机构人员、机械设备、劳动力到位方面的要求</w:t>
      </w:r>
      <w:r>
        <w:rPr>
          <w:rFonts w:hint="eastAsia" w:ascii="宋体" w:hAnsi="宋体" w:eastAsia="宋体" w:cs="宋体"/>
          <w:color w:val="auto"/>
          <w:sz w:val="24"/>
          <w:highlight w:val="none"/>
        </w:rPr>
        <w:t>）</w:t>
      </w:r>
    </w:p>
    <w:p>
      <w:pPr>
        <w:snapToGrid w:val="0"/>
        <w:spacing w:line="440" w:lineRule="exact"/>
        <w:ind w:firstLine="480" w:firstLineChars="200"/>
        <w:rPr>
          <w:rFonts w:ascii="宋体" w:hAnsi="宋体" w:cs="宋体"/>
          <w:color w:val="auto"/>
          <w:sz w:val="24"/>
          <w:highlight w:val="none"/>
          <w:u w:val="none"/>
        </w:rPr>
      </w:pPr>
      <w:r>
        <w:rPr>
          <w:rFonts w:ascii="宋体" w:hAnsi="宋体" w:cs="宋体"/>
          <w:color w:val="auto"/>
          <w:sz w:val="24"/>
          <w:highlight w:val="none"/>
        </w:rPr>
        <w:t>47.17</w:t>
      </w:r>
      <w:r>
        <w:rPr>
          <w:rFonts w:hint="eastAsia" w:ascii="宋体" w:hAnsi="宋体" w:cs="宋体"/>
          <w:color w:val="auto"/>
          <w:sz w:val="24"/>
          <w:highlight w:val="none"/>
          <w:u w:val="none"/>
        </w:rPr>
        <w:t>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pPr>
        <w:snapToGrid w:val="0"/>
        <w:spacing w:line="440" w:lineRule="exact"/>
        <w:ind w:firstLine="480" w:firstLineChars="200"/>
        <w:rPr>
          <w:rFonts w:ascii="宋体" w:hAnsi="宋体" w:cs="宋体"/>
          <w:color w:val="auto"/>
          <w:sz w:val="24"/>
          <w:highlight w:val="none"/>
          <w:u w:val="none"/>
        </w:rPr>
      </w:pPr>
      <w:r>
        <w:rPr>
          <w:rFonts w:ascii="宋体" w:hAnsi="宋体" w:cs="宋体"/>
          <w:color w:val="auto"/>
          <w:sz w:val="24"/>
          <w:highlight w:val="none"/>
        </w:rPr>
        <w:t>47.18</w:t>
      </w:r>
      <w:r>
        <w:rPr>
          <w:rFonts w:hint="eastAsia" w:ascii="宋体" w:hAnsi="宋体" w:cs="宋体"/>
          <w:color w:val="auto"/>
          <w:sz w:val="24"/>
          <w:highlight w:val="none"/>
          <w:u w:val="none"/>
        </w:rPr>
        <w:t>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pPr>
        <w:snapToGrid w:val="0"/>
        <w:spacing w:line="440" w:lineRule="exact"/>
        <w:ind w:firstLine="480" w:firstLineChars="200"/>
        <w:rPr>
          <w:rFonts w:ascii="宋体" w:hAnsi="宋体" w:cs="宋体"/>
          <w:color w:val="auto"/>
          <w:sz w:val="24"/>
          <w:highlight w:val="none"/>
          <w:u w:val="none"/>
        </w:rPr>
      </w:pPr>
      <w:r>
        <w:rPr>
          <w:rFonts w:ascii="宋体" w:hAnsi="宋体" w:cs="宋体"/>
          <w:color w:val="auto"/>
          <w:sz w:val="24"/>
          <w:highlight w:val="none"/>
        </w:rPr>
        <w:t>47.19</w:t>
      </w:r>
      <w:r>
        <w:rPr>
          <w:rFonts w:hint="eastAsia" w:ascii="宋体" w:hAnsi="宋体" w:cs="宋体"/>
          <w:color w:val="auto"/>
          <w:sz w:val="24"/>
          <w:highlight w:val="none"/>
          <w:u w:val="none"/>
        </w:rPr>
        <w:t>现场施工时，施工员（技术员）不在施工现场不得施工，否则发包人可随时要求停工，工期延误由承包人负责。</w:t>
      </w:r>
    </w:p>
    <w:p>
      <w:pPr>
        <w:snapToGrid w:val="0"/>
        <w:spacing w:line="440" w:lineRule="exact"/>
        <w:ind w:firstLine="480" w:firstLineChars="200"/>
        <w:rPr>
          <w:rFonts w:ascii="宋体" w:hAnsi="宋体" w:cs="宋体"/>
          <w:color w:val="auto"/>
          <w:sz w:val="24"/>
          <w:highlight w:val="none"/>
          <w:u w:val="none"/>
        </w:rPr>
      </w:pPr>
      <w:r>
        <w:rPr>
          <w:rFonts w:ascii="宋体" w:hAnsi="宋体" w:cs="宋体"/>
          <w:color w:val="auto"/>
          <w:sz w:val="24"/>
          <w:highlight w:val="none"/>
        </w:rPr>
        <w:t>47.20</w:t>
      </w:r>
      <w:r>
        <w:rPr>
          <w:rFonts w:hint="eastAsia" w:ascii="宋体" w:hAnsi="宋体" w:cs="宋体"/>
          <w:color w:val="auto"/>
          <w:sz w:val="24"/>
          <w:highlight w:val="none"/>
          <w:u w:val="none"/>
        </w:rPr>
        <w:t>承包人派往现场的管理人员若因不负责任、或玩忽职守、或严重失职等给发包人造成经济损失，承包人承担相应的经济责任和连带法律责任。</w:t>
      </w:r>
    </w:p>
    <w:p>
      <w:pPr>
        <w:snapToGrid w:val="0"/>
        <w:spacing w:line="440" w:lineRule="exact"/>
        <w:ind w:firstLine="482" w:firstLineChars="200"/>
        <w:rPr>
          <w:rFonts w:ascii="宋体" w:hAnsi="宋体" w:eastAsia="宋体" w:cs="宋体"/>
          <w:color w:val="auto"/>
          <w:sz w:val="24"/>
          <w:highlight w:val="none"/>
        </w:rPr>
      </w:pPr>
      <w:r>
        <w:rPr>
          <w:rFonts w:hint="eastAsia" w:ascii="宋体" w:hAnsi="宋体" w:eastAsia="宋体" w:cs="宋体"/>
          <w:b/>
          <w:color w:val="auto"/>
          <w:sz w:val="24"/>
          <w:highlight w:val="none"/>
        </w:rPr>
        <w:t>（投标报价及造价承包和变更结算方式的要求</w:t>
      </w:r>
      <w:r>
        <w:rPr>
          <w:rFonts w:hint="eastAsia" w:ascii="宋体" w:hAnsi="宋体" w:eastAsia="宋体" w:cs="宋体"/>
          <w:color w:val="auto"/>
          <w:sz w:val="24"/>
          <w:highlight w:val="none"/>
        </w:rPr>
        <w:t>）</w:t>
      </w:r>
    </w:p>
    <w:p>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47.21</w:t>
      </w:r>
      <w:r>
        <w:rPr>
          <w:rFonts w:hint="eastAsia" w:ascii="宋体" w:hAnsi="宋体" w:cs="宋体"/>
          <w:color w:val="auto"/>
          <w:sz w:val="24"/>
          <w:highlight w:val="none"/>
          <w:u w:val="none"/>
        </w:rPr>
        <w:t>工程量清单报价中有关问题的说明：</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none"/>
        </w:rPr>
        <w:t>①投标时</w:t>
      </w:r>
      <w:r>
        <w:rPr>
          <w:rFonts w:ascii="宋体" w:hAnsi="宋体" w:cs="宋体"/>
          <w:color w:val="auto"/>
          <w:sz w:val="24"/>
          <w:highlight w:val="none"/>
          <w:u w:val="none"/>
        </w:rPr>
        <w:t>,土方的弃运距离暂按15km内考虑，超过15km按15km计算，</w:t>
      </w:r>
      <w:r>
        <w:rPr>
          <w:rFonts w:hint="eastAsia" w:ascii="宋体" w:hAnsi="宋体" w:cs="宋体"/>
          <w:color w:val="auto"/>
          <w:sz w:val="24"/>
          <w:highlight w:val="none"/>
          <w:u w:val="none"/>
        </w:rPr>
        <w:t>结算时按招标人确认的实际运距计算</w:t>
      </w:r>
      <w:r>
        <w:rPr>
          <w:rFonts w:ascii="宋体" w:hAnsi="宋体" w:cs="宋体"/>
          <w:color w:val="auto"/>
          <w:sz w:val="24"/>
          <w:highlight w:val="none"/>
          <w:u w:val="none"/>
        </w:rPr>
        <w:t>,实际运距超过15公里时，按15公里包干,弃运的土方单价按定额计算。</w:t>
      </w:r>
    </w:p>
    <w:p>
      <w:pPr>
        <w:spacing w:line="440" w:lineRule="exact"/>
        <w:ind w:firstLine="480" w:firstLineChars="200"/>
        <w:rPr>
          <w:rFonts w:ascii="宋体" w:hAnsi="宋体" w:cs="宋体"/>
          <w:color w:val="auto"/>
          <w:sz w:val="24"/>
          <w:highlight w:val="none"/>
          <w:u w:val="none"/>
        </w:rPr>
      </w:pPr>
      <w:r>
        <w:rPr>
          <w:rFonts w:hint="eastAsia" w:ascii="宋体" w:hAnsi="宋体" w:cs="宋体"/>
          <w:color w:val="auto"/>
          <w:sz w:val="24"/>
          <w:highlight w:val="none"/>
          <w:u w:val="none"/>
        </w:rPr>
        <w:t>②工程量清单中措施项目清单费计价表中的绿色施工安全防护措施费执行《广东省住房和城乡建设厅关于印发</w:t>
      </w:r>
      <w:r>
        <w:rPr>
          <w:rFonts w:ascii="宋体" w:hAnsi="宋体" w:cs="宋体"/>
          <w:color w:val="auto"/>
          <w:sz w:val="24"/>
          <w:highlight w:val="none"/>
          <w:u w:val="none"/>
        </w:rPr>
        <w:t>&lt;</w:t>
      </w:r>
      <w:r>
        <w:rPr>
          <w:rFonts w:hint="eastAsia" w:ascii="宋体" w:hAnsi="宋体" w:cs="宋体"/>
          <w:color w:val="auto"/>
          <w:sz w:val="24"/>
          <w:highlight w:val="none"/>
          <w:u w:val="none"/>
        </w:rPr>
        <w:t>广东省建设工程计价依据（</w:t>
      </w:r>
      <w:r>
        <w:rPr>
          <w:rFonts w:ascii="宋体" w:hAnsi="宋体" w:cs="宋体"/>
          <w:color w:val="auto"/>
          <w:sz w:val="24"/>
          <w:highlight w:val="none"/>
          <w:u w:val="none"/>
        </w:rPr>
        <w:t>2018)&gt;</w:t>
      </w:r>
      <w:r>
        <w:rPr>
          <w:rFonts w:hint="eastAsia" w:ascii="宋体" w:hAnsi="宋体" w:cs="宋体"/>
          <w:color w:val="auto"/>
          <w:sz w:val="24"/>
          <w:highlight w:val="none"/>
          <w:u w:val="none"/>
        </w:rPr>
        <w:t>的通知》（穗建市〔</w:t>
      </w:r>
      <w:r>
        <w:rPr>
          <w:rFonts w:ascii="宋体" w:hAnsi="宋体" w:cs="宋体"/>
          <w:color w:val="auto"/>
          <w:sz w:val="24"/>
          <w:highlight w:val="none"/>
          <w:u w:val="none"/>
        </w:rPr>
        <w:t>2019〕6号）文</w:t>
      </w:r>
      <w:r>
        <w:rPr>
          <w:rFonts w:hint="eastAsia" w:ascii="宋体" w:hAnsi="宋体" w:cs="宋体"/>
          <w:color w:val="auto"/>
          <w:sz w:val="24"/>
          <w:highlight w:val="none"/>
          <w:u w:val="none"/>
        </w:rPr>
        <w:t>，绿色施工安全防护措施费按发包人公布的本工程招标控制价中的绿色施工安全防护措施费计取，作为非竞争费用，在投标报价中单列，不参与投标竞价，该费用从工程施工中标价中提取，专款专用。</w:t>
      </w:r>
    </w:p>
    <w:p>
      <w:pPr>
        <w:spacing w:line="44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47.22</w:t>
      </w:r>
      <w:r>
        <w:rPr>
          <w:rFonts w:hint="eastAsia" w:ascii="宋体" w:hAnsi="宋体" w:eastAsia="宋体" w:cs="宋体"/>
          <w:color w:val="auto"/>
          <w:sz w:val="24"/>
          <w:highlight w:val="none"/>
        </w:rPr>
        <w:t>本工程承包人通过现场考察，提出具体施工方案，无论在工程施工期间或是在质量保修期内，若因施工而引起的一切索赔、赔偿、诉讼费用和其他开支，由承包人承担全部责任。该项费用在措施项目费中设有独立单项项目，该费用包干（施工围蔽费用除外）使用，且承包人不得以任何理由要求发包人另行增加该部分费用（承包人要充分考虑最不利因素影响而采用的施工方案所需的费用）。</w:t>
      </w:r>
    </w:p>
    <w:p>
      <w:pPr>
        <w:pBdr>
          <w:bottom w:val="none" w:color="auto" w:sz="0" w:space="0"/>
        </w:pBdr>
        <w:spacing w:line="440" w:lineRule="exact"/>
        <w:ind w:firstLine="480" w:firstLineChars="200"/>
        <w:rPr>
          <w:rFonts w:ascii="宋体" w:hAnsi="宋体" w:cs="宋体"/>
          <w:color w:val="auto"/>
          <w:sz w:val="24"/>
          <w:highlight w:val="none"/>
          <w:u w:val="single"/>
        </w:rPr>
      </w:pPr>
      <w:r>
        <w:rPr>
          <w:rFonts w:ascii="宋体" w:hAnsi="宋体" w:eastAsia="宋体" w:cs="宋体"/>
          <w:color w:val="auto"/>
          <w:sz w:val="24"/>
          <w:highlight w:val="none"/>
        </w:rPr>
        <w:t>47.23</w:t>
      </w:r>
      <w:r>
        <w:rPr>
          <w:rFonts w:hint="eastAsia" w:ascii="宋体" w:hAnsi="宋体" w:eastAsia="宋体" w:cs="宋体"/>
          <w:color w:val="auto"/>
          <w:sz w:val="24"/>
          <w:highlight w:val="none"/>
        </w:rPr>
        <w:t>承包人应结合本工程招标内容对现场进行充分的调查，充分考虑工程招标内容及施工组织方案，承包单位应与相关管理部门（如铁路管理部门）协商，取得同意协调，按要求完成工程招标内容，工程及相关费用包含在合同价中，不另行计费。如果承包人不及时按要求完成，发包人可以另行委托实施，发包人按实际发生的费用在工程款中扣除，承包人不得有任何异议。</w:t>
      </w:r>
    </w:p>
    <w:p>
      <w:pPr>
        <w:spacing w:line="440" w:lineRule="exact"/>
        <w:ind w:firstLine="480" w:firstLineChars="200"/>
        <w:rPr>
          <w:rFonts w:ascii="宋体" w:hAnsi="宋体" w:cs="宋体"/>
          <w:color w:val="auto"/>
          <w:sz w:val="24"/>
          <w:highlight w:val="none"/>
          <w:u w:val="none"/>
        </w:rPr>
      </w:pPr>
      <w:r>
        <w:rPr>
          <w:rFonts w:ascii="宋体" w:hAnsi="宋体" w:cs="宋体"/>
          <w:color w:val="auto"/>
          <w:sz w:val="24"/>
          <w:highlight w:val="none"/>
        </w:rPr>
        <w:t>47.24</w:t>
      </w:r>
      <w:r>
        <w:rPr>
          <w:rFonts w:hint="eastAsia" w:ascii="宋体" w:hAnsi="宋体" w:cs="宋体"/>
          <w:color w:val="auto"/>
          <w:sz w:val="24"/>
          <w:highlight w:val="none"/>
          <w:u w:val="none"/>
        </w:rPr>
        <w:t>承包人应根据区相关主管部门批复的水土保持实施方案及相关规定完成本工程的水土保持工作，承担防止水土流失职责，相关费用包含在合同价中，不另行计费。如果承包人不及时按要求完成上述工作，发包人可以另行委托实施，发包人按实际发生的费用在工程款中扣除，承包人不得有任何异议。</w:t>
      </w:r>
    </w:p>
    <w:p>
      <w:pPr>
        <w:spacing w:line="440" w:lineRule="exact"/>
        <w:ind w:firstLine="480" w:firstLineChars="200"/>
        <w:rPr>
          <w:rFonts w:ascii="宋体" w:hAnsi="宋体" w:cs="宋体"/>
          <w:color w:val="auto"/>
          <w:sz w:val="24"/>
          <w:highlight w:val="none"/>
          <w:u w:val="none"/>
        </w:rPr>
      </w:pPr>
      <w:r>
        <w:rPr>
          <w:rFonts w:ascii="宋体" w:hAnsi="宋体" w:cs="宋体"/>
          <w:color w:val="auto"/>
          <w:sz w:val="24"/>
          <w:highlight w:val="none"/>
        </w:rPr>
        <w:t>47.25</w:t>
      </w:r>
      <w:r>
        <w:rPr>
          <w:rFonts w:hint="eastAsia" w:ascii="宋体" w:hAnsi="宋体" w:cs="宋体"/>
          <w:color w:val="auto"/>
          <w:sz w:val="24"/>
          <w:highlight w:val="none"/>
          <w:u w:val="none"/>
        </w:rPr>
        <w:t>承包人应使用绿色生产达标企业生产的混凝土，若不遵守承诺，自愿按不履行合同约定处理。</w:t>
      </w:r>
    </w:p>
    <w:p>
      <w:pPr>
        <w:spacing w:line="440" w:lineRule="exact"/>
        <w:ind w:firstLine="480" w:firstLineChars="200"/>
        <w:rPr>
          <w:rFonts w:ascii="宋体" w:hAnsi="宋体" w:cs="宋体"/>
          <w:color w:val="auto"/>
          <w:sz w:val="24"/>
          <w:highlight w:val="none"/>
          <w:u w:val="none"/>
        </w:rPr>
      </w:pPr>
      <w:r>
        <w:rPr>
          <w:rFonts w:ascii="宋体" w:hAnsi="宋体" w:cs="宋体"/>
          <w:color w:val="auto"/>
          <w:sz w:val="24"/>
          <w:highlight w:val="none"/>
        </w:rPr>
        <w:t>47.26</w:t>
      </w:r>
      <w:r>
        <w:rPr>
          <w:rFonts w:hint="eastAsia" w:ascii="宋体" w:hAnsi="宋体" w:cs="宋体"/>
          <w:color w:val="auto"/>
          <w:sz w:val="24"/>
          <w:highlight w:val="none"/>
          <w:u w:val="none"/>
        </w:rPr>
        <w:t>承包人应按有关规定协助发包人完成公共排水设施竣工图纸备案工作。</w:t>
      </w:r>
    </w:p>
    <w:p>
      <w:pPr>
        <w:spacing w:line="440" w:lineRule="exact"/>
        <w:ind w:firstLine="480" w:firstLineChars="200"/>
        <w:rPr>
          <w:rFonts w:ascii="宋体" w:hAnsi="宋体" w:cs="宋体"/>
          <w:color w:val="auto"/>
          <w:sz w:val="24"/>
          <w:highlight w:val="none"/>
          <w:u w:val="none"/>
        </w:rPr>
      </w:pPr>
      <w:r>
        <w:rPr>
          <w:rFonts w:ascii="宋体" w:hAnsi="宋体" w:cs="宋体"/>
          <w:color w:val="auto"/>
          <w:sz w:val="24"/>
          <w:highlight w:val="none"/>
        </w:rPr>
        <w:t>47.27</w:t>
      </w:r>
      <w:r>
        <w:rPr>
          <w:rFonts w:hint="eastAsia" w:ascii="宋体" w:hAnsi="宋体" w:cs="宋体"/>
          <w:color w:val="auto"/>
          <w:sz w:val="24"/>
          <w:highlight w:val="none"/>
          <w:u w:val="none"/>
        </w:rPr>
        <w:t>在整个合同执行期间发包人如发现有不合理投标报价的，发包人有权按有关规定和合同约定进行调整，并将书面通知承包人，并以此作为结算依据。</w:t>
      </w:r>
    </w:p>
    <w:p>
      <w:pPr>
        <w:spacing w:line="440" w:lineRule="exact"/>
        <w:ind w:firstLine="480" w:firstLineChars="200"/>
        <w:rPr>
          <w:rFonts w:ascii="宋体" w:hAnsi="宋体" w:cs="宋体"/>
          <w:color w:val="auto"/>
          <w:sz w:val="24"/>
          <w:highlight w:val="none"/>
          <w:u w:val="none"/>
        </w:rPr>
      </w:pPr>
      <w:r>
        <w:rPr>
          <w:rFonts w:ascii="宋体" w:hAnsi="宋体" w:cs="宋体"/>
          <w:color w:val="auto"/>
          <w:sz w:val="24"/>
          <w:highlight w:val="none"/>
        </w:rPr>
        <w:t>47.28所有材料品牌选择均须报发包人、监理工程师确认，且经检验合格后方能使用。</w:t>
      </w:r>
    </w:p>
    <w:p>
      <w:pPr>
        <w:spacing w:line="440" w:lineRule="exact"/>
        <w:ind w:firstLine="480" w:firstLineChars="200"/>
        <w:rPr>
          <w:rFonts w:ascii="宋体" w:hAnsi="宋体" w:cs="宋体"/>
          <w:color w:val="auto"/>
          <w:sz w:val="24"/>
          <w:highlight w:val="none"/>
          <w:u w:val="none"/>
        </w:rPr>
      </w:pPr>
      <w:r>
        <w:rPr>
          <w:rFonts w:ascii="宋体" w:hAnsi="宋体" w:cs="宋体"/>
          <w:color w:val="auto"/>
          <w:sz w:val="24"/>
          <w:highlight w:val="none"/>
        </w:rPr>
        <w:t>47.29</w:t>
      </w:r>
      <w:r>
        <w:rPr>
          <w:rFonts w:hint="eastAsia" w:ascii="宋体" w:hAnsi="宋体" w:cs="宋体"/>
          <w:color w:val="auto"/>
          <w:sz w:val="24"/>
          <w:highlight w:val="none"/>
          <w:u w:val="none"/>
        </w:rPr>
        <w:t>在本工程实施过程中，若与其他工程发生重叠情况或因征地拆迁问题而无法实施的工程，发包人有权取消重叠部分及无法实施部分的工程量，并按照减少的工程量扣除相应的工程款，承包人不得有异议。另外，由于前述原因造成的工程损失，发包人不予赔偿。</w:t>
      </w:r>
    </w:p>
    <w:p>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47.30</w:t>
      </w:r>
      <w:r>
        <w:rPr>
          <w:rFonts w:hint="eastAsia" w:ascii="宋体" w:hAnsi="宋体" w:cs="宋体"/>
          <w:color w:val="auto"/>
          <w:sz w:val="24"/>
          <w:highlight w:val="none"/>
          <w:u w:val="none"/>
        </w:rPr>
        <w:t>在承包人严重违约、不可抗力或政府政策性调整情况下或根据工程实施实际情况，发包人可对本合同承包范围和承包内容进行调整，发包人对承包人的损失不予补偿（本合同其他条款约定可进行造价调整的除外）。</w:t>
      </w:r>
    </w:p>
    <w:p>
      <w:pPr>
        <w:spacing w:line="440" w:lineRule="exact"/>
        <w:ind w:firstLine="480" w:firstLineChars="200"/>
        <w:rPr>
          <w:rFonts w:ascii="宋体" w:hAnsi="宋体" w:cs="宋体"/>
          <w:color w:val="auto"/>
          <w:sz w:val="24"/>
          <w:highlight w:val="none"/>
          <w:u w:val="none"/>
        </w:rPr>
      </w:pPr>
      <w:r>
        <w:rPr>
          <w:rFonts w:ascii="宋体" w:hAnsi="宋体" w:cs="宋体"/>
          <w:color w:val="auto"/>
          <w:sz w:val="24"/>
          <w:highlight w:val="none"/>
        </w:rPr>
        <w:t>47.31</w:t>
      </w:r>
      <w:r>
        <w:rPr>
          <w:rFonts w:hint="eastAsia" w:ascii="宋体" w:hAnsi="宋体" w:cs="宋体"/>
          <w:color w:val="auto"/>
          <w:sz w:val="24"/>
          <w:highlight w:val="none"/>
          <w:u w:val="none"/>
        </w:rPr>
        <w:t>承包人须按照发包人与监理人签订的委托监理合同接受监理人的全过程监理。</w:t>
      </w:r>
    </w:p>
    <w:p>
      <w:pPr>
        <w:spacing w:line="440" w:lineRule="exact"/>
        <w:ind w:firstLine="480" w:firstLineChars="200"/>
        <w:rPr>
          <w:rFonts w:ascii="宋体" w:hAnsi="宋体" w:cs="宋体"/>
          <w:color w:val="auto"/>
          <w:sz w:val="24"/>
          <w:highlight w:val="none"/>
          <w:u w:val="none"/>
        </w:rPr>
      </w:pPr>
      <w:r>
        <w:rPr>
          <w:rFonts w:ascii="宋体" w:hAnsi="宋体" w:cs="宋体"/>
          <w:color w:val="auto"/>
          <w:sz w:val="24"/>
          <w:highlight w:val="none"/>
        </w:rPr>
        <w:t>47.32</w:t>
      </w:r>
      <w:r>
        <w:rPr>
          <w:rFonts w:hint="eastAsia" w:ascii="宋体" w:hAnsi="宋体" w:cs="宋体"/>
          <w:color w:val="auto"/>
          <w:sz w:val="24"/>
          <w:highlight w:val="none"/>
          <w:u w:val="none"/>
        </w:rPr>
        <w:t>如广州开发区、黄埔区对工程竣工验收及备案有相关规定，则本合同执行该规定。</w:t>
      </w:r>
    </w:p>
    <w:p>
      <w:pPr>
        <w:spacing w:line="440" w:lineRule="exact"/>
        <w:ind w:firstLine="480" w:firstLineChars="200"/>
        <w:rPr>
          <w:rFonts w:ascii="宋体" w:hAnsi="宋体" w:cs="宋体"/>
          <w:color w:val="auto"/>
          <w:sz w:val="24"/>
          <w:highlight w:val="none"/>
          <w:u w:val="none"/>
        </w:rPr>
      </w:pPr>
      <w:r>
        <w:rPr>
          <w:rFonts w:ascii="宋体" w:hAnsi="宋体" w:cs="宋体"/>
          <w:color w:val="auto"/>
          <w:sz w:val="24"/>
          <w:highlight w:val="none"/>
        </w:rPr>
        <w:t>47.33</w:t>
      </w:r>
      <w:r>
        <w:rPr>
          <w:rFonts w:hint="eastAsia" w:ascii="宋体" w:hAnsi="宋体" w:cs="宋体"/>
          <w:color w:val="auto"/>
          <w:sz w:val="24"/>
          <w:highlight w:val="none"/>
          <w:u w:val="none"/>
        </w:rPr>
        <w:t>如果审计机关依法对本工程实施审计，发包人、承包人及监理单位应积极配合。</w:t>
      </w:r>
    </w:p>
    <w:p>
      <w:pPr>
        <w:spacing w:line="440" w:lineRule="exact"/>
        <w:ind w:firstLine="480" w:firstLineChars="200"/>
        <w:rPr>
          <w:rFonts w:ascii="宋体" w:hAnsi="宋体" w:cs="宋体"/>
          <w:color w:val="auto"/>
          <w:sz w:val="24"/>
          <w:highlight w:val="none"/>
          <w:u w:val="none"/>
        </w:rPr>
      </w:pPr>
      <w:r>
        <w:rPr>
          <w:rFonts w:ascii="宋体" w:hAnsi="宋体" w:cs="宋体"/>
          <w:color w:val="auto"/>
          <w:sz w:val="24"/>
          <w:highlight w:val="none"/>
        </w:rPr>
        <w:t>47.34</w:t>
      </w:r>
      <w:r>
        <w:rPr>
          <w:rFonts w:hint="eastAsia" w:ascii="宋体" w:hAnsi="宋体" w:cs="宋体"/>
          <w:color w:val="auto"/>
          <w:sz w:val="24"/>
          <w:highlight w:val="none"/>
          <w:u w:val="none"/>
        </w:rPr>
        <w:t>本合同在实施过程中所发生的文件来往，双方不得拒绝签收。如果发生类似事件，发文一方可以监理工程师签收为准，视为送达。</w:t>
      </w:r>
    </w:p>
    <w:p>
      <w:pPr>
        <w:spacing w:line="440" w:lineRule="exact"/>
        <w:ind w:firstLine="480" w:firstLineChars="200"/>
        <w:rPr>
          <w:rFonts w:ascii="宋体" w:hAnsi="宋体" w:cs="宋体"/>
          <w:color w:val="auto"/>
          <w:sz w:val="24"/>
          <w:highlight w:val="none"/>
          <w:u w:val="none"/>
        </w:rPr>
      </w:pPr>
      <w:r>
        <w:rPr>
          <w:rFonts w:ascii="宋体" w:hAnsi="宋体" w:cs="宋体"/>
          <w:color w:val="auto"/>
          <w:sz w:val="24"/>
          <w:highlight w:val="none"/>
        </w:rPr>
        <w:t>47.35</w:t>
      </w:r>
      <w:r>
        <w:rPr>
          <w:rFonts w:hint="eastAsia" w:ascii="宋体" w:hAnsi="宋体" w:cs="宋体"/>
          <w:color w:val="auto"/>
          <w:sz w:val="24"/>
          <w:highlight w:val="none"/>
          <w:u w:val="none"/>
        </w:rPr>
        <w:t>关于现场文件送达后的时效约定：如果涉及到安全、质量、工期（或进度）、经济、技术方案等的报审文件，在发往现场项目部的同时，抄送一份给对方公司，按约定的时效执行；如果属于一般性文件，就直接发往对方现场项目部，项目部如果在约定的时效内未作答复，发文一方再追加一份给对方公司并重新约定答复时效，如果对方公司仍然没有答复，则按重新约定的时效执行。</w:t>
      </w:r>
    </w:p>
    <w:p>
      <w:pPr>
        <w:spacing w:line="440" w:lineRule="exact"/>
        <w:ind w:firstLine="480" w:firstLineChars="200"/>
        <w:rPr>
          <w:rFonts w:ascii="宋体" w:hAnsi="宋体" w:cs="宋体"/>
          <w:color w:val="auto"/>
          <w:sz w:val="24"/>
          <w:highlight w:val="none"/>
          <w:u w:val="none"/>
        </w:rPr>
      </w:pPr>
      <w:r>
        <w:rPr>
          <w:rFonts w:ascii="宋体" w:hAnsi="宋体" w:cs="宋体"/>
          <w:color w:val="auto"/>
          <w:sz w:val="24"/>
          <w:highlight w:val="none"/>
        </w:rPr>
        <w:t>47.36</w:t>
      </w:r>
      <w:r>
        <w:rPr>
          <w:rFonts w:hint="eastAsia" w:ascii="宋体" w:hAnsi="宋体" w:cs="宋体"/>
          <w:color w:val="auto"/>
          <w:sz w:val="24"/>
          <w:highlight w:val="none"/>
          <w:u w:val="none"/>
        </w:rPr>
        <w:t>在本合同实施过程中所发生的违约金、罚款、扣款等费用，经监理工程师核实并通知承包人后直接作为财务扣款依据（无需承包人签认或同意），可由发包人在履约担保中主张或在工程款中扣除，承包人对此无异议。</w:t>
      </w:r>
    </w:p>
    <w:p>
      <w:pPr>
        <w:spacing w:line="440" w:lineRule="exact"/>
        <w:ind w:firstLine="480" w:firstLineChars="200"/>
        <w:rPr>
          <w:rFonts w:ascii="宋体" w:hAnsi="宋体" w:cs="宋体"/>
          <w:color w:val="auto"/>
          <w:sz w:val="24"/>
          <w:highlight w:val="none"/>
          <w:u w:val="none"/>
        </w:rPr>
      </w:pPr>
      <w:r>
        <w:rPr>
          <w:rFonts w:ascii="宋体" w:hAnsi="宋体" w:cs="宋体"/>
          <w:color w:val="auto"/>
          <w:sz w:val="24"/>
          <w:highlight w:val="none"/>
        </w:rPr>
        <w:t>47.37</w:t>
      </w:r>
      <w:r>
        <w:rPr>
          <w:rFonts w:hint="eastAsia" w:ascii="宋体" w:hAnsi="宋体" w:cs="宋体"/>
          <w:color w:val="auto"/>
          <w:sz w:val="24"/>
          <w:highlight w:val="none"/>
          <w:u w:val="none"/>
        </w:rPr>
        <w:t>承包人施工过程中不得侵犯他人的专利权或者其他合法权益，否则由承包人承担相关责任，并保证不因该侵权行为影响工程建设。</w:t>
      </w:r>
    </w:p>
    <w:p>
      <w:pPr>
        <w:spacing w:line="440" w:lineRule="exact"/>
        <w:ind w:firstLine="480" w:firstLineChars="200"/>
        <w:rPr>
          <w:rFonts w:ascii="宋体" w:hAnsi="宋体" w:cs="宋体"/>
          <w:color w:val="auto"/>
          <w:sz w:val="24"/>
          <w:highlight w:val="none"/>
          <w:u w:val="none"/>
        </w:rPr>
      </w:pPr>
      <w:r>
        <w:rPr>
          <w:rFonts w:ascii="宋体" w:hAnsi="宋体" w:cs="宋体"/>
          <w:color w:val="auto"/>
          <w:sz w:val="24"/>
          <w:highlight w:val="none"/>
        </w:rPr>
        <w:t>47.38</w:t>
      </w:r>
      <w:r>
        <w:rPr>
          <w:rFonts w:hint="eastAsia" w:ascii="宋体" w:hAnsi="宋体" w:cs="宋体"/>
          <w:color w:val="auto"/>
          <w:sz w:val="24"/>
          <w:highlight w:val="none"/>
          <w:u w:val="none"/>
        </w:rPr>
        <w:t>承包人与发包人签订合同时所提供的开户银行名称及帐号不得擅自变更，如需变更必须征得发包人的书面同意，否则发包人有权停止工程款的拨付，所造成的一切后果由承包人承担。</w:t>
      </w:r>
    </w:p>
    <w:p>
      <w:pPr>
        <w:spacing w:line="440" w:lineRule="exact"/>
        <w:ind w:firstLine="480" w:firstLineChars="200"/>
        <w:rPr>
          <w:rFonts w:ascii="宋体" w:hAnsi="宋体" w:cs="宋体"/>
          <w:color w:val="auto"/>
          <w:sz w:val="24"/>
          <w:highlight w:val="none"/>
          <w:u w:val="none"/>
        </w:rPr>
      </w:pPr>
      <w:r>
        <w:rPr>
          <w:rFonts w:ascii="宋体" w:hAnsi="宋体" w:cs="宋体"/>
          <w:color w:val="auto"/>
          <w:sz w:val="24"/>
          <w:highlight w:val="none"/>
        </w:rPr>
        <w:t>47.39</w:t>
      </w:r>
      <w:r>
        <w:rPr>
          <w:rFonts w:hint="eastAsia" w:ascii="宋体" w:hAnsi="宋体" w:cs="宋体"/>
          <w:color w:val="auto"/>
          <w:sz w:val="24"/>
          <w:highlight w:val="none"/>
          <w:u w:val="none"/>
        </w:rPr>
        <w:t>如发包人为本工程的代建单位，则本工程建设业主同时享有本合同项下属发包人的权利，并且合同中约定需发包人审批的事项，必须经建设业主审批同意后方可实施。</w:t>
      </w:r>
    </w:p>
    <w:p>
      <w:pPr>
        <w:spacing w:line="440" w:lineRule="exact"/>
        <w:ind w:firstLine="360" w:firstLineChars="150"/>
        <w:rPr>
          <w:rFonts w:ascii="宋体" w:hAnsi="宋体" w:cs="宋体"/>
          <w:color w:val="auto"/>
          <w:sz w:val="24"/>
          <w:highlight w:val="none"/>
        </w:rPr>
      </w:pPr>
      <w:r>
        <w:rPr>
          <w:rFonts w:ascii="宋体" w:hAnsi="宋体" w:cs="宋体"/>
          <w:color w:val="auto"/>
          <w:sz w:val="24"/>
          <w:highlight w:val="none"/>
        </w:rPr>
        <w:t>47.40</w:t>
      </w:r>
      <w:r>
        <w:rPr>
          <w:rFonts w:hint="eastAsia" w:ascii="宋体" w:hAnsi="宋体" w:cs="宋体"/>
          <w:color w:val="auto"/>
          <w:sz w:val="24"/>
          <w:highlight w:val="none"/>
        </w:rPr>
        <w:t>《广州开发区财政投资建设项目管理中心绿化景观工程计量管理办法》将作为合同附件，各相关单位须遵照执行。</w:t>
      </w:r>
      <w:r>
        <w:rPr>
          <w:rFonts w:ascii="宋体" w:hAnsi="宋体" w:cs="宋体"/>
          <w:color w:val="auto"/>
          <w:sz w:val="24"/>
          <w:highlight w:val="none"/>
        </w:rPr>
        <w:t xml:space="preserve"> (</w:t>
      </w:r>
      <w:r>
        <w:rPr>
          <w:rFonts w:hint="eastAsia" w:ascii="宋体" w:hAnsi="宋体" w:cs="宋体"/>
          <w:color w:val="auto"/>
          <w:sz w:val="24"/>
          <w:highlight w:val="none"/>
        </w:rPr>
        <w:t>该条款适用于绿化施工工程</w:t>
      </w:r>
      <w:r>
        <w:rPr>
          <w:rFonts w:ascii="宋体" w:hAnsi="宋体" w:cs="宋体"/>
          <w:color w:val="auto"/>
          <w:sz w:val="24"/>
          <w:highlight w:val="none"/>
        </w:rPr>
        <w:t>)</w:t>
      </w:r>
    </w:p>
    <w:p>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47.41</w:t>
      </w:r>
      <w:r>
        <w:rPr>
          <w:rFonts w:hint="eastAsia" w:ascii="宋体" w:hAnsi="宋体" w:cs="宋体"/>
          <w:color w:val="auto"/>
          <w:sz w:val="24"/>
          <w:highlight w:val="none"/>
        </w:rPr>
        <w:t>工程获得国家、省级、市级所发奖项的，可给予通报表彰，但不给予任何物质奖励。</w:t>
      </w:r>
    </w:p>
    <w:p>
      <w:pPr>
        <w:spacing w:line="440" w:lineRule="exact"/>
        <w:ind w:firstLine="480" w:firstLineChars="200"/>
        <w:rPr>
          <w:rFonts w:ascii="宋体" w:hAnsi="宋体" w:cs="宋体"/>
          <w:color w:val="auto"/>
          <w:sz w:val="24"/>
          <w:highlight w:val="none"/>
          <w:u w:val="none"/>
        </w:rPr>
      </w:pPr>
      <w:r>
        <w:rPr>
          <w:rFonts w:ascii="宋体" w:hAnsi="宋体" w:cs="宋体"/>
          <w:color w:val="auto"/>
          <w:sz w:val="24"/>
          <w:highlight w:val="none"/>
        </w:rPr>
        <w:t>47.42</w:t>
      </w:r>
      <w:r>
        <w:rPr>
          <w:rFonts w:hint="eastAsia" w:ascii="宋体" w:hAnsi="宋体" w:cs="宋体"/>
          <w:color w:val="auto"/>
          <w:sz w:val="24"/>
          <w:highlight w:val="none"/>
          <w:u w:val="none"/>
        </w:rPr>
        <w:t>如本合同需缴纳合同印花税，承包人需在有关税务部门规定期限及结清本合同费用前，代缴按规定属发包人缴纳的部分，代缴后发包人按代缴金额实报实销。承包人未按规定期限代缴印花税的，因此产生的滞纳金由承包人承担。</w:t>
      </w:r>
    </w:p>
    <w:p>
      <w:pPr>
        <w:spacing w:line="440" w:lineRule="exact"/>
        <w:ind w:firstLine="480" w:firstLineChars="200"/>
        <w:rPr>
          <w:rFonts w:ascii="宋体" w:hAnsi="宋体" w:cs="宋体"/>
          <w:color w:val="auto"/>
          <w:sz w:val="24"/>
          <w:highlight w:val="none"/>
          <w:u w:val="none"/>
        </w:rPr>
      </w:pPr>
      <w:r>
        <w:rPr>
          <w:rFonts w:ascii="宋体" w:hAnsi="宋体" w:cs="宋体"/>
          <w:color w:val="auto"/>
          <w:sz w:val="24"/>
          <w:highlight w:val="none"/>
        </w:rPr>
        <w:t>47.43</w:t>
      </w:r>
      <w:r>
        <w:rPr>
          <w:rFonts w:hint="eastAsia" w:ascii="宋体" w:hAnsi="宋体" w:cs="宋体"/>
          <w:color w:val="auto"/>
          <w:sz w:val="24"/>
          <w:highlight w:val="none"/>
          <w:u w:val="none"/>
        </w:rPr>
        <w:t>如承包人为联合体的，本合同由联合体的主办方负责签订。并由联合体主办方负责开具合同价款全额发票、收取合同款项，联合体主办方收取合同款项后由联合体各方自行分配相应款项，或由联合体各方负责开具其对应价款的全额发票，具体分配事宜与发包人无关。</w:t>
      </w:r>
    </w:p>
    <w:p>
      <w:pPr>
        <w:spacing w:line="440" w:lineRule="exact"/>
        <w:ind w:firstLine="480" w:firstLineChars="200"/>
        <w:rPr>
          <w:rFonts w:ascii="宋体" w:hAnsi="宋体" w:cs="宋体"/>
          <w:color w:val="auto"/>
          <w:sz w:val="24"/>
          <w:highlight w:val="none"/>
          <w:u w:val="none"/>
        </w:rPr>
      </w:pPr>
      <w:r>
        <w:rPr>
          <w:rFonts w:ascii="宋体" w:hAnsi="宋体" w:cs="宋体"/>
          <w:color w:val="auto"/>
          <w:sz w:val="24"/>
          <w:highlight w:val="none"/>
        </w:rPr>
        <w:t>47.44</w:t>
      </w:r>
      <w:r>
        <w:rPr>
          <w:rFonts w:hint="eastAsia" w:ascii="宋体" w:hAnsi="宋体" w:cs="宋体"/>
          <w:color w:val="auto"/>
          <w:sz w:val="24"/>
          <w:highlight w:val="none"/>
          <w:u w:val="none"/>
        </w:rPr>
        <w:t>如承包人及承包人的项目负责人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经发包人核实，发包人有权终止合同。</w:t>
      </w:r>
    </w:p>
    <w:p>
      <w:pPr>
        <w:spacing w:line="440" w:lineRule="exact"/>
        <w:ind w:firstLine="480" w:firstLineChars="200"/>
        <w:rPr>
          <w:rFonts w:ascii="宋体" w:hAnsi="宋体" w:cs="宋体"/>
          <w:color w:val="auto"/>
          <w:sz w:val="24"/>
          <w:highlight w:val="none"/>
          <w:u w:val="none"/>
        </w:rPr>
      </w:pPr>
      <w:r>
        <w:rPr>
          <w:rFonts w:ascii="宋体" w:hAnsi="宋体" w:cs="宋体"/>
          <w:color w:val="auto"/>
          <w:sz w:val="24"/>
          <w:highlight w:val="none"/>
          <w:u w:val="none"/>
        </w:rPr>
        <w:t>47.45</w:t>
      </w:r>
      <w:r>
        <w:rPr>
          <w:rFonts w:hint="eastAsia" w:ascii="宋体" w:hAnsi="宋体" w:cs="宋体"/>
          <w:color w:val="auto"/>
          <w:sz w:val="24"/>
          <w:highlight w:val="none"/>
          <w:u w:val="none"/>
        </w:rPr>
        <w:t>如承包人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的，经发包人核实，发包人有权终止合同。</w:t>
      </w:r>
    </w:p>
    <w:p>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47.46开工前中标人应当投保安全生产责任保险，且该保险保障场所应包含中标项目。投标人的投标报价视为包含该项目费用。中标人未按规定购买安全生产责任保险，招标人可视严重程度拒绝该单位一定时期内参与后续工程投标。</w:t>
      </w:r>
    </w:p>
    <w:p>
      <w:pPr>
        <w:spacing w:line="440" w:lineRule="exact"/>
        <w:ind w:firstLine="480" w:firstLineChars="200"/>
        <w:rPr>
          <w:rFonts w:ascii="宋体" w:hAnsi="宋体" w:cs="宋体"/>
          <w:color w:val="auto"/>
          <w:sz w:val="24"/>
          <w:highlight w:val="none"/>
          <w:u w:val="none"/>
        </w:rPr>
      </w:pPr>
      <w:r>
        <w:rPr>
          <w:rFonts w:ascii="宋体" w:hAnsi="宋体" w:cs="宋体"/>
          <w:color w:val="auto"/>
          <w:sz w:val="24"/>
          <w:highlight w:val="none"/>
          <w:u w:val="none"/>
        </w:rPr>
        <w:t xml:space="preserve">47.47 </w:t>
      </w:r>
      <w:r>
        <w:rPr>
          <w:rFonts w:hint="eastAsia" w:ascii="宋体" w:hAnsi="宋体" w:cs="宋体"/>
          <w:color w:val="auto"/>
          <w:sz w:val="24"/>
          <w:highlight w:val="none"/>
          <w:u w:val="none"/>
        </w:rPr>
        <w:t>如承包人存在出让投标资格、与其他单位围标串标、行贿、在投标文件中提供虚假材料、少放或不放业绩、奖项等客观评审资料减少自身竞争力、拖欠农民工工资、将中标工程转包或者违法分包等行为的，发包人将拒绝承包人在一年内参与后续招标项目的投标。</w:t>
      </w:r>
    </w:p>
    <w:p>
      <w:pPr>
        <w:spacing w:line="440" w:lineRule="exact"/>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47.4</w:t>
      </w:r>
      <w:r>
        <w:rPr>
          <w:rFonts w:ascii="宋体" w:hAnsi="宋体" w:cs="宋体"/>
          <w:color w:val="auto"/>
          <w:sz w:val="24"/>
          <w:highlight w:val="none"/>
          <w:u w:val="none"/>
        </w:rPr>
        <w:t>8</w:t>
      </w:r>
      <w:r>
        <w:rPr>
          <w:rFonts w:hint="eastAsia" w:ascii="宋体" w:hAnsi="宋体" w:cs="宋体"/>
          <w:color w:val="auto"/>
          <w:sz w:val="24"/>
          <w:szCs w:val="24"/>
          <w:highlight w:val="none"/>
          <w:u w:val="none"/>
        </w:rPr>
        <w:t>承包人在施工过程中应严格执行《城市绿化条例》、《广东省城市绿化条例》、《广州市绿化条例》、《广州市城市树木保护管理规定（试行）》（穗林业园林规字〔</w:t>
      </w:r>
      <w:r>
        <w:rPr>
          <w:rFonts w:ascii="宋体" w:hAnsi="宋体" w:cs="宋体"/>
          <w:color w:val="auto"/>
          <w:sz w:val="24"/>
          <w:szCs w:val="24"/>
          <w:highlight w:val="none"/>
          <w:u w:val="none"/>
        </w:rPr>
        <w:t>2022〕1号）等法规规定。不得破坏树木和树木立地生境，不得随意更改树木根颈处的地形标高。对可能影响绿地使用功能或树木正常生长的，应采取避让和保护措施。涉及树木周边环境施工时，承包人应对可能受损的树木采取保护措施，包括设立保护区域、使用保护物料包裹树干、设置临时支撑、定期检查树木健康状况等。工程建设应符合相关规划和标准，保证树木的生长空间。相关费用包含在合同价中，不另行计费。如果承包人不及时按要求完成，发包人可以另行委托实施，发包人按实际发生的费用在工程款中扣除，承包人不得有任何异议。</w:t>
      </w:r>
    </w:p>
    <w:p>
      <w:pPr>
        <w:spacing w:line="440" w:lineRule="exact"/>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47.4</w:t>
      </w:r>
      <w:r>
        <w:rPr>
          <w:rFonts w:ascii="宋体" w:hAnsi="宋体" w:cs="宋体"/>
          <w:color w:val="auto"/>
          <w:sz w:val="24"/>
          <w:highlight w:val="none"/>
          <w:u w:val="none"/>
        </w:rPr>
        <w:t>9</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承包人应严格保护古树名木、古树后续资源、行道树、大树等树木，禁止擅自砍伐树木，禁止擅自迁移树木。如承包人未经批准擅自砍伐树木、损害绿化、损害树木及绿化保护设施的，发包人将上报绿化行政主管部门，视情节轻重给予相应处罚，构成犯罪的将依法移交相关机关追究刑事责任。</w:t>
      </w:r>
    </w:p>
    <w:p>
      <w:pPr>
        <w:spacing w:line="440" w:lineRule="exact"/>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47.</w:t>
      </w:r>
      <w:r>
        <w:rPr>
          <w:rFonts w:ascii="宋体" w:hAnsi="宋体" w:cs="宋体"/>
          <w:color w:val="auto"/>
          <w:sz w:val="24"/>
          <w:highlight w:val="none"/>
          <w:u w:val="none"/>
        </w:rPr>
        <w:t>50</w:t>
      </w:r>
      <w:r>
        <w:rPr>
          <w:rFonts w:ascii="宋体" w:hAnsi="宋体" w:cs="宋体"/>
          <w:color w:val="auto"/>
          <w:sz w:val="24"/>
          <w:szCs w:val="24"/>
          <w:highlight w:val="none"/>
          <w:u w:val="none"/>
        </w:rPr>
        <w:t xml:space="preserve"> 承包人应切实遵守《中华人民共和国文物保护法》、《中华人民共和国文物保护法实施条例》、《广州市文物保护规定》等文物保护相关法律、法规规定，在工程施工前，协助发包人按规定履行文物保护相关审批手续，及配合相关单位完成考古调查、勘探相关工作。不得因施工发生损毁文物的情况。承包人应加强对其施工队伍及分包单位（如有）关于文物保护相关法律、法规的宣传教育，保证施工全过程不违反文物保护相关规定。如因承包人原因发生未履行文物考古调查、勘探等前置工作擅自开工建设的，由承包人承担全部法律责任，发包人将上报文物行政主管部门，视情节轻重给予相应处罚，构成犯罪的将依法移交相关机关追究刑事责任。</w:t>
      </w:r>
    </w:p>
    <w:p>
      <w:pPr>
        <w:spacing w:line="520" w:lineRule="exact"/>
        <w:ind w:firstLine="544" w:firstLineChars="227"/>
        <w:rPr>
          <w:rFonts w:ascii="宋体" w:hAnsi="宋体"/>
          <w:b/>
          <w:color w:val="auto"/>
          <w:sz w:val="24"/>
          <w:highlight w:val="none"/>
        </w:rPr>
      </w:pPr>
      <w:r>
        <w:rPr>
          <w:rFonts w:ascii="宋体" w:hAnsi="宋体" w:cs="宋体"/>
          <w:color w:val="auto"/>
          <w:sz w:val="24"/>
          <w:szCs w:val="24"/>
          <w:highlight w:val="none"/>
          <w:u w:val="none"/>
        </w:rPr>
        <w:t>47.5</w:t>
      </w:r>
      <w:r>
        <w:rPr>
          <w:rFonts w:ascii="宋体" w:hAnsi="宋体" w:cs="宋体"/>
          <w:color w:val="auto"/>
          <w:sz w:val="24"/>
          <w:highlight w:val="none"/>
          <w:u w:val="none"/>
        </w:rPr>
        <w:t>1</w:t>
      </w:r>
      <w:r>
        <w:rPr>
          <w:rFonts w:ascii="宋体" w:hAnsi="宋体" w:cs="宋体"/>
          <w:color w:val="auto"/>
          <w:sz w:val="24"/>
          <w:szCs w:val="24"/>
          <w:highlight w:val="none"/>
          <w:u w:val="none"/>
        </w:rPr>
        <w:t xml:space="preserve"> 未尽事宜，经双方友好协商解决。</w:t>
      </w:r>
    </w:p>
    <w:p>
      <w:pPr>
        <w:numPr>
          <w:ilvl w:val="0"/>
          <w:numId w:val="6"/>
        </w:numPr>
        <w:jc w:val="center"/>
        <w:rPr>
          <w:rFonts w:ascii="宋体" w:hAnsi="宋体" w:cs="宋体"/>
          <w:b/>
          <w:bCs/>
          <w:color w:val="auto"/>
          <w:sz w:val="28"/>
          <w:szCs w:val="28"/>
          <w:highlight w:val="none"/>
        </w:rPr>
      </w:pPr>
      <w:r>
        <w:rPr>
          <w:color w:val="auto"/>
          <w:highlight w:val="none"/>
        </w:rPr>
        <w:br w:type="page"/>
      </w:r>
      <w:r>
        <w:rPr>
          <w:rFonts w:hint="eastAsia" w:ascii="宋体" w:hAnsi="宋体" w:cs="宋体"/>
          <w:b/>
          <w:color w:val="auto"/>
          <w:sz w:val="28"/>
          <w:szCs w:val="28"/>
          <w:highlight w:val="none"/>
        </w:rPr>
        <w:t xml:space="preserve"> </w:t>
      </w:r>
      <w:r>
        <w:rPr>
          <w:rFonts w:hint="eastAsia" w:ascii="宋体" w:hAnsi="宋体" w:cs="宋体"/>
          <w:b/>
          <w:bCs/>
          <w:color w:val="auto"/>
          <w:sz w:val="28"/>
          <w:szCs w:val="28"/>
          <w:highlight w:val="none"/>
        </w:rPr>
        <w:t>绿化种植专篇</w:t>
      </w:r>
    </w:p>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（本专篇适用于绿化建设项目、房建及道路配套绿化项目。）</w:t>
      </w:r>
    </w:p>
    <w:p>
      <w:pPr>
        <w:spacing w:line="440" w:lineRule="exact"/>
        <w:rPr>
          <w:rFonts w:ascii="宋体" w:hAnsi="宋体" w:cs="宋体"/>
          <w:color w:val="auto"/>
          <w:sz w:val="24"/>
          <w:highlight w:val="none"/>
        </w:rPr>
      </w:pPr>
    </w:p>
    <w:p>
      <w:pPr>
        <w:spacing w:line="440" w:lineRule="exact"/>
        <w:rPr>
          <w:rFonts w:ascii="宋体" w:hAnsi="宋体" w:cs="宋体"/>
          <w:color w:val="auto"/>
          <w:sz w:val="24"/>
          <w:highlight w:val="none"/>
        </w:rPr>
      </w:pPr>
      <w:r>
        <w:rPr>
          <w:rFonts w:hint="eastAsia" w:ascii="宋体" w:hAnsi="宋体" w:cs="宋体"/>
          <w:color w:val="auto"/>
          <w:sz w:val="24"/>
          <w:highlight w:val="none"/>
        </w:rPr>
        <w:t>发包人（甲方）：</w:t>
      </w:r>
      <w:r>
        <w:rPr>
          <w:rFonts w:hint="eastAsia" w:ascii="宋体" w:hAnsi="宋体" w:cs="宋体"/>
          <w:color w:val="auto"/>
          <w:sz w:val="24"/>
          <w:highlight w:val="none"/>
          <w:u w:val="single"/>
        </w:rPr>
        <w:t>广州开发区财政投资建设项目管理中心</w:t>
      </w:r>
    </w:p>
    <w:p>
      <w:pPr>
        <w:spacing w:line="440" w:lineRule="exact"/>
        <w:rPr>
          <w:rFonts w:ascii="宋体" w:hAnsi="宋体" w:cs="宋体"/>
          <w:color w:val="auto"/>
          <w:sz w:val="24"/>
          <w:highlight w:val="none"/>
        </w:rPr>
      </w:pPr>
      <w:r>
        <w:rPr>
          <w:rFonts w:hint="eastAsia" w:ascii="宋体" w:hAnsi="宋体" w:cs="宋体"/>
          <w:color w:val="auto"/>
          <w:sz w:val="24"/>
          <w:highlight w:val="none"/>
        </w:rPr>
        <w:t>承包人（乙方）：</w:t>
      </w:r>
      <w:r>
        <w:rPr>
          <w:rFonts w:hint="eastAsia" w:ascii="宋体" w:hAnsi="宋体" w:cs="宋体"/>
          <w:color w:val="auto"/>
          <w:sz w:val="24"/>
          <w:highlight w:val="none"/>
          <w:u w:val="single"/>
        </w:rPr>
        <w:t xml:space="preserve">                    </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为提高绿化苗木选取和种植苗木质量，加强科学绿化建设和管理，提升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项目绿化种植和养护管理标准，制订本项目绿化种植专篇。</w:t>
      </w:r>
    </w:p>
    <w:p>
      <w:pPr>
        <w:spacing w:line="44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一、绿化种植、养护内容及范围</w:t>
      </w:r>
    </w:p>
    <w:p>
      <w:pPr>
        <w:spacing w:line="44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1、本项目绿化工程范围：</w:t>
      </w:r>
      <w:r>
        <w:rPr>
          <w:rFonts w:hint="eastAsia" w:ascii="宋体" w:hAnsi="宋体" w:cs="宋体"/>
          <w:color w:val="auto"/>
          <w:kern w:val="0"/>
          <w:sz w:val="24"/>
          <w:highlight w:val="none"/>
          <w:u w:val="single"/>
        </w:rPr>
        <w:t xml:space="preserve"> </w:t>
      </w:r>
      <w:r>
        <w:rPr>
          <w:rFonts w:hint="eastAsia" w:ascii="宋体" w:hAnsi="宋体" w:cs="宋体"/>
          <w:color w:val="auto"/>
          <w:sz w:val="24"/>
          <w:highlight w:val="none"/>
          <w:u w:val="single"/>
        </w:rPr>
        <w:t>本项目施工合同约定的承包范围内的全部绿化工程内容</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pStyle w:val="13"/>
        <w:spacing w:line="440" w:lineRule="exact"/>
        <w:rPr>
          <w:rFonts w:ascii="宋体" w:hAnsi="宋体" w:cs="宋体"/>
          <w:color w:val="auto"/>
          <w:sz w:val="24"/>
          <w:highlight w:val="none"/>
        </w:rPr>
      </w:pPr>
      <w:r>
        <w:rPr>
          <w:rFonts w:hint="eastAsia" w:ascii="宋体" w:hAnsi="宋体" w:cs="宋体"/>
          <w:color w:val="auto"/>
          <w:kern w:val="0"/>
          <w:sz w:val="24"/>
          <w:highlight w:val="none"/>
        </w:rPr>
        <w:t xml:space="preserve">    </w:t>
      </w:r>
      <w:r>
        <w:rPr>
          <w:rFonts w:ascii="宋体" w:hAnsi="宋体" w:cs="宋体"/>
          <w:color w:val="auto"/>
          <w:kern w:val="0"/>
          <w:sz w:val="24"/>
          <w:highlight w:val="none"/>
        </w:rPr>
        <w:t>2</w:t>
      </w:r>
      <w:r>
        <w:rPr>
          <w:rFonts w:hint="eastAsia" w:ascii="宋体" w:hAnsi="宋体" w:cs="宋体"/>
          <w:color w:val="auto"/>
          <w:kern w:val="0"/>
          <w:sz w:val="24"/>
          <w:highlight w:val="none"/>
        </w:rPr>
        <w:t>、</w:t>
      </w:r>
      <w:r>
        <w:rPr>
          <w:rFonts w:hint="eastAsia" w:ascii="宋体" w:hAnsi="宋体" w:eastAsia="宋体" w:cs="宋体"/>
          <w:color w:val="auto"/>
          <w:kern w:val="0"/>
          <w:sz w:val="24"/>
          <w:highlight w:val="none"/>
        </w:rPr>
        <w:t>本项目苗木供应清单，详见招标工程量清单。</w:t>
      </w:r>
    </w:p>
    <w:p>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二、质量要求</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要求符合国家、省、市园林绿化规程、检评标准、相关要求及行业标准，包括但不限于以下： </w:t>
      </w:r>
    </w:p>
    <w:p>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 相关法律法规与政策文件</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（1）《城市绿化条例》（2017 年修订）；</w:t>
      </w:r>
    </w:p>
    <w:p>
      <w:pPr>
        <w:pStyle w:val="28"/>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（2）《广东省城市绿化条例》（2022 年修订）</w:t>
      </w:r>
    </w:p>
    <w:p>
      <w:pPr>
        <w:pStyle w:val="28"/>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（3）《广州市绿化条例》（2022 年修订）</w:t>
      </w:r>
    </w:p>
    <w:p>
      <w:pPr>
        <w:pStyle w:val="28"/>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（4）《国务院办公厅关于科学绿化的指导意见》（国办发〔2021〕19 号）</w:t>
      </w:r>
    </w:p>
    <w:p>
      <w:pPr>
        <w:pStyle w:val="28"/>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（5）《中共广东省委关于深入推进绿美广东生态建设的决定》（2022 年 12 月 8 日中国共产党广东省第十三届委员会第二次全体会议通过）</w:t>
      </w:r>
    </w:p>
    <w:p>
      <w:pPr>
        <w:pStyle w:val="28"/>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（6）《广东省人民政府办公厅关于科学绿化的实施意见》（粤府办〔2021〕48 号）</w:t>
      </w:r>
    </w:p>
    <w:p>
      <w:pPr>
        <w:pStyle w:val="28"/>
        <w:spacing w:line="440" w:lineRule="exact"/>
        <w:ind w:firstLine="0" w:firstLineChars="0"/>
        <w:rPr>
          <w:rFonts w:ascii="宋体" w:hAnsi="宋体" w:cs="宋体"/>
          <w:color w:val="auto"/>
          <w:sz w:val="24"/>
          <w:highlight w:val="none"/>
        </w:rPr>
      </w:pPr>
      <w:r>
        <w:rPr>
          <w:rFonts w:hint="eastAsia" w:ascii="宋体" w:hAnsi="宋体" w:cs="宋体"/>
          <w:color w:val="auto"/>
          <w:sz w:val="24"/>
          <w:highlight w:val="none"/>
        </w:rPr>
        <w:t>（7）中共广州市委办公厅 广州市人民政府办公厅印发《广州市关于科学绿化的实施意见》的通知（穗办〔2021〕11号）</w:t>
      </w:r>
    </w:p>
    <w:p>
      <w:pPr>
        <w:pStyle w:val="28"/>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（8）《广州市林业和园林局关于印发广州市树木修剪技术指引（试行）的通知》（穗林业园林通〔2021〕153 号）</w:t>
      </w:r>
    </w:p>
    <w:p>
      <w:pPr>
        <w:pStyle w:val="28"/>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（9）《广州市林业和园林局关于规范提升全市树木支撑的通知》（穗林业园林通〔2019〕100 号）</w:t>
      </w:r>
    </w:p>
    <w:p>
      <w:pPr>
        <w:pStyle w:val="28"/>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（10）黄埔区住房和城乡建设局 广州开发区建设和交通局关于印发《黄埔区绿化苗木选用及种植技术指引（1.0版）》《黄埔区园林绿化养护技术指引（1.0版）》的通知（穗埔建〔2023〕93 号）</w:t>
      </w:r>
    </w:p>
    <w:p>
      <w:pPr>
        <w:pStyle w:val="28"/>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 《黄埔区住房和城乡建设局 广州开发区建设和交通局关于加强科学绿化工作的提醒函》（穗埔建函[2023]2767号）</w:t>
      </w:r>
    </w:p>
    <w:p>
      <w:pPr>
        <w:spacing w:line="440" w:lineRule="exact"/>
        <w:jc w:val="left"/>
        <w:rPr>
          <w:rFonts w:ascii="宋体" w:hAnsi="宋体" w:cs="宋体"/>
          <w:b/>
          <w:bCs/>
          <w:color w:val="auto"/>
          <w:sz w:val="24"/>
          <w:highlight w:val="none"/>
        </w:rPr>
      </w:pPr>
      <w:r>
        <w:rPr>
          <w:rFonts w:hint="eastAsia" w:ascii="宋体" w:hAnsi="宋体" w:cs="宋体"/>
          <w:b/>
          <w:bCs/>
          <w:color w:val="auto"/>
          <w:sz w:val="24"/>
          <w:highlight w:val="none"/>
        </w:rPr>
        <w:t>2、 相关标准规范</w:t>
      </w:r>
    </w:p>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（1）《园林绿化工程项目规范》（GB55014-2021）；</w:t>
      </w:r>
    </w:p>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（2）《城市园林绿化评价标准》GBT 50563-2010；</w:t>
      </w:r>
    </w:p>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（3）《城市绿地草坪建植与管理技术规程》GBT 19535.2-2004；</w:t>
      </w:r>
    </w:p>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（4）《城市园林绿化评价标准》[附条文说明]GB/T 50563-2010</w:t>
      </w:r>
    </w:p>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（5）《地表水环境质量标准》GB 3838-2002</w:t>
      </w:r>
    </w:p>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（6）《园林树木安全性评价技术规范》DB4401/T17—2019 ；</w:t>
      </w:r>
    </w:p>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（7）《广东城市绿化工程施工和验收规范》DBBT581-2009 ；</w:t>
      </w:r>
    </w:p>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（8）《城市园林绿化工程施工及验收规范》DB11/T 212-2017；</w:t>
      </w:r>
    </w:p>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（9）《城市园林绿化用苗-木本苗木分级》DB440300/T 28—2006。</w:t>
      </w:r>
    </w:p>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（10）《城市绿化和园林绿地用植物材料-木本苗》CJT 24-1999；</w:t>
      </w:r>
    </w:p>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（11）《城市绿化和园林绿地用植物材料- 球根花卉种球》CJT</w:t>
      </w:r>
    </w:p>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135-2001 ；</w:t>
      </w:r>
    </w:p>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（12）《绿化种植土壤》CJ/T340-2016；</w:t>
      </w:r>
    </w:p>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（13）《园林植物筛选通用技术要求》CJT 512-2017；</w:t>
      </w:r>
    </w:p>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（14）《城市主要绿化竹种苗木等级》LYT 2345-2014；</w:t>
      </w:r>
    </w:p>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（15）《绿化全冠苗木栽植技术规程》LYT 2632-2016；</w:t>
      </w:r>
    </w:p>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（16）《森林植物检疫技术规程》</w:t>
      </w:r>
    </w:p>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（17）《广州市主要乡土和适生植物名录》</w:t>
      </w:r>
    </w:p>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（18）《城市道路绿化规划与设计规范》</w:t>
      </w:r>
    </w:p>
    <w:p>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三、绿化种植、养护要求</w:t>
      </w:r>
    </w:p>
    <w:p>
      <w:pPr>
        <w:numPr>
          <w:ilvl w:val="0"/>
          <w:numId w:val="7"/>
        </w:numPr>
        <w:spacing w:line="440" w:lineRule="exact"/>
        <w:ind w:firstLine="549" w:firstLineChars="228"/>
        <w:rPr>
          <w:rFonts w:ascii="宋体" w:hAnsi="宋体" w:cs="宋体"/>
          <w:b/>
          <w:bCs/>
          <w:color w:val="auto"/>
          <w:sz w:val="24"/>
          <w:highlight w:val="none"/>
        </w:rPr>
      </w:pPr>
      <w:r>
        <w:rPr>
          <w:rFonts w:hint="eastAsia" w:ascii="宋体" w:hAnsi="宋体" w:cs="宋体"/>
          <w:b/>
          <w:bCs/>
          <w:color w:val="auto"/>
          <w:sz w:val="24"/>
          <w:highlight w:val="none"/>
        </w:rPr>
        <w:t xml:space="preserve">绿化苗木选用和种植过程要求 </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严格按照本项目《苗木供应清单》要求选用苗木，执行《黄埔区绿化苗木选用及种植技术指引（1.0版）》，加强对绿化种植全过程的监管监控，严格把控好绿化苗木品质，精细化深翻整理绿地，因地制宜塑造地形，保证土质营养成分及酸碱度，高标准高质量开挖种植穴，严格控制种植穴的尺寸，确保做到深挖浅埋的要求，规范绿化苗木选苗、起苗、包扎、修剪，做足做全绿化苗木运输保护措施，标准化进行绿化种植、淋水、支撑、挂牌等工作，提高绿化种植成活率，促进绿化苗木健康茁壮成长，并在规定时间内整理好苗木种植资料。项目中使用的苗木，应来自珠三角地区正规苗圃场生产培育苗木，不应使用古树名木或从森林中移栽的大树。因改造而需迁移的树木应通过有效截枝、控根等技术措施进行迁地抚育，达到种植标准后，方可作为大规格苗木重新应用于园林绿化中。</w:t>
      </w:r>
    </w:p>
    <w:p>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2、绿化养护技术及时间要求</w:t>
      </w:r>
    </w:p>
    <w:p>
      <w:pPr>
        <w:pStyle w:val="24"/>
        <w:spacing w:line="440" w:lineRule="exact"/>
        <w:ind w:left="0" w:leftChars="0" w:firstLine="560" w:firstLineChars="0"/>
        <w:rPr>
          <w:rFonts w:hint="default" w:ascii="宋体" w:hAnsi="宋体" w:cs="宋体"/>
          <w:color w:val="auto"/>
          <w:sz w:val="24"/>
          <w:highlight w:val="none"/>
        </w:rPr>
      </w:pPr>
      <w:r>
        <w:rPr>
          <w:rFonts w:ascii="宋体" w:hAnsi="宋体" w:cs="宋体"/>
          <w:color w:val="auto"/>
          <w:sz w:val="24"/>
          <w:highlight w:val="none"/>
        </w:rPr>
        <w:t>承包人应认真学习并执行《黄埔区园林绿化养护技术指引（1.0版）》的具体要求，规范项目中绿化灌溉、施肥、修剪、病虫害综合防治、日常养护管理工作。</w:t>
      </w:r>
    </w:p>
    <w:p>
      <w:pPr>
        <w:snapToGrid w:val="0"/>
        <w:spacing w:line="440" w:lineRule="exact"/>
        <w:ind w:firstLine="581" w:firstLineChars="241"/>
        <w:rPr>
          <w:rFonts w:ascii="宋体" w:hAnsi="宋体" w:cs="宋体"/>
          <w:color w:val="auto"/>
          <w:sz w:val="24"/>
          <w:highlight w:val="none"/>
        </w:rPr>
      </w:pPr>
      <w:r>
        <w:rPr>
          <w:rFonts w:hint="eastAsia" w:ascii="宋体" w:hAnsi="宋体" w:cs="宋体"/>
          <w:b/>
          <w:bCs/>
          <w:color w:val="auto"/>
          <w:sz w:val="24"/>
          <w:highlight w:val="none"/>
        </w:rPr>
        <w:t>养护期：</w:t>
      </w:r>
      <w:r>
        <w:rPr>
          <w:rFonts w:hint="eastAsia" w:ascii="宋体" w:hAnsi="宋体"/>
          <w:color w:val="auto"/>
          <w:sz w:val="24"/>
          <w:highlight w:val="none"/>
        </w:rPr>
        <w:t>胸径</w:t>
      </w:r>
      <w:r>
        <w:rPr>
          <w:rFonts w:ascii="宋体" w:hAnsi="宋体"/>
          <w:color w:val="auto"/>
          <w:sz w:val="24"/>
          <w:highlight w:val="none"/>
        </w:rPr>
        <w:t>15cm</w:t>
      </w:r>
      <w:r>
        <w:rPr>
          <w:rFonts w:hint="eastAsia" w:ascii="宋体" w:hAnsi="宋体"/>
          <w:color w:val="auto"/>
          <w:sz w:val="24"/>
          <w:highlight w:val="none"/>
        </w:rPr>
        <w:t>以内（含</w:t>
      </w:r>
      <w:r>
        <w:rPr>
          <w:rFonts w:ascii="宋体" w:hAnsi="宋体"/>
          <w:color w:val="auto"/>
          <w:sz w:val="24"/>
          <w:highlight w:val="none"/>
        </w:rPr>
        <w:t>15cm</w:t>
      </w:r>
      <w:r>
        <w:rPr>
          <w:rFonts w:hint="eastAsia" w:ascii="宋体" w:hAnsi="宋体"/>
          <w:color w:val="auto"/>
          <w:sz w:val="24"/>
          <w:highlight w:val="none"/>
        </w:rPr>
        <w:t>）的苗木养护期为</w:t>
      </w:r>
      <w:r>
        <w:rPr>
          <w:rFonts w:hint="eastAsia" w:ascii="宋体" w:hAnsi="宋体" w:cs="宋体"/>
          <w:color w:val="auto"/>
          <w:sz w:val="24"/>
          <w:highlight w:val="none"/>
        </w:rPr>
        <w:t>自本项目绿化工程通过竣工验收之日起</w:t>
      </w:r>
      <w:r>
        <w:rPr>
          <w:rFonts w:ascii="宋体" w:hAnsi="宋体"/>
          <w:color w:val="auto"/>
          <w:sz w:val="24"/>
          <w:highlight w:val="none"/>
          <w:u w:val="single"/>
        </w:rPr>
        <w:t xml:space="preserve"> 3</w:t>
      </w:r>
      <w:r>
        <w:rPr>
          <w:rFonts w:hint="eastAsia" w:ascii="宋体" w:hAnsi="宋体"/>
          <w:color w:val="auto"/>
          <w:sz w:val="24"/>
          <w:highlight w:val="none"/>
          <w:u w:val="single"/>
        </w:rPr>
        <w:t xml:space="preserve"> </w:t>
      </w:r>
      <w:r>
        <w:rPr>
          <w:rFonts w:hint="eastAsia" w:ascii="宋体" w:hAnsi="宋体"/>
          <w:color w:val="auto"/>
          <w:sz w:val="24"/>
          <w:highlight w:val="none"/>
        </w:rPr>
        <w:t>个月，胸径</w:t>
      </w:r>
      <w:r>
        <w:rPr>
          <w:rFonts w:ascii="宋体" w:hAnsi="宋体"/>
          <w:color w:val="auto"/>
          <w:sz w:val="24"/>
          <w:highlight w:val="none"/>
        </w:rPr>
        <w:t>15cm</w:t>
      </w:r>
      <w:r>
        <w:rPr>
          <w:rFonts w:hint="eastAsia" w:ascii="宋体" w:hAnsi="宋体"/>
          <w:color w:val="auto"/>
          <w:sz w:val="24"/>
          <w:highlight w:val="none"/>
        </w:rPr>
        <w:t>以上的苗木养护期为</w:t>
      </w:r>
      <w:r>
        <w:rPr>
          <w:rFonts w:hint="eastAsia" w:ascii="宋体" w:hAnsi="宋体" w:cs="宋体"/>
          <w:color w:val="auto"/>
          <w:sz w:val="24"/>
          <w:highlight w:val="none"/>
        </w:rPr>
        <w:t>自本项目绿化工程通过竣工验收之日起</w:t>
      </w:r>
      <w:r>
        <w:rPr>
          <w:rFonts w:ascii="宋体" w:hAnsi="宋体"/>
          <w:color w:val="auto"/>
          <w:sz w:val="24"/>
          <w:highlight w:val="none"/>
          <w:u w:val="single"/>
        </w:rPr>
        <w:t xml:space="preserve"> 1</w:t>
      </w:r>
      <w:r>
        <w:rPr>
          <w:rFonts w:hint="eastAsia" w:ascii="宋体" w:hAnsi="宋体"/>
          <w:color w:val="auto"/>
          <w:sz w:val="24"/>
          <w:highlight w:val="none"/>
          <w:u w:val="single"/>
        </w:rPr>
        <w:t xml:space="preserve"> </w:t>
      </w:r>
      <w:r>
        <w:rPr>
          <w:rFonts w:hint="eastAsia" w:ascii="宋体" w:hAnsi="宋体"/>
          <w:color w:val="auto"/>
          <w:sz w:val="24"/>
          <w:highlight w:val="none"/>
        </w:rPr>
        <w:t>年。</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养护期内，承包人需负责项目中绿化灌溉、施肥、修剪、病虫害综合防治、日常养护管理工作，及时更换不符合清单要求的苗木，提高绿化种植成活率，确保绿化移交时符合《黄埔区绿化苗木选用及种植技术指引（1.0版）》《黄埔区园林绿化养护技术指引（1.0版）》及发包人要求。</w:t>
      </w:r>
    </w:p>
    <w:p>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四、责任与义务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1、承包人应严格按照本项目《苗木供应清单》执行苗木选用、种植和养护工作。如经发包人</w:t>
      </w:r>
      <w:r>
        <w:rPr>
          <w:rFonts w:hint="eastAsia" w:ascii="宋体" w:hAnsi="宋体" w:cs="宋体"/>
          <w:color w:val="auto"/>
          <w:kern w:val="0"/>
          <w:sz w:val="24"/>
          <w:highlight w:val="none"/>
        </w:rPr>
        <w:t>或本项目监理单位</w:t>
      </w:r>
      <w:r>
        <w:rPr>
          <w:rFonts w:hint="eastAsia" w:ascii="宋体" w:hAnsi="宋体" w:cs="宋体"/>
          <w:color w:val="auto"/>
          <w:sz w:val="24"/>
          <w:highlight w:val="none"/>
        </w:rPr>
        <w:t>巡查发现苗木不符合清单要求的，应按照发包人或者监理单位的要求及时更换；每逾期一天，由发包人扣减绿化工程造价的万分之一作为违约金。同时，发包人有权另行委托其他服务单位实施整改，以保证按时按质按量完成整改，所需费用从承包人工程款中全额扣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2、承包人应规范苗木种植过程及绿化灌溉、施肥、修剪、病虫害综合防治、日常养护管理等工作，发包人应不定期对承包人绿化种植成效进行抽查、加强对绿化种植全过程的监管监控，如承包人绿化种植效果达不到项目要求，发包人有权要求其限期整改。每逾期一天，由发包人扣减绿化工程造价的万分之一作为违约金。同时，发包人有权另行委托其他服务单位实施整改，以保证按时按质按量完成整改，所需费用从承包人工程款中全额扣除。</w:t>
      </w:r>
    </w:p>
    <w:p>
      <w:pPr>
        <w:rPr>
          <w:rFonts w:hint="eastAsia" w:ascii="宋体" w:hAnsi="宋体" w:cs="宋体"/>
          <w:b/>
          <w:bCs/>
          <w:color w:val="auto"/>
          <w:sz w:val="24"/>
          <w:highlight w:val="none"/>
        </w:rPr>
      </w:pPr>
      <w:r>
        <w:rPr>
          <w:rFonts w:hint="eastAsia" w:ascii="宋体" w:hAnsi="宋体" w:cs="宋体"/>
          <w:b/>
          <w:bCs/>
          <w:color w:val="auto"/>
          <w:sz w:val="24"/>
          <w:highlight w:val="none"/>
        </w:rPr>
        <w:br w:type="page"/>
      </w:r>
    </w:p>
    <w:p>
      <w:pPr>
        <w:pStyle w:val="28"/>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五、其它</w:t>
      </w:r>
    </w:p>
    <w:p>
      <w:pPr>
        <w:pStyle w:val="28"/>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本专篇是为规范本项目绿化工程种植、养护工作制定，未提及的内容均按施工合同专用条款的约定执行。</w:t>
      </w:r>
    </w:p>
    <w:p>
      <w:pPr>
        <w:spacing w:line="520" w:lineRule="exact"/>
        <w:rPr>
          <w:rFonts w:ascii="宋体" w:hAnsi="宋体" w:cs="宋体"/>
          <w:color w:val="auto"/>
          <w:sz w:val="24"/>
          <w:highlight w:val="none"/>
        </w:rPr>
      </w:pPr>
    </w:p>
    <w:p>
      <w:pPr>
        <w:spacing w:line="520" w:lineRule="exact"/>
        <w:jc w:val="center"/>
        <w:rPr>
          <w:rFonts w:ascii="宋体" w:hAnsi="宋体" w:cs="宋体"/>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rFonts w:ascii="宋体" w:hAnsi="宋体"/>
          <w:b/>
          <w:bCs w:val="0"/>
          <w:color w:val="auto"/>
          <w:sz w:val="28"/>
          <w:szCs w:val="28"/>
          <w:highlight w:val="none"/>
        </w:rPr>
      </w:pPr>
      <w:r>
        <w:rPr>
          <w:rFonts w:ascii="宋体" w:hAnsi="宋体"/>
          <w:b/>
          <w:bCs w:val="0"/>
          <w:color w:val="auto"/>
          <w:sz w:val="28"/>
          <w:szCs w:val="28"/>
          <w:highlight w:val="none"/>
        </w:rPr>
        <w:br w:type="page"/>
      </w:r>
    </w:p>
    <w:p>
      <w:pPr>
        <w:numPr>
          <w:ilvl w:val="0"/>
          <w:numId w:val="6"/>
        </w:numPr>
        <w:spacing w:line="440" w:lineRule="exact"/>
        <w:jc w:val="center"/>
        <w:rPr>
          <w:rFonts w:ascii="宋体" w:hAnsi="宋体"/>
          <w:b/>
          <w:bCs w:val="0"/>
          <w:color w:val="auto"/>
          <w:sz w:val="28"/>
          <w:szCs w:val="28"/>
          <w:highlight w:val="none"/>
        </w:rPr>
      </w:pPr>
      <w:r>
        <w:rPr>
          <w:rFonts w:hint="eastAsia" w:ascii="宋体" w:hAnsi="宋体"/>
          <w:b/>
          <w:bCs w:val="0"/>
          <w:color w:val="auto"/>
          <w:sz w:val="28"/>
          <w:szCs w:val="28"/>
          <w:highlight w:val="none"/>
        </w:rPr>
        <w:t>工程质量保修责任书</w:t>
      </w:r>
    </w:p>
    <w:p>
      <w:pPr>
        <w:numPr>
          <w:ilvl w:val="255"/>
          <w:numId w:val="0"/>
        </w:numPr>
        <w:spacing w:line="440" w:lineRule="exact"/>
        <w:jc w:val="center"/>
        <w:rPr>
          <w:rStyle w:val="81"/>
          <w:color w:val="auto"/>
          <w:sz w:val="32"/>
          <w:szCs w:val="32"/>
          <w:highlight w:val="none"/>
        </w:rPr>
      </w:pPr>
    </w:p>
    <w:p>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发包人：</w:t>
      </w:r>
      <w:r>
        <w:rPr>
          <w:rFonts w:hint="eastAsia" w:ascii="方正大标宋简体" w:hAnsi="仿宋" w:eastAsia="方正大标宋简体"/>
          <w:color w:val="auto"/>
          <w:sz w:val="24"/>
          <w:highlight w:val="none"/>
          <w:u w:val="single"/>
        </w:rPr>
        <w:t>广州开发区财政投资建设项目管理中心</w:t>
      </w:r>
    </w:p>
    <w:p>
      <w:pPr>
        <w:spacing w:line="440" w:lineRule="exact"/>
        <w:ind w:firstLine="480" w:firstLineChars="200"/>
        <w:rPr>
          <w:rFonts w:ascii="宋体" w:hAnsi="宋体"/>
          <w:snapToGrid w:val="0"/>
          <w:color w:val="auto"/>
          <w:kern w:val="0"/>
          <w:sz w:val="24"/>
          <w:highlight w:val="none"/>
          <w:u w:val="single"/>
        </w:rPr>
      </w:pPr>
      <w:r>
        <w:rPr>
          <w:rFonts w:hint="eastAsia" w:ascii="宋体" w:hAnsi="宋体"/>
          <w:snapToGrid w:val="0"/>
          <w:color w:val="auto"/>
          <w:kern w:val="0"/>
          <w:sz w:val="24"/>
          <w:highlight w:val="none"/>
        </w:rPr>
        <w:t>承包人：</w:t>
      </w:r>
      <w:r>
        <w:rPr>
          <w:rFonts w:hint="eastAsia" w:ascii="宋体" w:hAnsi="宋体"/>
          <w:color w:val="auto"/>
          <w:sz w:val="24"/>
          <w:highlight w:val="none"/>
          <w:u w:val="single"/>
        </w:rPr>
        <w:t xml:space="preserve">                       </w:t>
      </w:r>
    </w:p>
    <w:p>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发包人、承包人根据《中华人民共和国建筑法》、《建设工程质量管理条例》和《房屋建筑工程质量保修办法》等相关规定，经协商一致，对</w:t>
      </w:r>
      <w:r>
        <w:rPr>
          <w:rFonts w:hint="eastAsia" w:ascii="宋体" w:hAnsi="宋体"/>
          <w:snapToGrid w:val="0"/>
          <w:color w:val="auto"/>
          <w:kern w:val="0"/>
          <w:sz w:val="24"/>
          <w:highlight w:val="none"/>
          <w:u w:val="single"/>
        </w:rPr>
        <w:t xml:space="preserve">            </w:t>
      </w:r>
      <w:r>
        <w:rPr>
          <w:rFonts w:hint="eastAsia" w:ascii="宋体" w:hAnsi="宋体"/>
          <w:snapToGrid w:val="0"/>
          <w:color w:val="auto"/>
          <w:kern w:val="0"/>
          <w:sz w:val="24"/>
          <w:highlight w:val="none"/>
        </w:rPr>
        <w:t>建设项目工程项目签订工程质量保修书。</w:t>
      </w:r>
    </w:p>
    <w:p>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一、工程质量保修范围和内容</w:t>
      </w:r>
    </w:p>
    <w:p>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1、承包人在质量保修期内，按照有关法律、法规、规章的管理规定和双方约定，承担本工程质量保修责任。</w:t>
      </w:r>
    </w:p>
    <w:p>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2、质量保修范围本工程施工合同约定的工程内容。</w:t>
      </w:r>
    </w:p>
    <w:p>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二、质量保修期</w:t>
      </w:r>
    </w:p>
    <w:p>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双方根据《建设工程质量管理条例》、《房屋建筑工程质量保修办法》（建设部第80号令）的有关规定及设计要求，约定本工程质量保修期如下：</w:t>
      </w:r>
    </w:p>
    <w:p>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1、地基基础工程和主体结构工程为设计文件规定的该工程的合理使用年限；</w:t>
      </w:r>
    </w:p>
    <w:p>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2、屋面防水工程、有防水要求的卫生间、房间和外墙面的防渗漏为</w:t>
      </w:r>
      <w:r>
        <w:rPr>
          <w:rFonts w:hint="eastAsia" w:ascii="宋体" w:hAnsi="宋体"/>
          <w:snapToGrid w:val="0"/>
          <w:color w:val="auto"/>
          <w:kern w:val="0"/>
          <w:sz w:val="24"/>
          <w:highlight w:val="none"/>
          <w:u w:val="single"/>
        </w:rPr>
        <w:t xml:space="preserve"> 5 </w:t>
      </w:r>
      <w:r>
        <w:rPr>
          <w:rFonts w:hint="eastAsia" w:ascii="宋体" w:hAnsi="宋体"/>
          <w:snapToGrid w:val="0"/>
          <w:color w:val="auto"/>
          <w:kern w:val="0"/>
          <w:sz w:val="24"/>
          <w:highlight w:val="none"/>
        </w:rPr>
        <w:t>年；</w:t>
      </w:r>
    </w:p>
    <w:p>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3、电气管线、给排水管道、设备安装工程为</w:t>
      </w:r>
      <w:r>
        <w:rPr>
          <w:rFonts w:hint="eastAsia" w:ascii="宋体" w:hAnsi="宋体"/>
          <w:snapToGrid w:val="0"/>
          <w:color w:val="auto"/>
          <w:kern w:val="0"/>
          <w:sz w:val="24"/>
          <w:highlight w:val="none"/>
          <w:u w:val="single"/>
        </w:rPr>
        <w:t xml:space="preserve"> 2 </w:t>
      </w:r>
      <w:r>
        <w:rPr>
          <w:rFonts w:hint="eastAsia" w:ascii="宋体" w:hAnsi="宋体"/>
          <w:snapToGrid w:val="0"/>
          <w:color w:val="auto"/>
          <w:kern w:val="0"/>
          <w:sz w:val="24"/>
          <w:highlight w:val="none"/>
        </w:rPr>
        <w:t>年；</w:t>
      </w:r>
    </w:p>
    <w:p>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4、供热及供冷为</w:t>
      </w:r>
      <w:r>
        <w:rPr>
          <w:rFonts w:hint="eastAsia" w:ascii="宋体" w:hAnsi="宋体"/>
          <w:snapToGrid w:val="0"/>
          <w:color w:val="auto"/>
          <w:kern w:val="0"/>
          <w:sz w:val="24"/>
          <w:highlight w:val="none"/>
          <w:u w:val="single"/>
        </w:rPr>
        <w:t xml:space="preserve"> 2</w:t>
      </w:r>
      <w:r>
        <w:rPr>
          <w:rFonts w:hint="eastAsia" w:ascii="宋体" w:hAnsi="宋体"/>
          <w:snapToGrid w:val="0"/>
          <w:color w:val="auto"/>
          <w:kern w:val="0"/>
          <w:sz w:val="24"/>
          <w:highlight w:val="none"/>
        </w:rPr>
        <w:t>个采暖期及供冷期；</w:t>
      </w:r>
    </w:p>
    <w:p>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5、装饰装修工程为</w:t>
      </w:r>
      <w:r>
        <w:rPr>
          <w:rFonts w:hint="eastAsia" w:ascii="宋体" w:hAnsi="宋体"/>
          <w:snapToGrid w:val="0"/>
          <w:color w:val="auto"/>
          <w:kern w:val="0"/>
          <w:sz w:val="24"/>
          <w:highlight w:val="none"/>
          <w:u w:val="single"/>
        </w:rPr>
        <w:t xml:space="preserve"> 2 </w:t>
      </w:r>
      <w:r>
        <w:rPr>
          <w:rFonts w:hint="eastAsia" w:ascii="宋体" w:hAnsi="宋体"/>
          <w:snapToGrid w:val="0"/>
          <w:color w:val="auto"/>
          <w:kern w:val="0"/>
          <w:sz w:val="24"/>
          <w:highlight w:val="none"/>
        </w:rPr>
        <w:t>年；</w:t>
      </w:r>
    </w:p>
    <w:p>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 xml:space="preserve">6、室外的上下水和小区道路等市政公用工程为 </w:t>
      </w:r>
      <w:r>
        <w:rPr>
          <w:rFonts w:hint="eastAsia" w:ascii="宋体" w:hAnsi="宋体"/>
          <w:snapToGrid w:val="0"/>
          <w:color w:val="auto"/>
          <w:kern w:val="0"/>
          <w:sz w:val="24"/>
          <w:highlight w:val="none"/>
          <w:u w:val="single"/>
        </w:rPr>
        <w:t xml:space="preserve"> 2 </w:t>
      </w:r>
      <w:r>
        <w:rPr>
          <w:rFonts w:hint="eastAsia" w:ascii="宋体" w:hAnsi="宋体"/>
          <w:snapToGrid w:val="0"/>
          <w:color w:val="auto"/>
          <w:kern w:val="0"/>
          <w:sz w:val="24"/>
          <w:highlight w:val="none"/>
        </w:rPr>
        <w:t>年；</w:t>
      </w:r>
    </w:p>
    <w:p>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7、在本项目建成投入使用的前两年内，需对钢结构的节点、杆件应力集中部位、支座等受力关键部位进行应力、应变监控（监测方案由双方确定）。</w:t>
      </w:r>
    </w:p>
    <w:p>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8、</w:t>
      </w:r>
      <w:r>
        <w:rPr>
          <w:rFonts w:hint="eastAsia" w:ascii="宋体" w:hAnsi="宋体"/>
          <w:color w:val="auto"/>
          <w:sz w:val="24"/>
          <w:highlight w:val="none"/>
        </w:rPr>
        <w:t>园林建筑工程为</w:t>
      </w:r>
      <w:r>
        <w:rPr>
          <w:rFonts w:ascii="宋体" w:hAnsi="宋体"/>
          <w:color w:val="auto"/>
          <w:sz w:val="24"/>
          <w:highlight w:val="none"/>
          <w:u w:val="single"/>
        </w:rPr>
        <w:t xml:space="preserve"> 1 </w:t>
      </w:r>
      <w:r>
        <w:rPr>
          <w:rFonts w:hint="eastAsia" w:ascii="宋体" w:hAnsi="宋体"/>
          <w:color w:val="auto"/>
          <w:sz w:val="24"/>
          <w:highlight w:val="none"/>
        </w:rPr>
        <w:t>年，喷淋工程为</w:t>
      </w:r>
      <w:r>
        <w:rPr>
          <w:rFonts w:ascii="宋体" w:hAnsi="宋体"/>
          <w:color w:val="auto"/>
          <w:sz w:val="24"/>
          <w:highlight w:val="none"/>
          <w:u w:val="single"/>
        </w:rPr>
        <w:t xml:space="preserve"> 2</w:t>
      </w:r>
      <w:r>
        <w:rPr>
          <w:rFonts w:hint="eastAsia" w:ascii="宋体" w:hAnsi="宋体"/>
          <w:color w:val="auto"/>
          <w:sz w:val="24"/>
          <w:highlight w:val="none"/>
          <w:u w:val="single"/>
        </w:rPr>
        <w:t xml:space="preserve"> </w:t>
      </w:r>
      <w:r>
        <w:rPr>
          <w:rFonts w:hint="eastAsia" w:ascii="宋体" w:hAnsi="宋体"/>
          <w:color w:val="auto"/>
          <w:sz w:val="24"/>
          <w:highlight w:val="none"/>
        </w:rPr>
        <w:t>年，胸径</w:t>
      </w:r>
      <w:r>
        <w:rPr>
          <w:rFonts w:ascii="宋体" w:hAnsi="宋体"/>
          <w:color w:val="auto"/>
          <w:sz w:val="24"/>
          <w:highlight w:val="none"/>
        </w:rPr>
        <w:t>15cm</w:t>
      </w:r>
      <w:r>
        <w:rPr>
          <w:rFonts w:hint="eastAsia" w:ascii="宋体" w:hAnsi="宋体"/>
          <w:color w:val="auto"/>
          <w:sz w:val="24"/>
          <w:highlight w:val="none"/>
        </w:rPr>
        <w:t>以内（含</w:t>
      </w:r>
      <w:r>
        <w:rPr>
          <w:rFonts w:ascii="宋体" w:hAnsi="宋体"/>
          <w:color w:val="auto"/>
          <w:sz w:val="24"/>
          <w:highlight w:val="none"/>
        </w:rPr>
        <w:t>15cm</w:t>
      </w:r>
      <w:r>
        <w:rPr>
          <w:rFonts w:hint="eastAsia" w:ascii="宋体" w:hAnsi="宋体"/>
          <w:color w:val="auto"/>
          <w:sz w:val="24"/>
          <w:highlight w:val="none"/>
        </w:rPr>
        <w:t>）的苗木养护期为</w:t>
      </w:r>
      <w:r>
        <w:rPr>
          <w:rFonts w:ascii="宋体" w:hAnsi="宋体"/>
          <w:color w:val="auto"/>
          <w:sz w:val="24"/>
          <w:highlight w:val="none"/>
          <w:u w:val="single"/>
        </w:rPr>
        <w:t xml:space="preserve"> 3</w:t>
      </w:r>
      <w:r>
        <w:rPr>
          <w:rFonts w:hint="eastAsia" w:ascii="宋体" w:hAnsi="宋体"/>
          <w:color w:val="auto"/>
          <w:sz w:val="24"/>
          <w:highlight w:val="none"/>
          <w:u w:val="single"/>
        </w:rPr>
        <w:t xml:space="preserve"> </w:t>
      </w:r>
      <w:r>
        <w:rPr>
          <w:rFonts w:hint="eastAsia" w:ascii="宋体" w:hAnsi="宋体"/>
          <w:color w:val="auto"/>
          <w:sz w:val="24"/>
          <w:highlight w:val="none"/>
        </w:rPr>
        <w:t>个月，胸径</w:t>
      </w:r>
      <w:r>
        <w:rPr>
          <w:rFonts w:ascii="宋体" w:hAnsi="宋体"/>
          <w:color w:val="auto"/>
          <w:sz w:val="24"/>
          <w:highlight w:val="none"/>
        </w:rPr>
        <w:t>15cm</w:t>
      </w:r>
      <w:r>
        <w:rPr>
          <w:rFonts w:hint="eastAsia" w:ascii="宋体" w:hAnsi="宋体"/>
          <w:color w:val="auto"/>
          <w:sz w:val="24"/>
          <w:highlight w:val="none"/>
        </w:rPr>
        <w:t>以上的苗木养护期为</w:t>
      </w:r>
      <w:r>
        <w:rPr>
          <w:rFonts w:ascii="宋体" w:hAnsi="宋体"/>
          <w:color w:val="auto"/>
          <w:sz w:val="24"/>
          <w:highlight w:val="none"/>
          <w:u w:val="single"/>
        </w:rPr>
        <w:t xml:space="preserve"> 1</w:t>
      </w:r>
      <w:r>
        <w:rPr>
          <w:rFonts w:hint="eastAsia" w:ascii="宋体" w:hAnsi="宋体"/>
          <w:color w:val="auto"/>
          <w:sz w:val="24"/>
          <w:highlight w:val="none"/>
          <w:u w:val="single"/>
        </w:rPr>
        <w:t xml:space="preserve"> </w:t>
      </w:r>
      <w:r>
        <w:rPr>
          <w:rFonts w:hint="eastAsia" w:ascii="宋体" w:hAnsi="宋体"/>
          <w:color w:val="auto"/>
          <w:sz w:val="24"/>
          <w:highlight w:val="none"/>
        </w:rPr>
        <w:t>年。</w:t>
      </w:r>
    </w:p>
    <w:p>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 xml:space="preserve">9、其他约定：按国家现行规范规程及相关标准和设计的有关要求执行。 </w:t>
      </w:r>
    </w:p>
    <w:p>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质量保修期自广州开发区管委会或其相关职能部门批准的提前移交之日或工程竣工验收合格之日起（以先发生日期为准）计算（广州开发区、黄埔区对工程竣工验收有相关规定的，按该规定执行）。</w:t>
      </w:r>
    </w:p>
    <w:p>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三、质量保修责任</w:t>
      </w:r>
    </w:p>
    <w:p>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1、属于保修范围、内容的项目，承包人应当在接到保修通知之日后7天内派人修理。承包人不在约定期限内派人修理，发包人委托他人修理。</w:t>
      </w:r>
    </w:p>
    <w:p>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2、发生须紧急抢修事故的，承包人接到事故通知后，应当立即到达事故现场抢修。</w:t>
      </w:r>
    </w:p>
    <w:p>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1）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（2）质量保修完成后，由发包人组织验收。</w:t>
      </w:r>
    </w:p>
    <w:p>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四、保修费用</w:t>
      </w:r>
    </w:p>
    <w:p>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保修费用及相关的损害赔偿费，由造成质量缺陷的责任方承担。</w:t>
      </w:r>
    </w:p>
    <w:p>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五、其他</w:t>
      </w:r>
    </w:p>
    <w:p>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1、保修金的使用、约定和支付按施工合同的约定执行。</w:t>
      </w:r>
    </w:p>
    <w:p>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2、发包人将保修金返还给承包人后，承包人仍须按《建设工程质量管理条例》及市政府有关部门规定承担保修责任。</w:t>
      </w:r>
    </w:p>
    <w:p>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 xml:space="preserve">3、本工程质量保修书由施工合同发包人、承包人双方共同签署，作为施工合同附件，其有效期限至保修期满。 </w:t>
      </w:r>
    </w:p>
    <w:p>
      <w:pPr>
        <w:adjustRightInd w:val="0"/>
        <w:snapToGrid w:val="0"/>
        <w:spacing w:beforeLines="50" w:afterLines="50" w:line="440" w:lineRule="exact"/>
        <w:rPr>
          <w:rFonts w:ascii="宋体" w:hAnsi="宋体"/>
          <w:color w:val="auto"/>
          <w:sz w:val="24"/>
          <w:highlight w:val="none"/>
        </w:rPr>
      </w:pPr>
    </w:p>
    <w:p>
      <w:pPr>
        <w:adjustRightInd w:val="0"/>
        <w:snapToGrid w:val="0"/>
        <w:spacing w:beforeLines="50" w:afterLines="50" w:line="440" w:lineRule="exact"/>
        <w:rPr>
          <w:rFonts w:ascii="宋体" w:hAnsi="宋体"/>
          <w:color w:val="auto"/>
          <w:sz w:val="24"/>
          <w:highlight w:val="none"/>
        </w:rPr>
      </w:pPr>
    </w:p>
    <w:tbl>
      <w:tblPr>
        <w:tblStyle w:val="30"/>
        <w:tblW w:w="0" w:type="auto"/>
        <w:tblInd w:w="431" w:type="dxa"/>
        <w:tblLayout w:type="fixed"/>
        <w:tblCellMar>
          <w:top w:w="0" w:type="dxa"/>
          <w:left w:w="108" w:type="dxa"/>
          <w:bottom w:w="0" w:type="dxa"/>
          <w:right w:w="108" w:type="dxa"/>
        </w:tblCellMar>
      </w:tblPr>
      <w:tblGrid>
        <w:gridCol w:w="1668"/>
        <w:gridCol w:w="2835"/>
        <w:gridCol w:w="1559"/>
        <w:gridCol w:w="2835"/>
      </w:tblGrid>
      <w:tr>
        <w:tblPrEx>
          <w:tblCellMar>
            <w:top w:w="0" w:type="dxa"/>
            <w:left w:w="108" w:type="dxa"/>
            <w:bottom w:w="0" w:type="dxa"/>
            <w:right w:w="108" w:type="dxa"/>
          </w:tblCellMar>
        </w:tblPrEx>
        <w:trPr>
          <w:trHeight w:val="857" w:hRule="atLeast"/>
        </w:trPr>
        <w:tc>
          <w:tcPr>
            <w:tcW w:w="1668" w:type="dxa"/>
            <w:vAlign w:val="center"/>
          </w:tcPr>
          <w:p>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发</w:t>
            </w:r>
            <w:r>
              <w:rPr>
                <w:rFonts w:ascii="宋体" w:hAnsi="宋体" w:eastAsia="宋体"/>
                <w:color w:val="auto"/>
                <w:sz w:val="24"/>
                <w:highlight w:val="none"/>
              </w:rPr>
              <w:t xml:space="preserve">  </w:t>
            </w:r>
            <w:r>
              <w:rPr>
                <w:rFonts w:hint="eastAsia" w:ascii="宋体" w:hAnsi="宋体" w:eastAsia="宋体"/>
                <w:color w:val="auto"/>
                <w:sz w:val="24"/>
                <w:highlight w:val="none"/>
              </w:rPr>
              <w:t>包</w:t>
            </w:r>
            <w:r>
              <w:rPr>
                <w:rFonts w:ascii="宋体" w:hAnsi="宋体" w:eastAsia="宋体"/>
                <w:color w:val="auto"/>
                <w:sz w:val="24"/>
                <w:highlight w:val="none"/>
              </w:rPr>
              <w:t xml:space="preserve">  </w:t>
            </w:r>
            <w:r>
              <w:rPr>
                <w:rFonts w:hint="eastAsia" w:ascii="宋体" w:hAnsi="宋体" w:eastAsia="宋体"/>
                <w:color w:val="auto"/>
                <w:sz w:val="24"/>
                <w:highlight w:val="none"/>
              </w:rPr>
              <w:t>人：</w:t>
            </w:r>
          </w:p>
        </w:tc>
        <w:tc>
          <w:tcPr>
            <w:tcW w:w="2835" w:type="dxa"/>
            <w:vAlign w:val="center"/>
          </w:tcPr>
          <w:p>
            <w:pPr>
              <w:widowControl/>
              <w:wordWrap w:val="0"/>
              <w:topLinePunct/>
              <w:adjustRightInd w:val="0"/>
              <w:snapToGrid w:val="0"/>
              <w:spacing w:line="300" w:lineRule="exact"/>
              <w:rPr>
                <w:rFonts w:ascii="宋体" w:hAnsi="宋体" w:eastAsia="宋体"/>
                <w:color w:val="auto"/>
                <w:sz w:val="24"/>
                <w:highlight w:val="none"/>
              </w:rPr>
            </w:pPr>
            <w:r>
              <w:rPr>
                <w:rFonts w:hint="eastAsia" w:ascii="宋体" w:hAnsi="宋体" w:eastAsia="宋体"/>
                <w:color w:val="auto"/>
                <w:sz w:val="24"/>
                <w:szCs w:val="24"/>
                <w:highlight w:val="none"/>
              </w:rPr>
              <w:t>广州开发区财政投资建设项目管理中心</w:t>
            </w:r>
          </w:p>
        </w:tc>
        <w:tc>
          <w:tcPr>
            <w:tcW w:w="1559" w:type="dxa"/>
            <w:vAlign w:val="center"/>
          </w:tcPr>
          <w:p>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承</w:t>
            </w:r>
            <w:r>
              <w:rPr>
                <w:rFonts w:ascii="宋体" w:hAnsi="宋体" w:eastAsia="宋体"/>
                <w:color w:val="auto"/>
                <w:sz w:val="24"/>
                <w:highlight w:val="none"/>
              </w:rPr>
              <w:t xml:space="preserve">  </w:t>
            </w:r>
            <w:r>
              <w:rPr>
                <w:rFonts w:hint="eastAsia" w:ascii="宋体" w:hAnsi="宋体" w:eastAsia="宋体"/>
                <w:color w:val="auto"/>
                <w:sz w:val="24"/>
                <w:highlight w:val="none"/>
              </w:rPr>
              <w:t>包</w:t>
            </w:r>
            <w:r>
              <w:rPr>
                <w:rFonts w:ascii="宋体" w:hAnsi="宋体" w:eastAsia="宋体"/>
                <w:color w:val="auto"/>
                <w:sz w:val="24"/>
                <w:highlight w:val="none"/>
              </w:rPr>
              <w:t xml:space="preserve">  </w:t>
            </w:r>
            <w:r>
              <w:rPr>
                <w:rFonts w:hint="eastAsia" w:ascii="宋体" w:hAnsi="宋体" w:eastAsia="宋体"/>
                <w:color w:val="auto"/>
                <w:sz w:val="24"/>
                <w:highlight w:val="none"/>
              </w:rPr>
              <w:t>人：</w:t>
            </w:r>
          </w:p>
        </w:tc>
        <w:tc>
          <w:tcPr>
            <w:tcW w:w="2835" w:type="dxa"/>
            <w:vAlign w:val="center"/>
          </w:tcPr>
          <w:p>
            <w:pPr>
              <w:widowControl/>
              <w:wordWrap w:val="0"/>
              <w:topLinePunct/>
              <w:adjustRightInd w:val="0"/>
              <w:snapToGrid w:val="0"/>
              <w:spacing w:line="300" w:lineRule="exact"/>
              <w:rPr>
                <w:rFonts w:ascii="宋体" w:hAnsi="宋体" w:eastAsia="宋体"/>
                <w:color w:val="auto"/>
                <w:sz w:val="22"/>
                <w:highlight w:val="none"/>
              </w:rPr>
            </w:pPr>
          </w:p>
        </w:tc>
      </w:tr>
      <w:tr>
        <w:tblPrEx>
          <w:tblCellMar>
            <w:top w:w="0" w:type="dxa"/>
            <w:left w:w="108" w:type="dxa"/>
            <w:bottom w:w="0" w:type="dxa"/>
            <w:right w:w="108" w:type="dxa"/>
          </w:tblCellMar>
        </w:tblPrEx>
        <w:trPr>
          <w:trHeight w:val="1021" w:hRule="atLeast"/>
        </w:trPr>
        <w:tc>
          <w:tcPr>
            <w:tcW w:w="1668" w:type="dxa"/>
            <w:vAlign w:val="center"/>
          </w:tcPr>
          <w:p>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法定代表人：</w:t>
            </w:r>
          </w:p>
        </w:tc>
        <w:tc>
          <w:tcPr>
            <w:tcW w:w="2835" w:type="dxa"/>
            <w:vAlign w:val="center"/>
          </w:tcPr>
          <w:p>
            <w:pPr>
              <w:widowControl/>
              <w:wordWrap w:val="0"/>
              <w:topLinePunct/>
              <w:adjustRightInd w:val="0"/>
              <w:snapToGrid w:val="0"/>
              <w:spacing w:line="480" w:lineRule="exact"/>
              <w:rPr>
                <w:rFonts w:ascii="宋体" w:hAnsi="宋体" w:eastAsia="宋体"/>
                <w:color w:val="auto"/>
                <w:sz w:val="24"/>
                <w:highlight w:val="none"/>
              </w:rPr>
            </w:pPr>
          </w:p>
        </w:tc>
        <w:tc>
          <w:tcPr>
            <w:tcW w:w="1559" w:type="dxa"/>
            <w:vAlign w:val="center"/>
          </w:tcPr>
          <w:p>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法定代表人：</w:t>
            </w:r>
          </w:p>
        </w:tc>
        <w:tc>
          <w:tcPr>
            <w:tcW w:w="2835" w:type="dxa"/>
            <w:vAlign w:val="center"/>
          </w:tcPr>
          <w:p>
            <w:pPr>
              <w:widowControl/>
              <w:wordWrap w:val="0"/>
              <w:topLinePunct/>
              <w:adjustRightInd w:val="0"/>
              <w:snapToGrid w:val="0"/>
              <w:spacing w:line="360" w:lineRule="exact"/>
              <w:rPr>
                <w:rFonts w:ascii="宋体" w:hAnsi="宋体" w:eastAsia="宋体"/>
                <w:color w:val="auto"/>
                <w:sz w:val="24"/>
                <w:highlight w:val="none"/>
              </w:rPr>
            </w:pPr>
          </w:p>
        </w:tc>
      </w:tr>
      <w:tr>
        <w:tblPrEx>
          <w:tblCellMar>
            <w:top w:w="0" w:type="dxa"/>
            <w:left w:w="108" w:type="dxa"/>
            <w:bottom w:w="0" w:type="dxa"/>
            <w:right w:w="108" w:type="dxa"/>
          </w:tblCellMar>
        </w:tblPrEx>
        <w:trPr>
          <w:trHeight w:val="1021" w:hRule="atLeast"/>
        </w:trPr>
        <w:tc>
          <w:tcPr>
            <w:tcW w:w="1668" w:type="dxa"/>
            <w:vAlign w:val="center"/>
          </w:tcPr>
          <w:p>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委托代理人：</w:t>
            </w:r>
          </w:p>
        </w:tc>
        <w:tc>
          <w:tcPr>
            <w:tcW w:w="2835" w:type="dxa"/>
            <w:vAlign w:val="center"/>
          </w:tcPr>
          <w:p>
            <w:pPr>
              <w:widowControl/>
              <w:wordWrap w:val="0"/>
              <w:topLinePunct/>
              <w:adjustRightInd w:val="0"/>
              <w:snapToGrid w:val="0"/>
              <w:spacing w:line="480" w:lineRule="exact"/>
              <w:rPr>
                <w:rFonts w:ascii="宋体" w:hAnsi="宋体" w:eastAsia="宋体"/>
                <w:color w:val="auto"/>
                <w:sz w:val="24"/>
                <w:highlight w:val="none"/>
              </w:rPr>
            </w:pPr>
          </w:p>
        </w:tc>
        <w:tc>
          <w:tcPr>
            <w:tcW w:w="1559" w:type="dxa"/>
            <w:vAlign w:val="center"/>
          </w:tcPr>
          <w:p>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委托代理人：</w:t>
            </w:r>
          </w:p>
        </w:tc>
        <w:tc>
          <w:tcPr>
            <w:tcW w:w="2835" w:type="dxa"/>
            <w:vAlign w:val="center"/>
          </w:tcPr>
          <w:p>
            <w:pPr>
              <w:widowControl/>
              <w:wordWrap w:val="0"/>
              <w:topLinePunct/>
              <w:adjustRightInd w:val="0"/>
              <w:snapToGrid w:val="0"/>
              <w:spacing w:line="360" w:lineRule="exact"/>
              <w:rPr>
                <w:rFonts w:ascii="宋体" w:hAnsi="宋体" w:eastAsia="宋体"/>
                <w:color w:val="auto"/>
                <w:sz w:val="24"/>
                <w:highlight w:val="none"/>
              </w:rPr>
            </w:pPr>
          </w:p>
        </w:tc>
      </w:tr>
    </w:tbl>
    <w:p>
      <w:pPr>
        <w:pStyle w:val="60"/>
        <w:tabs>
          <w:tab w:val="left" w:pos="5460"/>
        </w:tabs>
        <w:adjustRightInd w:val="0"/>
        <w:snapToGrid w:val="0"/>
        <w:spacing w:line="360" w:lineRule="auto"/>
        <w:ind w:left="-2" w:leftChars="-1" w:right="11" w:firstLine="480" w:firstLineChars="200"/>
        <w:rPr>
          <w:rFonts w:ascii="宋体" w:hAnsi="宋体" w:eastAsia="宋体"/>
          <w:color w:val="auto"/>
          <w:sz w:val="24"/>
          <w:highlight w:val="none"/>
        </w:rPr>
      </w:pPr>
    </w:p>
    <w:p>
      <w:pPr>
        <w:spacing w:line="440" w:lineRule="exact"/>
        <w:ind w:firstLine="397"/>
        <w:jc w:val="left"/>
        <w:rPr>
          <w:rFonts w:ascii="宋体" w:hAnsi="宋体" w:eastAsia="宋体"/>
          <w:color w:val="auto"/>
          <w:sz w:val="24"/>
          <w:highlight w:val="none"/>
        </w:rPr>
      </w:pPr>
    </w:p>
    <w:p>
      <w:pPr>
        <w:tabs>
          <w:tab w:val="left" w:pos="5460"/>
        </w:tabs>
        <w:adjustRightInd w:val="0"/>
        <w:snapToGrid w:val="0"/>
        <w:spacing w:line="400" w:lineRule="exact"/>
        <w:ind w:left="-2" w:leftChars="-1" w:right="11" w:firstLine="480" w:firstLineChars="200"/>
        <w:rPr>
          <w:rFonts w:ascii="宋体" w:hAnsi="宋体" w:eastAsia="宋体" w:cs="宋体"/>
          <w:snapToGrid w:val="0"/>
          <w:color w:val="auto"/>
          <w:kern w:val="0"/>
          <w:sz w:val="24"/>
          <w:highlight w:val="none"/>
          <w:u w:val="single"/>
        </w:rPr>
      </w:pPr>
      <w:r>
        <w:rPr>
          <w:rFonts w:hint="eastAsia" w:ascii="宋体" w:hAnsi="宋体" w:eastAsia="宋体" w:cs="宋体"/>
          <w:snapToGrid w:val="0"/>
          <w:color w:val="auto"/>
          <w:kern w:val="0"/>
          <w:sz w:val="24"/>
          <w:highlight w:val="none"/>
        </w:rPr>
        <w:t>签订日期：</w:t>
      </w:r>
      <w:r>
        <w:rPr>
          <w:rFonts w:hint="eastAsia" w:ascii="宋体" w:hAnsi="宋体" w:cs="宋体"/>
          <w:snapToGrid w:val="0"/>
          <w:color w:val="auto"/>
          <w:kern w:val="0"/>
          <w:sz w:val="24"/>
          <w:highlight w:val="none"/>
          <w:u w:val="single"/>
        </w:rPr>
        <w:t xml:space="preserve">      年  </w:t>
      </w:r>
      <w:r>
        <w:rPr>
          <w:rFonts w:ascii="宋体" w:hAnsi="宋体" w:eastAsia="宋体" w:cs="宋体"/>
          <w:snapToGrid w:val="0"/>
          <w:color w:val="auto"/>
          <w:kern w:val="0"/>
          <w:sz w:val="24"/>
          <w:highlight w:val="none"/>
          <w:u w:val="single"/>
        </w:rPr>
        <w:t xml:space="preserve"> 月 </w:t>
      </w:r>
      <w:r>
        <w:rPr>
          <w:rFonts w:hint="eastAsia" w:ascii="宋体" w:hAnsi="宋体" w:cs="宋体"/>
          <w:snapToGrid w:val="0"/>
          <w:color w:val="auto"/>
          <w:kern w:val="0"/>
          <w:sz w:val="24"/>
          <w:highlight w:val="none"/>
          <w:u w:val="single"/>
        </w:rPr>
        <w:t xml:space="preserve">  </w:t>
      </w:r>
      <w:r>
        <w:rPr>
          <w:rFonts w:ascii="宋体" w:hAnsi="宋体" w:eastAsia="宋体" w:cs="宋体"/>
          <w:snapToGrid w:val="0"/>
          <w:color w:val="auto"/>
          <w:kern w:val="0"/>
          <w:sz w:val="24"/>
          <w:highlight w:val="none"/>
          <w:u w:val="single"/>
        </w:rPr>
        <w:t>日</w:t>
      </w:r>
    </w:p>
    <w:p>
      <w:pPr>
        <w:spacing w:line="400" w:lineRule="exact"/>
        <w:ind w:firstLine="480" w:firstLineChars="200"/>
        <w:rPr>
          <w:rFonts w:ascii="宋体" w:hAnsi="宋体" w:eastAsia="宋体"/>
          <w:color w:val="auto"/>
          <w:sz w:val="24"/>
          <w:highlight w:val="none"/>
          <w:u w:val="single"/>
        </w:rPr>
      </w:pPr>
      <w:r>
        <w:rPr>
          <w:rFonts w:hint="eastAsia" w:ascii="宋体" w:hAnsi="宋体" w:eastAsia="宋体" w:cs="宋体"/>
          <w:snapToGrid w:val="0"/>
          <w:color w:val="auto"/>
          <w:kern w:val="0"/>
          <w:sz w:val="24"/>
          <w:highlight w:val="none"/>
        </w:rPr>
        <w:t>签订地点：</w:t>
      </w:r>
      <w:r>
        <w:rPr>
          <w:rFonts w:hint="eastAsia" w:ascii="宋体" w:hAnsi="宋体" w:eastAsia="宋体" w:cs="宋体"/>
          <w:snapToGrid w:val="0"/>
          <w:color w:val="auto"/>
          <w:kern w:val="0"/>
          <w:sz w:val="24"/>
          <w:highlight w:val="none"/>
          <w:u w:val="single"/>
        </w:rPr>
        <w:t>广州市黄埔区</w:t>
      </w:r>
    </w:p>
    <w:p>
      <w:pPr>
        <w:snapToGrid w:val="0"/>
        <w:spacing w:line="440" w:lineRule="exact"/>
        <w:jc w:val="center"/>
        <w:rPr>
          <w:rFonts w:ascii="宋体" w:hAnsi="宋体"/>
          <w:color w:val="auto"/>
          <w:sz w:val="24"/>
          <w:highlight w:val="none"/>
        </w:rPr>
      </w:pPr>
    </w:p>
    <w:p>
      <w:pPr>
        <w:snapToGrid w:val="0"/>
        <w:spacing w:line="440" w:lineRule="exact"/>
        <w:jc w:val="center"/>
        <w:rPr>
          <w:rFonts w:ascii="宋体" w:hAnsi="宋体"/>
          <w:color w:val="auto"/>
          <w:sz w:val="24"/>
          <w:highlight w:val="none"/>
        </w:rPr>
      </w:pPr>
    </w:p>
    <w:p>
      <w:pPr>
        <w:snapToGrid w:val="0"/>
        <w:spacing w:line="440" w:lineRule="exact"/>
        <w:jc w:val="center"/>
        <w:rPr>
          <w:rFonts w:ascii="宋体" w:hAnsi="宋体"/>
          <w:color w:val="auto"/>
          <w:sz w:val="24"/>
          <w:highlight w:val="none"/>
        </w:rPr>
      </w:pPr>
    </w:p>
    <w:p>
      <w:pPr>
        <w:snapToGrid w:val="0"/>
        <w:spacing w:line="440" w:lineRule="exact"/>
        <w:jc w:val="center"/>
        <w:rPr>
          <w:rFonts w:ascii="宋体" w:hAnsi="宋体"/>
          <w:color w:val="auto"/>
          <w:sz w:val="24"/>
          <w:highlight w:val="none"/>
        </w:rPr>
      </w:pPr>
    </w:p>
    <w:p>
      <w:pPr>
        <w:pStyle w:val="60"/>
        <w:adjustRightInd w:val="0"/>
        <w:snapToGrid w:val="0"/>
        <w:spacing w:line="400" w:lineRule="exact"/>
        <w:rPr>
          <w:rFonts w:ascii="宋体" w:hAnsi="宋体"/>
          <w:color w:val="auto"/>
          <w:sz w:val="24"/>
          <w:highlight w:val="none"/>
        </w:rPr>
      </w:pPr>
      <w:r>
        <w:rPr>
          <w:rFonts w:hint="eastAsia" w:ascii="宋体" w:hAnsi="宋体"/>
          <w:b/>
          <w:bCs/>
          <w:color w:val="auto"/>
          <w:sz w:val="30"/>
          <w:szCs w:val="30"/>
          <w:highlight w:val="none"/>
        </w:rPr>
        <w:t>附件</w:t>
      </w:r>
      <w:r>
        <w:rPr>
          <w:rFonts w:hint="eastAsia" w:ascii="宋体" w:hAnsi="宋体"/>
          <w:b/>
          <w:bCs/>
          <w:color w:val="auto"/>
          <w:sz w:val="30"/>
          <w:szCs w:val="30"/>
          <w:highlight w:val="none"/>
          <w:lang w:val="en-US" w:eastAsia="zh-CN"/>
        </w:rPr>
        <w:t>1</w:t>
      </w:r>
      <w:r>
        <w:rPr>
          <w:rFonts w:hint="eastAsia" w:ascii="宋体" w:hAnsi="宋体"/>
          <w:b/>
          <w:bCs/>
          <w:color w:val="auto"/>
          <w:sz w:val="30"/>
          <w:szCs w:val="30"/>
          <w:highlight w:val="none"/>
        </w:rPr>
        <w:t xml:space="preserve">：            </w:t>
      </w:r>
      <w:r>
        <w:rPr>
          <w:rFonts w:hint="eastAsia" w:ascii="宋体" w:hAnsi="宋体"/>
          <w:color w:val="auto"/>
          <w:sz w:val="24"/>
          <w:highlight w:val="none"/>
        </w:rPr>
        <w:t xml:space="preserve">  </w:t>
      </w:r>
    </w:p>
    <w:p>
      <w:pPr>
        <w:pStyle w:val="60"/>
        <w:adjustRightInd w:val="0"/>
        <w:snapToGrid w:val="0"/>
        <w:spacing w:line="400" w:lineRule="exact"/>
        <w:rPr>
          <w:rFonts w:ascii="宋体" w:hAnsi="宋体"/>
          <w:color w:val="auto"/>
          <w:sz w:val="24"/>
          <w:highlight w:val="none"/>
        </w:rPr>
      </w:pPr>
    </w:p>
    <w:p>
      <w:pPr>
        <w:pStyle w:val="60"/>
        <w:adjustRightInd w:val="0"/>
        <w:snapToGrid w:val="0"/>
        <w:spacing w:line="440" w:lineRule="exact"/>
        <w:jc w:val="center"/>
        <w:rPr>
          <w:rFonts w:ascii="宋体" w:hAnsi="宋体"/>
          <w:b/>
          <w:bCs/>
          <w:color w:val="auto"/>
          <w:sz w:val="36"/>
          <w:szCs w:val="30"/>
          <w:highlight w:val="none"/>
        </w:rPr>
      </w:pPr>
      <w:r>
        <w:rPr>
          <w:rFonts w:hint="eastAsia" w:ascii="宋体" w:hAnsi="宋体"/>
          <w:b/>
          <w:bCs/>
          <w:color w:val="auto"/>
          <w:sz w:val="36"/>
          <w:szCs w:val="30"/>
          <w:highlight w:val="none"/>
        </w:rPr>
        <w:t>工程建设项目廉政责任书</w:t>
      </w:r>
    </w:p>
    <w:p>
      <w:pPr>
        <w:pStyle w:val="61"/>
        <w:adjustRightInd w:val="0"/>
        <w:snapToGrid w:val="0"/>
        <w:spacing w:line="440" w:lineRule="exact"/>
        <w:ind w:firstLine="0"/>
        <w:rPr>
          <w:rFonts w:ascii="宋体" w:hAnsi="宋体"/>
          <w:snapToGrid w:val="0"/>
          <w:color w:val="auto"/>
          <w:kern w:val="0"/>
          <w:sz w:val="24"/>
          <w:highlight w:val="none"/>
        </w:rPr>
      </w:pPr>
    </w:p>
    <w:p>
      <w:pPr>
        <w:pStyle w:val="60"/>
        <w:adjustRightInd w:val="0"/>
        <w:snapToGrid w:val="0"/>
        <w:spacing w:line="400" w:lineRule="exact"/>
        <w:ind w:left="495" w:hanging="495"/>
        <w:rPr>
          <w:rFonts w:ascii="宋体" w:hAnsi="宋体"/>
          <w:color w:val="auto"/>
          <w:sz w:val="24"/>
          <w:highlight w:val="none"/>
          <w:u w:val="single"/>
        </w:rPr>
      </w:pPr>
      <w:r>
        <w:rPr>
          <w:rFonts w:hint="eastAsia" w:ascii="宋体" w:hAnsi="宋体"/>
          <w:color w:val="auto"/>
          <w:sz w:val="24"/>
          <w:highlight w:val="none"/>
        </w:rPr>
        <w:t>工程项目名称：</w:t>
      </w:r>
      <w:r>
        <w:rPr>
          <w:rFonts w:hint="eastAsia" w:ascii="宋体" w:hAnsi="宋体"/>
          <w:color w:val="auto"/>
          <w:sz w:val="24"/>
          <w:highlight w:val="none"/>
          <w:u w:val="single"/>
        </w:rPr>
        <w:t xml:space="preserve">                                </w:t>
      </w:r>
    </w:p>
    <w:p>
      <w:pPr>
        <w:pStyle w:val="60"/>
        <w:adjustRightInd w:val="0"/>
        <w:snapToGrid w:val="0"/>
        <w:spacing w:line="400" w:lineRule="exact"/>
        <w:ind w:left="495" w:hanging="495"/>
        <w:rPr>
          <w:rFonts w:ascii="宋体" w:hAnsi="宋体"/>
          <w:color w:val="auto"/>
          <w:sz w:val="24"/>
          <w:highlight w:val="none"/>
        </w:rPr>
      </w:pPr>
      <w:r>
        <w:rPr>
          <w:rFonts w:hint="eastAsia" w:ascii="宋体" w:hAnsi="宋体"/>
          <w:color w:val="auto"/>
          <w:sz w:val="24"/>
          <w:highlight w:val="none"/>
        </w:rPr>
        <w:t>工程项目地址：</w:t>
      </w:r>
      <w:r>
        <w:rPr>
          <w:rFonts w:hint="eastAsia" w:ascii="宋体" w:hAnsi="宋体"/>
          <w:color w:val="auto"/>
          <w:sz w:val="24"/>
          <w:highlight w:val="none"/>
          <w:u w:val="single"/>
        </w:rPr>
        <w:t xml:space="preserve">                                </w:t>
      </w:r>
    </w:p>
    <w:p>
      <w:pPr>
        <w:pStyle w:val="60"/>
        <w:adjustRightInd w:val="0"/>
        <w:snapToGrid w:val="0"/>
        <w:spacing w:line="400" w:lineRule="exact"/>
        <w:rPr>
          <w:rFonts w:ascii="宋体" w:hAnsi="宋体"/>
          <w:color w:val="auto"/>
          <w:sz w:val="24"/>
          <w:szCs w:val="24"/>
          <w:highlight w:val="none"/>
          <w:u w:val="single"/>
        </w:rPr>
      </w:pPr>
      <w:r>
        <w:rPr>
          <w:rFonts w:hint="eastAsia" w:ascii="宋体" w:hAnsi="宋体"/>
          <w:color w:val="auto"/>
          <w:sz w:val="24"/>
          <w:highlight w:val="none"/>
        </w:rPr>
        <w:t>甲        方：</w:t>
      </w:r>
      <w:r>
        <w:rPr>
          <w:rFonts w:hint="eastAsia" w:ascii="方正大标宋简体" w:hAnsi="仿宋" w:eastAsia="方正大标宋简体"/>
          <w:color w:val="auto"/>
          <w:sz w:val="24"/>
          <w:szCs w:val="24"/>
          <w:highlight w:val="none"/>
          <w:u w:val="single"/>
        </w:rPr>
        <w:t>广州开发区财政投资建设项目管理中心</w:t>
      </w:r>
    </w:p>
    <w:p>
      <w:pPr>
        <w:pStyle w:val="60"/>
        <w:adjustRightInd w:val="0"/>
        <w:snapToGrid w:val="0"/>
        <w:spacing w:line="400" w:lineRule="exact"/>
        <w:rPr>
          <w:rFonts w:ascii="宋体" w:hAnsi="宋体"/>
          <w:color w:val="auto"/>
          <w:sz w:val="24"/>
          <w:highlight w:val="none"/>
        </w:rPr>
      </w:pPr>
      <w:r>
        <w:rPr>
          <w:rFonts w:hint="eastAsia" w:ascii="宋体" w:hAnsi="宋体"/>
          <w:color w:val="auto"/>
          <w:sz w:val="24"/>
          <w:highlight w:val="none"/>
        </w:rPr>
        <w:t>乙        方：</w:t>
      </w:r>
      <w:r>
        <w:rPr>
          <w:rFonts w:hint="eastAsia" w:ascii="宋体" w:hAnsi="宋体"/>
          <w:color w:val="auto"/>
          <w:sz w:val="24"/>
          <w:highlight w:val="none"/>
          <w:u w:val="single"/>
        </w:rPr>
        <w:t xml:space="preserve">                                 </w:t>
      </w:r>
    </w:p>
    <w:p>
      <w:pPr>
        <w:pStyle w:val="60"/>
        <w:adjustRightInd w:val="0"/>
        <w:snapToGrid w:val="0"/>
        <w:spacing w:line="400" w:lineRule="exact"/>
        <w:rPr>
          <w:rFonts w:ascii="宋体" w:hAnsi="宋体"/>
          <w:color w:val="auto"/>
          <w:sz w:val="24"/>
          <w:highlight w:val="none"/>
        </w:rPr>
      </w:pPr>
    </w:p>
    <w:p>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pPr>
        <w:adjustRightInd w:val="0"/>
        <w:snapToGrid w:val="0"/>
        <w:spacing w:line="400" w:lineRule="exact"/>
        <w:ind w:firstLine="482"/>
        <w:rPr>
          <w:rFonts w:ascii="宋体" w:hAnsi="宋体" w:cs="宋体"/>
          <w:b/>
          <w:color w:val="auto"/>
          <w:kern w:val="0"/>
          <w:sz w:val="24"/>
          <w:highlight w:val="none"/>
        </w:rPr>
      </w:pPr>
      <w:r>
        <w:rPr>
          <w:rFonts w:hint="eastAsia" w:ascii="宋体" w:hAnsi="宋体" w:cs="宋体"/>
          <w:b/>
          <w:snapToGrid w:val="0"/>
          <w:color w:val="auto"/>
          <w:kern w:val="0"/>
          <w:sz w:val="24"/>
          <w:highlight w:val="none"/>
        </w:rPr>
        <w:t xml:space="preserve">第一条  </w:t>
      </w:r>
      <w:r>
        <w:rPr>
          <w:rFonts w:hint="eastAsia" w:ascii="宋体" w:hAnsi="宋体" w:cs="宋体"/>
          <w:b/>
          <w:snapToGrid w:val="0"/>
          <w:color w:val="auto"/>
          <w:kern w:val="0"/>
          <w:sz w:val="24"/>
          <w:szCs w:val="24"/>
          <w:highlight w:val="none"/>
        </w:rPr>
        <w:t>甲、乙双方的责任</w:t>
      </w:r>
    </w:p>
    <w:p>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（一）应严格遵守国家关于市场准入、项目招标投标、</w:t>
      </w:r>
      <w:r>
        <w:rPr>
          <w:rFonts w:hint="eastAsia" w:ascii="宋体" w:hAnsi="宋体" w:cs="宋体"/>
          <w:color w:val="auto"/>
          <w:kern w:val="0"/>
          <w:sz w:val="24"/>
          <w:highlight w:val="none"/>
        </w:rPr>
        <w:t>工程建设和市场活动</w:t>
      </w:r>
      <w:r>
        <w:rPr>
          <w:rFonts w:hint="eastAsia" w:ascii="宋体" w:hAnsi="宋体" w:cs="宋体"/>
          <w:snapToGrid w:val="0"/>
          <w:color w:val="auto"/>
          <w:kern w:val="0"/>
          <w:sz w:val="24"/>
          <w:highlight w:val="none"/>
        </w:rPr>
        <w:t>等有关法律、法规、相关政策，以及廉政建设的各项规定。</w:t>
      </w:r>
    </w:p>
    <w:p>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（二）严格执行建设工程项目承发包合同文件，自觉按合同办事。</w:t>
      </w:r>
    </w:p>
    <w:p>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（三）业务活动必须坚持公开、公平、公正、诚信、透明的原则（除法律法规另有规定者外），不得为获取不正当的利益，损害国家、集体和对方利益，不得</w:t>
      </w:r>
      <w:r>
        <w:rPr>
          <w:rFonts w:hint="eastAsia" w:ascii="宋体" w:hAnsi="宋体" w:cs="宋体"/>
          <w:color w:val="auto"/>
          <w:kern w:val="0"/>
          <w:sz w:val="24"/>
          <w:highlight w:val="none"/>
        </w:rPr>
        <w:t>违反工程建设过程管理的规章制度。</w:t>
      </w:r>
    </w:p>
    <w:p>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（四）发现对方在业务活动中有违规、违纪、违法行为的，应及时提醒对方，情节严重的，应向其上级主管部门或纪检监察、司法等有关机关举报。</w:t>
      </w:r>
    </w:p>
    <w:p>
      <w:pPr>
        <w:adjustRightInd w:val="0"/>
        <w:snapToGrid w:val="0"/>
        <w:spacing w:line="400" w:lineRule="exact"/>
        <w:ind w:firstLine="482"/>
        <w:rPr>
          <w:rFonts w:ascii="宋体" w:hAnsi="宋体" w:cs="宋体"/>
          <w:b/>
          <w:color w:val="auto"/>
          <w:kern w:val="0"/>
          <w:sz w:val="24"/>
          <w:highlight w:val="none"/>
        </w:rPr>
      </w:pPr>
      <w:r>
        <w:rPr>
          <w:rFonts w:hint="eastAsia" w:ascii="宋体" w:hAnsi="宋体" w:cs="宋体"/>
          <w:b/>
          <w:snapToGrid w:val="0"/>
          <w:color w:val="auto"/>
          <w:kern w:val="0"/>
          <w:sz w:val="24"/>
          <w:highlight w:val="none"/>
        </w:rPr>
        <w:t xml:space="preserve">第二条  </w:t>
      </w:r>
      <w:r>
        <w:rPr>
          <w:rFonts w:hint="eastAsia" w:ascii="宋体" w:hAnsi="宋体" w:cs="宋体"/>
          <w:b/>
          <w:snapToGrid w:val="0"/>
          <w:color w:val="auto"/>
          <w:kern w:val="0"/>
          <w:sz w:val="24"/>
          <w:szCs w:val="24"/>
          <w:highlight w:val="none"/>
        </w:rPr>
        <w:t>甲方的责任</w:t>
      </w:r>
    </w:p>
    <w:p>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甲方的领导和从事本建设工程项目的工作人员，在工程建设的事前、事中、事后应遵守以下规定：</w:t>
      </w:r>
    </w:p>
    <w:p>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（一）不准向乙方和相关单位索要或接受回扣、礼金、有价证券、贵重物品和好处费、感谢费等。</w:t>
      </w:r>
    </w:p>
    <w:p>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（二）不准在乙方和相关单位报销任何应由甲方或个人支付的费用。</w:t>
      </w:r>
    </w:p>
    <w:p>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（三）不准要求、暗示或接受乙方和相关单位为个人装修住房、婚丧嫁娶、配偶子女的工作安排以及出国（境）、旅游等提供方便。</w:t>
      </w:r>
    </w:p>
    <w:p>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（四）不准参加有可能影响公正执行公务的乙方及相关单位的宴请、健身、娱乐等活动。</w:t>
      </w:r>
    </w:p>
    <w:p>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（五）不准向乙方介绍或为配偶、子女、亲属参与同甲方项目工程合同有关的设备、材料、工程分包、劳务等经济活动。不得以任何理由向乙方和相关单位推荐分包单位。</w:t>
      </w:r>
    </w:p>
    <w:p>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b/>
          <w:snapToGrid w:val="0"/>
          <w:color w:val="auto"/>
          <w:kern w:val="0"/>
          <w:sz w:val="24"/>
          <w:highlight w:val="none"/>
        </w:rPr>
        <w:t xml:space="preserve">第三条  </w:t>
      </w:r>
      <w:r>
        <w:rPr>
          <w:rFonts w:hint="eastAsia" w:ascii="宋体" w:hAnsi="宋体" w:cs="宋体"/>
          <w:b/>
          <w:snapToGrid w:val="0"/>
          <w:color w:val="auto"/>
          <w:kern w:val="0"/>
          <w:sz w:val="24"/>
          <w:szCs w:val="24"/>
          <w:highlight w:val="none"/>
        </w:rPr>
        <w:t>乙方的责任</w:t>
      </w:r>
    </w:p>
    <w:p>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应与甲方保持正常的业务交往，按照有关法律法规和程序开展业务工作，严格执行</w:t>
      </w:r>
      <w:r>
        <w:rPr>
          <w:rFonts w:hint="eastAsia" w:ascii="宋体" w:hAnsi="宋体" w:cs="宋体"/>
          <w:color w:val="auto"/>
          <w:kern w:val="0"/>
          <w:sz w:val="24"/>
          <w:highlight w:val="none"/>
        </w:rPr>
        <w:t>工程建设过程管理的有关方针、政策，尤其是强制性标准和规范</w:t>
      </w:r>
      <w:r>
        <w:rPr>
          <w:rFonts w:hint="eastAsia" w:ascii="宋体" w:hAnsi="宋体" w:cs="宋体"/>
          <w:snapToGrid w:val="0"/>
          <w:color w:val="auto"/>
          <w:kern w:val="0"/>
          <w:sz w:val="24"/>
          <w:highlight w:val="none"/>
        </w:rPr>
        <w:t>，并遵守以下规定：</w:t>
      </w:r>
    </w:p>
    <w:p>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（一）不准以任何理由向甲方、相关单位及其工作人员索要、接受或赠送礼金、有价证券、贵重物品及回扣、好处费、感谢费等。</w:t>
      </w:r>
    </w:p>
    <w:p>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（二）不准以任何理由为甲方和相关单位报销应由对方或个人支付的费用。</w:t>
      </w:r>
    </w:p>
    <w:p>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（三）不准接受或暗示为甲方、相关单位或个人装修住房、婚丧嫁娶、配偶子女的工作安排以及出国（境）、旅游等提供方便。</w:t>
      </w:r>
    </w:p>
    <w:p>
      <w:pPr>
        <w:adjustRightInd w:val="0"/>
        <w:snapToGrid w:val="0"/>
        <w:spacing w:line="400" w:lineRule="exact"/>
        <w:ind w:firstLine="482"/>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（四）不准以任何理由为甲方、相关单位或个人组织有可能影响公正执行公务的宴请、健身、娱乐等活动。</w:t>
      </w:r>
    </w:p>
    <w:p>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b/>
          <w:snapToGrid w:val="0"/>
          <w:color w:val="auto"/>
          <w:kern w:val="0"/>
          <w:sz w:val="24"/>
          <w:highlight w:val="none"/>
        </w:rPr>
        <w:t xml:space="preserve">第四条  </w:t>
      </w:r>
      <w:r>
        <w:rPr>
          <w:rFonts w:hint="eastAsia" w:ascii="宋体" w:hAnsi="宋体" w:cs="宋体"/>
          <w:b/>
          <w:snapToGrid w:val="0"/>
          <w:color w:val="auto"/>
          <w:kern w:val="0"/>
          <w:sz w:val="24"/>
          <w:szCs w:val="24"/>
          <w:highlight w:val="none"/>
        </w:rPr>
        <w:t>违约责任</w:t>
      </w:r>
    </w:p>
    <w:p>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pPr>
        <w:adjustRightInd w:val="0"/>
        <w:snapToGrid w:val="0"/>
        <w:spacing w:line="400" w:lineRule="exact"/>
        <w:ind w:firstLine="482"/>
        <w:rPr>
          <w:rFonts w:ascii="宋体" w:hAnsi="宋体" w:cs="宋体"/>
          <w:b/>
          <w:color w:val="auto"/>
          <w:kern w:val="0"/>
          <w:sz w:val="24"/>
          <w:highlight w:val="none"/>
        </w:rPr>
      </w:pPr>
      <w:r>
        <w:rPr>
          <w:rFonts w:hint="eastAsia" w:ascii="宋体" w:hAnsi="宋体" w:cs="宋体"/>
          <w:b/>
          <w:snapToGrid w:val="0"/>
          <w:color w:val="auto"/>
          <w:kern w:val="0"/>
          <w:sz w:val="24"/>
          <w:highlight w:val="none"/>
        </w:rPr>
        <w:t xml:space="preserve">第五条  </w:t>
      </w:r>
      <w:r>
        <w:rPr>
          <w:rFonts w:hint="eastAsia" w:ascii="宋体" w:hAnsi="宋体" w:cs="宋体"/>
          <w:snapToGrid w:val="0"/>
          <w:color w:val="auto"/>
          <w:kern w:val="0"/>
          <w:sz w:val="24"/>
          <w:highlight w:val="none"/>
        </w:rPr>
        <w:t>本廉政责任书作为合同的附件，与合同具有同等法律效力。经双方签署后立即生效。</w:t>
      </w:r>
    </w:p>
    <w:p>
      <w:pPr>
        <w:adjustRightInd w:val="0"/>
        <w:snapToGrid w:val="0"/>
        <w:spacing w:line="400" w:lineRule="exact"/>
        <w:ind w:firstLine="482"/>
        <w:rPr>
          <w:rFonts w:ascii="宋体" w:hAnsi="宋体" w:cs="宋体"/>
          <w:b/>
          <w:color w:val="auto"/>
          <w:kern w:val="0"/>
          <w:sz w:val="24"/>
          <w:highlight w:val="none"/>
        </w:rPr>
      </w:pPr>
      <w:r>
        <w:rPr>
          <w:rFonts w:hint="eastAsia" w:ascii="宋体" w:hAnsi="宋体" w:cs="宋体"/>
          <w:b/>
          <w:snapToGrid w:val="0"/>
          <w:color w:val="auto"/>
          <w:kern w:val="0"/>
          <w:sz w:val="24"/>
          <w:highlight w:val="none"/>
        </w:rPr>
        <w:t xml:space="preserve">第六条  </w:t>
      </w:r>
      <w:r>
        <w:rPr>
          <w:rFonts w:hint="eastAsia" w:ascii="宋体" w:hAnsi="宋体" w:cs="宋体"/>
          <w:snapToGrid w:val="0"/>
          <w:color w:val="auto"/>
          <w:kern w:val="0"/>
          <w:sz w:val="24"/>
          <w:highlight w:val="none"/>
        </w:rPr>
        <w:t>本廉政责任书的有效期与合同的有效期相同。</w:t>
      </w:r>
    </w:p>
    <w:p>
      <w:pPr>
        <w:adjustRightInd w:val="0"/>
        <w:snapToGrid w:val="0"/>
        <w:spacing w:line="400" w:lineRule="exact"/>
        <w:rPr>
          <w:rFonts w:ascii="宋体" w:hAnsi="宋体" w:cs="宋体"/>
          <w:color w:val="auto"/>
          <w:kern w:val="0"/>
          <w:sz w:val="24"/>
          <w:highlight w:val="none"/>
        </w:rPr>
      </w:pPr>
      <w:r>
        <w:rPr>
          <w:rFonts w:hint="eastAsia" w:ascii="宋体" w:hAnsi="宋体" w:cs="宋体"/>
          <w:b/>
          <w:color w:val="auto"/>
          <w:kern w:val="0"/>
          <w:sz w:val="24"/>
          <w:highlight w:val="none"/>
        </w:rPr>
        <w:t xml:space="preserve">    </w:t>
      </w:r>
      <w:r>
        <w:rPr>
          <w:rFonts w:hint="eastAsia" w:ascii="宋体" w:hAnsi="宋体" w:cs="宋体"/>
          <w:b/>
          <w:snapToGrid w:val="0"/>
          <w:color w:val="auto"/>
          <w:kern w:val="0"/>
          <w:sz w:val="24"/>
          <w:highlight w:val="none"/>
        </w:rPr>
        <w:t xml:space="preserve">第七条  </w:t>
      </w:r>
      <w:r>
        <w:rPr>
          <w:rFonts w:hint="eastAsia" w:ascii="宋体" w:hAnsi="宋体" w:cs="宋体"/>
          <w:snapToGrid w:val="0"/>
          <w:color w:val="auto"/>
          <w:kern w:val="0"/>
          <w:sz w:val="24"/>
          <w:highlight w:val="none"/>
        </w:rPr>
        <w:t>本廉政责任书份数和合同份数一致</w:t>
      </w:r>
      <w:r>
        <w:rPr>
          <w:rFonts w:hint="eastAsia" w:ascii="宋体" w:hAnsi="宋体" w:cs="宋体"/>
          <w:bCs/>
          <w:color w:val="auto"/>
          <w:kern w:val="0"/>
          <w:sz w:val="24"/>
          <w:highlight w:val="none"/>
        </w:rPr>
        <w:t>。</w:t>
      </w:r>
    </w:p>
    <w:p>
      <w:pPr>
        <w:adjustRightInd w:val="0"/>
        <w:snapToGrid w:val="0"/>
        <w:spacing w:line="440" w:lineRule="exact"/>
        <w:ind w:right="11"/>
        <w:rPr>
          <w:rFonts w:ascii="宋体" w:hAnsi="宋体" w:cs="宋体"/>
          <w:snapToGrid w:val="0"/>
          <w:color w:val="auto"/>
          <w:kern w:val="0"/>
          <w:sz w:val="24"/>
          <w:highlight w:val="none"/>
        </w:rPr>
      </w:pPr>
    </w:p>
    <w:p>
      <w:pPr>
        <w:adjustRightInd w:val="0"/>
        <w:snapToGrid w:val="0"/>
        <w:spacing w:line="440" w:lineRule="exact"/>
        <w:ind w:right="11"/>
        <w:rPr>
          <w:rFonts w:ascii="宋体" w:hAnsi="宋体" w:cs="宋体"/>
          <w:snapToGrid w:val="0"/>
          <w:color w:val="auto"/>
          <w:kern w:val="0"/>
          <w:sz w:val="24"/>
          <w:highlight w:val="none"/>
        </w:rPr>
      </w:pPr>
    </w:p>
    <w:tbl>
      <w:tblPr>
        <w:tblStyle w:val="30"/>
        <w:tblW w:w="0" w:type="auto"/>
        <w:tblInd w:w="431" w:type="dxa"/>
        <w:tblLayout w:type="fixed"/>
        <w:tblCellMar>
          <w:top w:w="0" w:type="dxa"/>
          <w:left w:w="108" w:type="dxa"/>
          <w:bottom w:w="0" w:type="dxa"/>
          <w:right w:w="108" w:type="dxa"/>
        </w:tblCellMar>
      </w:tblPr>
      <w:tblGrid>
        <w:gridCol w:w="1668"/>
        <w:gridCol w:w="2835"/>
        <w:gridCol w:w="1559"/>
        <w:gridCol w:w="2835"/>
      </w:tblGrid>
      <w:tr>
        <w:tblPrEx>
          <w:tblCellMar>
            <w:top w:w="0" w:type="dxa"/>
            <w:left w:w="108" w:type="dxa"/>
            <w:bottom w:w="0" w:type="dxa"/>
            <w:right w:w="108" w:type="dxa"/>
          </w:tblCellMar>
        </w:tblPrEx>
        <w:trPr>
          <w:trHeight w:val="857" w:hRule="atLeast"/>
        </w:trPr>
        <w:tc>
          <w:tcPr>
            <w:tcW w:w="1668" w:type="dxa"/>
            <w:vAlign w:val="center"/>
          </w:tcPr>
          <w:p>
            <w:pPr>
              <w:widowControl/>
              <w:wordWrap w:val="0"/>
              <w:topLinePunct/>
              <w:adjustRightInd w:val="0"/>
              <w:snapToGrid w:val="0"/>
              <w:spacing w:line="480" w:lineRule="exact"/>
              <w:rPr>
                <w:rFonts w:ascii="宋体" w:hAnsi="宋体"/>
                <w:color w:val="auto"/>
                <w:sz w:val="24"/>
                <w:highlight w:val="none"/>
              </w:rPr>
            </w:pPr>
            <w:r>
              <w:rPr>
                <w:rFonts w:hint="eastAsia" w:ascii="宋体" w:hAnsi="宋体"/>
                <w:color w:val="auto"/>
                <w:sz w:val="24"/>
                <w:highlight w:val="none"/>
              </w:rPr>
              <w:t>发  包  人：</w:t>
            </w:r>
          </w:p>
        </w:tc>
        <w:tc>
          <w:tcPr>
            <w:tcW w:w="2835" w:type="dxa"/>
            <w:vAlign w:val="center"/>
          </w:tcPr>
          <w:p>
            <w:pPr>
              <w:widowControl/>
              <w:wordWrap w:val="0"/>
              <w:topLinePunct/>
              <w:adjustRightInd w:val="0"/>
              <w:snapToGrid w:val="0"/>
              <w:spacing w:line="300" w:lineRule="exact"/>
              <w:rPr>
                <w:rFonts w:ascii="宋体" w:hAnsi="宋体"/>
                <w:color w:val="auto"/>
                <w:sz w:val="24"/>
                <w:highlight w:val="none"/>
              </w:rPr>
            </w:pPr>
            <w:r>
              <w:rPr>
                <w:rFonts w:hint="eastAsia" w:ascii="宋体" w:hAnsi="宋体"/>
                <w:color w:val="auto"/>
                <w:sz w:val="24"/>
                <w:szCs w:val="24"/>
                <w:highlight w:val="none"/>
              </w:rPr>
              <w:t>广州开发区财政投资建设项目管理中心</w:t>
            </w:r>
          </w:p>
        </w:tc>
        <w:tc>
          <w:tcPr>
            <w:tcW w:w="1559" w:type="dxa"/>
            <w:vAlign w:val="center"/>
          </w:tcPr>
          <w:p>
            <w:pPr>
              <w:widowControl/>
              <w:wordWrap w:val="0"/>
              <w:topLinePunct/>
              <w:adjustRightInd w:val="0"/>
              <w:snapToGrid w:val="0"/>
              <w:spacing w:line="480" w:lineRule="exact"/>
              <w:rPr>
                <w:rFonts w:ascii="宋体" w:hAnsi="宋体"/>
                <w:color w:val="auto"/>
                <w:sz w:val="24"/>
                <w:highlight w:val="none"/>
              </w:rPr>
            </w:pPr>
            <w:r>
              <w:rPr>
                <w:rFonts w:hint="eastAsia" w:ascii="宋体" w:hAnsi="宋体"/>
                <w:color w:val="auto"/>
                <w:sz w:val="24"/>
                <w:highlight w:val="none"/>
              </w:rPr>
              <w:t>承  包  人：</w:t>
            </w:r>
          </w:p>
        </w:tc>
        <w:tc>
          <w:tcPr>
            <w:tcW w:w="2835" w:type="dxa"/>
            <w:vAlign w:val="center"/>
          </w:tcPr>
          <w:p>
            <w:pPr>
              <w:widowControl/>
              <w:wordWrap w:val="0"/>
              <w:topLinePunct/>
              <w:adjustRightInd w:val="0"/>
              <w:snapToGrid w:val="0"/>
              <w:spacing w:line="300" w:lineRule="exact"/>
              <w:rPr>
                <w:rFonts w:ascii="宋体" w:hAnsi="宋体"/>
                <w:color w:val="auto"/>
                <w:sz w:val="22"/>
                <w:highlight w:val="none"/>
              </w:rPr>
            </w:pPr>
          </w:p>
        </w:tc>
      </w:tr>
      <w:tr>
        <w:tblPrEx>
          <w:tblCellMar>
            <w:top w:w="0" w:type="dxa"/>
            <w:left w:w="108" w:type="dxa"/>
            <w:bottom w:w="0" w:type="dxa"/>
            <w:right w:w="108" w:type="dxa"/>
          </w:tblCellMar>
        </w:tblPrEx>
        <w:trPr>
          <w:trHeight w:val="1021" w:hRule="atLeast"/>
        </w:trPr>
        <w:tc>
          <w:tcPr>
            <w:tcW w:w="1668" w:type="dxa"/>
            <w:vAlign w:val="center"/>
          </w:tcPr>
          <w:p>
            <w:pPr>
              <w:widowControl/>
              <w:wordWrap w:val="0"/>
              <w:topLinePunct/>
              <w:adjustRightInd w:val="0"/>
              <w:snapToGrid w:val="0"/>
              <w:spacing w:line="480" w:lineRule="exact"/>
              <w:rPr>
                <w:rFonts w:ascii="宋体" w:hAnsi="宋体"/>
                <w:color w:val="auto"/>
                <w:sz w:val="24"/>
                <w:highlight w:val="none"/>
              </w:rPr>
            </w:pPr>
            <w:r>
              <w:rPr>
                <w:rFonts w:hint="eastAsia" w:ascii="宋体" w:hAnsi="宋体"/>
                <w:color w:val="auto"/>
                <w:sz w:val="24"/>
                <w:highlight w:val="none"/>
              </w:rPr>
              <w:t>法定代表人：</w:t>
            </w:r>
          </w:p>
        </w:tc>
        <w:tc>
          <w:tcPr>
            <w:tcW w:w="2835" w:type="dxa"/>
            <w:vAlign w:val="center"/>
          </w:tcPr>
          <w:p>
            <w:pPr>
              <w:widowControl/>
              <w:wordWrap w:val="0"/>
              <w:topLinePunct/>
              <w:adjustRightInd w:val="0"/>
              <w:snapToGrid w:val="0"/>
              <w:spacing w:line="480" w:lineRule="exact"/>
              <w:rPr>
                <w:rFonts w:ascii="宋体" w:hAnsi="宋体"/>
                <w:color w:val="auto"/>
                <w:sz w:val="24"/>
                <w:highlight w:val="none"/>
              </w:rPr>
            </w:pPr>
          </w:p>
        </w:tc>
        <w:tc>
          <w:tcPr>
            <w:tcW w:w="1559" w:type="dxa"/>
            <w:vAlign w:val="center"/>
          </w:tcPr>
          <w:p>
            <w:pPr>
              <w:widowControl/>
              <w:wordWrap w:val="0"/>
              <w:topLinePunct/>
              <w:adjustRightInd w:val="0"/>
              <w:snapToGrid w:val="0"/>
              <w:spacing w:line="480" w:lineRule="exact"/>
              <w:rPr>
                <w:rFonts w:ascii="宋体" w:hAnsi="宋体"/>
                <w:color w:val="auto"/>
                <w:sz w:val="24"/>
                <w:highlight w:val="none"/>
              </w:rPr>
            </w:pPr>
            <w:r>
              <w:rPr>
                <w:rFonts w:hint="eastAsia" w:ascii="宋体" w:hAnsi="宋体"/>
                <w:color w:val="auto"/>
                <w:sz w:val="24"/>
                <w:highlight w:val="none"/>
              </w:rPr>
              <w:t>法定代表人：</w:t>
            </w:r>
          </w:p>
        </w:tc>
        <w:tc>
          <w:tcPr>
            <w:tcW w:w="2835" w:type="dxa"/>
            <w:vAlign w:val="center"/>
          </w:tcPr>
          <w:p>
            <w:pPr>
              <w:widowControl/>
              <w:wordWrap w:val="0"/>
              <w:topLinePunct/>
              <w:adjustRightInd w:val="0"/>
              <w:snapToGrid w:val="0"/>
              <w:spacing w:line="360" w:lineRule="exact"/>
              <w:rPr>
                <w:rFonts w:ascii="宋体" w:hAnsi="宋体"/>
                <w:color w:val="auto"/>
                <w:sz w:val="24"/>
                <w:highlight w:val="none"/>
              </w:rPr>
            </w:pPr>
          </w:p>
        </w:tc>
      </w:tr>
      <w:tr>
        <w:tblPrEx>
          <w:tblCellMar>
            <w:top w:w="0" w:type="dxa"/>
            <w:left w:w="108" w:type="dxa"/>
            <w:bottom w:w="0" w:type="dxa"/>
            <w:right w:w="108" w:type="dxa"/>
          </w:tblCellMar>
        </w:tblPrEx>
        <w:trPr>
          <w:trHeight w:val="1021" w:hRule="atLeast"/>
        </w:trPr>
        <w:tc>
          <w:tcPr>
            <w:tcW w:w="1668" w:type="dxa"/>
            <w:vAlign w:val="center"/>
          </w:tcPr>
          <w:p>
            <w:pPr>
              <w:widowControl/>
              <w:wordWrap w:val="0"/>
              <w:topLinePunct/>
              <w:adjustRightInd w:val="0"/>
              <w:snapToGrid w:val="0"/>
              <w:spacing w:line="480" w:lineRule="exact"/>
              <w:rPr>
                <w:rFonts w:ascii="宋体" w:hAnsi="宋体"/>
                <w:color w:val="auto"/>
                <w:sz w:val="24"/>
                <w:highlight w:val="none"/>
              </w:rPr>
            </w:pPr>
            <w:r>
              <w:rPr>
                <w:rFonts w:hint="eastAsia" w:ascii="宋体" w:hAnsi="宋体"/>
                <w:color w:val="auto"/>
                <w:sz w:val="24"/>
                <w:highlight w:val="none"/>
              </w:rPr>
              <w:t>委托代理人：</w:t>
            </w:r>
          </w:p>
        </w:tc>
        <w:tc>
          <w:tcPr>
            <w:tcW w:w="2835" w:type="dxa"/>
            <w:vAlign w:val="center"/>
          </w:tcPr>
          <w:p>
            <w:pPr>
              <w:widowControl/>
              <w:wordWrap w:val="0"/>
              <w:topLinePunct/>
              <w:adjustRightInd w:val="0"/>
              <w:snapToGrid w:val="0"/>
              <w:spacing w:line="480" w:lineRule="exact"/>
              <w:rPr>
                <w:rFonts w:ascii="宋体" w:hAnsi="宋体"/>
                <w:color w:val="auto"/>
                <w:sz w:val="24"/>
                <w:highlight w:val="none"/>
              </w:rPr>
            </w:pPr>
          </w:p>
        </w:tc>
        <w:tc>
          <w:tcPr>
            <w:tcW w:w="1559" w:type="dxa"/>
            <w:vAlign w:val="center"/>
          </w:tcPr>
          <w:p>
            <w:pPr>
              <w:widowControl/>
              <w:wordWrap w:val="0"/>
              <w:topLinePunct/>
              <w:adjustRightInd w:val="0"/>
              <w:snapToGrid w:val="0"/>
              <w:spacing w:line="480" w:lineRule="exact"/>
              <w:rPr>
                <w:rFonts w:ascii="宋体" w:hAnsi="宋体"/>
                <w:color w:val="auto"/>
                <w:sz w:val="24"/>
                <w:highlight w:val="none"/>
              </w:rPr>
            </w:pPr>
            <w:r>
              <w:rPr>
                <w:rFonts w:hint="eastAsia" w:ascii="宋体" w:hAnsi="宋体"/>
                <w:color w:val="auto"/>
                <w:sz w:val="24"/>
                <w:highlight w:val="none"/>
              </w:rPr>
              <w:t>委托代理人：</w:t>
            </w:r>
          </w:p>
        </w:tc>
        <w:tc>
          <w:tcPr>
            <w:tcW w:w="2835" w:type="dxa"/>
            <w:vAlign w:val="center"/>
          </w:tcPr>
          <w:p>
            <w:pPr>
              <w:widowControl/>
              <w:wordWrap w:val="0"/>
              <w:topLinePunct/>
              <w:adjustRightInd w:val="0"/>
              <w:snapToGrid w:val="0"/>
              <w:spacing w:line="360" w:lineRule="exact"/>
              <w:rPr>
                <w:rFonts w:ascii="宋体" w:hAnsi="宋体"/>
                <w:color w:val="auto"/>
                <w:sz w:val="24"/>
                <w:highlight w:val="none"/>
              </w:rPr>
            </w:pPr>
          </w:p>
        </w:tc>
      </w:tr>
    </w:tbl>
    <w:p>
      <w:pPr>
        <w:spacing w:line="440" w:lineRule="exact"/>
        <w:ind w:firstLine="397"/>
        <w:jc w:val="left"/>
        <w:rPr>
          <w:rFonts w:ascii="宋体" w:hAnsi="宋体" w:cs="宋体"/>
          <w:snapToGrid w:val="0"/>
          <w:color w:val="auto"/>
          <w:kern w:val="0"/>
          <w:sz w:val="24"/>
          <w:highlight w:val="none"/>
        </w:rPr>
      </w:pPr>
    </w:p>
    <w:p>
      <w:pPr>
        <w:tabs>
          <w:tab w:val="left" w:pos="5460"/>
        </w:tabs>
        <w:adjustRightInd w:val="0"/>
        <w:snapToGrid w:val="0"/>
        <w:spacing w:line="460" w:lineRule="exact"/>
        <w:ind w:left="-2" w:leftChars="-1" w:right="11" w:firstLine="480" w:firstLineChars="200"/>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签订日期：</w:t>
      </w:r>
      <w:r>
        <w:rPr>
          <w:rFonts w:hint="eastAsia" w:ascii="宋体" w:hAnsi="宋体" w:cs="宋体"/>
          <w:snapToGrid w:val="0"/>
          <w:color w:val="auto"/>
          <w:kern w:val="0"/>
          <w:sz w:val="24"/>
          <w:highlight w:val="none"/>
          <w:u w:val="single"/>
        </w:rPr>
        <w:t xml:space="preserve">      年   月    日</w:t>
      </w:r>
    </w:p>
    <w:p>
      <w:pPr>
        <w:adjustRightInd/>
        <w:snapToGrid/>
        <w:spacing w:line="460" w:lineRule="exact"/>
        <w:ind w:right="0" w:firstLine="480" w:firstLineChars="200"/>
        <w:rPr>
          <w:rFonts w:hint="eastAsia"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签订地点：</w:t>
      </w:r>
      <w:r>
        <w:rPr>
          <w:rFonts w:hint="eastAsia" w:ascii="宋体" w:hAnsi="宋体" w:cs="宋体"/>
          <w:snapToGrid w:val="0"/>
          <w:color w:val="auto"/>
          <w:kern w:val="0"/>
          <w:sz w:val="24"/>
          <w:highlight w:val="none"/>
          <w:u w:val="single"/>
        </w:rPr>
        <w:t>广州市黄埔区</w:t>
      </w:r>
    </w:p>
    <w:p>
      <w:pPr>
        <w:adjustRightInd/>
        <w:snapToGrid/>
        <w:spacing w:line="460" w:lineRule="exact"/>
        <w:ind w:right="0" w:firstLine="480" w:firstLineChars="200"/>
        <w:rPr>
          <w:rFonts w:hint="eastAsia" w:ascii="宋体" w:hAnsi="宋体" w:cs="宋体"/>
          <w:snapToGrid w:val="0"/>
          <w:color w:val="auto"/>
          <w:kern w:val="0"/>
          <w:sz w:val="24"/>
          <w:highlight w:val="none"/>
          <w:u w:val="single"/>
        </w:rPr>
      </w:pPr>
    </w:p>
    <w:p>
      <w:pPr>
        <w:pStyle w:val="60"/>
        <w:spacing w:line="400" w:lineRule="exact"/>
        <w:rPr>
          <w:rFonts w:hint="eastAsia" w:ascii="宋体" w:hAnsi="宋体"/>
          <w:color w:val="auto"/>
          <w:sz w:val="24"/>
          <w:highlight w:val="none"/>
        </w:rPr>
      </w:pPr>
      <w:r>
        <w:rPr>
          <w:rFonts w:hint="eastAsia" w:ascii="宋体" w:hAnsi="宋体"/>
          <w:color w:val="auto"/>
          <w:sz w:val="24"/>
          <w:highlight w:val="none"/>
        </w:rPr>
        <w:t>附件2：标函承诺书</w:t>
      </w:r>
    </w:p>
    <w:p>
      <w:pPr>
        <w:pStyle w:val="60"/>
        <w:spacing w:line="400" w:lineRule="exact"/>
        <w:rPr>
          <w:rFonts w:hint="eastAsia" w:ascii="宋体" w:hAnsi="宋体"/>
          <w:color w:val="auto"/>
          <w:sz w:val="24"/>
          <w:highlight w:val="none"/>
        </w:rPr>
      </w:pPr>
      <w:r>
        <w:rPr>
          <w:rFonts w:hint="eastAsia" w:ascii="宋体" w:hAnsi="宋体"/>
          <w:color w:val="auto"/>
          <w:sz w:val="24"/>
          <w:highlight w:val="none"/>
        </w:rPr>
        <w:t>附件3：项目负责人驻场承诺书</w:t>
      </w:r>
    </w:p>
    <w:p>
      <w:pPr>
        <w:pStyle w:val="60"/>
        <w:spacing w:line="400" w:lineRule="exact"/>
        <w:rPr>
          <w:rFonts w:hint="eastAsia" w:ascii="宋体" w:hAnsi="宋体"/>
          <w:color w:val="auto"/>
          <w:sz w:val="24"/>
          <w:highlight w:val="none"/>
        </w:rPr>
      </w:pPr>
      <w:r>
        <w:rPr>
          <w:rFonts w:hint="eastAsia" w:ascii="宋体" w:hAnsi="宋体"/>
          <w:color w:val="auto"/>
          <w:sz w:val="24"/>
          <w:highlight w:val="none"/>
        </w:rPr>
        <w:t>附件4：危险性较大的分部分项工程安全管理措施</w:t>
      </w:r>
    </w:p>
    <w:p>
      <w:pPr>
        <w:pStyle w:val="60"/>
        <w:spacing w:line="400" w:lineRule="exact"/>
        <w:rPr>
          <w:rFonts w:hint="eastAsia" w:ascii="宋体" w:hAnsi="宋体"/>
          <w:color w:val="auto"/>
          <w:sz w:val="24"/>
          <w:highlight w:val="none"/>
        </w:rPr>
      </w:pPr>
      <w:r>
        <w:rPr>
          <w:rFonts w:hint="eastAsia" w:ascii="宋体" w:hAnsi="宋体"/>
          <w:color w:val="auto"/>
          <w:sz w:val="24"/>
          <w:highlight w:val="none"/>
        </w:rPr>
        <w:t>附件5：拟投入本工程的主要技术、经济和管理人员一览表</w:t>
      </w:r>
    </w:p>
    <w:p>
      <w:pPr>
        <w:pStyle w:val="60"/>
        <w:spacing w:line="400" w:lineRule="exact"/>
        <w:rPr>
          <w:rFonts w:hint="eastAsia" w:ascii="宋体" w:hAnsi="宋体"/>
          <w:color w:val="auto"/>
          <w:sz w:val="24"/>
          <w:highlight w:val="none"/>
        </w:rPr>
      </w:pPr>
      <w:r>
        <w:rPr>
          <w:rFonts w:hint="eastAsia" w:ascii="宋体" w:hAnsi="宋体"/>
          <w:color w:val="auto"/>
          <w:sz w:val="24"/>
          <w:highlight w:val="none"/>
        </w:rPr>
        <w:t>附件6：拟投入本工程施工的主要机械设备配备表</w:t>
      </w:r>
    </w:p>
    <w:p>
      <w:pPr>
        <w:pStyle w:val="60"/>
        <w:spacing w:line="400" w:lineRule="exact"/>
        <w:rPr>
          <w:rFonts w:hint="eastAsia" w:ascii="宋体" w:hAnsi="宋体"/>
          <w:color w:val="auto"/>
          <w:sz w:val="24"/>
          <w:highlight w:val="none"/>
        </w:rPr>
      </w:pPr>
      <w:r>
        <w:rPr>
          <w:rFonts w:hint="eastAsia" w:ascii="宋体" w:hAnsi="宋体"/>
          <w:color w:val="auto"/>
          <w:sz w:val="24"/>
          <w:highlight w:val="none"/>
        </w:rPr>
        <w:t>附件7：中小企业声明函（如有)</w:t>
      </w:r>
    </w:p>
    <w:p>
      <w:pPr>
        <w:pStyle w:val="60"/>
        <w:spacing w:line="400" w:lineRule="exact"/>
        <w:rPr>
          <w:rFonts w:hAnsi="宋体" w:eastAsia="仿宋_GB2312"/>
          <w:color w:val="auto"/>
          <w:sz w:val="28"/>
          <w:szCs w:val="28"/>
          <w:highlight w:val="none"/>
        </w:rPr>
      </w:pPr>
      <w:r>
        <w:rPr>
          <w:rFonts w:hint="eastAsia" w:ascii="宋体" w:hAnsi="宋体"/>
          <w:color w:val="auto"/>
          <w:sz w:val="24"/>
          <w:highlight w:val="none"/>
        </w:rPr>
        <w:t>附件8：分包意向协议书(如有)</w:t>
      </w:r>
    </w:p>
    <w:p>
      <w:pPr>
        <w:snapToGrid/>
        <w:spacing w:line="460" w:lineRule="exact"/>
        <w:jc w:val="both"/>
        <w:rPr>
          <w:rFonts w:hint="eastAsia" w:ascii="宋体" w:hAnsi="宋体" w:eastAsia="宋体"/>
          <w:color w:val="auto"/>
          <w:sz w:val="24"/>
          <w:highlight w:val="none"/>
          <w:lang w:val="en-US" w:eastAsia="zh-CN"/>
        </w:rPr>
      </w:pPr>
    </w:p>
    <w:p>
      <w:pPr>
        <w:rPr>
          <w:rFonts w:hint="eastAsia" w:ascii="宋体" w:hAnsi="宋体" w:cs="宋体"/>
          <w:b/>
          <w:bCs/>
          <w:color w:val="auto"/>
          <w:highlight w:val="none"/>
        </w:rPr>
      </w:pPr>
      <w:bookmarkStart w:id="24" w:name="_Toc194090354"/>
      <w:r>
        <w:rPr>
          <w:rFonts w:hint="eastAsia" w:ascii="宋体" w:hAnsi="宋体" w:cs="宋体"/>
          <w:b/>
          <w:bCs/>
          <w:color w:val="auto"/>
          <w:highlight w:val="none"/>
        </w:rPr>
        <w:br w:type="page"/>
      </w:r>
    </w:p>
    <w:p>
      <w:pPr>
        <w:pStyle w:val="2"/>
        <w:snapToGrid w:val="0"/>
        <w:spacing w:before="0" w:after="0"/>
        <w:jc w:val="center"/>
        <w:rPr>
          <w:rFonts w:ascii="宋体" w:hAnsi="宋体" w:cs="宋体"/>
          <w:b/>
          <w:bCs/>
          <w:color w:val="auto"/>
          <w:highlight w:val="none"/>
        </w:rPr>
      </w:pPr>
      <w:r>
        <w:rPr>
          <w:rFonts w:hint="eastAsia" w:ascii="宋体" w:hAnsi="宋体" w:cs="宋体"/>
          <w:b/>
          <w:bCs/>
          <w:color w:val="auto"/>
          <w:highlight w:val="none"/>
        </w:rPr>
        <w:t>第四章</w:t>
      </w:r>
      <w:r>
        <w:rPr>
          <w:rFonts w:ascii="宋体" w:hAnsi="宋体" w:cs="宋体"/>
          <w:b/>
          <w:bCs/>
          <w:color w:val="auto"/>
          <w:highlight w:val="none"/>
        </w:rPr>
        <w:t xml:space="preserve">  </w:t>
      </w:r>
      <w:r>
        <w:rPr>
          <w:rFonts w:hint="eastAsia" w:ascii="宋体" w:hAnsi="宋体" w:cs="宋体"/>
          <w:b/>
          <w:bCs/>
          <w:color w:val="auto"/>
          <w:highlight w:val="none"/>
        </w:rPr>
        <w:t>投标文件格式</w:t>
      </w:r>
      <w:bookmarkEnd w:id="24"/>
    </w:p>
    <w:p>
      <w:pPr>
        <w:autoSpaceDE w:val="0"/>
        <w:autoSpaceDN w:val="0"/>
        <w:adjustRightInd w:val="0"/>
        <w:snapToGrid w:val="0"/>
        <w:spacing w:line="360" w:lineRule="auto"/>
        <w:rPr>
          <w:rFonts w:ascii="宋体" w:hAnsi="宋体" w:cs="宋体"/>
          <w:color w:val="auto"/>
          <w:sz w:val="32"/>
          <w:szCs w:val="32"/>
          <w:highlight w:val="none"/>
        </w:rPr>
      </w:pPr>
    </w:p>
    <w:p>
      <w:pPr>
        <w:autoSpaceDE w:val="0"/>
        <w:autoSpaceDN w:val="0"/>
        <w:adjustRightInd w:val="0"/>
        <w:snapToGrid w:val="0"/>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一、技术标（含资格审查文件）格式</w:t>
      </w:r>
    </w:p>
    <w:p>
      <w:pPr>
        <w:topLinePunct/>
        <w:adjustRightInd w:val="0"/>
        <w:snapToGrid w:val="0"/>
        <w:spacing w:line="360" w:lineRule="auto"/>
        <w:jc w:val="left"/>
        <w:rPr>
          <w:rFonts w:ascii="宋体" w:hAnsi="宋体" w:cs="宋体"/>
          <w:color w:val="auto"/>
          <w:sz w:val="24"/>
          <w:szCs w:val="24"/>
          <w:highlight w:val="none"/>
        </w:rPr>
      </w:pPr>
      <w:bookmarkStart w:id="25" w:name="_Toc6493845"/>
    </w:p>
    <w:p>
      <w:pPr>
        <w:rPr>
          <w:rFonts w:ascii="宋体" w:hAnsi="宋体" w:cs="宋体"/>
          <w:color w:val="auto"/>
          <w:sz w:val="24"/>
          <w:szCs w:val="24"/>
          <w:highlight w:val="none"/>
        </w:rPr>
      </w:pPr>
      <w:r>
        <w:rPr>
          <w:rFonts w:hint="eastAsia" w:ascii="宋体" w:hAnsi="宋体" w:cs="宋体"/>
          <w:color w:val="auto"/>
          <w:sz w:val="24"/>
          <w:szCs w:val="24"/>
          <w:highlight w:val="none"/>
        </w:rPr>
        <w:br w:type="page"/>
      </w:r>
    </w:p>
    <w:p>
      <w:pPr>
        <w:topLinePunct/>
        <w:adjustRightInd w:val="0"/>
        <w:snapToGrid w:val="0"/>
        <w:spacing w:line="360" w:lineRule="auto"/>
        <w:jc w:val="left"/>
        <w:rPr>
          <w:rFonts w:ascii="宋体" w:hAnsi="宋体" w:cs="宋体"/>
          <w:bCs/>
          <w:color w:val="auto"/>
          <w:spacing w:val="4"/>
          <w:kern w:val="0"/>
          <w:sz w:val="24"/>
          <w:szCs w:val="24"/>
          <w:highlight w:val="none"/>
        </w:rPr>
      </w:pPr>
      <w:r>
        <w:rPr>
          <w:rFonts w:hint="eastAsia" w:ascii="宋体" w:hAnsi="宋体" w:cs="宋体"/>
          <w:color w:val="auto"/>
          <w:sz w:val="24"/>
          <w:szCs w:val="24"/>
          <w:highlight w:val="none"/>
        </w:rPr>
        <w:t>技术标</w:t>
      </w:r>
      <w:r>
        <w:rPr>
          <w:rFonts w:hint="eastAsia" w:ascii="宋体" w:hAnsi="宋体" w:cs="宋体"/>
          <w:bCs/>
          <w:color w:val="auto"/>
          <w:spacing w:val="4"/>
          <w:kern w:val="0"/>
          <w:sz w:val="24"/>
          <w:szCs w:val="24"/>
          <w:highlight w:val="none"/>
        </w:rPr>
        <w:t>格式一</w:t>
      </w:r>
      <w:bookmarkEnd w:id="25"/>
    </w:p>
    <w:p>
      <w:pPr>
        <w:topLinePunct/>
        <w:adjustRightInd w:val="0"/>
        <w:snapToGrid w:val="0"/>
        <w:spacing w:line="360" w:lineRule="auto"/>
        <w:jc w:val="center"/>
        <w:rPr>
          <w:rFonts w:ascii="宋体" w:hAnsi="宋体" w:cs="宋体"/>
          <w:b/>
          <w:bCs/>
          <w:color w:val="auto"/>
          <w:sz w:val="36"/>
          <w:szCs w:val="36"/>
          <w:highlight w:val="none"/>
          <w:lang w:val="zh-CN"/>
        </w:rPr>
      </w:pPr>
      <w:bookmarkStart w:id="26" w:name="_Toc10308"/>
      <w:bookmarkStart w:id="27" w:name="_Toc17590"/>
      <w:r>
        <w:rPr>
          <w:rFonts w:hint="eastAsia" w:ascii="宋体" w:hAnsi="宋体" w:cs="宋体"/>
          <w:b/>
          <w:bCs/>
          <w:color w:val="auto"/>
          <w:spacing w:val="4"/>
          <w:kern w:val="0"/>
          <w:sz w:val="36"/>
          <w:szCs w:val="36"/>
          <w:highlight w:val="none"/>
        </w:rPr>
        <w:t>广州建设工程施工招标投标书（技术标）</w:t>
      </w:r>
      <w:bookmarkEnd w:id="26"/>
      <w:bookmarkEnd w:id="27"/>
    </w:p>
    <w:tbl>
      <w:tblPr>
        <w:tblStyle w:val="30"/>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2211"/>
        <w:gridCol w:w="3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3334"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工程名称</w:t>
            </w:r>
          </w:p>
        </w:tc>
        <w:tc>
          <w:tcPr>
            <w:tcW w:w="5846" w:type="dxa"/>
            <w:gridSpan w:val="2"/>
            <w:tcBorders>
              <w:top w:val="single" w:color="auto" w:sz="4" w:space="0"/>
              <w:left w:val="single" w:color="auto" w:sz="4" w:space="0"/>
              <w:bottom w:val="single" w:color="auto" w:sz="4" w:space="0"/>
              <w:right w:val="single" w:color="auto" w:sz="4" w:space="0"/>
            </w:tcBorders>
            <w:noWrap/>
          </w:tcPr>
          <w:p>
            <w:pPr>
              <w:autoSpaceDE w:val="0"/>
              <w:autoSpaceDN w:val="0"/>
              <w:adjustRightInd w:val="0"/>
              <w:snapToGrid w:val="0"/>
              <w:spacing w:line="360" w:lineRule="auto"/>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333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投标总工期</w:t>
            </w:r>
          </w:p>
        </w:tc>
        <w:tc>
          <w:tcPr>
            <w:tcW w:w="5846" w:type="dxa"/>
            <w:gridSpan w:val="2"/>
            <w:tcBorders>
              <w:top w:val="single" w:color="auto" w:sz="4" w:space="0"/>
              <w:left w:val="single" w:color="auto" w:sz="4" w:space="0"/>
              <w:bottom w:val="single" w:color="auto" w:sz="4" w:space="0"/>
              <w:right w:val="single" w:color="auto" w:sz="4" w:space="0"/>
            </w:tcBorders>
            <w:noWrap/>
          </w:tcPr>
          <w:p>
            <w:pPr>
              <w:autoSpaceDE w:val="0"/>
              <w:autoSpaceDN w:val="0"/>
              <w:adjustRightInd w:val="0"/>
              <w:snapToGrid w:val="0"/>
              <w:spacing w:line="360" w:lineRule="auto"/>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333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lang w:val="zh-CN"/>
              </w:rPr>
              <w:t>工程质量标准</w:t>
            </w:r>
          </w:p>
        </w:tc>
        <w:tc>
          <w:tcPr>
            <w:tcW w:w="5846" w:type="dxa"/>
            <w:gridSpan w:val="2"/>
            <w:tcBorders>
              <w:top w:val="single" w:color="auto" w:sz="4" w:space="0"/>
              <w:left w:val="single" w:color="auto" w:sz="4" w:space="0"/>
              <w:bottom w:val="single" w:color="auto" w:sz="4" w:space="0"/>
              <w:right w:val="single" w:color="auto" w:sz="4" w:space="0"/>
            </w:tcBorders>
            <w:noWrap/>
          </w:tcPr>
          <w:p>
            <w:pPr>
              <w:autoSpaceDE w:val="0"/>
              <w:autoSpaceDN w:val="0"/>
              <w:adjustRightInd w:val="0"/>
              <w:snapToGrid w:val="0"/>
              <w:spacing w:line="360" w:lineRule="auto"/>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3334"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保修期限</w:t>
            </w:r>
          </w:p>
        </w:tc>
        <w:tc>
          <w:tcPr>
            <w:tcW w:w="5846" w:type="dxa"/>
            <w:gridSpan w:val="2"/>
            <w:tcBorders>
              <w:top w:val="single" w:color="auto" w:sz="4" w:space="0"/>
              <w:left w:val="single" w:color="auto" w:sz="4" w:space="0"/>
              <w:bottom w:val="single" w:color="auto" w:sz="4" w:space="0"/>
              <w:right w:val="single" w:color="auto" w:sz="4" w:space="0"/>
            </w:tcBorders>
            <w:noWrap/>
          </w:tcPr>
          <w:p>
            <w:pPr>
              <w:autoSpaceDE w:val="0"/>
              <w:autoSpaceDN w:val="0"/>
              <w:adjustRightInd w:val="0"/>
              <w:snapToGrid w:val="0"/>
              <w:spacing w:line="360" w:lineRule="auto"/>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委派的项目负责人</w:t>
            </w:r>
          </w:p>
        </w:tc>
        <w:tc>
          <w:tcPr>
            <w:tcW w:w="221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姓</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名</w:t>
            </w:r>
          </w:p>
        </w:tc>
        <w:tc>
          <w:tcPr>
            <w:tcW w:w="3635"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snapToGrid w:val="0"/>
              <w:spacing w:line="360" w:lineRule="auto"/>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委派的专职安全员</w:t>
            </w:r>
          </w:p>
        </w:tc>
        <w:tc>
          <w:tcPr>
            <w:tcW w:w="2211"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姓</w:t>
            </w:r>
            <w:r>
              <w:rPr>
                <w:rFonts w:ascii="宋体" w:hAnsi="宋体" w:cs="宋体"/>
                <w:b/>
                <w:bCs/>
                <w:color w:val="auto"/>
                <w:sz w:val="24"/>
                <w:szCs w:val="24"/>
                <w:highlight w:val="none"/>
                <w:lang w:val="zh-CN"/>
              </w:rPr>
              <w:t xml:space="preserve">   </w:t>
            </w:r>
            <w:r>
              <w:rPr>
                <w:rFonts w:hint="eastAsia" w:ascii="宋体" w:hAnsi="宋体" w:cs="宋体"/>
                <w:b/>
                <w:bCs/>
                <w:color w:val="auto"/>
                <w:sz w:val="24"/>
                <w:szCs w:val="24"/>
                <w:highlight w:val="none"/>
                <w:lang w:val="zh-CN"/>
              </w:rPr>
              <w:t>名</w:t>
            </w:r>
          </w:p>
        </w:tc>
        <w:tc>
          <w:tcPr>
            <w:tcW w:w="3635"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snapToGrid w:val="0"/>
              <w:spacing w:line="360" w:lineRule="auto"/>
              <w:rPr>
                <w:rFonts w:ascii="宋体" w:hAnsi="宋体" w:cs="宋体"/>
                <w:bCs/>
                <w:color w:val="auto"/>
                <w:sz w:val="24"/>
                <w:szCs w:val="24"/>
                <w:highlight w:val="none"/>
                <w:lang w:val="zh-CN"/>
              </w:rPr>
            </w:pPr>
          </w:p>
        </w:tc>
      </w:tr>
    </w:tbl>
    <w:p>
      <w:pPr>
        <w:autoSpaceDE w:val="0"/>
        <w:autoSpaceDN w:val="0"/>
        <w:adjustRightInd w:val="0"/>
        <w:snapToGrid w:val="0"/>
        <w:spacing w:line="360" w:lineRule="auto"/>
        <w:rPr>
          <w:rFonts w:ascii="宋体" w:hAnsi="宋体" w:cs="宋体"/>
          <w:snapToGrid w:val="0"/>
          <w:color w:val="auto"/>
          <w:spacing w:val="4"/>
          <w:kern w:val="0"/>
          <w:sz w:val="24"/>
          <w:szCs w:val="24"/>
          <w:highlight w:val="none"/>
        </w:rPr>
      </w:pPr>
      <w:r>
        <w:rPr>
          <w:rFonts w:hint="eastAsia" w:ascii="宋体" w:hAnsi="宋体" w:cs="宋体"/>
          <w:b/>
          <w:color w:val="auto"/>
          <w:highlight w:val="none"/>
        </w:rPr>
        <w:br w:type="page"/>
      </w:r>
      <w:r>
        <w:rPr>
          <w:rFonts w:hint="eastAsia" w:ascii="宋体" w:hAnsi="宋体" w:cs="宋体"/>
          <w:color w:val="auto"/>
          <w:sz w:val="24"/>
          <w:szCs w:val="24"/>
          <w:highlight w:val="none"/>
        </w:rPr>
        <w:t>技术标</w:t>
      </w:r>
      <w:r>
        <w:rPr>
          <w:rFonts w:hint="eastAsia" w:ascii="宋体" w:hAnsi="宋体" w:cs="宋体"/>
          <w:bCs/>
          <w:color w:val="auto"/>
          <w:sz w:val="24"/>
          <w:szCs w:val="24"/>
          <w:highlight w:val="none"/>
        </w:rPr>
        <w:t>格式二</w:t>
      </w:r>
    </w:p>
    <w:p>
      <w:pPr>
        <w:topLinePunct/>
        <w:adjustRightInd w:val="0"/>
        <w:snapToGrid w:val="0"/>
        <w:spacing w:line="360" w:lineRule="auto"/>
        <w:jc w:val="center"/>
        <w:rPr>
          <w:rFonts w:ascii="宋体" w:hAnsi="宋体" w:cs="宋体"/>
          <w:b/>
          <w:snapToGrid w:val="0"/>
          <w:color w:val="auto"/>
          <w:spacing w:val="4"/>
          <w:kern w:val="0"/>
          <w:sz w:val="32"/>
          <w:szCs w:val="32"/>
          <w:highlight w:val="none"/>
        </w:rPr>
      </w:pPr>
      <w:r>
        <w:rPr>
          <w:rFonts w:hint="eastAsia" w:ascii="宋体" w:hAnsi="宋体" w:cs="宋体"/>
          <w:b/>
          <w:snapToGrid w:val="0"/>
          <w:color w:val="auto"/>
          <w:spacing w:val="4"/>
          <w:kern w:val="0"/>
          <w:sz w:val="32"/>
          <w:szCs w:val="32"/>
          <w:highlight w:val="none"/>
        </w:rPr>
        <w:t>投标函</w:t>
      </w:r>
    </w:p>
    <w:p>
      <w:pPr>
        <w:topLinePunct/>
        <w:adjustRightInd w:val="0"/>
        <w:snapToGrid w:val="0"/>
        <w:spacing w:line="360" w:lineRule="auto"/>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致：</w:t>
      </w:r>
      <w:r>
        <w:rPr>
          <w:rFonts w:hint="eastAsia" w:ascii="宋体" w:hAnsi="宋体" w:cs="宋体"/>
          <w:snapToGrid w:val="0"/>
          <w:color w:val="auto"/>
          <w:spacing w:val="4"/>
          <w:kern w:val="0"/>
          <w:sz w:val="24"/>
          <w:szCs w:val="24"/>
          <w:highlight w:val="none"/>
          <w:u w:val="single"/>
        </w:rPr>
        <w:t xml:space="preserve"> （招标人名称） </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1.根据已收到贵方的项目编号为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工程的招标文件，并已详细审核了全部招标文件及有关附件。</w:t>
      </w:r>
    </w:p>
    <w:p>
      <w:pPr>
        <w:snapToGrid w:val="0"/>
        <w:spacing w:line="360" w:lineRule="auto"/>
        <w:ind w:firstLine="523" w:firstLineChars="218"/>
        <w:rPr>
          <w:rFonts w:ascii="宋体" w:hAnsi="宋体" w:cs="宋体"/>
          <w:color w:val="auto"/>
          <w:sz w:val="24"/>
          <w:szCs w:val="24"/>
          <w:highlight w:val="none"/>
        </w:rPr>
      </w:pPr>
      <w:r>
        <w:rPr>
          <w:rFonts w:hint="eastAsia" w:ascii="宋体" w:hAnsi="宋体" w:cs="宋体"/>
          <w:color w:val="auto"/>
          <w:sz w:val="24"/>
          <w:szCs w:val="24"/>
          <w:highlight w:val="none"/>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愿以经济标中的投标报价并按上述合同条款、标准和技术规范、图纸、工程量清单等的要求承包上述工程的施工、竣工并修补其任何缺陷。</w:t>
      </w:r>
    </w:p>
    <w:p>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3.我方同意所递交的投标文件在投标须知规定的投标有效期内有效，在此期间内我方的投标有可能中标，我方将受此约束。如果在投标有效期内撤回投标或放弃中标资格，我方的投标担保将不予退还，给贵方造成的损失超过我方投标担保金额的，贵方还有权要求我方对超过部分进行赔偿。</w:t>
      </w:r>
    </w:p>
    <w:p>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4.我方理解贵方将不受必须接受你们所收到的最低标价或其它任何投标文件的约束。</w:t>
      </w:r>
    </w:p>
    <w:p>
      <w:pPr>
        <w:snapToGrid w:val="0"/>
        <w:spacing w:line="360" w:lineRule="auto"/>
        <w:ind w:firstLine="420" w:firstLineChars="200"/>
        <w:rPr>
          <w:rFonts w:hint="eastAsia" w:ascii="宋体" w:hAnsi="宋体" w:cs="宋体"/>
          <w:color w:val="auto"/>
          <w:sz w:val="24"/>
          <w:szCs w:val="24"/>
          <w:highlight w:val="none"/>
        </w:rPr>
      </w:pPr>
      <w:r>
        <w:rPr>
          <w:rFonts w:hint="eastAsia" w:ascii="宋体" w:hAnsi="宋体" w:cs="宋体"/>
          <w:color w:val="auto"/>
          <w:highlight w:val="none"/>
        </w:rPr>
        <w:t>5.</w:t>
      </w:r>
      <w:r>
        <w:rPr>
          <w:rFonts w:hint="eastAsia" w:ascii="宋体" w:hAnsi="宋体" w:eastAsia="宋体" w:cs="宋体"/>
          <w:strike w:val="0"/>
          <w:dstrike w:val="0"/>
          <w:color w:val="auto"/>
          <w:sz w:val="24"/>
          <w:szCs w:val="24"/>
          <w:highlight w:val="none"/>
        </w:rPr>
        <w:t>如果我方中标，我方保证在</w:t>
      </w:r>
      <w:r>
        <w:rPr>
          <w:rFonts w:hint="eastAsia" w:ascii="宋体" w:hAnsi="宋体" w:eastAsia="宋体" w:cs="宋体"/>
          <w:color w:val="auto"/>
          <w:sz w:val="24"/>
          <w:szCs w:val="24"/>
          <w:highlight w:val="none"/>
        </w:rPr>
        <w:t>投标文件所附</w:t>
      </w:r>
      <w:r>
        <w:rPr>
          <w:rFonts w:hint="eastAsia" w:ascii="宋体" w:hAnsi="宋体" w:eastAsia="宋体" w:cs="宋体"/>
          <w:strike w:val="0"/>
          <w:dstrike w:val="0"/>
          <w:color w:val="auto"/>
          <w:sz w:val="24"/>
          <w:szCs w:val="24"/>
          <w:highlight w:val="none"/>
        </w:rPr>
        <w:t>《广州建设工程施工招标投标书》</w:t>
      </w:r>
      <w:r>
        <w:rPr>
          <w:rFonts w:hint="eastAsia" w:ascii="宋体" w:hAnsi="宋体" w:eastAsia="宋体" w:cs="宋体"/>
          <w:strike w:val="0"/>
          <w:dstrike w:val="0"/>
          <w:color w:val="auto"/>
          <w:sz w:val="24"/>
          <w:szCs w:val="24"/>
          <w:highlight w:val="none"/>
          <w:lang w:val="en-US" w:eastAsia="zh-CN"/>
        </w:rPr>
        <w:t>中承诺</w:t>
      </w:r>
      <w:r>
        <w:rPr>
          <w:rFonts w:hint="eastAsia" w:ascii="宋体" w:hAnsi="宋体" w:eastAsia="宋体" w:cs="宋体"/>
          <w:strike w:val="0"/>
          <w:dstrike w:val="0"/>
          <w:color w:val="auto"/>
          <w:sz w:val="24"/>
          <w:szCs w:val="24"/>
          <w:highlight w:val="none"/>
        </w:rPr>
        <w:t>的投标总工期内完成并移交本工程，保证工程质量达到</w:t>
      </w:r>
      <w:r>
        <w:rPr>
          <w:rFonts w:hint="eastAsia" w:ascii="宋体" w:hAnsi="宋体" w:eastAsia="宋体" w:cs="宋体"/>
          <w:strike w:val="0"/>
          <w:dstrike w:val="0"/>
          <w:color w:val="auto"/>
          <w:sz w:val="24"/>
          <w:szCs w:val="24"/>
          <w:highlight w:val="none"/>
          <w:lang w:val="en-US" w:eastAsia="zh-CN"/>
        </w:rPr>
        <w:t>在</w:t>
      </w:r>
      <w:r>
        <w:rPr>
          <w:rFonts w:hint="eastAsia" w:ascii="宋体" w:hAnsi="宋体" w:eastAsia="宋体" w:cs="宋体"/>
          <w:color w:val="auto"/>
          <w:sz w:val="24"/>
          <w:szCs w:val="24"/>
          <w:highlight w:val="none"/>
        </w:rPr>
        <w:t>投标文件所附</w:t>
      </w:r>
      <w:r>
        <w:rPr>
          <w:rFonts w:hint="eastAsia" w:ascii="宋体" w:hAnsi="宋体" w:eastAsia="宋体" w:cs="宋体"/>
          <w:strike w:val="0"/>
          <w:dstrike w:val="0"/>
          <w:color w:val="auto"/>
          <w:sz w:val="24"/>
          <w:szCs w:val="24"/>
          <w:highlight w:val="none"/>
        </w:rPr>
        <w:t>《广州建设工程施工招标投标书》</w:t>
      </w:r>
      <w:r>
        <w:rPr>
          <w:rFonts w:hint="eastAsia" w:ascii="宋体" w:hAnsi="宋体" w:eastAsia="宋体" w:cs="宋体"/>
          <w:strike w:val="0"/>
          <w:dstrike w:val="0"/>
          <w:color w:val="auto"/>
          <w:sz w:val="24"/>
          <w:szCs w:val="24"/>
          <w:highlight w:val="none"/>
          <w:lang w:val="en-US" w:eastAsia="zh-CN"/>
        </w:rPr>
        <w:t>中承诺</w:t>
      </w:r>
      <w:r>
        <w:rPr>
          <w:rFonts w:hint="eastAsia" w:ascii="宋体" w:hAnsi="宋体" w:eastAsia="宋体" w:cs="宋体"/>
          <w:strike w:val="0"/>
          <w:dstrike w:val="0"/>
          <w:color w:val="auto"/>
          <w:sz w:val="24"/>
          <w:szCs w:val="24"/>
          <w:highlight w:val="none"/>
        </w:rPr>
        <w:t>的工程质量标准要求。</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6.如果我方中标，我方将按照规定递交由招标人认可，并在招标文件中规定金额的履约保函。</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7.除非另外达成协议并生效，贵方的中标通知书和本投标文件将成为约束双方的合同文件的组成部分。</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pPr>
        <w:snapToGrid w:val="0"/>
        <w:spacing w:line="360" w:lineRule="auto"/>
        <w:ind w:firstLine="481"/>
        <w:rPr>
          <w:rFonts w:ascii="宋体" w:hAnsi="宋体" w:cs="宋体"/>
          <w:b/>
          <w:bCs/>
          <w:color w:val="auto"/>
          <w:kern w:val="0"/>
          <w:sz w:val="24"/>
          <w:szCs w:val="24"/>
          <w:highlight w:val="none"/>
        </w:rPr>
      </w:pPr>
      <w:r>
        <w:rPr>
          <w:rFonts w:hint="eastAsia" w:ascii="宋体" w:hAnsi="宋体" w:cs="宋体"/>
          <w:b/>
          <w:bCs/>
          <w:color w:val="auto"/>
          <w:sz w:val="24"/>
          <w:szCs w:val="24"/>
          <w:highlight w:val="none"/>
        </w:rPr>
        <w:t>9.</w:t>
      </w:r>
      <w:r>
        <w:rPr>
          <w:rFonts w:hint="eastAsia" w:ascii="宋体" w:hAnsi="宋体" w:cs="宋体"/>
          <w:b/>
          <w:bCs/>
          <w:color w:val="auto"/>
          <w:kern w:val="0"/>
          <w:sz w:val="24"/>
          <w:szCs w:val="24"/>
          <w:highlight w:val="none"/>
        </w:rPr>
        <w:t>如我方中标</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rPr>
        <w:t>我方承诺：须按《广州开发区财政投资建设项目管理中心施工类合同结算编审指引（2024年修订稿）》（穗开建管【2024】65号）及广州开发区有关规定编制及办理建设项目工程结算。本公司未按上述规定的期限和内容编制及办理建设项目工程结算，经建设业主或代建单位或监理人书面通知之日起2个月内（最长期限不得超过6个月）仍未提交编制及办理建设项目工程结算的相关文件的，监理人和建设业主有权根据建设业主已有资料进行审核并报财政部门审定，财政部门审定的竣工结算合同总价视同是经我方认可的工程竣工结算合同总价。</w:t>
      </w:r>
    </w:p>
    <w:p>
      <w:pPr>
        <w:snapToGrid w:val="0"/>
        <w:spacing w:line="360" w:lineRule="auto"/>
        <w:ind w:firstLine="481"/>
        <w:rPr>
          <w:rFonts w:ascii="宋体" w:hAnsi="宋体" w:cs="宋体"/>
          <w:snapToGrid w:val="0"/>
          <w:color w:val="auto"/>
          <w:spacing w:val="4"/>
          <w:kern w:val="0"/>
          <w:sz w:val="24"/>
          <w:szCs w:val="24"/>
          <w:highlight w:val="none"/>
        </w:rPr>
      </w:pPr>
    </w:p>
    <w:p>
      <w:pPr>
        <w:topLinePunct/>
        <w:adjustRightInd w:val="0"/>
        <w:snapToGrid w:val="0"/>
        <w:spacing w:line="360" w:lineRule="auto"/>
        <w:ind w:firstLine="691" w:firstLineChars="279"/>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 xml:space="preserve">投 标 人（盖章）：    </w:t>
      </w:r>
    </w:p>
    <w:p>
      <w:pPr>
        <w:topLinePunct/>
        <w:adjustRightInd w:val="0"/>
        <w:snapToGrid w:val="0"/>
        <w:spacing w:line="360" w:lineRule="auto"/>
        <w:ind w:firstLine="691" w:firstLineChars="279"/>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 xml:space="preserve">日    期：    年    月    日 </w:t>
      </w:r>
    </w:p>
    <w:p>
      <w:pPr>
        <w:topLinePunct/>
        <w:adjustRightInd w:val="0"/>
        <w:snapToGrid w:val="0"/>
        <w:spacing w:line="360" w:lineRule="auto"/>
        <w:ind w:firstLine="691" w:firstLineChars="279"/>
        <w:rPr>
          <w:rFonts w:ascii="宋体" w:hAnsi="宋体" w:cs="宋体"/>
          <w:snapToGrid w:val="0"/>
          <w:color w:val="auto"/>
          <w:spacing w:val="4"/>
          <w:kern w:val="0"/>
          <w:sz w:val="24"/>
          <w:szCs w:val="24"/>
          <w:highlight w:val="none"/>
        </w:rPr>
      </w:pPr>
    </w:p>
    <w:p>
      <w:pPr>
        <w:snapToGrid w:val="0"/>
        <w:spacing w:line="360" w:lineRule="auto"/>
        <w:jc w:val="left"/>
        <w:rPr>
          <w:rFonts w:ascii="宋体" w:hAnsi="宋体" w:cs="宋体"/>
          <w:color w:val="auto"/>
          <w:sz w:val="24"/>
          <w:szCs w:val="24"/>
          <w:highlight w:val="none"/>
        </w:rPr>
      </w:pPr>
    </w:p>
    <w:p>
      <w:pPr>
        <w:snapToGrid w:val="0"/>
        <w:spacing w:line="360" w:lineRule="auto"/>
        <w:jc w:val="left"/>
        <w:rPr>
          <w:rFonts w:ascii="宋体" w:hAnsi="宋体" w:cs="宋体"/>
          <w:color w:val="auto"/>
          <w:szCs w:val="21"/>
          <w:highlight w:val="none"/>
        </w:rPr>
      </w:pPr>
    </w:p>
    <w:p>
      <w:pPr>
        <w:widowControl/>
        <w:jc w:val="left"/>
        <w:rPr>
          <w:rFonts w:ascii="宋体" w:hAnsi="宋体" w:cs="宋体"/>
          <w:bCs/>
          <w:color w:val="auto"/>
          <w:sz w:val="24"/>
          <w:szCs w:val="24"/>
          <w:highlight w:val="none"/>
        </w:rPr>
      </w:pPr>
      <w:bookmarkStart w:id="28" w:name="_Toc478375101"/>
      <w:bookmarkStart w:id="29" w:name="_Toc474749524"/>
      <w:r>
        <w:rPr>
          <w:rFonts w:ascii="宋体" w:hAnsi="宋体" w:cs="宋体"/>
          <w:bCs/>
          <w:color w:val="auto"/>
          <w:sz w:val="24"/>
          <w:szCs w:val="24"/>
          <w:highlight w:val="none"/>
        </w:rPr>
        <w:br w:type="page"/>
      </w:r>
    </w:p>
    <w:p>
      <w:pPr>
        <w:autoSpaceDE w:val="0"/>
        <w:autoSpaceDN w:val="0"/>
        <w:adjustRightInd w:val="0"/>
        <w:snapToGrid w:val="0"/>
        <w:spacing w:line="360" w:lineRule="auto"/>
        <w:rPr>
          <w:rFonts w:ascii="宋体" w:hAnsi="宋体" w:cs="宋体"/>
          <w:bCs/>
          <w:color w:val="auto"/>
          <w:sz w:val="24"/>
          <w:szCs w:val="24"/>
          <w:highlight w:val="none"/>
        </w:rPr>
      </w:pPr>
      <w:r>
        <w:rPr>
          <w:rFonts w:hint="eastAsia" w:ascii="宋体" w:hAnsi="宋体" w:cs="宋体"/>
          <w:bCs/>
          <w:color w:val="auto"/>
          <w:sz w:val="24"/>
          <w:szCs w:val="24"/>
          <w:highlight w:val="none"/>
        </w:rPr>
        <w:t>技术标格式三</w:t>
      </w:r>
    </w:p>
    <w:p>
      <w:pPr>
        <w:shd w:val="clear" w:color="auto" w:fill="auto"/>
        <w:topLinePunct/>
        <w:adjustRightIn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标函承诺书</w:t>
      </w:r>
    </w:p>
    <w:p>
      <w:pPr>
        <w:pStyle w:val="41"/>
        <w:shd w:val="clear" w:color="auto" w:fill="auto"/>
        <w:spacing w:line="360" w:lineRule="auto"/>
        <w:ind w:left="339" w:leftChars="101" w:hanging="127" w:hangingChars="53"/>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致：广州开发区财政投资建设项目管理中心</w:t>
      </w:r>
    </w:p>
    <w:p>
      <w:pPr>
        <w:shd w:val="clear" w:color="auto" w:fill="auto"/>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如果在本招标工程中我司中标，我司将积极响应贵单位提出的合同条件及招标文件的要求，并做出如下承诺：</w:t>
      </w:r>
    </w:p>
    <w:p>
      <w:pPr>
        <w:shd w:val="clear" w:color="auto" w:fill="auto"/>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1、若我公司中标，我公司承诺按时交纳履约保证金。</w:t>
      </w:r>
    </w:p>
    <w:p>
      <w:pPr>
        <w:shd w:val="clear" w:color="auto" w:fill="auto"/>
        <w:spacing w:after="156" w:afterLines="5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2、在本工程施工期间，拟投入的人力不少于下表中的人数</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0"/>
        <w:gridCol w:w="3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工种</w:t>
            </w:r>
          </w:p>
        </w:tc>
        <w:tc>
          <w:tcPr>
            <w:tcW w:w="378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ind w:firstLine="420" w:firstLineChars="200"/>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施工低峰期数量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ind w:left="-422" w:leftChars="-201" w:firstLine="420" w:firstLineChars="200"/>
              <w:jc w:val="center"/>
              <w:rPr>
                <w:rFonts w:hint="eastAsia" w:ascii="宋体" w:hAnsi="宋体" w:eastAsia="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ind w:firstLine="420" w:firstLineChars="200"/>
              <w:jc w:val="center"/>
              <w:rPr>
                <w:rFonts w:hint="eastAsia" w:ascii="宋体" w:hAnsi="宋体" w:eastAsia="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ind w:firstLine="420" w:firstLineChars="200"/>
              <w:jc w:val="center"/>
              <w:rPr>
                <w:rFonts w:hint="eastAsia" w:ascii="宋体" w:hAnsi="宋体" w:eastAsia="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ind w:firstLine="420" w:firstLineChars="200"/>
              <w:jc w:val="center"/>
              <w:rPr>
                <w:rFonts w:hint="eastAsia" w:ascii="宋体" w:hAnsi="宋体" w:eastAsia="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ind w:firstLine="420" w:firstLineChars="200"/>
              <w:jc w:val="center"/>
              <w:rPr>
                <w:rFonts w:hint="eastAsia" w:ascii="宋体" w:hAnsi="宋体" w:eastAsia="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ind w:firstLine="420" w:firstLineChars="200"/>
              <w:jc w:val="center"/>
              <w:rPr>
                <w:rFonts w:hint="eastAsia" w:ascii="宋体" w:hAnsi="宋体" w:eastAsia="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ind w:firstLine="420" w:firstLineChars="200"/>
              <w:jc w:val="center"/>
              <w:rPr>
                <w:rFonts w:hint="eastAsia" w:ascii="宋体" w:hAnsi="宋体" w:eastAsia="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ind w:firstLine="420" w:firstLineChars="200"/>
              <w:jc w:val="center"/>
              <w:rPr>
                <w:rFonts w:hint="eastAsia" w:ascii="宋体" w:hAnsi="宋体" w:eastAsia="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ind w:firstLine="420" w:firstLineChars="200"/>
              <w:jc w:val="center"/>
              <w:rPr>
                <w:rFonts w:hint="eastAsia" w:ascii="宋体" w:hAnsi="宋体" w:eastAsia="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ind w:firstLine="420" w:firstLineChars="200"/>
              <w:jc w:val="center"/>
              <w:rPr>
                <w:rFonts w:hint="eastAsia" w:ascii="宋体" w:hAnsi="宋体" w:eastAsia="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ind w:firstLine="420" w:firstLineChars="200"/>
              <w:jc w:val="center"/>
              <w:rPr>
                <w:rFonts w:hint="eastAsia" w:ascii="宋体" w:hAnsi="宋体" w:eastAsia="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ind w:firstLine="420" w:firstLineChars="200"/>
              <w:jc w:val="center"/>
              <w:rPr>
                <w:rFonts w:hint="eastAsia" w:ascii="宋体" w:hAnsi="宋体" w:eastAsia="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ind w:firstLine="420" w:firstLineChars="200"/>
              <w:jc w:val="center"/>
              <w:rPr>
                <w:rFonts w:hint="eastAsia" w:ascii="宋体" w:hAnsi="宋体" w:eastAsia="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ind w:firstLine="420" w:firstLineChars="200"/>
              <w:jc w:val="center"/>
              <w:rPr>
                <w:rFonts w:hint="eastAsia" w:ascii="宋体" w:hAnsi="宋体" w:eastAsia="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ind w:firstLine="420" w:firstLineChars="200"/>
              <w:jc w:val="center"/>
              <w:rPr>
                <w:rFonts w:hint="eastAsia" w:ascii="宋体" w:hAnsi="宋体" w:eastAsia="宋体" w:cs="宋体"/>
                <w:color w:val="auto"/>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ind w:firstLine="420" w:firstLineChars="200"/>
              <w:jc w:val="center"/>
              <w:rPr>
                <w:rFonts w:hint="eastAsia" w:ascii="宋体" w:hAnsi="宋体" w:eastAsia="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ind w:firstLine="420" w:firstLineChars="200"/>
              <w:jc w:val="center"/>
              <w:rPr>
                <w:rFonts w:hint="eastAsia" w:ascii="宋体" w:hAnsi="宋体" w:eastAsia="宋体" w:cs="宋体"/>
                <w:color w:val="auto"/>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ind w:firstLine="420" w:firstLineChars="200"/>
              <w:jc w:val="center"/>
              <w:rPr>
                <w:rFonts w:hint="eastAsia" w:ascii="宋体" w:hAnsi="宋体" w:eastAsia="宋体" w:cs="宋体"/>
                <w:color w:val="auto"/>
                <w:kern w:val="0"/>
                <w:szCs w:val="21"/>
                <w:highlight w:val="none"/>
                <w:u w:val="single"/>
              </w:rPr>
            </w:pPr>
          </w:p>
        </w:tc>
      </w:tr>
    </w:tbl>
    <w:p>
      <w:pPr>
        <w:shd w:val="clear" w:color="auto" w:fill="auto"/>
        <w:spacing w:before="156" w:beforeLines="50" w:after="156" w:afterLines="50"/>
        <w:ind w:left="441" w:leftChars="210" w:firstLine="480" w:firstLineChars="200"/>
        <w:jc w:val="left"/>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注：工种不含</w:t>
      </w:r>
      <w:r>
        <w:rPr>
          <w:rFonts w:hint="eastAsia" w:ascii="宋体" w:hAnsi="宋体" w:eastAsia="宋体" w:cs="宋体"/>
          <w:color w:val="auto"/>
          <w:sz w:val="24"/>
          <w:szCs w:val="24"/>
          <w:highlight w:val="none"/>
        </w:rPr>
        <w:t>投标文件所附的《投入主要人员汇总表》</w:t>
      </w:r>
      <w:r>
        <w:rPr>
          <w:rFonts w:hint="eastAsia" w:ascii="宋体" w:hAnsi="宋体" w:eastAsia="宋体" w:cs="宋体"/>
          <w:color w:val="auto"/>
          <w:sz w:val="24"/>
          <w:szCs w:val="24"/>
          <w:highlight w:val="none"/>
          <w:lang w:val="en-US" w:eastAsia="zh-CN"/>
        </w:rPr>
        <w:t>所填岗位。</w:t>
      </w:r>
    </w:p>
    <w:p>
      <w:pPr>
        <w:shd w:val="clear" w:color="auto" w:fill="auto"/>
        <w:spacing w:before="156" w:beforeLines="50" w:after="156" w:afterLines="5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3、在工程施工期间，拟投入的主要机械设备按投标文件所附的《拟投入本工程施工的主要机械设备配备表》。</w:t>
      </w:r>
    </w:p>
    <w:p>
      <w:pPr>
        <w:shd w:val="clear" w:color="auto" w:fill="auto"/>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4、所选用的主要材料</w:t>
      </w:r>
      <w:r>
        <w:rPr>
          <w:rFonts w:hint="eastAsia" w:ascii="宋体" w:hAnsi="宋体" w:eastAsia="宋体" w:cs="宋体"/>
          <w:strike/>
          <w:dstrike w:val="0"/>
          <w:color w:val="auto"/>
          <w:sz w:val="24"/>
          <w:szCs w:val="24"/>
          <w:highlight w:val="none"/>
        </w:rPr>
        <w:t>品牌</w:t>
      </w:r>
      <w:r>
        <w:rPr>
          <w:rFonts w:hint="eastAsia" w:ascii="宋体" w:hAnsi="宋体" w:eastAsia="宋体" w:cs="宋体"/>
          <w:color w:val="auto"/>
          <w:sz w:val="24"/>
          <w:szCs w:val="24"/>
          <w:highlight w:val="none"/>
        </w:rPr>
        <w:t>符合招标文件的要求。</w:t>
      </w:r>
    </w:p>
    <w:p>
      <w:pPr>
        <w:shd w:val="clear" w:color="auto" w:fill="auto"/>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5、拟投入到本工程的主要技术人员、经济和管理人员按投标文件所附的《投入主要人员汇总表》。中标后，拟投入到本工程安全员人数不得低于住建部相关文件的最低要求。</w:t>
      </w:r>
    </w:p>
    <w:p>
      <w:pPr>
        <w:shd w:val="clear" w:color="auto" w:fill="auto"/>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公司保证拟派项目负责人符合《广州市住房和城乡建设局关于加强建筑工程项目负责人管理的通知》（穗建规字〔2020〕32号）文的要求，并将严格按照招标文件要求，自签订合同之日起至工程竣工验收将常驻现场，严格按照有关工程项目管理的要求进行项目管理，如果不能够按照此要求实施，我方自愿接受贵中心的处罚措施。</w:t>
      </w:r>
    </w:p>
    <w:p>
      <w:pPr>
        <w:shd w:val="clear" w:color="auto" w:fill="auto"/>
        <w:spacing w:after="120" w:line="360" w:lineRule="auto"/>
        <w:ind w:firstLine="48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7、本工程施工过程中，我司将严格按照国家、省、市有关施工及验收规范、标准进行施工，</w:t>
      </w:r>
      <w:r>
        <w:rPr>
          <w:rFonts w:hint="eastAsia" w:ascii="宋体" w:hAnsi="宋体" w:eastAsia="宋体" w:cs="宋体"/>
          <w:strike w:val="0"/>
          <w:dstrike w:val="0"/>
          <w:color w:val="auto"/>
          <w:sz w:val="24"/>
          <w:szCs w:val="24"/>
          <w:highlight w:val="none"/>
        </w:rPr>
        <w:t>确保本工程质量标准达到</w:t>
      </w:r>
      <w:r>
        <w:rPr>
          <w:rFonts w:hint="eastAsia" w:ascii="宋体" w:hAnsi="宋体" w:eastAsia="宋体" w:cs="宋体"/>
          <w:color w:val="auto"/>
          <w:sz w:val="21"/>
          <w:szCs w:val="21"/>
          <w:highlight w:val="none"/>
        </w:rPr>
        <w:t>在</w:t>
      </w:r>
      <w:r>
        <w:rPr>
          <w:rFonts w:hint="eastAsia" w:ascii="宋体" w:hAnsi="宋体" w:eastAsia="宋体" w:cs="宋体"/>
          <w:color w:val="auto"/>
          <w:sz w:val="24"/>
          <w:szCs w:val="24"/>
          <w:highlight w:val="none"/>
        </w:rPr>
        <w:t>投标文件所附</w:t>
      </w:r>
      <w:r>
        <w:rPr>
          <w:rFonts w:hint="eastAsia" w:ascii="宋体" w:hAnsi="宋体" w:eastAsia="宋体" w:cs="宋体"/>
          <w:color w:val="auto"/>
          <w:sz w:val="21"/>
          <w:szCs w:val="21"/>
          <w:highlight w:val="none"/>
        </w:rPr>
        <w:t>《广州建设工程施工招标投标书》中承诺的工程质量标准要求。</w:t>
      </w:r>
    </w:p>
    <w:p>
      <w:pPr>
        <w:spacing w:line="400" w:lineRule="exact"/>
        <w:ind w:firstLine="48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4"/>
          <w:szCs w:val="24"/>
          <w:highlight w:val="none"/>
        </w:rPr>
        <w:t>8、在确保工程质量的前提下，我司严格控制工程工期，</w:t>
      </w:r>
      <w:r>
        <w:rPr>
          <w:rFonts w:hint="eastAsia" w:ascii="宋体" w:hAnsi="宋体" w:eastAsia="宋体" w:cs="宋体"/>
          <w:strike w:val="0"/>
          <w:dstrike w:val="0"/>
          <w:color w:val="auto"/>
          <w:sz w:val="24"/>
          <w:szCs w:val="24"/>
          <w:highlight w:val="none"/>
        </w:rPr>
        <w:t>确保</w:t>
      </w:r>
      <w:r>
        <w:rPr>
          <w:rFonts w:hint="eastAsia" w:ascii="宋体" w:hAnsi="宋体" w:eastAsia="宋体" w:cs="宋体"/>
          <w:strike w:val="0"/>
          <w:dstrike w:val="0"/>
          <w:color w:val="auto"/>
          <w:sz w:val="24"/>
          <w:szCs w:val="24"/>
          <w:highlight w:val="none"/>
          <w:lang w:val="en-US" w:eastAsia="zh-CN"/>
        </w:rPr>
        <w:t>本</w:t>
      </w:r>
      <w:r>
        <w:rPr>
          <w:rFonts w:hint="eastAsia" w:ascii="宋体" w:hAnsi="宋体" w:eastAsia="宋体" w:cs="宋体"/>
          <w:strike w:val="0"/>
          <w:dstrike w:val="0"/>
          <w:color w:val="auto"/>
          <w:sz w:val="24"/>
          <w:szCs w:val="24"/>
          <w:highlight w:val="none"/>
        </w:rPr>
        <w:t>工程</w:t>
      </w:r>
      <w:r>
        <w:rPr>
          <w:rFonts w:hint="eastAsia" w:ascii="宋体" w:hAnsi="宋体" w:eastAsia="宋体" w:cs="宋体"/>
          <w:color w:val="auto"/>
          <w:sz w:val="21"/>
          <w:szCs w:val="21"/>
          <w:highlight w:val="none"/>
        </w:rPr>
        <w:t>在</w:t>
      </w:r>
      <w:r>
        <w:rPr>
          <w:rFonts w:hint="eastAsia" w:ascii="宋体" w:hAnsi="宋体" w:eastAsia="宋体" w:cs="宋体"/>
          <w:color w:val="auto"/>
          <w:sz w:val="24"/>
          <w:szCs w:val="24"/>
          <w:highlight w:val="none"/>
        </w:rPr>
        <w:t>投标文件所附</w:t>
      </w:r>
      <w:r>
        <w:rPr>
          <w:rFonts w:hint="eastAsia" w:ascii="宋体" w:hAnsi="宋体" w:eastAsia="宋体" w:cs="宋体"/>
          <w:color w:val="auto"/>
          <w:sz w:val="21"/>
          <w:szCs w:val="21"/>
          <w:highlight w:val="none"/>
        </w:rPr>
        <w:t>《广州建设工程施工招标投标书》中承诺的投标总工期内完成并移交</w:t>
      </w:r>
      <w:r>
        <w:rPr>
          <w:rFonts w:hint="eastAsia" w:ascii="宋体" w:hAnsi="宋体" w:eastAsia="宋体" w:cs="宋体"/>
          <w:color w:val="auto"/>
          <w:sz w:val="21"/>
          <w:szCs w:val="21"/>
          <w:highlight w:val="none"/>
          <w:lang w:eastAsia="zh-CN"/>
        </w:rPr>
        <w:t>。</w:t>
      </w:r>
    </w:p>
    <w:p>
      <w:pPr>
        <w:shd w:val="clear" w:color="auto" w:fill="auto"/>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严格按照国家、省、市有关安全生产、文明施工要求，积极制定安全生产、文明施工措施，并严格执行，确保施工中符合安全生产、文明施工要求。在施工过程中,若发生重大伤亡事故，我方自愿接受贵中心的经济处罚：如发生死亡事故，死亡1人，支付20万元违约金；死亡2人，支付40万元违约金；死亡3人或以上，支付80万元违约金；如发生重伤事故，重伤1人，支付10万元违约金；重伤2人，支付20万元违约金；重伤3人或以上，支付40万元违约金。以上款项从工程款中扣除，扣除的款项均上缴国库。</w:t>
      </w:r>
    </w:p>
    <w:p>
      <w:pPr>
        <w:shd w:val="clear" w:color="auto" w:fill="auto"/>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10、按照发包人、监理工程师的要求及时为各专业工程（电信、电力管线、电力走廊、煤气、道路绿化、路灯、交通设施等）提供工作面，并为专业工程穿插施工所需各项配合工作给予方便。</w:t>
      </w:r>
    </w:p>
    <w:p>
      <w:pPr>
        <w:shd w:val="clear" w:color="auto" w:fill="auto"/>
        <w:spacing w:line="276"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11、我司承诺按照</w:t>
      </w:r>
      <w:r>
        <w:rPr>
          <w:rFonts w:hint="eastAsia" w:ascii="宋体" w:hAnsi="宋体" w:eastAsia="宋体" w:cs="宋体"/>
          <w:color w:val="auto"/>
          <w:sz w:val="24"/>
          <w:szCs w:val="24"/>
          <w:highlight w:val="none"/>
          <w:lang w:eastAsia="zh-CN"/>
        </w:rPr>
        <w:t>按有关规定、招标文件要求及合同约定，依法依规实施工程分包。</w:t>
      </w:r>
    </w:p>
    <w:p>
      <w:pPr>
        <w:shd w:val="clear" w:color="auto" w:fill="auto"/>
        <w:tabs>
          <w:tab w:val="left" w:pos="315"/>
        </w:tabs>
        <w:spacing w:line="360" w:lineRule="auto"/>
        <w:ind w:left="19" w:leftChars="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12、我司保证在中标后，严格按照 《广州市住房和城乡建设委员会关于印发&lt;广州市建筑施工实名制管理办法&gt;的通知》（穗建规字[2020]18号）、《关于印发广州市建设领域工人工资支付分帐管理实施细则的通知》（穗建规字[2020]37号）等最新规定及广州市黄埔区、开发区对应出台的相关文件规定办理建筑工地实名制管理和工人工资支付分帐管理事宜；加强对我司承包范围（含其专业分包、劳务分包范围）工人工资支付的管理，并对我司及其分包单位工人工资支付负总责，防止出现拖欠工人工资情况。若因违法转包、分包工程的或其他承包人原因导致相应工程出现拖欠工人工资情况的，我司将对拖欠工人工资承担清偿责任，对此引起的纠纷负全责，造成发包人损失（包括但不限于发包人因此而支付的赔偿款、律师费、诉讼费、保全费、公证费、鉴定费等）的，我司将承担全部责任。</w:t>
      </w:r>
    </w:p>
    <w:p>
      <w:pPr>
        <w:shd w:val="clear" w:color="auto" w:fill="auto"/>
        <w:tabs>
          <w:tab w:val="left" w:pos="0"/>
        </w:tabs>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13、我司保证在中标后，根据工程特点，编制本工程详细的施工组织设计和施工方案，并报监理和发包人审核批准，并严格按审批的意见和要求组织施工。</w:t>
      </w:r>
    </w:p>
    <w:p>
      <w:pPr>
        <w:shd w:val="clear" w:color="auto" w:fill="auto"/>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14、我司承诺积极响应并接受招标文件中合同专用专款关于合同价款的调整办法。</w:t>
      </w:r>
    </w:p>
    <w:p>
      <w:pPr>
        <w:pStyle w:val="43"/>
        <w:shd w:val="clear" w:color="auto" w:fill="auto"/>
        <w:spacing w:line="360" w:lineRule="auto"/>
        <w:ind w:firstLine="424" w:firstLineChars="17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15、我司保证在中标后，施工现场严格按照《广州市建设工程文明施工管理规定》（广州市人民政府令62号）、《广州市建设工程现场文明施工管理办法》（穗建质〔2008〕937号）、《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规范建设工程施工现场围蔽的通知》（穗建质[2008]1008号）、《广州市建设工程绿色施工围蔽指导图集（V2.0版）》(穗建质〔2020〕1号）、《关于进一步落实我区市政建设项目施工围蔽提升工作的通知》（穗埔建[2019]123号）及《黄埔区住房和城乡建设局 广州开发区建设和交通局关于进一步规范全区建设工程施工围蔽标准的通知》（穗埔建﹝2020﹞183号）的相关文件要求的标准实施。以上文件要求不一致的，以后发布文件为准，若相关部门发布有关施工现场管理及施工围蔽新规定的，按新规定执行。我司随时接受监理、业主、安监机构等相关部门监督和检查，对在检查中发现不符合安全文明施工要求的，无条件进行整改。如不及时按要求整改，发包人有权不支付安全文明施工措施费，或另行委托单位实施，所发生的费用在本工程施工措施费中扣除，如不足抵扣可在本工程承包工程款中扣除，同时我司接受发包人根据实际情况对我司作出的其他处罚措施。发包人可将情况上报建设行政主管部门，视情况追究我司有关责任，可对我司或项目责任人作不良行为记录。</w:t>
      </w:r>
    </w:p>
    <w:p>
      <w:pPr>
        <w:shd w:val="clear" w:color="auto" w:fill="auto"/>
        <w:spacing w:line="360" w:lineRule="auto"/>
        <w:ind w:firstLine="424" w:firstLineChars="177"/>
        <w:rPr>
          <w:rFonts w:hint="eastAsia" w:ascii="宋体" w:hAnsi="宋体" w:eastAsia="宋体" w:cs="宋体"/>
          <w:color w:val="auto"/>
          <w:sz w:val="24"/>
          <w:szCs w:val="24"/>
          <w:highlight w:val="none"/>
          <w:u w:val="single"/>
        </w:rPr>
      </w:pPr>
    </w:p>
    <w:p>
      <w:pPr>
        <w:pStyle w:val="41"/>
        <w:shd w:val="clear" w:color="auto" w:fill="auto"/>
        <w:spacing w:after="0" w:line="360" w:lineRule="auto"/>
        <w:ind w:left="5811" w:leftChars="2767" w:firstLine="424" w:firstLineChars="177"/>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投标单位：（公章）</w:t>
      </w:r>
    </w:p>
    <w:p>
      <w:pPr>
        <w:pStyle w:val="41"/>
        <w:shd w:val="clear" w:color="auto" w:fill="auto"/>
        <w:spacing w:after="0" w:line="360" w:lineRule="auto"/>
        <w:ind w:left="5811" w:leftChars="2767" w:firstLine="424" w:firstLineChars="177"/>
        <w:jc w:val="left"/>
        <w:rPr>
          <w:rFonts w:hint="eastAsia" w:ascii="宋体" w:hAnsi="宋体" w:eastAsia="宋体" w:cs="宋体"/>
          <w:color w:val="auto"/>
          <w:sz w:val="24"/>
          <w:szCs w:val="24"/>
          <w:highlight w:val="none"/>
          <w:u w:val="single"/>
        </w:rPr>
      </w:pPr>
    </w:p>
    <w:p>
      <w:pPr>
        <w:pStyle w:val="41"/>
        <w:shd w:val="clear" w:color="auto" w:fill="auto"/>
        <w:spacing w:after="0" w:line="360" w:lineRule="auto"/>
        <w:ind w:left="5811" w:leftChars="2767" w:right="560"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pPr>
        <w:shd w:val="clear" w:color="auto" w:fill="auto"/>
        <w:spacing w:line="336" w:lineRule="auto"/>
        <w:ind w:left="0" w:leftChars="0"/>
        <w:rPr>
          <w:rFonts w:hint="eastAsia" w:ascii="宋体" w:hAnsi="宋体" w:eastAsia="宋体" w:cs="宋体"/>
          <w:color w:val="auto"/>
          <w:szCs w:val="21"/>
          <w:highlight w:val="none"/>
        </w:rPr>
      </w:pPr>
    </w:p>
    <w:p>
      <w:pPr>
        <w:shd w:val="clear" w:color="auto" w:fill="auto"/>
        <w:spacing w:line="336" w:lineRule="auto"/>
        <w:ind w:left="-2" w:leftChars="-1"/>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pPr>
        <w:shd w:val="clear" w:color="auto" w:fill="auto"/>
        <w:spacing w:line="336" w:lineRule="auto"/>
        <w:ind w:left="-2" w:leftChars="-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1、《标函承诺书》投标人应如实填写，中标后，工程的监理单位将经常核验投标人是否按填报内容实施，行政管理机构也将随时抽查。</w:t>
      </w:r>
    </w:p>
    <w:p>
      <w:pPr>
        <w:shd w:val="clear" w:color="auto" w:fill="auto"/>
        <w:tabs>
          <w:tab w:val="left" w:pos="720"/>
        </w:tabs>
        <w:spacing w:line="360" w:lineRule="auto"/>
        <w:rPr>
          <w:rFonts w:hint="eastAsia" w:ascii="宋体" w:hAnsi="宋体" w:eastAsia="宋体" w:cs="宋体"/>
          <w:snapToGrid w:val="0"/>
          <w:color w:val="auto"/>
          <w:kern w:val="0"/>
          <w:sz w:val="24"/>
          <w:szCs w:val="24"/>
          <w:highlight w:val="none"/>
        </w:rPr>
      </w:pPr>
    </w:p>
    <w:p>
      <w:pPr>
        <w:ind w:right="-130" w:rightChars="-62"/>
        <w:rPr>
          <w:color w:val="auto"/>
          <w:sz w:val="24"/>
          <w:szCs w:val="24"/>
          <w:highlight w:val="none"/>
        </w:rPr>
      </w:pPr>
      <w:r>
        <w:rPr>
          <w:rFonts w:hint="eastAsia" w:cs="宋体"/>
          <w:color w:val="auto"/>
          <w:sz w:val="24"/>
          <w:szCs w:val="24"/>
          <w:highlight w:val="none"/>
        </w:rPr>
        <w:t>技术标格式四</w:t>
      </w:r>
    </w:p>
    <w:p>
      <w:pPr>
        <w:autoSpaceDE w:val="0"/>
        <w:autoSpaceDN w:val="0"/>
        <w:adjustRightInd w:val="0"/>
        <w:spacing w:line="510" w:lineRule="exact"/>
        <w:ind w:left="1698" w:right="1855"/>
        <w:jc w:val="center"/>
        <w:rPr>
          <w:rFonts w:ascii="宋体" w:hAnsi="宋体" w:cs="Microsoft JhengHei"/>
          <w:b/>
          <w:color w:val="auto"/>
          <w:kern w:val="0"/>
          <w:sz w:val="36"/>
          <w:szCs w:val="36"/>
          <w:highlight w:val="none"/>
        </w:rPr>
      </w:pPr>
      <w:r>
        <w:rPr>
          <w:rFonts w:hint="eastAsia" w:ascii="宋体" w:hAnsi="宋体" w:cs="Microsoft JhengHei"/>
          <w:b/>
          <w:color w:val="auto"/>
          <w:spacing w:val="2"/>
          <w:kern w:val="0"/>
          <w:position w:val="-1"/>
          <w:sz w:val="36"/>
          <w:szCs w:val="36"/>
          <w:highlight w:val="none"/>
        </w:rPr>
        <w:t>中</w:t>
      </w:r>
      <w:r>
        <w:rPr>
          <w:rFonts w:hint="eastAsia" w:ascii="宋体" w:hAnsi="宋体" w:cs="Microsoft JhengHei"/>
          <w:b/>
          <w:color w:val="auto"/>
          <w:kern w:val="0"/>
          <w:position w:val="-1"/>
          <w:sz w:val="36"/>
          <w:szCs w:val="36"/>
          <w:highlight w:val="none"/>
        </w:rPr>
        <w:t>小</w:t>
      </w:r>
      <w:r>
        <w:rPr>
          <w:rFonts w:hint="eastAsia" w:ascii="宋体" w:hAnsi="宋体" w:cs="Microsoft JhengHei"/>
          <w:b/>
          <w:color w:val="auto"/>
          <w:spacing w:val="2"/>
          <w:kern w:val="0"/>
          <w:position w:val="-1"/>
          <w:sz w:val="36"/>
          <w:szCs w:val="36"/>
          <w:highlight w:val="none"/>
        </w:rPr>
        <w:t>企</w:t>
      </w:r>
      <w:r>
        <w:rPr>
          <w:rFonts w:hint="eastAsia" w:ascii="宋体" w:hAnsi="宋体" w:cs="Microsoft JhengHei"/>
          <w:b/>
          <w:color w:val="auto"/>
          <w:kern w:val="0"/>
          <w:position w:val="-1"/>
          <w:sz w:val="36"/>
          <w:szCs w:val="36"/>
          <w:highlight w:val="none"/>
        </w:rPr>
        <w:t>业</w:t>
      </w:r>
      <w:r>
        <w:rPr>
          <w:rFonts w:hint="eastAsia" w:ascii="宋体" w:hAnsi="宋体" w:cs="Microsoft JhengHei"/>
          <w:b/>
          <w:color w:val="auto"/>
          <w:spacing w:val="2"/>
          <w:kern w:val="0"/>
          <w:position w:val="-1"/>
          <w:sz w:val="36"/>
          <w:szCs w:val="36"/>
          <w:highlight w:val="none"/>
        </w:rPr>
        <w:t>声明</w:t>
      </w:r>
      <w:r>
        <w:rPr>
          <w:rFonts w:hint="eastAsia" w:ascii="宋体" w:hAnsi="宋体" w:cs="Microsoft JhengHei"/>
          <w:b/>
          <w:color w:val="auto"/>
          <w:kern w:val="0"/>
          <w:position w:val="-1"/>
          <w:sz w:val="36"/>
          <w:szCs w:val="36"/>
          <w:highlight w:val="none"/>
        </w:rPr>
        <w:t>函（如有）</w:t>
      </w:r>
    </w:p>
    <w:p>
      <w:pPr>
        <w:autoSpaceDE w:val="0"/>
        <w:autoSpaceDN w:val="0"/>
        <w:adjustRightInd w:val="0"/>
        <w:snapToGrid w:val="0"/>
        <w:spacing w:line="518" w:lineRule="exact"/>
        <w:ind w:right="-49"/>
        <w:jc w:val="left"/>
        <w:rPr>
          <w:rFonts w:ascii="宋体" w:hAnsi="宋体" w:cs="Microsoft JhengHei"/>
          <w:color w:val="auto"/>
          <w:kern w:val="0"/>
          <w:sz w:val="24"/>
          <w:szCs w:val="24"/>
          <w:highlight w:val="none"/>
          <w:u w:val="single"/>
        </w:rPr>
      </w:pPr>
      <w:r>
        <w:rPr>
          <w:rFonts w:hint="eastAsia" w:ascii="宋体" w:hAnsi="宋体" w:cs="Microsoft JhengHei"/>
          <w:color w:val="auto"/>
          <w:kern w:val="0"/>
          <w:sz w:val="24"/>
          <w:szCs w:val="24"/>
          <w:highlight w:val="none"/>
        </w:rPr>
        <w:t>致：</w:t>
      </w:r>
      <w:r>
        <w:rPr>
          <w:rFonts w:hint="eastAsia" w:ascii="宋体" w:hAnsi="宋体" w:cs="Microsoft JhengHei"/>
          <w:color w:val="auto"/>
          <w:kern w:val="0"/>
          <w:sz w:val="24"/>
          <w:szCs w:val="24"/>
          <w:highlight w:val="none"/>
          <w:u w:val="single"/>
        </w:rPr>
        <w:t xml:space="preserve">   （招标人）   </w:t>
      </w:r>
    </w:p>
    <w:p>
      <w:pPr>
        <w:autoSpaceDE w:val="0"/>
        <w:autoSpaceDN w:val="0"/>
        <w:adjustRightInd w:val="0"/>
        <w:snapToGrid w:val="0"/>
        <w:spacing w:line="518" w:lineRule="exact"/>
        <w:ind w:right="-49" w:firstLine="480" w:firstLineChars="200"/>
        <w:jc w:val="left"/>
        <w:rPr>
          <w:rFonts w:ascii="宋体" w:hAnsi="宋体" w:cs="Microsoft JhengHei"/>
          <w:color w:val="auto"/>
          <w:kern w:val="0"/>
          <w:sz w:val="24"/>
          <w:szCs w:val="24"/>
          <w:highlight w:val="none"/>
        </w:rPr>
      </w:pPr>
      <w:r>
        <w:rPr>
          <w:rFonts w:hint="eastAsia" w:ascii="宋体" w:hAnsi="宋体" w:cs="Microsoft JhengHei"/>
          <w:color w:val="auto"/>
          <w:kern w:val="0"/>
          <w:sz w:val="24"/>
          <w:szCs w:val="24"/>
          <w:highlight w:val="none"/>
        </w:rPr>
        <w:t>本</w:t>
      </w:r>
      <w:r>
        <w:rPr>
          <w:rFonts w:hint="eastAsia" w:ascii="宋体" w:hAnsi="宋体" w:cs="Microsoft JhengHei"/>
          <w:color w:val="auto"/>
          <w:spacing w:val="3"/>
          <w:kern w:val="0"/>
          <w:sz w:val="24"/>
          <w:szCs w:val="24"/>
          <w:highlight w:val="none"/>
        </w:rPr>
        <w:t>公</w:t>
      </w:r>
      <w:r>
        <w:rPr>
          <w:rFonts w:hint="eastAsia" w:ascii="宋体" w:hAnsi="宋体" w:cs="Microsoft JhengHei"/>
          <w:color w:val="auto"/>
          <w:spacing w:val="-5"/>
          <w:kern w:val="0"/>
          <w:sz w:val="24"/>
          <w:szCs w:val="24"/>
          <w:highlight w:val="none"/>
        </w:rPr>
        <w:t>司</w:t>
      </w:r>
      <w:r>
        <w:rPr>
          <w:rFonts w:hint="eastAsia" w:ascii="宋体" w:hAnsi="宋体" w:cs="Microsoft JhengHei"/>
          <w:color w:val="auto"/>
          <w:kern w:val="0"/>
          <w:sz w:val="24"/>
          <w:szCs w:val="24"/>
          <w:highlight w:val="none"/>
        </w:rPr>
        <w:t>郑</w:t>
      </w:r>
      <w:r>
        <w:rPr>
          <w:rFonts w:hint="eastAsia" w:ascii="宋体" w:hAnsi="宋体" w:cs="Microsoft JhengHei"/>
          <w:color w:val="auto"/>
          <w:spacing w:val="3"/>
          <w:kern w:val="0"/>
          <w:sz w:val="24"/>
          <w:szCs w:val="24"/>
          <w:highlight w:val="none"/>
        </w:rPr>
        <w:t>重</w:t>
      </w:r>
      <w:r>
        <w:rPr>
          <w:rFonts w:hint="eastAsia" w:ascii="宋体" w:hAnsi="宋体" w:cs="Microsoft JhengHei"/>
          <w:color w:val="auto"/>
          <w:kern w:val="0"/>
          <w:sz w:val="24"/>
          <w:szCs w:val="24"/>
          <w:highlight w:val="none"/>
        </w:rPr>
        <w:t>声</w:t>
      </w:r>
      <w:r>
        <w:rPr>
          <w:rFonts w:hint="eastAsia" w:ascii="宋体" w:hAnsi="宋体" w:cs="Microsoft JhengHei"/>
          <w:color w:val="auto"/>
          <w:spacing w:val="3"/>
          <w:kern w:val="0"/>
          <w:sz w:val="24"/>
          <w:szCs w:val="24"/>
          <w:highlight w:val="none"/>
        </w:rPr>
        <w:t>明</w:t>
      </w:r>
      <w:r>
        <w:rPr>
          <w:rFonts w:hint="eastAsia" w:ascii="宋体" w:hAnsi="宋体" w:cs="Microsoft JhengHei"/>
          <w:color w:val="auto"/>
          <w:spacing w:val="-2"/>
          <w:kern w:val="0"/>
          <w:sz w:val="24"/>
          <w:szCs w:val="24"/>
          <w:highlight w:val="none"/>
        </w:rPr>
        <w:t>，</w:t>
      </w:r>
      <w:r>
        <w:rPr>
          <w:rFonts w:hint="eastAsia" w:ascii="宋体" w:hAnsi="宋体" w:cs="Microsoft JhengHei"/>
          <w:color w:val="auto"/>
          <w:kern w:val="0"/>
          <w:sz w:val="24"/>
          <w:szCs w:val="24"/>
          <w:highlight w:val="none"/>
        </w:rPr>
        <w:t>根</w:t>
      </w:r>
      <w:r>
        <w:rPr>
          <w:rFonts w:hint="eastAsia" w:ascii="宋体" w:hAnsi="宋体" w:cs="Microsoft JhengHei"/>
          <w:color w:val="auto"/>
          <w:spacing w:val="-2"/>
          <w:kern w:val="0"/>
          <w:sz w:val="24"/>
          <w:szCs w:val="24"/>
          <w:highlight w:val="none"/>
        </w:rPr>
        <w:t>据</w:t>
      </w:r>
      <w:r>
        <w:rPr>
          <w:rFonts w:hint="eastAsia" w:ascii="宋体" w:hAnsi="宋体" w:cs="Microsoft JhengHei"/>
          <w:color w:val="auto"/>
          <w:spacing w:val="3"/>
          <w:kern w:val="0"/>
          <w:sz w:val="24"/>
          <w:szCs w:val="24"/>
          <w:highlight w:val="none"/>
        </w:rPr>
        <w:t>《</w:t>
      </w:r>
      <w:r>
        <w:rPr>
          <w:rFonts w:hint="eastAsia" w:ascii="宋体" w:hAnsi="宋体" w:cs="Microsoft JhengHei"/>
          <w:color w:val="auto"/>
          <w:kern w:val="0"/>
          <w:sz w:val="24"/>
          <w:szCs w:val="24"/>
          <w:highlight w:val="none"/>
        </w:rPr>
        <w:t>政</w:t>
      </w:r>
      <w:r>
        <w:rPr>
          <w:rFonts w:hint="eastAsia" w:ascii="宋体" w:hAnsi="宋体" w:cs="Microsoft JhengHei"/>
          <w:color w:val="auto"/>
          <w:spacing w:val="3"/>
          <w:kern w:val="0"/>
          <w:sz w:val="24"/>
          <w:szCs w:val="24"/>
          <w:highlight w:val="none"/>
        </w:rPr>
        <w:t>府</w:t>
      </w:r>
      <w:r>
        <w:rPr>
          <w:rFonts w:hint="eastAsia" w:ascii="宋体" w:hAnsi="宋体" w:cs="Microsoft JhengHei"/>
          <w:color w:val="auto"/>
          <w:kern w:val="0"/>
          <w:sz w:val="24"/>
          <w:szCs w:val="24"/>
          <w:highlight w:val="none"/>
        </w:rPr>
        <w:t>采购促进中小企业发展管理办法》（财库﹝</w:t>
      </w:r>
      <w:r>
        <w:rPr>
          <w:rFonts w:ascii="宋体" w:hAnsi="宋体" w:cs="Microsoft JhengHei"/>
          <w:color w:val="auto"/>
          <w:kern w:val="0"/>
          <w:sz w:val="24"/>
          <w:szCs w:val="24"/>
          <w:highlight w:val="none"/>
        </w:rPr>
        <w:t>2020</w:t>
      </w:r>
      <w:r>
        <w:rPr>
          <w:rFonts w:hint="eastAsia" w:ascii="宋体" w:hAnsi="宋体" w:cs="Microsoft JhengHei"/>
          <w:color w:val="auto"/>
          <w:kern w:val="0"/>
          <w:sz w:val="24"/>
          <w:szCs w:val="24"/>
          <w:highlight w:val="none"/>
        </w:rPr>
        <w:t>﹞</w:t>
      </w:r>
      <w:r>
        <w:rPr>
          <w:rFonts w:ascii="宋体" w:hAnsi="宋体" w:cs="Microsoft JhengHei"/>
          <w:color w:val="auto"/>
          <w:kern w:val="0"/>
          <w:sz w:val="24"/>
          <w:szCs w:val="24"/>
          <w:highlight w:val="none"/>
        </w:rPr>
        <w:t>46</w:t>
      </w:r>
      <w:r>
        <w:rPr>
          <w:rFonts w:hint="eastAsia" w:ascii="宋体" w:hAnsi="宋体" w:cs="Microsoft JhengHei"/>
          <w:color w:val="auto"/>
          <w:kern w:val="0"/>
          <w:sz w:val="24"/>
          <w:szCs w:val="24"/>
          <w:highlight w:val="none"/>
        </w:rPr>
        <w:t>号）的规</w:t>
      </w:r>
      <w:r>
        <w:rPr>
          <w:rFonts w:hint="eastAsia" w:ascii="宋体" w:hAnsi="宋体" w:cs="Microsoft JhengHei"/>
          <w:color w:val="auto"/>
          <w:spacing w:val="3"/>
          <w:kern w:val="0"/>
          <w:sz w:val="24"/>
          <w:szCs w:val="24"/>
          <w:highlight w:val="none"/>
        </w:rPr>
        <w:t>定</w:t>
      </w:r>
      <w:r>
        <w:rPr>
          <w:rFonts w:hint="eastAsia" w:ascii="宋体" w:hAnsi="宋体" w:cs="Microsoft JhengHei"/>
          <w:color w:val="auto"/>
          <w:spacing w:val="5"/>
          <w:kern w:val="0"/>
          <w:sz w:val="24"/>
          <w:szCs w:val="24"/>
          <w:highlight w:val="none"/>
        </w:rPr>
        <w:t>，</w:t>
      </w:r>
      <w:r>
        <w:rPr>
          <w:rFonts w:hint="eastAsia" w:ascii="宋体" w:hAnsi="宋体" w:cs="Microsoft JhengHei"/>
          <w:color w:val="auto"/>
          <w:spacing w:val="3"/>
          <w:kern w:val="0"/>
          <w:sz w:val="24"/>
          <w:szCs w:val="24"/>
          <w:highlight w:val="none"/>
        </w:rPr>
        <w:t>本</w:t>
      </w:r>
      <w:r>
        <w:rPr>
          <w:rFonts w:hint="eastAsia" w:ascii="宋体" w:hAnsi="宋体" w:cs="Microsoft JhengHei"/>
          <w:color w:val="auto"/>
          <w:spacing w:val="5"/>
          <w:kern w:val="0"/>
          <w:sz w:val="24"/>
          <w:szCs w:val="24"/>
          <w:highlight w:val="none"/>
        </w:rPr>
        <w:t>公</w:t>
      </w:r>
      <w:r>
        <w:rPr>
          <w:rFonts w:hint="eastAsia" w:ascii="宋体" w:hAnsi="宋体" w:cs="Microsoft JhengHei"/>
          <w:color w:val="auto"/>
          <w:kern w:val="0"/>
          <w:sz w:val="24"/>
          <w:szCs w:val="24"/>
          <w:highlight w:val="none"/>
        </w:rPr>
        <w:t>司参</w:t>
      </w:r>
      <w:r>
        <w:rPr>
          <w:rFonts w:hint="eastAsia" w:ascii="宋体" w:hAnsi="宋体" w:cs="Microsoft JhengHei"/>
          <w:color w:val="auto"/>
          <w:spacing w:val="-14"/>
          <w:kern w:val="0"/>
          <w:sz w:val="24"/>
          <w:szCs w:val="24"/>
          <w:highlight w:val="none"/>
        </w:rPr>
        <w:t>加</w:t>
      </w:r>
      <w:r>
        <w:rPr>
          <w:rFonts w:hint="eastAsia" w:ascii="宋体" w:hAnsi="宋体" w:cs="Microsoft JhengHei"/>
          <w:color w:val="auto"/>
          <w:spacing w:val="-14"/>
          <w:kern w:val="0"/>
          <w:sz w:val="24"/>
          <w:szCs w:val="24"/>
          <w:highlight w:val="none"/>
          <w:u w:val="single"/>
        </w:rPr>
        <w:t xml:space="preserve"> </w:t>
      </w:r>
      <w:r>
        <w:rPr>
          <w:rFonts w:hint="eastAsia" w:ascii="宋体" w:hAnsi="宋体"/>
          <w:color w:val="auto"/>
          <w:sz w:val="24"/>
          <w:szCs w:val="24"/>
          <w:highlight w:val="none"/>
          <w:u w:val="single"/>
        </w:rPr>
        <w:t xml:space="preserve">（招标人） </w:t>
      </w:r>
      <w:r>
        <w:rPr>
          <w:rFonts w:hint="eastAsia" w:ascii="宋体" w:hAnsi="宋体" w:cs="Microsoft JhengHei"/>
          <w:color w:val="auto"/>
          <w:spacing w:val="-14"/>
          <w:kern w:val="0"/>
          <w:sz w:val="24"/>
          <w:szCs w:val="24"/>
          <w:highlight w:val="none"/>
        </w:rPr>
        <w:t>的</w:t>
      </w:r>
      <w:r>
        <w:rPr>
          <w:rFonts w:hint="eastAsia" w:ascii="宋体" w:hAnsi="宋体" w:cs="Microsoft JhengHei"/>
          <w:color w:val="auto"/>
          <w:spacing w:val="-14"/>
          <w:kern w:val="0"/>
          <w:sz w:val="24"/>
          <w:szCs w:val="24"/>
          <w:highlight w:val="none"/>
          <w:u w:val="single"/>
        </w:rPr>
        <w:t xml:space="preserve"> </w:t>
      </w:r>
      <w:r>
        <w:rPr>
          <w:rFonts w:hint="eastAsia" w:ascii="宋体" w:hAnsi="宋体" w:cs="Microsoft JhengHei"/>
          <w:color w:val="auto"/>
          <w:kern w:val="0"/>
          <w:sz w:val="24"/>
          <w:szCs w:val="24"/>
          <w:highlight w:val="none"/>
          <w:u w:val="single"/>
        </w:rPr>
        <w:t xml:space="preserve">（项目名称） </w:t>
      </w:r>
      <w:r>
        <w:rPr>
          <w:rFonts w:hint="eastAsia" w:ascii="宋体" w:hAnsi="宋体" w:cs="Microsoft JhengHei"/>
          <w:color w:val="auto"/>
          <w:kern w:val="0"/>
          <w:sz w:val="24"/>
          <w:szCs w:val="24"/>
          <w:highlight w:val="none"/>
        </w:rPr>
        <w:t>招标活</w:t>
      </w:r>
      <w:r>
        <w:rPr>
          <w:rFonts w:hint="eastAsia" w:ascii="宋体" w:hAnsi="宋体" w:cs="Microsoft JhengHei"/>
          <w:color w:val="auto"/>
          <w:spacing w:val="3"/>
          <w:kern w:val="0"/>
          <w:sz w:val="24"/>
          <w:szCs w:val="24"/>
          <w:highlight w:val="none"/>
        </w:rPr>
        <w:t>动</w:t>
      </w:r>
      <w:r>
        <w:rPr>
          <w:rFonts w:hint="eastAsia" w:ascii="宋体" w:hAnsi="宋体" w:cs="Microsoft JhengHei"/>
          <w:color w:val="auto"/>
          <w:spacing w:val="-2"/>
          <w:kern w:val="0"/>
          <w:sz w:val="24"/>
          <w:szCs w:val="24"/>
          <w:highlight w:val="none"/>
        </w:rPr>
        <w:t>，</w:t>
      </w:r>
      <w:r>
        <w:rPr>
          <w:rFonts w:hint="eastAsia" w:ascii="宋体" w:hAnsi="宋体" w:cs="Microsoft JhengHei"/>
          <w:color w:val="auto"/>
          <w:kern w:val="0"/>
          <w:sz w:val="24"/>
          <w:szCs w:val="24"/>
          <w:highlight w:val="none"/>
        </w:rPr>
        <w:t>工程</w:t>
      </w:r>
      <w:r>
        <w:rPr>
          <w:rFonts w:hint="eastAsia" w:ascii="宋体" w:hAnsi="宋体" w:cs="Microsoft JhengHei"/>
          <w:color w:val="auto"/>
          <w:spacing w:val="3"/>
          <w:kern w:val="0"/>
          <w:sz w:val="24"/>
          <w:szCs w:val="24"/>
          <w:highlight w:val="none"/>
        </w:rPr>
        <w:t>的</w:t>
      </w:r>
      <w:r>
        <w:rPr>
          <w:rFonts w:hint="eastAsia" w:ascii="宋体" w:hAnsi="宋体" w:cs="Microsoft JhengHei"/>
          <w:color w:val="auto"/>
          <w:kern w:val="0"/>
          <w:sz w:val="24"/>
          <w:szCs w:val="24"/>
          <w:highlight w:val="none"/>
        </w:rPr>
        <w:t>施工</w:t>
      </w:r>
      <w:r>
        <w:rPr>
          <w:rFonts w:hint="eastAsia" w:ascii="宋体" w:hAnsi="宋体" w:cs="Microsoft JhengHei"/>
          <w:color w:val="auto"/>
          <w:spacing w:val="3"/>
          <w:kern w:val="0"/>
          <w:sz w:val="24"/>
          <w:szCs w:val="24"/>
          <w:highlight w:val="none"/>
        </w:rPr>
        <w:t>单</w:t>
      </w:r>
      <w:r>
        <w:rPr>
          <w:rFonts w:hint="eastAsia" w:ascii="宋体" w:hAnsi="宋体" w:cs="Microsoft JhengHei"/>
          <w:color w:val="auto"/>
          <w:kern w:val="0"/>
          <w:sz w:val="24"/>
          <w:szCs w:val="24"/>
          <w:highlight w:val="none"/>
        </w:rPr>
        <w:t>位全</w:t>
      </w:r>
      <w:r>
        <w:rPr>
          <w:rFonts w:hint="eastAsia" w:ascii="宋体" w:hAnsi="宋体" w:cs="Microsoft JhengHei"/>
          <w:color w:val="auto"/>
          <w:spacing w:val="3"/>
          <w:kern w:val="0"/>
          <w:sz w:val="24"/>
          <w:szCs w:val="24"/>
          <w:highlight w:val="none"/>
        </w:rPr>
        <w:t>部</w:t>
      </w:r>
      <w:r>
        <w:rPr>
          <w:rFonts w:hint="eastAsia" w:ascii="宋体" w:hAnsi="宋体" w:cs="Microsoft JhengHei"/>
          <w:color w:val="auto"/>
          <w:kern w:val="0"/>
          <w:sz w:val="24"/>
          <w:szCs w:val="24"/>
          <w:highlight w:val="none"/>
        </w:rPr>
        <w:t>为符</w:t>
      </w:r>
      <w:r>
        <w:rPr>
          <w:rFonts w:hint="eastAsia" w:ascii="宋体" w:hAnsi="宋体" w:cs="Microsoft JhengHei"/>
          <w:color w:val="auto"/>
          <w:spacing w:val="3"/>
          <w:kern w:val="0"/>
          <w:sz w:val="24"/>
          <w:szCs w:val="24"/>
          <w:highlight w:val="none"/>
        </w:rPr>
        <w:t>合</w:t>
      </w:r>
      <w:r>
        <w:rPr>
          <w:rFonts w:hint="eastAsia" w:ascii="宋体" w:hAnsi="宋体" w:cs="Microsoft JhengHei"/>
          <w:color w:val="auto"/>
          <w:kern w:val="0"/>
          <w:sz w:val="24"/>
          <w:szCs w:val="24"/>
          <w:highlight w:val="none"/>
        </w:rPr>
        <w:t>政策</w:t>
      </w:r>
      <w:r>
        <w:rPr>
          <w:rFonts w:hint="eastAsia" w:ascii="宋体" w:hAnsi="宋体" w:cs="Microsoft JhengHei"/>
          <w:color w:val="auto"/>
          <w:spacing w:val="3"/>
          <w:kern w:val="0"/>
          <w:sz w:val="24"/>
          <w:szCs w:val="24"/>
          <w:highlight w:val="none"/>
        </w:rPr>
        <w:t>要</w:t>
      </w:r>
      <w:r>
        <w:rPr>
          <w:rFonts w:hint="eastAsia" w:ascii="宋体" w:hAnsi="宋体" w:cs="Microsoft JhengHei"/>
          <w:color w:val="auto"/>
          <w:kern w:val="0"/>
          <w:sz w:val="24"/>
          <w:szCs w:val="24"/>
          <w:highlight w:val="none"/>
        </w:rPr>
        <w:t>求的</w:t>
      </w:r>
      <w:r>
        <w:rPr>
          <w:rFonts w:hint="eastAsia" w:ascii="宋体" w:hAnsi="宋体" w:cs="Microsoft JhengHei"/>
          <w:color w:val="auto"/>
          <w:spacing w:val="3"/>
          <w:kern w:val="0"/>
          <w:sz w:val="24"/>
          <w:szCs w:val="24"/>
          <w:highlight w:val="none"/>
        </w:rPr>
        <w:t>中</w:t>
      </w:r>
      <w:r>
        <w:rPr>
          <w:rFonts w:hint="eastAsia" w:ascii="宋体" w:hAnsi="宋体" w:cs="Microsoft JhengHei"/>
          <w:color w:val="auto"/>
          <w:kern w:val="0"/>
          <w:sz w:val="24"/>
          <w:szCs w:val="24"/>
          <w:highlight w:val="none"/>
        </w:rPr>
        <w:t>小企</w:t>
      </w:r>
      <w:r>
        <w:rPr>
          <w:rFonts w:hint="eastAsia" w:ascii="宋体" w:hAnsi="宋体" w:cs="Microsoft JhengHei"/>
          <w:color w:val="auto"/>
          <w:spacing w:val="-4"/>
          <w:kern w:val="0"/>
          <w:sz w:val="24"/>
          <w:szCs w:val="24"/>
          <w:highlight w:val="none"/>
        </w:rPr>
        <w:t>业</w:t>
      </w:r>
      <w:r>
        <w:rPr>
          <w:rFonts w:hint="eastAsia" w:ascii="宋体" w:hAnsi="宋体" w:cs="Microsoft JhengHei"/>
          <w:color w:val="auto"/>
          <w:spacing w:val="7"/>
          <w:kern w:val="0"/>
          <w:position w:val="-2"/>
          <w:sz w:val="24"/>
          <w:szCs w:val="24"/>
          <w:highlight w:val="none"/>
        </w:rPr>
        <w:t>。相</w:t>
      </w:r>
      <w:r>
        <w:rPr>
          <w:rFonts w:hint="eastAsia" w:ascii="宋体" w:hAnsi="宋体" w:cs="Microsoft JhengHei"/>
          <w:color w:val="auto"/>
          <w:spacing w:val="5"/>
          <w:kern w:val="0"/>
          <w:position w:val="-2"/>
          <w:sz w:val="24"/>
          <w:szCs w:val="24"/>
          <w:highlight w:val="none"/>
        </w:rPr>
        <w:t>关</w:t>
      </w:r>
      <w:r>
        <w:rPr>
          <w:rFonts w:hint="eastAsia" w:ascii="宋体" w:hAnsi="宋体" w:cs="Microsoft JhengHei"/>
          <w:color w:val="auto"/>
          <w:spacing w:val="7"/>
          <w:kern w:val="0"/>
          <w:position w:val="-2"/>
          <w:sz w:val="24"/>
          <w:szCs w:val="24"/>
          <w:highlight w:val="none"/>
        </w:rPr>
        <w:t>企业（</w:t>
      </w:r>
      <w:r>
        <w:rPr>
          <w:rFonts w:hint="eastAsia" w:ascii="宋体" w:hAnsi="宋体" w:cs="Microsoft JhengHei"/>
          <w:color w:val="auto"/>
          <w:spacing w:val="5"/>
          <w:kern w:val="0"/>
          <w:position w:val="-2"/>
          <w:sz w:val="24"/>
          <w:szCs w:val="24"/>
          <w:highlight w:val="none"/>
        </w:rPr>
        <w:t>含</w:t>
      </w:r>
      <w:r>
        <w:rPr>
          <w:rFonts w:hint="eastAsia" w:ascii="宋体" w:hAnsi="宋体" w:cs="Microsoft JhengHei"/>
          <w:color w:val="auto"/>
          <w:kern w:val="0"/>
          <w:sz w:val="24"/>
          <w:szCs w:val="24"/>
          <w:highlight w:val="none"/>
        </w:rPr>
        <w:t>签</w:t>
      </w:r>
      <w:r>
        <w:rPr>
          <w:rFonts w:hint="eastAsia" w:ascii="宋体" w:hAnsi="宋体" w:cs="Microsoft JhengHei"/>
          <w:color w:val="auto"/>
          <w:spacing w:val="3"/>
          <w:kern w:val="0"/>
          <w:sz w:val="24"/>
          <w:szCs w:val="24"/>
          <w:highlight w:val="none"/>
        </w:rPr>
        <w:t>订</w:t>
      </w:r>
      <w:r>
        <w:rPr>
          <w:rFonts w:hint="eastAsia" w:ascii="宋体" w:hAnsi="宋体" w:cs="Microsoft JhengHei"/>
          <w:color w:val="auto"/>
          <w:kern w:val="0"/>
          <w:sz w:val="24"/>
          <w:szCs w:val="24"/>
          <w:highlight w:val="none"/>
        </w:rPr>
        <w:t>分包</w:t>
      </w:r>
      <w:r>
        <w:rPr>
          <w:rFonts w:hint="eastAsia" w:ascii="宋体" w:hAnsi="宋体" w:cs="Microsoft JhengHei"/>
          <w:color w:val="auto"/>
          <w:spacing w:val="3"/>
          <w:kern w:val="0"/>
          <w:sz w:val="24"/>
          <w:szCs w:val="24"/>
          <w:highlight w:val="none"/>
        </w:rPr>
        <w:t>意</w:t>
      </w:r>
      <w:r>
        <w:rPr>
          <w:rFonts w:hint="eastAsia" w:ascii="宋体" w:hAnsi="宋体" w:cs="Microsoft JhengHei"/>
          <w:color w:val="auto"/>
          <w:kern w:val="0"/>
          <w:sz w:val="24"/>
          <w:szCs w:val="24"/>
          <w:highlight w:val="none"/>
        </w:rPr>
        <w:t>向协</w:t>
      </w:r>
      <w:r>
        <w:rPr>
          <w:rFonts w:hint="eastAsia" w:ascii="宋体" w:hAnsi="宋体" w:cs="Microsoft JhengHei"/>
          <w:color w:val="auto"/>
          <w:spacing w:val="3"/>
          <w:kern w:val="0"/>
          <w:sz w:val="24"/>
          <w:szCs w:val="24"/>
          <w:highlight w:val="none"/>
        </w:rPr>
        <w:t>议</w:t>
      </w:r>
      <w:r>
        <w:rPr>
          <w:rFonts w:hint="eastAsia" w:ascii="宋体" w:hAnsi="宋体" w:cs="Microsoft JhengHei"/>
          <w:color w:val="auto"/>
          <w:kern w:val="0"/>
          <w:sz w:val="24"/>
          <w:szCs w:val="24"/>
          <w:highlight w:val="none"/>
        </w:rPr>
        <w:t>的中</w:t>
      </w:r>
      <w:r>
        <w:rPr>
          <w:rFonts w:hint="eastAsia" w:ascii="宋体" w:hAnsi="宋体" w:cs="Microsoft JhengHei"/>
          <w:color w:val="auto"/>
          <w:spacing w:val="3"/>
          <w:kern w:val="0"/>
          <w:sz w:val="24"/>
          <w:szCs w:val="24"/>
          <w:highlight w:val="none"/>
        </w:rPr>
        <w:t>小</w:t>
      </w:r>
      <w:r>
        <w:rPr>
          <w:rFonts w:hint="eastAsia" w:ascii="宋体" w:hAnsi="宋体" w:cs="Microsoft JhengHei"/>
          <w:color w:val="auto"/>
          <w:kern w:val="0"/>
          <w:sz w:val="24"/>
          <w:szCs w:val="24"/>
          <w:highlight w:val="none"/>
        </w:rPr>
        <w:t>企业</w:t>
      </w:r>
      <w:r>
        <w:rPr>
          <w:rFonts w:hint="eastAsia" w:ascii="宋体" w:hAnsi="宋体" w:cs="Microsoft JhengHei"/>
          <w:color w:val="auto"/>
          <w:spacing w:val="-7"/>
          <w:kern w:val="0"/>
          <w:sz w:val="24"/>
          <w:szCs w:val="24"/>
          <w:highlight w:val="none"/>
        </w:rPr>
        <w:t>）</w:t>
      </w:r>
      <w:r>
        <w:rPr>
          <w:rFonts w:hint="eastAsia" w:ascii="宋体" w:hAnsi="宋体" w:cs="Microsoft JhengHei"/>
          <w:color w:val="auto"/>
          <w:spacing w:val="3"/>
          <w:kern w:val="0"/>
          <w:sz w:val="24"/>
          <w:szCs w:val="24"/>
          <w:highlight w:val="none"/>
        </w:rPr>
        <w:t>的</w:t>
      </w:r>
      <w:r>
        <w:rPr>
          <w:rFonts w:hint="eastAsia" w:ascii="宋体" w:hAnsi="宋体" w:cs="Microsoft JhengHei"/>
          <w:color w:val="auto"/>
          <w:kern w:val="0"/>
          <w:sz w:val="24"/>
          <w:szCs w:val="24"/>
          <w:highlight w:val="none"/>
        </w:rPr>
        <w:t>具</w:t>
      </w:r>
      <w:r>
        <w:rPr>
          <w:rFonts w:hint="eastAsia" w:ascii="宋体" w:hAnsi="宋体" w:cs="Microsoft JhengHei"/>
          <w:color w:val="auto"/>
          <w:spacing w:val="3"/>
          <w:kern w:val="0"/>
          <w:sz w:val="24"/>
          <w:szCs w:val="24"/>
          <w:highlight w:val="none"/>
        </w:rPr>
        <w:t>体</w:t>
      </w:r>
      <w:r>
        <w:rPr>
          <w:rFonts w:hint="eastAsia" w:ascii="宋体" w:hAnsi="宋体" w:cs="Microsoft JhengHei"/>
          <w:color w:val="auto"/>
          <w:kern w:val="0"/>
          <w:sz w:val="24"/>
          <w:szCs w:val="24"/>
          <w:highlight w:val="none"/>
        </w:rPr>
        <w:t>情况</w:t>
      </w:r>
      <w:r>
        <w:rPr>
          <w:rFonts w:hint="eastAsia" w:ascii="宋体" w:hAnsi="宋体" w:cs="Microsoft JhengHei"/>
          <w:color w:val="auto"/>
          <w:spacing w:val="3"/>
          <w:kern w:val="0"/>
          <w:sz w:val="24"/>
          <w:szCs w:val="24"/>
          <w:highlight w:val="none"/>
        </w:rPr>
        <w:t>如</w:t>
      </w:r>
      <w:r>
        <w:rPr>
          <w:rFonts w:hint="eastAsia" w:ascii="宋体" w:hAnsi="宋体" w:cs="Microsoft JhengHei"/>
          <w:color w:val="auto"/>
          <w:kern w:val="0"/>
          <w:sz w:val="24"/>
          <w:szCs w:val="24"/>
          <w:highlight w:val="none"/>
        </w:rPr>
        <w:t>下：</w:t>
      </w:r>
    </w:p>
    <w:p>
      <w:pPr>
        <w:autoSpaceDE w:val="0"/>
        <w:autoSpaceDN w:val="0"/>
        <w:adjustRightInd w:val="0"/>
        <w:snapToGrid w:val="0"/>
        <w:spacing w:line="498" w:lineRule="exact"/>
        <w:ind w:right="-49" w:firstLine="500" w:firstLineChars="200"/>
        <w:jc w:val="left"/>
        <w:rPr>
          <w:rFonts w:ascii="宋体" w:hAnsi="宋体" w:cs="Microsoft JhengHei"/>
          <w:color w:val="auto"/>
          <w:kern w:val="0"/>
          <w:sz w:val="24"/>
          <w:szCs w:val="24"/>
          <w:highlight w:val="none"/>
        </w:rPr>
      </w:pPr>
      <w:r>
        <w:rPr>
          <w:rFonts w:hint="eastAsia" w:ascii="宋体" w:hAnsi="宋体" w:cs="Microsoft JhengHei"/>
          <w:color w:val="auto"/>
          <w:spacing w:val="5"/>
          <w:kern w:val="0"/>
          <w:sz w:val="24"/>
          <w:szCs w:val="24"/>
          <w:highlight w:val="none"/>
        </w:rPr>
        <w:t>1.</w:t>
      </w:r>
      <w:r>
        <w:rPr>
          <w:rFonts w:hint="eastAsia" w:ascii="宋体" w:hAnsi="宋体" w:cs="Microsoft JhengHei"/>
          <w:color w:val="auto"/>
          <w:spacing w:val="5"/>
          <w:kern w:val="0"/>
          <w:sz w:val="24"/>
          <w:szCs w:val="24"/>
          <w:highlight w:val="none"/>
          <w:u w:val="single"/>
        </w:rPr>
        <w:t>（标的名称）</w:t>
      </w:r>
      <w:r>
        <w:rPr>
          <w:rFonts w:hint="eastAsia" w:ascii="宋体" w:hAnsi="宋体" w:cs="Microsoft JhengHei"/>
          <w:color w:val="auto"/>
          <w:spacing w:val="5"/>
          <w:kern w:val="0"/>
          <w:sz w:val="24"/>
          <w:szCs w:val="24"/>
          <w:highlight w:val="none"/>
        </w:rPr>
        <w:t>，属于</w:t>
      </w:r>
      <w:r>
        <w:rPr>
          <w:rFonts w:hint="eastAsia" w:ascii="宋体" w:hAnsi="宋体" w:cs="Microsoft JhengHei"/>
          <w:color w:val="auto"/>
          <w:spacing w:val="5"/>
          <w:kern w:val="0"/>
          <w:sz w:val="24"/>
          <w:szCs w:val="24"/>
          <w:highlight w:val="none"/>
          <w:u w:val="single"/>
        </w:rPr>
        <w:t>建筑业</w:t>
      </w:r>
      <w:r>
        <w:rPr>
          <w:rFonts w:hint="eastAsia" w:ascii="宋体" w:hAnsi="宋体" w:cs="Microsoft JhengHei"/>
          <w:color w:val="auto"/>
          <w:spacing w:val="5"/>
          <w:kern w:val="0"/>
          <w:sz w:val="24"/>
          <w:szCs w:val="24"/>
          <w:highlight w:val="none"/>
        </w:rPr>
        <w:t>；承建（承接）企业为</w:t>
      </w:r>
      <w:r>
        <w:rPr>
          <w:rFonts w:hint="eastAsia" w:ascii="宋体" w:hAnsi="宋体" w:cs="Microsoft JhengHei"/>
          <w:color w:val="auto"/>
          <w:spacing w:val="5"/>
          <w:kern w:val="0"/>
          <w:sz w:val="24"/>
          <w:szCs w:val="24"/>
          <w:highlight w:val="none"/>
          <w:u w:val="single"/>
        </w:rPr>
        <w:t>（企业名称）</w:t>
      </w:r>
      <w:r>
        <w:rPr>
          <w:rFonts w:hint="eastAsia" w:ascii="宋体" w:hAnsi="宋体" w:cs="Microsoft JhengHei"/>
          <w:color w:val="auto"/>
          <w:spacing w:val="5"/>
          <w:kern w:val="0"/>
          <w:sz w:val="24"/>
          <w:szCs w:val="24"/>
          <w:highlight w:val="none"/>
        </w:rPr>
        <w:t>，从业人员</w:t>
      </w:r>
      <w:r>
        <w:rPr>
          <w:rFonts w:hint="eastAsia" w:ascii="宋体" w:hAnsi="宋体" w:cs="Microsoft JhengHei"/>
          <w:color w:val="auto"/>
          <w:spacing w:val="5"/>
          <w:kern w:val="0"/>
          <w:sz w:val="24"/>
          <w:szCs w:val="24"/>
          <w:highlight w:val="none"/>
          <w:u w:val="single"/>
        </w:rPr>
        <w:t xml:space="preserve">   </w:t>
      </w:r>
      <w:r>
        <w:rPr>
          <w:rFonts w:hint="eastAsia" w:ascii="宋体" w:hAnsi="宋体" w:cs="Microsoft JhengHei"/>
          <w:color w:val="auto"/>
          <w:spacing w:val="5"/>
          <w:kern w:val="0"/>
          <w:sz w:val="24"/>
          <w:szCs w:val="24"/>
          <w:highlight w:val="none"/>
        </w:rPr>
        <w:t>人，</w:t>
      </w:r>
      <w:r>
        <w:rPr>
          <w:rFonts w:hint="eastAsia" w:ascii="宋体" w:hAnsi="宋体" w:cs="Microsoft JhengHei"/>
          <w:color w:val="auto"/>
          <w:spacing w:val="7"/>
          <w:kern w:val="0"/>
          <w:sz w:val="24"/>
          <w:szCs w:val="24"/>
          <w:highlight w:val="none"/>
        </w:rPr>
        <w:t>营</w:t>
      </w:r>
      <w:r>
        <w:rPr>
          <w:rFonts w:hint="eastAsia" w:ascii="宋体" w:hAnsi="宋体" w:cs="Microsoft JhengHei"/>
          <w:color w:val="auto"/>
          <w:kern w:val="0"/>
          <w:sz w:val="24"/>
          <w:szCs w:val="24"/>
          <w:highlight w:val="none"/>
        </w:rPr>
        <w:t>业收</w:t>
      </w:r>
      <w:r>
        <w:rPr>
          <w:rFonts w:hint="eastAsia" w:ascii="宋体" w:hAnsi="宋体" w:cs="Microsoft JhengHei"/>
          <w:color w:val="auto"/>
          <w:spacing w:val="3"/>
          <w:kern w:val="0"/>
          <w:sz w:val="24"/>
          <w:szCs w:val="24"/>
          <w:highlight w:val="none"/>
        </w:rPr>
        <w:t>入</w:t>
      </w:r>
      <w:r>
        <w:rPr>
          <w:rFonts w:hint="eastAsia" w:ascii="宋体" w:hAnsi="宋体" w:cs="Microsoft JhengHei"/>
          <w:color w:val="auto"/>
          <w:kern w:val="0"/>
          <w:sz w:val="24"/>
          <w:szCs w:val="24"/>
          <w:highlight w:val="none"/>
        </w:rPr>
        <w:t>为</w:t>
      </w:r>
      <w:r>
        <w:rPr>
          <w:rFonts w:ascii="宋体" w:hAnsi="宋体" w:cs="Microsoft JhengHei"/>
          <w:color w:val="auto"/>
          <w:kern w:val="0"/>
          <w:sz w:val="24"/>
          <w:szCs w:val="24"/>
          <w:highlight w:val="none"/>
          <w:u w:val="single"/>
        </w:rPr>
        <w:tab/>
      </w:r>
      <w:r>
        <w:rPr>
          <w:rFonts w:hint="eastAsia" w:ascii="宋体" w:hAnsi="宋体" w:cs="Microsoft JhengHei"/>
          <w:color w:val="auto"/>
          <w:kern w:val="0"/>
          <w:sz w:val="24"/>
          <w:szCs w:val="24"/>
          <w:highlight w:val="none"/>
          <w:u w:val="single"/>
        </w:rPr>
        <w:t xml:space="preserve">  </w:t>
      </w:r>
      <w:r>
        <w:rPr>
          <w:rFonts w:hint="eastAsia" w:ascii="宋体" w:hAnsi="宋体" w:cs="Microsoft JhengHei"/>
          <w:color w:val="auto"/>
          <w:kern w:val="0"/>
          <w:sz w:val="24"/>
          <w:szCs w:val="24"/>
          <w:highlight w:val="none"/>
        </w:rPr>
        <w:t>万</w:t>
      </w:r>
      <w:r>
        <w:rPr>
          <w:rFonts w:hint="eastAsia" w:ascii="宋体" w:hAnsi="宋体" w:cs="Microsoft JhengHei"/>
          <w:color w:val="auto"/>
          <w:spacing w:val="3"/>
          <w:kern w:val="0"/>
          <w:sz w:val="24"/>
          <w:szCs w:val="24"/>
          <w:highlight w:val="none"/>
        </w:rPr>
        <w:t>元</w:t>
      </w:r>
      <w:r>
        <w:rPr>
          <w:rFonts w:hint="eastAsia" w:ascii="宋体" w:hAnsi="宋体" w:cs="Microsoft JhengHei"/>
          <w:color w:val="auto"/>
          <w:kern w:val="0"/>
          <w:sz w:val="24"/>
          <w:szCs w:val="24"/>
          <w:highlight w:val="none"/>
        </w:rPr>
        <w:t>，资</w:t>
      </w:r>
      <w:r>
        <w:rPr>
          <w:rFonts w:hint="eastAsia" w:ascii="宋体" w:hAnsi="宋体" w:cs="Microsoft JhengHei"/>
          <w:color w:val="auto"/>
          <w:spacing w:val="3"/>
          <w:kern w:val="0"/>
          <w:sz w:val="24"/>
          <w:szCs w:val="24"/>
          <w:highlight w:val="none"/>
        </w:rPr>
        <w:t>产</w:t>
      </w:r>
      <w:r>
        <w:rPr>
          <w:rFonts w:hint="eastAsia" w:ascii="宋体" w:hAnsi="宋体" w:cs="Microsoft JhengHei"/>
          <w:color w:val="auto"/>
          <w:kern w:val="0"/>
          <w:sz w:val="24"/>
          <w:szCs w:val="24"/>
          <w:highlight w:val="none"/>
        </w:rPr>
        <w:t>总额为</w:t>
      </w:r>
      <w:r>
        <w:rPr>
          <w:rFonts w:ascii="宋体" w:hAnsi="宋体" w:cs="Microsoft JhengHei"/>
          <w:color w:val="auto"/>
          <w:spacing w:val="73"/>
          <w:kern w:val="0"/>
          <w:sz w:val="24"/>
          <w:szCs w:val="24"/>
          <w:highlight w:val="none"/>
          <w:u w:val="single"/>
        </w:rPr>
        <w:t xml:space="preserve"> </w:t>
      </w:r>
      <w:r>
        <w:rPr>
          <w:rFonts w:hint="eastAsia" w:ascii="宋体" w:hAnsi="宋体" w:cs="Microsoft JhengHei"/>
          <w:color w:val="auto"/>
          <w:kern w:val="0"/>
          <w:sz w:val="24"/>
          <w:szCs w:val="24"/>
          <w:highlight w:val="none"/>
        </w:rPr>
        <w:t>万</w:t>
      </w:r>
      <w:r>
        <w:rPr>
          <w:rFonts w:hint="eastAsia" w:ascii="宋体" w:hAnsi="宋体" w:cs="Microsoft JhengHei"/>
          <w:color w:val="auto"/>
          <w:spacing w:val="3"/>
          <w:kern w:val="0"/>
          <w:sz w:val="24"/>
          <w:szCs w:val="24"/>
          <w:highlight w:val="none"/>
        </w:rPr>
        <w:t>元</w:t>
      </w:r>
      <w:r>
        <w:rPr>
          <w:rFonts w:hint="eastAsia" w:ascii="宋体" w:hAnsi="宋体" w:cs="Microsoft JhengHei"/>
          <w:color w:val="auto"/>
          <w:kern w:val="0"/>
          <w:sz w:val="24"/>
          <w:szCs w:val="24"/>
          <w:highlight w:val="none"/>
        </w:rPr>
        <w:t>，</w:t>
      </w:r>
      <w:r>
        <w:rPr>
          <w:rFonts w:hint="eastAsia" w:ascii="宋体" w:hAnsi="宋体" w:cs="Microsoft JhengHei"/>
          <w:color w:val="auto"/>
          <w:spacing w:val="3"/>
          <w:kern w:val="0"/>
          <w:sz w:val="24"/>
          <w:szCs w:val="24"/>
          <w:highlight w:val="none"/>
        </w:rPr>
        <w:t>属</w:t>
      </w:r>
      <w:r>
        <w:rPr>
          <w:rFonts w:hint="eastAsia" w:ascii="宋体" w:hAnsi="宋体" w:cs="Microsoft JhengHei"/>
          <w:color w:val="auto"/>
          <w:spacing w:val="-14"/>
          <w:kern w:val="0"/>
          <w:sz w:val="24"/>
          <w:szCs w:val="24"/>
          <w:highlight w:val="none"/>
        </w:rPr>
        <w:t>于</w:t>
      </w:r>
      <w:r>
        <w:rPr>
          <w:rFonts w:hint="eastAsia" w:ascii="宋体" w:hAnsi="宋体" w:cs="Microsoft JhengHei"/>
          <w:color w:val="auto"/>
          <w:kern w:val="0"/>
          <w:sz w:val="24"/>
          <w:szCs w:val="24"/>
          <w:highlight w:val="none"/>
          <w:u w:val="single"/>
        </w:rPr>
        <w:t>（小型企业、微型企业）</w:t>
      </w:r>
      <w:r>
        <w:rPr>
          <w:rFonts w:hint="eastAsia" w:ascii="宋体" w:hAnsi="宋体" w:cs="Microsoft JhengHei"/>
          <w:color w:val="auto"/>
          <w:kern w:val="0"/>
          <w:position w:val="-2"/>
          <w:sz w:val="24"/>
          <w:szCs w:val="24"/>
          <w:highlight w:val="none"/>
        </w:rPr>
        <w:t>；</w:t>
      </w:r>
      <w:r>
        <w:rPr>
          <w:rFonts w:hint="eastAsia" w:ascii="宋体" w:hAnsi="宋体"/>
          <w:color w:val="auto"/>
          <w:sz w:val="24"/>
          <w:szCs w:val="24"/>
          <w:highlight w:val="none"/>
        </w:rPr>
        <w:t>在本项目中拟承担工作，在本项目的合同份额占合同总金额</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autoSpaceDE w:val="0"/>
        <w:autoSpaceDN w:val="0"/>
        <w:adjustRightInd w:val="0"/>
        <w:snapToGrid w:val="0"/>
        <w:spacing w:before="21" w:line="520" w:lineRule="exact"/>
        <w:ind w:right="-49" w:firstLine="500" w:firstLineChars="200"/>
        <w:jc w:val="left"/>
        <w:rPr>
          <w:rFonts w:ascii="宋体" w:hAnsi="宋体" w:cs="Microsoft JhengHei"/>
          <w:color w:val="auto"/>
          <w:kern w:val="0"/>
          <w:sz w:val="24"/>
          <w:szCs w:val="24"/>
          <w:highlight w:val="none"/>
        </w:rPr>
      </w:pPr>
      <w:r>
        <w:rPr>
          <w:rFonts w:hint="eastAsia" w:ascii="宋体" w:hAnsi="宋体" w:cs="Microsoft JhengHei"/>
          <w:color w:val="auto"/>
          <w:spacing w:val="5"/>
          <w:kern w:val="0"/>
          <w:sz w:val="24"/>
          <w:szCs w:val="24"/>
          <w:highlight w:val="none"/>
        </w:rPr>
        <w:t>2.</w:t>
      </w:r>
      <w:r>
        <w:rPr>
          <w:rFonts w:hint="eastAsia" w:ascii="宋体" w:hAnsi="宋体" w:cs="Microsoft JhengHei"/>
          <w:color w:val="auto"/>
          <w:spacing w:val="5"/>
          <w:kern w:val="0"/>
          <w:sz w:val="24"/>
          <w:szCs w:val="24"/>
          <w:highlight w:val="none"/>
          <w:u w:val="single"/>
        </w:rPr>
        <w:t>（标的名称）</w:t>
      </w:r>
      <w:r>
        <w:rPr>
          <w:rFonts w:hint="eastAsia" w:ascii="宋体" w:hAnsi="宋体" w:cs="Microsoft JhengHei"/>
          <w:color w:val="auto"/>
          <w:spacing w:val="5"/>
          <w:kern w:val="0"/>
          <w:sz w:val="24"/>
          <w:szCs w:val="24"/>
          <w:highlight w:val="none"/>
        </w:rPr>
        <w:t>，属于</w:t>
      </w:r>
      <w:r>
        <w:rPr>
          <w:rFonts w:hint="eastAsia" w:ascii="宋体" w:hAnsi="宋体" w:cs="Microsoft JhengHei"/>
          <w:color w:val="auto"/>
          <w:spacing w:val="5"/>
          <w:kern w:val="0"/>
          <w:sz w:val="24"/>
          <w:szCs w:val="24"/>
          <w:highlight w:val="none"/>
          <w:u w:val="single"/>
        </w:rPr>
        <w:t>建筑业</w:t>
      </w:r>
      <w:r>
        <w:rPr>
          <w:rFonts w:hint="eastAsia" w:ascii="宋体" w:hAnsi="宋体" w:cs="Microsoft JhengHei"/>
          <w:color w:val="auto"/>
          <w:spacing w:val="5"/>
          <w:kern w:val="0"/>
          <w:sz w:val="24"/>
          <w:szCs w:val="24"/>
          <w:highlight w:val="none"/>
        </w:rPr>
        <w:t>；承建（承接）企业为</w:t>
      </w:r>
      <w:r>
        <w:rPr>
          <w:rFonts w:hint="eastAsia" w:ascii="宋体" w:hAnsi="宋体" w:cs="Microsoft JhengHei"/>
          <w:color w:val="auto"/>
          <w:spacing w:val="5"/>
          <w:kern w:val="0"/>
          <w:sz w:val="24"/>
          <w:szCs w:val="24"/>
          <w:highlight w:val="none"/>
          <w:u w:val="single"/>
        </w:rPr>
        <w:t>（企业名称）</w:t>
      </w:r>
      <w:r>
        <w:rPr>
          <w:rFonts w:hint="eastAsia" w:ascii="宋体" w:hAnsi="宋体" w:cs="Microsoft JhengHei"/>
          <w:color w:val="auto"/>
          <w:spacing w:val="5"/>
          <w:kern w:val="0"/>
          <w:sz w:val="24"/>
          <w:szCs w:val="24"/>
          <w:highlight w:val="none"/>
        </w:rPr>
        <w:t>，从业人员</w:t>
      </w:r>
      <w:r>
        <w:rPr>
          <w:rFonts w:hint="eastAsia" w:ascii="宋体" w:hAnsi="宋体" w:cs="Microsoft JhengHei"/>
          <w:color w:val="auto"/>
          <w:spacing w:val="5"/>
          <w:kern w:val="0"/>
          <w:sz w:val="24"/>
          <w:szCs w:val="24"/>
          <w:highlight w:val="none"/>
          <w:u w:val="single"/>
        </w:rPr>
        <w:t xml:space="preserve">   </w:t>
      </w:r>
      <w:r>
        <w:rPr>
          <w:rFonts w:hint="eastAsia" w:ascii="宋体" w:hAnsi="宋体" w:cs="Microsoft JhengHei"/>
          <w:color w:val="auto"/>
          <w:spacing w:val="5"/>
          <w:kern w:val="0"/>
          <w:sz w:val="24"/>
          <w:szCs w:val="24"/>
          <w:highlight w:val="none"/>
        </w:rPr>
        <w:t>人，</w:t>
      </w:r>
      <w:r>
        <w:rPr>
          <w:rFonts w:hint="eastAsia" w:ascii="宋体" w:hAnsi="宋体" w:cs="Microsoft JhengHei"/>
          <w:color w:val="auto"/>
          <w:spacing w:val="7"/>
          <w:kern w:val="0"/>
          <w:sz w:val="24"/>
          <w:szCs w:val="24"/>
          <w:highlight w:val="none"/>
        </w:rPr>
        <w:t>营</w:t>
      </w:r>
      <w:r>
        <w:rPr>
          <w:rFonts w:hint="eastAsia" w:ascii="宋体" w:hAnsi="宋体" w:cs="Microsoft JhengHei"/>
          <w:color w:val="auto"/>
          <w:kern w:val="0"/>
          <w:sz w:val="24"/>
          <w:szCs w:val="24"/>
          <w:highlight w:val="none"/>
        </w:rPr>
        <w:t>业</w:t>
      </w:r>
      <w:r>
        <w:rPr>
          <w:rFonts w:hint="eastAsia" w:ascii="宋体" w:hAnsi="宋体" w:cs="Microsoft JhengHei"/>
          <w:color w:val="auto"/>
          <w:kern w:val="0"/>
          <w:position w:val="-2"/>
          <w:sz w:val="24"/>
          <w:szCs w:val="24"/>
          <w:highlight w:val="none"/>
        </w:rPr>
        <w:t>收</w:t>
      </w:r>
      <w:r>
        <w:rPr>
          <w:rFonts w:hint="eastAsia" w:ascii="宋体" w:hAnsi="宋体" w:cs="Microsoft JhengHei"/>
          <w:color w:val="auto"/>
          <w:spacing w:val="3"/>
          <w:kern w:val="0"/>
          <w:position w:val="-2"/>
          <w:sz w:val="24"/>
          <w:szCs w:val="24"/>
          <w:highlight w:val="none"/>
        </w:rPr>
        <w:t>入</w:t>
      </w:r>
      <w:r>
        <w:rPr>
          <w:rFonts w:hint="eastAsia" w:ascii="宋体" w:hAnsi="宋体" w:cs="Microsoft JhengHei"/>
          <w:color w:val="auto"/>
          <w:kern w:val="0"/>
          <w:position w:val="-2"/>
          <w:sz w:val="24"/>
          <w:szCs w:val="24"/>
          <w:highlight w:val="none"/>
        </w:rPr>
        <w:t>为</w:t>
      </w:r>
      <w:r>
        <w:rPr>
          <w:rFonts w:ascii="宋体" w:hAnsi="宋体" w:cs="Microsoft JhengHei"/>
          <w:color w:val="auto"/>
          <w:kern w:val="0"/>
          <w:sz w:val="24"/>
          <w:szCs w:val="24"/>
          <w:highlight w:val="none"/>
          <w:u w:val="single"/>
        </w:rPr>
        <w:tab/>
      </w:r>
      <w:r>
        <w:rPr>
          <w:rFonts w:hint="eastAsia" w:ascii="宋体" w:hAnsi="宋体" w:cs="Microsoft JhengHei"/>
          <w:color w:val="auto"/>
          <w:kern w:val="0"/>
          <w:sz w:val="24"/>
          <w:szCs w:val="24"/>
          <w:highlight w:val="none"/>
          <w:u w:val="single"/>
        </w:rPr>
        <w:t xml:space="preserve">  </w:t>
      </w:r>
      <w:r>
        <w:rPr>
          <w:rFonts w:hint="eastAsia" w:ascii="宋体" w:hAnsi="宋体" w:cs="Microsoft JhengHei"/>
          <w:color w:val="auto"/>
          <w:kern w:val="0"/>
          <w:position w:val="-2"/>
          <w:sz w:val="24"/>
          <w:szCs w:val="24"/>
          <w:highlight w:val="none"/>
        </w:rPr>
        <w:t>万</w:t>
      </w:r>
      <w:r>
        <w:rPr>
          <w:rFonts w:hint="eastAsia" w:ascii="宋体" w:hAnsi="宋体" w:cs="Microsoft JhengHei"/>
          <w:color w:val="auto"/>
          <w:spacing w:val="3"/>
          <w:kern w:val="0"/>
          <w:position w:val="-2"/>
          <w:sz w:val="24"/>
          <w:szCs w:val="24"/>
          <w:highlight w:val="none"/>
        </w:rPr>
        <w:t>元</w:t>
      </w:r>
      <w:r>
        <w:rPr>
          <w:rFonts w:hint="eastAsia" w:ascii="宋体" w:hAnsi="宋体" w:cs="Microsoft JhengHei"/>
          <w:color w:val="auto"/>
          <w:kern w:val="0"/>
          <w:position w:val="-2"/>
          <w:sz w:val="24"/>
          <w:szCs w:val="24"/>
          <w:highlight w:val="none"/>
        </w:rPr>
        <w:t>，资</w:t>
      </w:r>
      <w:r>
        <w:rPr>
          <w:rFonts w:hint="eastAsia" w:ascii="宋体" w:hAnsi="宋体" w:cs="Microsoft JhengHei"/>
          <w:color w:val="auto"/>
          <w:spacing w:val="3"/>
          <w:kern w:val="0"/>
          <w:position w:val="-2"/>
          <w:sz w:val="24"/>
          <w:szCs w:val="24"/>
          <w:highlight w:val="none"/>
        </w:rPr>
        <w:t>产</w:t>
      </w:r>
      <w:r>
        <w:rPr>
          <w:rFonts w:hint="eastAsia" w:ascii="宋体" w:hAnsi="宋体" w:cs="Microsoft JhengHei"/>
          <w:color w:val="auto"/>
          <w:kern w:val="0"/>
          <w:position w:val="-2"/>
          <w:sz w:val="24"/>
          <w:szCs w:val="24"/>
          <w:highlight w:val="none"/>
        </w:rPr>
        <w:t>总额为</w:t>
      </w:r>
      <w:r>
        <w:rPr>
          <w:rFonts w:ascii="宋体" w:hAnsi="宋体" w:cs="Microsoft JhengHei"/>
          <w:color w:val="auto"/>
          <w:spacing w:val="73"/>
          <w:kern w:val="0"/>
          <w:position w:val="-2"/>
          <w:sz w:val="24"/>
          <w:szCs w:val="24"/>
          <w:highlight w:val="none"/>
          <w:u w:val="single"/>
        </w:rPr>
        <w:t xml:space="preserve"> </w:t>
      </w:r>
      <w:r>
        <w:rPr>
          <w:rFonts w:hint="eastAsia" w:ascii="宋体" w:hAnsi="宋体" w:cs="Microsoft JhengHei"/>
          <w:color w:val="auto"/>
          <w:kern w:val="0"/>
          <w:position w:val="-2"/>
          <w:sz w:val="24"/>
          <w:szCs w:val="24"/>
          <w:highlight w:val="none"/>
        </w:rPr>
        <w:t>万</w:t>
      </w:r>
      <w:r>
        <w:rPr>
          <w:rFonts w:hint="eastAsia" w:ascii="宋体" w:hAnsi="宋体" w:cs="Microsoft JhengHei"/>
          <w:color w:val="auto"/>
          <w:spacing w:val="3"/>
          <w:kern w:val="0"/>
          <w:position w:val="-2"/>
          <w:sz w:val="24"/>
          <w:szCs w:val="24"/>
          <w:highlight w:val="none"/>
        </w:rPr>
        <w:t>元</w:t>
      </w:r>
      <w:r>
        <w:rPr>
          <w:rFonts w:hint="eastAsia" w:ascii="宋体" w:hAnsi="宋体" w:cs="Microsoft JhengHei"/>
          <w:color w:val="auto"/>
          <w:kern w:val="0"/>
          <w:position w:val="-2"/>
          <w:sz w:val="24"/>
          <w:szCs w:val="24"/>
          <w:highlight w:val="none"/>
        </w:rPr>
        <w:t>，属</w:t>
      </w:r>
      <w:r>
        <w:rPr>
          <w:rFonts w:hint="eastAsia" w:ascii="宋体" w:hAnsi="宋体" w:cs="Microsoft JhengHei"/>
          <w:color w:val="auto"/>
          <w:spacing w:val="-12"/>
          <w:kern w:val="0"/>
          <w:position w:val="-2"/>
          <w:sz w:val="24"/>
          <w:szCs w:val="24"/>
          <w:highlight w:val="none"/>
        </w:rPr>
        <w:t>于</w:t>
      </w:r>
      <w:r>
        <w:rPr>
          <w:rFonts w:hint="eastAsia" w:ascii="宋体" w:hAnsi="宋体" w:cs="Microsoft JhengHei"/>
          <w:color w:val="auto"/>
          <w:kern w:val="0"/>
          <w:sz w:val="24"/>
          <w:szCs w:val="24"/>
          <w:highlight w:val="none"/>
          <w:u w:val="single"/>
        </w:rPr>
        <w:t>（小型企业、微型企业）</w:t>
      </w:r>
      <w:r>
        <w:rPr>
          <w:rFonts w:hint="eastAsia" w:ascii="宋体" w:hAnsi="宋体" w:cs="Microsoft JhengHei"/>
          <w:color w:val="auto"/>
          <w:kern w:val="0"/>
          <w:position w:val="-2"/>
          <w:sz w:val="24"/>
          <w:szCs w:val="24"/>
          <w:highlight w:val="none"/>
        </w:rPr>
        <w:t>；</w:t>
      </w:r>
      <w:r>
        <w:rPr>
          <w:rFonts w:hint="eastAsia" w:ascii="宋体" w:hAnsi="宋体"/>
          <w:color w:val="auto"/>
          <w:sz w:val="24"/>
          <w:szCs w:val="24"/>
          <w:highlight w:val="none"/>
        </w:rPr>
        <w:t>在本项目中拟承担工作，在本项目的合同份额占合同总金额</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autoSpaceDE w:val="0"/>
        <w:autoSpaceDN w:val="0"/>
        <w:adjustRightInd w:val="0"/>
        <w:snapToGrid w:val="0"/>
        <w:spacing w:before="22" w:line="518" w:lineRule="exact"/>
        <w:ind w:right="200" w:firstLine="456" w:firstLineChars="150"/>
        <w:jc w:val="left"/>
        <w:rPr>
          <w:rFonts w:ascii="宋体" w:hAnsi="宋体" w:cs="Microsoft JhengHei"/>
          <w:color w:val="auto"/>
          <w:w w:val="127"/>
          <w:kern w:val="0"/>
          <w:sz w:val="24"/>
          <w:szCs w:val="24"/>
          <w:highlight w:val="none"/>
        </w:rPr>
      </w:pPr>
      <w:r>
        <w:rPr>
          <w:rFonts w:hint="eastAsia" w:ascii="宋体" w:hAnsi="宋体" w:cs="Microsoft JhengHei"/>
          <w:color w:val="auto"/>
          <w:w w:val="127"/>
          <w:kern w:val="0"/>
          <w:sz w:val="24"/>
          <w:szCs w:val="24"/>
          <w:highlight w:val="none"/>
        </w:rPr>
        <w:t>……</w:t>
      </w:r>
    </w:p>
    <w:p>
      <w:pPr>
        <w:autoSpaceDE w:val="0"/>
        <w:autoSpaceDN w:val="0"/>
        <w:adjustRightInd w:val="0"/>
        <w:snapToGrid w:val="0"/>
        <w:spacing w:before="22" w:line="518" w:lineRule="exact"/>
        <w:ind w:right="-49" w:firstLine="480" w:firstLineChars="200"/>
        <w:jc w:val="left"/>
        <w:rPr>
          <w:rFonts w:ascii="宋体" w:hAnsi="宋体" w:cs="Microsoft JhengHei"/>
          <w:color w:val="auto"/>
          <w:kern w:val="0"/>
          <w:sz w:val="24"/>
          <w:szCs w:val="24"/>
          <w:highlight w:val="none"/>
        </w:rPr>
      </w:pPr>
      <w:r>
        <w:rPr>
          <w:rFonts w:hint="eastAsia" w:ascii="宋体" w:hAnsi="宋体" w:cs="Microsoft JhengHei"/>
          <w:color w:val="auto"/>
          <w:kern w:val="0"/>
          <w:sz w:val="24"/>
          <w:szCs w:val="24"/>
          <w:highlight w:val="none"/>
        </w:rPr>
        <w:t>以</w:t>
      </w:r>
      <w:r>
        <w:rPr>
          <w:rFonts w:hint="eastAsia" w:ascii="宋体" w:hAnsi="宋体" w:cs="Microsoft JhengHei"/>
          <w:color w:val="auto"/>
          <w:spacing w:val="3"/>
          <w:kern w:val="0"/>
          <w:sz w:val="24"/>
          <w:szCs w:val="24"/>
          <w:highlight w:val="none"/>
        </w:rPr>
        <w:t>上</w:t>
      </w:r>
      <w:r>
        <w:rPr>
          <w:rFonts w:hint="eastAsia" w:ascii="宋体" w:hAnsi="宋体" w:cs="Microsoft JhengHei"/>
          <w:color w:val="auto"/>
          <w:kern w:val="0"/>
          <w:sz w:val="24"/>
          <w:szCs w:val="24"/>
          <w:highlight w:val="none"/>
        </w:rPr>
        <w:t>企业</w:t>
      </w:r>
      <w:r>
        <w:rPr>
          <w:rFonts w:hint="eastAsia" w:ascii="宋体" w:hAnsi="宋体" w:cs="Microsoft JhengHei"/>
          <w:color w:val="auto"/>
          <w:spacing w:val="-9"/>
          <w:kern w:val="0"/>
          <w:sz w:val="24"/>
          <w:szCs w:val="24"/>
          <w:highlight w:val="none"/>
        </w:rPr>
        <w:t>，</w:t>
      </w:r>
      <w:r>
        <w:rPr>
          <w:rFonts w:hint="eastAsia" w:ascii="宋体" w:hAnsi="宋体" w:cs="Microsoft JhengHei"/>
          <w:color w:val="auto"/>
          <w:kern w:val="0"/>
          <w:sz w:val="24"/>
          <w:szCs w:val="24"/>
          <w:highlight w:val="none"/>
        </w:rPr>
        <w:t>不</w:t>
      </w:r>
      <w:r>
        <w:rPr>
          <w:rFonts w:hint="eastAsia" w:ascii="宋体" w:hAnsi="宋体" w:cs="Microsoft JhengHei"/>
          <w:color w:val="auto"/>
          <w:spacing w:val="3"/>
          <w:kern w:val="0"/>
          <w:sz w:val="24"/>
          <w:szCs w:val="24"/>
          <w:highlight w:val="none"/>
        </w:rPr>
        <w:t>属</w:t>
      </w:r>
      <w:r>
        <w:rPr>
          <w:rFonts w:hint="eastAsia" w:ascii="宋体" w:hAnsi="宋体" w:cs="Microsoft JhengHei"/>
          <w:color w:val="auto"/>
          <w:kern w:val="0"/>
          <w:sz w:val="24"/>
          <w:szCs w:val="24"/>
          <w:highlight w:val="none"/>
        </w:rPr>
        <w:t>于大</w:t>
      </w:r>
      <w:r>
        <w:rPr>
          <w:rFonts w:hint="eastAsia" w:ascii="宋体" w:hAnsi="宋体" w:cs="Microsoft JhengHei"/>
          <w:color w:val="auto"/>
          <w:spacing w:val="3"/>
          <w:kern w:val="0"/>
          <w:sz w:val="24"/>
          <w:szCs w:val="24"/>
          <w:highlight w:val="none"/>
        </w:rPr>
        <w:t>企</w:t>
      </w:r>
      <w:r>
        <w:rPr>
          <w:rFonts w:hint="eastAsia" w:ascii="宋体" w:hAnsi="宋体" w:cs="Microsoft JhengHei"/>
          <w:color w:val="auto"/>
          <w:kern w:val="0"/>
          <w:sz w:val="24"/>
          <w:szCs w:val="24"/>
          <w:highlight w:val="none"/>
        </w:rPr>
        <w:t>业的</w:t>
      </w:r>
      <w:r>
        <w:rPr>
          <w:rFonts w:hint="eastAsia" w:ascii="宋体" w:hAnsi="宋体" w:cs="Microsoft JhengHei"/>
          <w:color w:val="auto"/>
          <w:spacing w:val="3"/>
          <w:kern w:val="0"/>
          <w:sz w:val="24"/>
          <w:szCs w:val="24"/>
          <w:highlight w:val="none"/>
        </w:rPr>
        <w:t>分</w:t>
      </w:r>
      <w:r>
        <w:rPr>
          <w:rFonts w:hint="eastAsia" w:ascii="宋体" w:hAnsi="宋体" w:cs="Microsoft JhengHei"/>
          <w:color w:val="auto"/>
          <w:kern w:val="0"/>
          <w:sz w:val="24"/>
          <w:szCs w:val="24"/>
          <w:highlight w:val="none"/>
        </w:rPr>
        <w:t>支</w:t>
      </w:r>
      <w:r>
        <w:rPr>
          <w:rFonts w:hint="eastAsia" w:ascii="宋体" w:hAnsi="宋体" w:cs="Microsoft JhengHei"/>
          <w:color w:val="auto"/>
          <w:spacing w:val="3"/>
          <w:kern w:val="0"/>
          <w:sz w:val="24"/>
          <w:szCs w:val="24"/>
          <w:highlight w:val="none"/>
        </w:rPr>
        <w:t>机</w:t>
      </w:r>
      <w:r>
        <w:rPr>
          <w:rFonts w:hint="eastAsia" w:ascii="宋体" w:hAnsi="宋体" w:cs="Microsoft JhengHei"/>
          <w:color w:val="auto"/>
          <w:kern w:val="0"/>
          <w:sz w:val="24"/>
          <w:szCs w:val="24"/>
          <w:highlight w:val="none"/>
        </w:rPr>
        <w:t>构</w:t>
      </w:r>
      <w:r>
        <w:rPr>
          <w:rFonts w:hint="eastAsia" w:ascii="宋体" w:hAnsi="宋体" w:cs="Microsoft JhengHei"/>
          <w:color w:val="auto"/>
          <w:spacing w:val="-9"/>
          <w:kern w:val="0"/>
          <w:sz w:val="24"/>
          <w:szCs w:val="24"/>
          <w:highlight w:val="none"/>
        </w:rPr>
        <w:t>，</w:t>
      </w:r>
      <w:r>
        <w:rPr>
          <w:rFonts w:hint="eastAsia" w:ascii="宋体" w:hAnsi="宋体" w:cs="Microsoft JhengHei"/>
          <w:color w:val="auto"/>
          <w:kern w:val="0"/>
          <w:sz w:val="24"/>
          <w:szCs w:val="24"/>
          <w:highlight w:val="none"/>
        </w:rPr>
        <w:t>不</w:t>
      </w:r>
      <w:r>
        <w:rPr>
          <w:rFonts w:hint="eastAsia" w:ascii="宋体" w:hAnsi="宋体" w:cs="Microsoft JhengHei"/>
          <w:color w:val="auto"/>
          <w:spacing w:val="3"/>
          <w:kern w:val="0"/>
          <w:sz w:val="24"/>
          <w:szCs w:val="24"/>
          <w:highlight w:val="none"/>
        </w:rPr>
        <w:t>存</w:t>
      </w:r>
      <w:r>
        <w:rPr>
          <w:rFonts w:hint="eastAsia" w:ascii="宋体" w:hAnsi="宋体" w:cs="Microsoft JhengHei"/>
          <w:color w:val="auto"/>
          <w:kern w:val="0"/>
          <w:sz w:val="24"/>
          <w:szCs w:val="24"/>
          <w:highlight w:val="none"/>
        </w:rPr>
        <w:t>在控</w:t>
      </w:r>
      <w:r>
        <w:rPr>
          <w:rFonts w:hint="eastAsia" w:ascii="宋体" w:hAnsi="宋体" w:cs="Microsoft JhengHei"/>
          <w:color w:val="auto"/>
          <w:spacing w:val="3"/>
          <w:kern w:val="0"/>
          <w:sz w:val="24"/>
          <w:szCs w:val="24"/>
          <w:highlight w:val="none"/>
        </w:rPr>
        <w:t>股</w:t>
      </w:r>
      <w:r>
        <w:rPr>
          <w:rFonts w:hint="eastAsia" w:ascii="宋体" w:hAnsi="宋体" w:cs="Microsoft JhengHei"/>
          <w:color w:val="auto"/>
          <w:kern w:val="0"/>
          <w:sz w:val="24"/>
          <w:szCs w:val="24"/>
          <w:highlight w:val="none"/>
        </w:rPr>
        <w:t>股东为</w:t>
      </w:r>
      <w:r>
        <w:rPr>
          <w:rFonts w:hint="eastAsia" w:ascii="宋体" w:hAnsi="宋体" w:cs="Microsoft JhengHei"/>
          <w:color w:val="auto"/>
          <w:spacing w:val="3"/>
          <w:kern w:val="0"/>
          <w:sz w:val="24"/>
          <w:szCs w:val="24"/>
          <w:highlight w:val="none"/>
        </w:rPr>
        <w:t>大</w:t>
      </w:r>
      <w:r>
        <w:rPr>
          <w:rFonts w:hint="eastAsia" w:ascii="宋体" w:hAnsi="宋体" w:cs="Microsoft JhengHei"/>
          <w:color w:val="auto"/>
          <w:kern w:val="0"/>
          <w:sz w:val="24"/>
          <w:szCs w:val="24"/>
          <w:highlight w:val="none"/>
        </w:rPr>
        <w:t>企业</w:t>
      </w:r>
      <w:r>
        <w:rPr>
          <w:rFonts w:hint="eastAsia" w:ascii="宋体" w:hAnsi="宋体" w:cs="Microsoft JhengHei"/>
          <w:color w:val="auto"/>
          <w:spacing w:val="3"/>
          <w:kern w:val="0"/>
          <w:sz w:val="24"/>
          <w:szCs w:val="24"/>
          <w:highlight w:val="none"/>
        </w:rPr>
        <w:t>的</w:t>
      </w:r>
      <w:r>
        <w:rPr>
          <w:rFonts w:hint="eastAsia" w:ascii="宋体" w:hAnsi="宋体" w:cs="Microsoft JhengHei"/>
          <w:color w:val="auto"/>
          <w:kern w:val="0"/>
          <w:sz w:val="24"/>
          <w:szCs w:val="24"/>
          <w:highlight w:val="none"/>
        </w:rPr>
        <w:t>情形</w:t>
      </w:r>
      <w:r>
        <w:rPr>
          <w:rFonts w:hint="eastAsia" w:ascii="宋体" w:hAnsi="宋体" w:cs="Microsoft JhengHei"/>
          <w:color w:val="auto"/>
          <w:spacing w:val="-12"/>
          <w:kern w:val="0"/>
          <w:sz w:val="24"/>
          <w:szCs w:val="24"/>
          <w:highlight w:val="none"/>
        </w:rPr>
        <w:t>，</w:t>
      </w:r>
      <w:r>
        <w:rPr>
          <w:rFonts w:hint="eastAsia" w:ascii="宋体" w:hAnsi="宋体" w:cs="Microsoft JhengHei"/>
          <w:color w:val="auto"/>
          <w:kern w:val="0"/>
          <w:sz w:val="24"/>
          <w:szCs w:val="24"/>
          <w:highlight w:val="none"/>
        </w:rPr>
        <w:t>也</w:t>
      </w:r>
      <w:r>
        <w:rPr>
          <w:rFonts w:hint="eastAsia" w:ascii="宋体" w:hAnsi="宋体" w:cs="Microsoft JhengHei"/>
          <w:color w:val="auto"/>
          <w:spacing w:val="3"/>
          <w:kern w:val="0"/>
          <w:sz w:val="24"/>
          <w:szCs w:val="24"/>
          <w:highlight w:val="none"/>
        </w:rPr>
        <w:t>不</w:t>
      </w:r>
      <w:r>
        <w:rPr>
          <w:rFonts w:hint="eastAsia" w:ascii="宋体" w:hAnsi="宋体" w:cs="Microsoft JhengHei"/>
          <w:color w:val="auto"/>
          <w:kern w:val="0"/>
          <w:sz w:val="24"/>
          <w:szCs w:val="24"/>
          <w:highlight w:val="none"/>
        </w:rPr>
        <w:t>存在</w:t>
      </w:r>
      <w:r>
        <w:rPr>
          <w:rFonts w:hint="eastAsia" w:ascii="宋体" w:hAnsi="宋体" w:cs="Microsoft JhengHei"/>
          <w:color w:val="auto"/>
          <w:spacing w:val="3"/>
          <w:kern w:val="0"/>
          <w:sz w:val="24"/>
          <w:szCs w:val="24"/>
          <w:highlight w:val="none"/>
        </w:rPr>
        <w:t>与</w:t>
      </w:r>
      <w:r>
        <w:rPr>
          <w:rFonts w:hint="eastAsia" w:ascii="宋体" w:hAnsi="宋体" w:cs="Microsoft JhengHei"/>
          <w:color w:val="auto"/>
          <w:kern w:val="0"/>
          <w:sz w:val="24"/>
          <w:szCs w:val="24"/>
          <w:highlight w:val="none"/>
        </w:rPr>
        <w:t>大企</w:t>
      </w:r>
      <w:r>
        <w:rPr>
          <w:rFonts w:hint="eastAsia" w:ascii="宋体" w:hAnsi="宋体" w:cs="Microsoft JhengHei"/>
          <w:color w:val="auto"/>
          <w:spacing w:val="3"/>
          <w:kern w:val="0"/>
          <w:sz w:val="24"/>
          <w:szCs w:val="24"/>
          <w:highlight w:val="none"/>
        </w:rPr>
        <w:t>业</w:t>
      </w:r>
      <w:r>
        <w:rPr>
          <w:rFonts w:hint="eastAsia" w:ascii="宋体" w:hAnsi="宋体" w:cs="Microsoft JhengHei"/>
          <w:color w:val="auto"/>
          <w:kern w:val="0"/>
          <w:sz w:val="24"/>
          <w:szCs w:val="24"/>
          <w:highlight w:val="none"/>
        </w:rPr>
        <w:t>的负</w:t>
      </w:r>
      <w:r>
        <w:rPr>
          <w:rFonts w:hint="eastAsia" w:ascii="宋体" w:hAnsi="宋体" w:cs="Microsoft JhengHei"/>
          <w:color w:val="auto"/>
          <w:spacing w:val="3"/>
          <w:kern w:val="0"/>
          <w:sz w:val="24"/>
          <w:szCs w:val="24"/>
          <w:highlight w:val="none"/>
        </w:rPr>
        <w:t>责</w:t>
      </w:r>
      <w:r>
        <w:rPr>
          <w:rFonts w:hint="eastAsia" w:ascii="宋体" w:hAnsi="宋体" w:cs="Microsoft JhengHei"/>
          <w:color w:val="auto"/>
          <w:kern w:val="0"/>
          <w:sz w:val="24"/>
          <w:szCs w:val="24"/>
          <w:highlight w:val="none"/>
        </w:rPr>
        <w:t>人为</w:t>
      </w:r>
      <w:r>
        <w:rPr>
          <w:rFonts w:hint="eastAsia" w:ascii="宋体" w:hAnsi="宋体" w:cs="Microsoft JhengHei"/>
          <w:color w:val="auto"/>
          <w:spacing w:val="3"/>
          <w:kern w:val="0"/>
          <w:sz w:val="24"/>
          <w:szCs w:val="24"/>
          <w:highlight w:val="none"/>
        </w:rPr>
        <w:t>同</w:t>
      </w:r>
      <w:r>
        <w:rPr>
          <w:rFonts w:hint="eastAsia" w:ascii="宋体" w:hAnsi="宋体" w:cs="Microsoft JhengHei"/>
          <w:color w:val="auto"/>
          <w:kern w:val="0"/>
          <w:sz w:val="24"/>
          <w:szCs w:val="24"/>
          <w:highlight w:val="none"/>
        </w:rPr>
        <w:t>一人</w:t>
      </w:r>
      <w:r>
        <w:rPr>
          <w:rFonts w:hint="eastAsia" w:ascii="宋体" w:hAnsi="宋体" w:cs="Microsoft JhengHei"/>
          <w:color w:val="auto"/>
          <w:spacing w:val="3"/>
          <w:kern w:val="0"/>
          <w:sz w:val="24"/>
          <w:szCs w:val="24"/>
          <w:highlight w:val="none"/>
        </w:rPr>
        <w:t>的</w:t>
      </w:r>
      <w:r>
        <w:rPr>
          <w:rFonts w:hint="eastAsia" w:ascii="宋体" w:hAnsi="宋体" w:cs="Microsoft JhengHei"/>
          <w:color w:val="auto"/>
          <w:kern w:val="0"/>
          <w:sz w:val="24"/>
          <w:szCs w:val="24"/>
          <w:highlight w:val="none"/>
        </w:rPr>
        <w:t>情形。</w:t>
      </w:r>
    </w:p>
    <w:p>
      <w:pPr>
        <w:autoSpaceDE w:val="0"/>
        <w:autoSpaceDN w:val="0"/>
        <w:adjustRightInd w:val="0"/>
        <w:snapToGrid w:val="0"/>
        <w:spacing w:line="496" w:lineRule="exact"/>
        <w:ind w:right="-49" w:firstLine="480" w:firstLineChars="200"/>
        <w:jc w:val="left"/>
        <w:rPr>
          <w:rFonts w:ascii="宋体" w:hAnsi="宋体" w:cs="Microsoft JhengHei"/>
          <w:color w:val="auto"/>
          <w:kern w:val="0"/>
          <w:position w:val="-5"/>
          <w:sz w:val="24"/>
          <w:szCs w:val="24"/>
          <w:highlight w:val="none"/>
        </w:rPr>
      </w:pPr>
      <w:r>
        <w:rPr>
          <w:rFonts w:hint="eastAsia" w:ascii="宋体" w:hAnsi="宋体" w:cs="Microsoft JhengHei"/>
          <w:color w:val="auto"/>
          <w:kern w:val="0"/>
          <w:position w:val="-2"/>
          <w:sz w:val="24"/>
          <w:szCs w:val="24"/>
          <w:highlight w:val="none"/>
        </w:rPr>
        <w:t>本</w:t>
      </w:r>
      <w:r>
        <w:rPr>
          <w:rFonts w:hint="eastAsia" w:ascii="宋体" w:hAnsi="宋体" w:cs="Microsoft JhengHei"/>
          <w:color w:val="auto"/>
          <w:spacing w:val="3"/>
          <w:kern w:val="0"/>
          <w:position w:val="-2"/>
          <w:sz w:val="24"/>
          <w:szCs w:val="24"/>
          <w:highlight w:val="none"/>
        </w:rPr>
        <w:t>企</w:t>
      </w:r>
      <w:r>
        <w:rPr>
          <w:rFonts w:hint="eastAsia" w:ascii="宋体" w:hAnsi="宋体" w:cs="Microsoft JhengHei"/>
          <w:color w:val="auto"/>
          <w:kern w:val="0"/>
          <w:position w:val="-2"/>
          <w:sz w:val="24"/>
          <w:szCs w:val="24"/>
          <w:highlight w:val="none"/>
        </w:rPr>
        <w:t>业对</w:t>
      </w:r>
      <w:r>
        <w:rPr>
          <w:rFonts w:hint="eastAsia" w:ascii="宋体" w:hAnsi="宋体" w:cs="Microsoft JhengHei"/>
          <w:color w:val="auto"/>
          <w:spacing w:val="3"/>
          <w:kern w:val="0"/>
          <w:position w:val="-2"/>
          <w:sz w:val="24"/>
          <w:szCs w:val="24"/>
          <w:highlight w:val="none"/>
        </w:rPr>
        <w:t>上</w:t>
      </w:r>
      <w:r>
        <w:rPr>
          <w:rFonts w:hint="eastAsia" w:ascii="宋体" w:hAnsi="宋体" w:cs="Microsoft JhengHei"/>
          <w:color w:val="auto"/>
          <w:kern w:val="0"/>
          <w:position w:val="-2"/>
          <w:sz w:val="24"/>
          <w:szCs w:val="24"/>
          <w:highlight w:val="none"/>
        </w:rPr>
        <w:t>述声</w:t>
      </w:r>
      <w:r>
        <w:rPr>
          <w:rFonts w:hint="eastAsia" w:ascii="宋体" w:hAnsi="宋体" w:cs="Microsoft JhengHei"/>
          <w:color w:val="auto"/>
          <w:spacing w:val="3"/>
          <w:kern w:val="0"/>
          <w:position w:val="-2"/>
          <w:sz w:val="24"/>
          <w:szCs w:val="24"/>
          <w:highlight w:val="none"/>
        </w:rPr>
        <w:t>明</w:t>
      </w:r>
      <w:r>
        <w:rPr>
          <w:rFonts w:hint="eastAsia" w:ascii="宋体" w:hAnsi="宋体" w:cs="Microsoft JhengHei"/>
          <w:color w:val="auto"/>
          <w:kern w:val="0"/>
          <w:position w:val="-2"/>
          <w:sz w:val="24"/>
          <w:szCs w:val="24"/>
          <w:highlight w:val="none"/>
        </w:rPr>
        <w:t>内容</w:t>
      </w:r>
      <w:r>
        <w:rPr>
          <w:rFonts w:hint="eastAsia" w:ascii="宋体" w:hAnsi="宋体" w:cs="Microsoft JhengHei"/>
          <w:color w:val="auto"/>
          <w:spacing w:val="3"/>
          <w:kern w:val="0"/>
          <w:position w:val="-2"/>
          <w:sz w:val="24"/>
          <w:szCs w:val="24"/>
          <w:highlight w:val="none"/>
        </w:rPr>
        <w:t>的</w:t>
      </w:r>
      <w:r>
        <w:rPr>
          <w:rFonts w:hint="eastAsia" w:ascii="宋体" w:hAnsi="宋体" w:cs="Microsoft JhengHei"/>
          <w:color w:val="auto"/>
          <w:kern w:val="0"/>
          <w:position w:val="-2"/>
          <w:sz w:val="24"/>
          <w:szCs w:val="24"/>
          <w:highlight w:val="none"/>
        </w:rPr>
        <w:t>真实</w:t>
      </w:r>
      <w:r>
        <w:rPr>
          <w:rFonts w:hint="eastAsia" w:ascii="宋体" w:hAnsi="宋体" w:cs="Microsoft JhengHei"/>
          <w:color w:val="auto"/>
          <w:spacing w:val="3"/>
          <w:kern w:val="0"/>
          <w:position w:val="-2"/>
          <w:sz w:val="24"/>
          <w:szCs w:val="24"/>
          <w:highlight w:val="none"/>
        </w:rPr>
        <w:t>性</w:t>
      </w:r>
      <w:r>
        <w:rPr>
          <w:rFonts w:hint="eastAsia" w:ascii="宋体" w:hAnsi="宋体" w:cs="Microsoft JhengHei"/>
          <w:color w:val="auto"/>
          <w:kern w:val="0"/>
          <w:position w:val="-2"/>
          <w:sz w:val="24"/>
          <w:szCs w:val="24"/>
          <w:highlight w:val="none"/>
        </w:rPr>
        <w:t>负责</w:t>
      </w:r>
      <w:r>
        <w:rPr>
          <w:rFonts w:hint="eastAsia" w:ascii="宋体" w:hAnsi="宋体" w:cs="Microsoft JhengHei"/>
          <w:color w:val="auto"/>
          <w:spacing w:val="-7"/>
          <w:kern w:val="0"/>
          <w:position w:val="-2"/>
          <w:sz w:val="24"/>
          <w:szCs w:val="24"/>
          <w:highlight w:val="none"/>
        </w:rPr>
        <w:t>。</w:t>
      </w:r>
      <w:r>
        <w:rPr>
          <w:rFonts w:hint="eastAsia" w:ascii="宋体" w:hAnsi="宋体" w:cs="Microsoft JhengHei"/>
          <w:color w:val="auto"/>
          <w:kern w:val="0"/>
          <w:position w:val="-2"/>
          <w:sz w:val="24"/>
          <w:szCs w:val="24"/>
          <w:highlight w:val="none"/>
        </w:rPr>
        <w:t>如</w:t>
      </w:r>
      <w:r>
        <w:rPr>
          <w:rFonts w:hint="eastAsia" w:ascii="宋体" w:hAnsi="宋体" w:cs="Microsoft JhengHei"/>
          <w:color w:val="auto"/>
          <w:spacing w:val="3"/>
          <w:kern w:val="0"/>
          <w:position w:val="-2"/>
          <w:sz w:val="24"/>
          <w:szCs w:val="24"/>
          <w:highlight w:val="none"/>
        </w:rPr>
        <w:t>有</w:t>
      </w:r>
      <w:r>
        <w:rPr>
          <w:rFonts w:hint="eastAsia" w:ascii="宋体" w:hAnsi="宋体" w:cs="Microsoft JhengHei"/>
          <w:color w:val="auto"/>
          <w:kern w:val="0"/>
          <w:position w:val="-2"/>
          <w:sz w:val="24"/>
          <w:szCs w:val="24"/>
          <w:highlight w:val="none"/>
        </w:rPr>
        <w:t>虚</w:t>
      </w:r>
      <w:r>
        <w:rPr>
          <w:rFonts w:hint="eastAsia" w:ascii="宋体" w:hAnsi="宋体" w:cs="Microsoft JhengHei"/>
          <w:color w:val="auto"/>
          <w:spacing w:val="3"/>
          <w:kern w:val="0"/>
          <w:position w:val="-2"/>
          <w:sz w:val="24"/>
          <w:szCs w:val="24"/>
          <w:highlight w:val="none"/>
        </w:rPr>
        <w:t>假</w:t>
      </w:r>
      <w:r>
        <w:rPr>
          <w:rFonts w:hint="eastAsia" w:ascii="宋体" w:hAnsi="宋体" w:cs="Microsoft JhengHei"/>
          <w:color w:val="auto"/>
          <w:spacing w:val="-7"/>
          <w:kern w:val="0"/>
          <w:position w:val="-2"/>
          <w:sz w:val="24"/>
          <w:szCs w:val="24"/>
          <w:highlight w:val="none"/>
        </w:rPr>
        <w:t>，</w:t>
      </w:r>
      <w:r>
        <w:rPr>
          <w:rFonts w:hint="eastAsia" w:ascii="宋体" w:hAnsi="宋体" w:cs="Microsoft JhengHei"/>
          <w:color w:val="auto"/>
          <w:kern w:val="0"/>
          <w:position w:val="-2"/>
          <w:sz w:val="24"/>
          <w:szCs w:val="24"/>
          <w:highlight w:val="none"/>
        </w:rPr>
        <w:t>将依</w:t>
      </w:r>
      <w:r>
        <w:rPr>
          <w:rFonts w:hint="eastAsia" w:ascii="宋体" w:hAnsi="宋体" w:cs="Microsoft JhengHei"/>
          <w:color w:val="auto"/>
          <w:kern w:val="0"/>
          <w:position w:val="-5"/>
          <w:sz w:val="24"/>
          <w:szCs w:val="24"/>
          <w:highlight w:val="none"/>
        </w:rPr>
        <w:t>法</w:t>
      </w:r>
      <w:r>
        <w:rPr>
          <w:rFonts w:hint="eastAsia" w:ascii="宋体" w:hAnsi="宋体" w:cs="Microsoft JhengHei"/>
          <w:color w:val="auto"/>
          <w:spacing w:val="3"/>
          <w:kern w:val="0"/>
          <w:position w:val="-5"/>
          <w:sz w:val="24"/>
          <w:szCs w:val="24"/>
          <w:highlight w:val="none"/>
        </w:rPr>
        <w:t>承</w:t>
      </w:r>
      <w:r>
        <w:rPr>
          <w:rFonts w:hint="eastAsia" w:ascii="宋体" w:hAnsi="宋体" w:cs="Microsoft JhengHei"/>
          <w:color w:val="auto"/>
          <w:kern w:val="0"/>
          <w:position w:val="-5"/>
          <w:sz w:val="24"/>
          <w:szCs w:val="24"/>
          <w:highlight w:val="none"/>
        </w:rPr>
        <w:t>担相</w:t>
      </w:r>
      <w:r>
        <w:rPr>
          <w:rFonts w:hint="eastAsia" w:ascii="宋体" w:hAnsi="宋体" w:cs="Microsoft JhengHei"/>
          <w:color w:val="auto"/>
          <w:spacing w:val="3"/>
          <w:kern w:val="0"/>
          <w:position w:val="-5"/>
          <w:sz w:val="24"/>
          <w:szCs w:val="24"/>
          <w:highlight w:val="none"/>
        </w:rPr>
        <w:t>应</w:t>
      </w:r>
      <w:r>
        <w:rPr>
          <w:rFonts w:hint="eastAsia" w:ascii="宋体" w:hAnsi="宋体" w:cs="Microsoft JhengHei"/>
          <w:color w:val="auto"/>
          <w:kern w:val="0"/>
          <w:position w:val="-5"/>
          <w:sz w:val="24"/>
          <w:szCs w:val="24"/>
          <w:highlight w:val="none"/>
        </w:rPr>
        <w:t>责任。</w:t>
      </w:r>
    </w:p>
    <w:p>
      <w:pPr>
        <w:wordWrap w:val="0"/>
        <w:autoSpaceDE w:val="0"/>
        <w:autoSpaceDN w:val="0"/>
        <w:adjustRightInd w:val="0"/>
        <w:spacing w:line="416" w:lineRule="exact"/>
        <w:ind w:right="-20"/>
        <w:jc w:val="right"/>
        <w:rPr>
          <w:rFonts w:ascii="宋体" w:hAnsi="宋体" w:cs="Microsoft JhengHei"/>
          <w:color w:val="auto"/>
          <w:kern w:val="0"/>
          <w:sz w:val="24"/>
          <w:szCs w:val="24"/>
          <w:highlight w:val="none"/>
        </w:rPr>
      </w:pPr>
      <w:r>
        <w:rPr>
          <w:rFonts w:hint="eastAsia" w:ascii="宋体" w:hAnsi="宋体" w:cs="Microsoft JhengHei"/>
          <w:color w:val="auto"/>
          <w:kern w:val="0"/>
          <w:sz w:val="24"/>
          <w:szCs w:val="24"/>
          <w:highlight w:val="none"/>
        </w:rPr>
        <w:t>投标人：</w:t>
      </w:r>
      <w:r>
        <w:rPr>
          <w:rFonts w:hint="eastAsia" w:ascii="宋体" w:hAnsi="宋体" w:cs="Microsoft JhengHei"/>
          <w:color w:val="auto"/>
          <w:kern w:val="0"/>
          <w:sz w:val="24"/>
          <w:szCs w:val="24"/>
          <w:highlight w:val="none"/>
          <w:u w:val="single"/>
        </w:rPr>
        <w:t xml:space="preserve">          </w:t>
      </w:r>
      <w:r>
        <w:rPr>
          <w:rFonts w:hint="eastAsia" w:ascii="宋体" w:hAnsi="宋体" w:cs="Microsoft JhengHei"/>
          <w:color w:val="auto"/>
          <w:spacing w:val="3"/>
          <w:kern w:val="0"/>
          <w:sz w:val="24"/>
          <w:szCs w:val="24"/>
          <w:highlight w:val="none"/>
        </w:rPr>
        <w:t>（盖章）</w:t>
      </w:r>
    </w:p>
    <w:p>
      <w:pPr>
        <w:wordWrap w:val="0"/>
        <w:autoSpaceDE w:val="0"/>
        <w:autoSpaceDN w:val="0"/>
        <w:adjustRightInd w:val="0"/>
        <w:spacing w:line="540" w:lineRule="exact"/>
        <w:ind w:right="-52"/>
        <w:jc w:val="right"/>
        <w:rPr>
          <w:rFonts w:ascii="宋体" w:hAnsi="宋体" w:cs="Microsoft JhengHei"/>
          <w:color w:val="auto"/>
          <w:w w:val="99"/>
          <w:kern w:val="0"/>
          <w:position w:val="-3"/>
          <w:sz w:val="32"/>
          <w:szCs w:val="32"/>
          <w:highlight w:val="none"/>
        </w:rPr>
      </w:pPr>
      <w:r>
        <w:rPr>
          <w:rFonts w:hint="eastAsia" w:ascii="宋体" w:hAnsi="宋体" w:cs="Microsoft JhengHei"/>
          <w:color w:val="auto"/>
          <w:kern w:val="0"/>
          <w:position w:val="-3"/>
          <w:sz w:val="24"/>
          <w:szCs w:val="24"/>
          <w:highlight w:val="none"/>
        </w:rPr>
        <w:t xml:space="preserve">   </w:t>
      </w:r>
      <w:r>
        <w:rPr>
          <w:rFonts w:hint="eastAsia" w:ascii="宋体" w:hAnsi="宋体" w:cs="Microsoft JhengHei"/>
          <w:color w:val="auto"/>
          <w:kern w:val="0"/>
          <w:position w:val="-3"/>
          <w:sz w:val="24"/>
          <w:szCs w:val="24"/>
          <w:highlight w:val="none"/>
          <w:u w:val="single"/>
        </w:rPr>
        <w:t xml:space="preserve">       </w:t>
      </w:r>
      <w:r>
        <w:rPr>
          <w:rFonts w:hint="eastAsia" w:ascii="宋体" w:hAnsi="宋体" w:cs="Microsoft JhengHei"/>
          <w:color w:val="auto"/>
          <w:kern w:val="0"/>
          <w:position w:val="-3"/>
          <w:sz w:val="24"/>
          <w:szCs w:val="24"/>
          <w:highlight w:val="none"/>
        </w:rPr>
        <w:t>年</w:t>
      </w:r>
      <w:r>
        <w:rPr>
          <w:rFonts w:hint="eastAsia" w:ascii="宋体" w:hAnsi="宋体" w:cs="Microsoft JhengHei"/>
          <w:color w:val="auto"/>
          <w:kern w:val="0"/>
          <w:position w:val="-3"/>
          <w:sz w:val="24"/>
          <w:szCs w:val="24"/>
          <w:highlight w:val="none"/>
          <w:u w:val="single"/>
        </w:rPr>
        <w:t xml:space="preserve">   </w:t>
      </w:r>
      <w:r>
        <w:rPr>
          <w:rFonts w:hint="eastAsia" w:ascii="宋体" w:hAnsi="宋体" w:cs="Microsoft JhengHei"/>
          <w:color w:val="auto"/>
          <w:kern w:val="0"/>
          <w:position w:val="-3"/>
          <w:sz w:val="24"/>
          <w:szCs w:val="24"/>
          <w:highlight w:val="none"/>
        </w:rPr>
        <w:t>月</w:t>
      </w:r>
      <w:r>
        <w:rPr>
          <w:rFonts w:hint="eastAsia" w:ascii="宋体" w:hAnsi="宋体" w:cs="Microsoft JhengHei"/>
          <w:color w:val="auto"/>
          <w:kern w:val="0"/>
          <w:position w:val="-3"/>
          <w:sz w:val="24"/>
          <w:szCs w:val="24"/>
          <w:highlight w:val="none"/>
          <w:u w:val="single"/>
        </w:rPr>
        <w:t xml:space="preserve">   </w:t>
      </w:r>
      <w:r>
        <w:rPr>
          <w:rFonts w:hint="eastAsia" w:ascii="宋体" w:hAnsi="宋体" w:cs="Microsoft JhengHei"/>
          <w:color w:val="auto"/>
          <w:kern w:val="0"/>
          <w:position w:val="-3"/>
          <w:sz w:val="24"/>
          <w:szCs w:val="24"/>
          <w:highlight w:val="none"/>
        </w:rPr>
        <w:t>日</w:t>
      </w:r>
    </w:p>
    <w:p>
      <w:pPr>
        <w:pStyle w:val="4"/>
        <w:spacing w:line="400" w:lineRule="exact"/>
        <w:rPr>
          <w:rFonts w:hint="eastAsia" w:ascii="宋体" w:hAnsi="宋体" w:eastAsia="宋体" w:cs="宋体"/>
          <w:color w:val="auto"/>
          <w:sz w:val="21"/>
          <w:szCs w:val="21"/>
          <w:highlight w:val="none"/>
        </w:rPr>
      </w:pPr>
      <w:r>
        <w:rPr>
          <w:rFonts w:hint="eastAsia" w:eastAsia="宋体" w:cs="宋体"/>
          <w:color w:val="auto"/>
          <w:sz w:val="21"/>
          <w:szCs w:val="21"/>
          <w:highlight w:val="none"/>
          <w:lang w:val="en-US" w:eastAsia="zh-CN"/>
        </w:rPr>
        <w:t>备注：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从业人员、营业收入、资产总额填报上一年度数据，无上一年度数据的新成立企业可不填报。</w:t>
      </w:r>
    </w:p>
    <w:p>
      <w:pPr>
        <w:pStyle w:val="4"/>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投标人可参考《广东省财政厅关于进一步规范政府采购活动中落实促进中小企业发展政策的通知（粤财采购〔2024〕11 号）》 （http://czt.gd.gov.cn/zfcg/content/post_4497011.html）、《广州市政府采购中心关于规范填写《中小企业声明函》的温馨提示》（集团公告-详情页https://www.gzggzy.cn/jtgg/1001279.jhtml）填写，《中小企业声明函》由参加招投标活动的投标人出具。《中小企业声明函》中需填写签订分包意向协议的小微企业相关信息。</w:t>
      </w:r>
    </w:p>
    <w:p>
      <w:pPr>
        <w:spacing w:line="360" w:lineRule="auto"/>
        <w:outlineLvl w:val="2"/>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rPr>
        <w:t>3.投标人应当自行核实是否属于小微企业，并认真填写中小企业声明函</w:t>
      </w:r>
      <w:r>
        <w:rPr>
          <w:rFonts w:hint="eastAsia" w:ascii="宋体" w:hAnsi="宋体" w:eastAsia="宋体" w:cs="宋体"/>
          <w:color w:val="auto"/>
          <w:sz w:val="21"/>
          <w:szCs w:val="21"/>
          <w:highlight w:val="none"/>
          <w:lang w:eastAsia="zh-CN"/>
        </w:rPr>
        <w:t>。投标人</w:t>
      </w:r>
      <w:r>
        <w:rPr>
          <w:rFonts w:hint="eastAsia" w:ascii="宋体" w:hAnsi="宋体" w:eastAsia="宋体" w:cs="Times New Roman"/>
          <w:color w:val="auto"/>
          <w:kern w:val="2"/>
          <w:sz w:val="21"/>
          <w:szCs w:val="21"/>
          <w:highlight w:val="none"/>
          <w:lang w:val="en-US" w:eastAsia="zh-CN" w:bidi="ar-SA"/>
        </w:rPr>
        <w:t>应当在声明函</w:t>
      </w:r>
      <w:r>
        <w:rPr>
          <w:rFonts w:hint="eastAsia" w:ascii="宋体" w:hAnsi="宋体" w:cs="Times New Roman"/>
          <w:strike w:val="0"/>
          <w:dstrike w:val="0"/>
          <w:color w:val="auto"/>
          <w:kern w:val="2"/>
          <w:sz w:val="21"/>
          <w:szCs w:val="21"/>
          <w:highlight w:val="none"/>
          <w:lang w:val="en-US" w:eastAsia="zh-CN" w:bidi="ar-SA"/>
        </w:rPr>
        <w:t>规定的空白处</w:t>
      </w:r>
      <w:r>
        <w:rPr>
          <w:rFonts w:hint="eastAsia" w:ascii="宋体" w:hAnsi="宋体" w:cs="Times New Roman"/>
          <w:color w:val="auto"/>
          <w:kern w:val="2"/>
          <w:sz w:val="21"/>
          <w:szCs w:val="21"/>
          <w:highlight w:val="none"/>
          <w:lang w:val="en-US" w:eastAsia="zh-CN" w:bidi="ar-SA"/>
        </w:rPr>
        <w:t>填写相关内容</w:t>
      </w:r>
      <w:r>
        <w:rPr>
          <w:rFonts w:hint="eastAsia" w:ascii="宋体" w:hAnsi="宋体" w:eastAsia="宋体" w:cs="Times New Roman"/>
          <w:color w:val="auto"/>
          <w:kern w:val="2"/>
          <w:sz w:val="21"/>
          <w:szCs w:val="21"/>
          <w:highlight w:val="none"/>
          <w:lang w:val="en-US" w:eastAsia="zh-CN" w:bidi="ar-SA"/>
        </w:rPr>
        <w:t>，</w:t>
      </w:r>
      <w:r>
        <w:rPr>
          <w:rFonts w:hint="eastAsia" w:ascii="宋体" w:hAnsi="宋体"/>
          <w:color w:val="auto"/>
          <w:sz w:val="21"/>
          <w:szCs w:val="21"/>
          <w:highlight w:val="none"/>
          <w:lang w:eastAsia="zh-CN"/>
        </w:rPr>
        <w:t>在</w:t>
      </w:r>
      <w:r>
        <w:rPr>
          <w:rFonts w:hint="eastAsia" w:ascii="宋体" w:hAnsi="宋体"/>
          <w:color w:val="auto"/>
          <w:sz w:val="21"/>
          <w:szCs w:val="21"/>
          <w:highlight w:val="none"/>
          <w:u w:val="single"/>
          <w:lang w:eastAsia="zh-CN"/>
        </w:rPr>
        <w:t>中型企业、</w:t>
      </w:r>
      <w:r>
        <w:rPr>
          <w:rFonts w:hint="eastAsia" w:ascii="宋体" w:hAnsi="宋体"/>
          <w:color w:val="auto"/>
          <w:sz w:val="21"/>
          <w:szCs w:val="21"/>
          <w:highlight w:val="none"/>
          <w:u w:val="single"/>
        </w:rPr>
        <w:t>小型企业、微型企业</w:t>
      </w:r>
      <w:r>
        <w:rPr>
          <w:rFonts w:hint="eastAsia" w:ascii="宋体" w:hAnsi="宋体"/>
          <w:color w:val="auto"/>
          <w:sz w:val="21"/>
          <w:szCs w:val="21"/>
          <w:highlight w:val="none"/>
          <w:u w:val="single"/>
          <w:lang w:eastAsia="zh-CN"/>
        </w:rPr>
        <w:t>三类中</w:t>
      </w:r>
      <w:r>
        <w:rPr>
          <w:rFonts w:hint="eastAsia" w:ascii="宋体" w:hAnsi="宋体"/>
          <w:color w:val="auto"/>
          <w:sz w:val="21"/>
          <w:szCs w:val="21"/>
          <w:highlight w:val="none"/>
          <w:lang w:eastAsia="zh-CN"/>
        </w:rPr>
        <w:t>选填所属类别。</w:t>
      </w:r>
      <w:r>
        <w:rPr>
          <w:rFonts w:hint="eastAsia" w:ascii="宋体" w:hAnsi="宋体" w:eastAsia="宋体" w:cs="宋体"/>
          <w:color w:val="auto"/>
          <w:sz w:val="21"/>
          <w:szCs w:val="21"/>
          <w:highlight w:val="none"/>
        </w:rPr>
        <w:t>若有虚假将追究其责任</w:t>
      </w:r>
      <w:r>
        <w:rPr>
          <w:rFonts w:hint="eastAsia" w:ascii="宋体" w:hAnsi="宋体" w:eastAsia="宋体" w:cs="宋体"/>
          <w:color w:val="auto"/>
          <w:sz w:val="21"/>
          <w:szCs w:val="21"/>
          <w:highlight w:val="none"/>
          <w:lang w:eastAsia="zh-CN"/>
        </w:rPr>
        <w:t>。</w:t>
      </w:r>
    </w:p>
    <w:p>
      <w:pPr>
        <w:ind w:right="-130" w:rightChars="-62"/>
        <w:rPr>
          <w:rFonts w:cs="宋体"/>
          <w:color w:val="auto"/>
          <w:sz w:val="24"/>
          <w:szCs w:val="24"/>
          <w:highlight w:val="none"/>
        </w:rPr>
      </w:pPr>
      <w:r>
        <w:rPr>
          <w:rFonts w:ascii="宋体" w:hAnsi="宋体" w:cs="宋体"/>
          <w:bCs/>
          <w:color w:val="auto"/>
          <w:highlight w:val="none"/>
        </w:rPr>
        <w:br w:type="page"/>
      </w:r>
      <w:r>
        <w:rPr>
          <w:rFonts w:hint="eastAsia" w:cs="宋体"/>
          <w:color w:val="auto"/>
          <w:sz w:val="24"/>
          <w:szCs w:val="24"/>
          <w:highlight w:val="none"/>
        </w:rPr>
        <w:t>技术标格式五</w:t>
      </w:r>
    </w:p>
    <w:p>
      <w:pPr>
        <w:ind w:right="-130" w:rightChars="-62"/>
        <w:rPr>
          <w:rFonts w:cs="宋体"/>
          <w:color w:val="auto"/>
          <w:sz w:val="24"/>
          <w:szCs w:val="24"/>
          <w:highlight w:val="none"/>
        </w:rPr>
      </w:pPr>
    </w:p>
    <w:p>
      <w:pPr>
        <w:jc w:val="center"/>
        <w:rPr>
          <w:rFonts w:ascii="Calibri" w:hAnsi="Calibri"/>
          <w:b/>
          <w:color w:val="auto"/>
          <w:sz w:val="36"/>
          <w:szCs w:val="36"/>
          <w:highlight w:val="none"/>
        </w:rPr>
      </w:pPr>
      <w:r>
        <w:rPr>
          <w:rFonts w:hint="eastAsia" w:ascii="Calibri" w:hAnsi="Calibri"/>
          <w:b/>
          <w:color w:val="auto"/>
          <w:sz w:val="36"/>
          <w:szCs w:val="36"/>
          <w:highlight w:val="none"/>
        </w:rPr>
        <w:t>分包意向协议书（如有）</w:t>
      </w:r>
    </w:p>
    <w:p>
      <w:pPr>
        <w:spacing w:line="360" w:lineRule="auto"/>
        <w:rPr>
          <w:rFonts w:ascii="宋体" w:hAnsi="宋体"/>
          <w:color w:val="auto"/>
          <w:kern w:val="10"/>
          <w:szCs w:val="21"/>
          <w:highlight w:val="none"/>
        </w:rPr>
      </w:pPr>
    </w:p>
    <w:p>
      <w:pPr>
        <w:spacing w:line="360" w:lineRule="auto"/>
        <w:rPr>
          <w:rFonts w:ascii="宋体" w:hAnsi="宋体"/>
          <w:color w:val="auto"/>
          <w:szCs w:val="21"/>
          <w:highlight w:val="none"/>
          <w:u w:val="single"/>
        </w:rPr>
      </w:pPr>
      <w:r>
        <w:rPr>
          <w:rFonts w:hint="eastAsia" w:ascii="宋体" w:hAnsi="宋体"/>
          <w:color w:val="auto"/>
          <w:kern w:val="10"/>
          <w:szCs w:val="21"/>
          <w:highlight w:val="none"/>
        </w:rPr>
        <w:t>立约方：</w:t>
      </w:r>
      <w:r>
        <w:rPr>
          <w:rFonts w:hint="eastAsia" w:ascii="宋体" w:hAnsi="宋体"/>
          <w:color w:val="auto"/>
          <w:szCs w:val="21"/>
          <w:highlight w:val="none"/>
          <w:u w:val="single"/>
        </w:rPr>
        <w:t>（甲公司全称）</w:t>
      </w:r>
    </w:p>
    <w:p>
      <w:pPr>
        <w:spacing w:line="360" w:lineRule="auto"/>
        <w:ind w:firstLine="840" w:firstLineChars="400"/>
        <w:rPr>
          <w:rFonts w:ascii="宋体" w:hAnsi="宋体"/>
          <w:color w:val="auto"/>
          <w:szCs w:val="21"/>
          <w:highlight w:val="none"/>
          <w:u w:val="single"/>
        </w:rPr>
      </w:pPr>
      <w:r>
        <w:rPr>
          <w:rFonts w:hint="eastAsia" w:ascii="宋体" w:hAnsi="宋体"/>
          <w:color w:val="auto"/>
          <w:szCs w:val="21"/>
          <w:highlight w:val="none"/>
          <w:u w:val="single"/>
        </w:rPr>
        <w:t>（乙公司全称）</w:t>
      </w:r>
    </w:p>
    <w:p>
      <w:pPr>
        <w:spacing w:line="360" w:lineRule="auto"/>
        <w:ind w:firstLine="840" w:firstLineChars="400"/>
        <w:rPr>
          <w:rFonts w:ascii="宋体" w:hAnsi="宋体"/>
          <w:color w:val="auto"/>
          <w:szCs w:val="21"/>
          <w:highlight w:val="none"/>
          <w:u w:val="single"/>
        </w:rPr>
      </w:pPr>
      <w:r>
        <w:rPr>
          <w:rFonts w:hint="eastAsia" w:ascii="宋体" w:hAnsi="宋体"/>
          <w:color w:val="auto"/>
          <w:szCs w:val="21"/>
          <w:highlight w:val="none"/>
          <w:u w:val="single"/>
        </w:rPr>
        <w:t>（……公司全称）</w:t>
      </w:r>
    </w:p>
    <w:p>
      <w:pPr>
        <w:spacing w:line="360" w:lineRule="auto"/>
        <w:ind w:firstLine="420" w:firstLineChars="200"/>
        <w:rPr>
          <w:rFonts w:ascii="宋体" w:hAnsi="宋体"/>
          <w:color w:val="auto"/>
          <w:szCs w:val="21"/>
          <w:highlight w:val="none"/>
        </w:rPr>
      </w:pPr>
      <w:r>
        <w:rPr>
          <w:rFonts w:hint="eastAsia" w:ascii="宋体" w:hAnsi="宋体"/>
          <w:color w:val="auto"/>
          <w:kern w:val="0"/>
          <w:szCs w:val="21"/>
          <w:highlight w:val="none"/>
          <w:u w:val="single"/>
        </w:rPr>
        <w:t>（甲公司全称）</w:t>
      </w:r>
      <w:r>
        <w:rPr>
          <w:rFonts w:hint="eastAsia" w:ascii="宋体" w:hAnsi="宋体"/>
          <w:color w:val="auto"/>
          <w:kern w:val="0"/>
          <w:szCs w:val="21"/>
          <w:highlight w:val="none"/>
        </w:rPr>
        <w:t>、</w:t>
      </w:r>
      <w:r>
        <w:rPr>
          <w:rFonts w:hint="eastAsia" w:ascii="宋体" w:hAnsi="宋体"/>
          <w:color w:val="auto"/>
          <w:kern w:val="0"/>
          <w:szCs w:val="21"/>
          <w:highlight w:val="none"/>
          <w:u w:val="single"/>
        </w:rPr>
        <w:t>（乙公司全称）</w:t>
      </w:r>
      <w:r>
        <w:rPr>
          <w:rFonts w:hint="eastAsia" w:ascii="宋体" w:hAnsi="宋体"/>
          <w:color w:val="auto"/>
          <w:kern w:val="0"/>
          <w:szCs w:val="21"/>
          <w:highlight w:val="none"/>
        </w:rPr>
        <w:t>、</w:t>
      </w:r>
      <w:r>
        <w:rPr>
          <w:rFonts w:hint="eastAsia" w:ascii="宋体" w:hAnsi="宋体"/>
          <w:color w:val="auto"/>
          <w:kern w:val="0"/>
          <w:szCs w:val="21"/>
          <w:highlight w:val="none"/>
          <w:u w:val="single"/>
        </w:rPr>
        <w:t>（……公司全称）</w:t>
      </w:r>
      <w:r>
        <w:rPr>
          <w:rFonts w:hint="eastAsia" w:ascii="宋体" w:hAnsi="宋体"/>
          <w:color w:val="auto"/>
          <w:kern w:val="0"/>
          <w:szCs w:val="21"/>
          <w:highlight w:val="none"/>
        </w:rPr>
        <w:t>自愿达成分包意向，参加</w:t>
      </w:r>
      <w:r>
        <w:rPr>
          <w:rFonts w:hint="eastAsia" w:ascii="宋体" w:hAnsi="宋体"/>
          <w:color w:val="auto"/>
          <w:kern w:val="0"/>
          <w:szCs w:val="21"/>
          <w:highlight w:val="none"/>
          <w:u w:val="single"/>
        </w:rPr>
        <w:t>（项目名称）</w:t>
      </w:r>
      <w:r>
        <w:rPr>
          <w:rFonts w:hint="eastAsia" w:ascii="宋体" w:hAnsi="宋体"/>
          <w:color w:val="auto"/>
          <w:kern w:val="0"/>
          <w:szCs w:val="21"/>
          <w:highlight w:val="none"/>
        </w:rPr>
        <w:t>的投标活动。</w:t>
      </w:r>
      <w:r>
        <w:rPr>
          <w:rFonts w:hint="eastAsia" w:ascii="宋体" w:hAnsi="宋体"/>
          <w:color w:val="auto"/>
          <w:szCs w:val="21"/>
          <w:highlight w:val="none"/>
        </w:rPr>
        <w:t>经各方充分协商一致，就</w:t>
      </w:r>
      <w:r>
        <w:rPr>
          <w:rFonts w:hint="eastAsia" w:ascii="宋体" w:hAnsi="宋体"/>
          <w:color w:val="auto"/>
          <w:kern w:val="10"/>
          <w:szCs w:val="21"/>
          <w:highlight w:val="none"/>
        </w:rPr>
        <w:t>项目的</w:t>
      </w:r>
      <w:r>
        <w:rPr>
          <w:rFonts w:hint="eastAsia" w:ascii="宋体" w:hAnsi="宋体"/>
          <w:color w:val="auto"/>
          <w:kern w:val="0"/>
          <w:szCs w:val="21"/>
          <w:highlight w:val="none"/>
        </w:rPr>
        <w:t>投标</w:t>
      </w:r>
      <w:r>
        <w:rPr>
          <w:rFonts w:hint="eastAsia" w:ascii="宋体" w:hAnsi="宋体"/>
          <w:color w:val="auto"/>
          <w:kern w:val="10"/>
          <w:szCs w:val="21"/>
          <w:highlight w:val="none"/>
        </w:rPr>
        <w:t>和合同实施阶段的有关事务协商一致</w:t>
      </w:r>
      <w:r>
        <w:rPr>
          <w:rFonts w:hint="eastAsia" w:ascii="宋体" w:hAnsi="宋体"/>
          <w:color w:val="auto"/>
          <w:kern w:val="0"/>
          <w:szCs w:val="21"/>
          <w:highlight w:val="none"/>
        </w:rPr>
        <w:t>订立意向如下</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一、分包意向各方关系</w:t>
      </w:r>
    </w:p>
    <w:p>
      <w:pPr>
        <w:spacing w:line="360" w:lineRule="auto"/>
        <w:ind w:firstLine="420" w:firstLineChars="200"/>
        <w:rPr>
          <w:rFonts w:ascii="宋体" w:hAnsi="宋体"/>
          <w:color w:val="auto"/>
          <w:szCs w:val="21"/>
          <w:highlight w:val="none"/>
        </w:rPr>
      </w:pPr>
      <w:r>
        <w:rPr>
          <w:rFonts w:hint="eastAsia" w:ascii="宋体" w:hAnsi="宋体"/>
          <w:color w:val="auto"/>
          <w:kern w:val="0"/>
          <w:szCs w:val="21"/>
          <w:highlight w:val="none"/>
          <w:u w:val="single"/>
        </w:rPr>
        <w:t>（甲公司全称）为投标人</w:t>
      </w:r>
      <w:r>
        <w:rPr>
          <w:rFonts w:hint="eastAsia" w:ascii="宋体" w:hAnsi="宋体"/>
          <w:color w:val="auto"/>
          <w:kern w:val="0"/>
          <w:szCs w:val="21"/>
          <w:highlight w:val="none"/>
        </w:rPr>
        <w:t>，</w:t>
      </w:r>
      <w:r>
        <w:rPr>
          <w:rFonts w:hint="eastAsia" w:ascii="宋体" w:hAnsi="宋体"/>
          <w:color w:val="auto"/>
          <w:kern w:val="0"/>
          <w:szCs w:val="21"/>
          <w:highlight w:val="none"/>
          <w:u w:val="single"/>
        </w:rPr>
        <w:t>（乙公司全称）</w:t>
      </w:r>
      <w:r>
        <w:rPr>
          <w:rFonts w:hint="eastAsia" w:ascii="宋体" w:hAnsi="宋体"/>
          <w:color w:val="auto"/>
          <w:kern w:val="0"/>
          <w:szCs w:val="21"/>
          <w:highlight w:val="none"/>
        </w:rPr>
        <w:t>、</w:t>
      </w:r>
      <w:r>
        <w:rPr>
          <w:rFonts w:hint="eastAsia" w:ascii="宋体" w:hAnsi="宋体"/>
          <w:color w:val="auto"/>
          <w:kern w:val="0"/>
          <w:szCs w:val="21"/>
          <w:highlight w:val="none"/>
          <w:u w:val="single"/>
        </w:rPr>
        <w:t>（……公司全称）</w:t>
      </w:r>
      <w:r>
        <w:rPr>
          <w:rFonts w:hint="eastAsia" w:ascii="宋体" w:hAnsi="宋体"/>
          <w:color w:val="auto"/>
          <w:szCs w:val="21"/>
          <w:highlight w:val="none"/>
        </w:rPr>
        <w:t>为分包意向单位，</w:t>
      </w:r>
      <w:r>
        <w:rPr>
          <w:rFonts w:hint="eastAsia" w:ascii="宋体" w:hAnsi="宋体"/>
          <w:color w:val="auto"/>
          <w:kern w:val="0"/>
          <w:szCs w:val="21"/>
          <w:highlight w:val="none"/>
          <w:u w:val="single"/>
        </w:rPr>
        <w:t>（甲公司全称）</w:t>
      </w:r>
      <w:r>
        <w:rPr>
          <w:rFonts w:hint="eastAsia" w:ascii="宋体" w:hAnsi="宋体"/>
          <w:color w:val="auto"/>
          <w:szCs w:val="21"/>
          <w:highlight w:val="none"/>
        </w:rPr>
        <w:t>以投标人的身份参加本项目的</w:t>
      </w:r>
      <w:r>
        <w:rPr>
          <w:rFonts w:hint="eastAsia" w:ascii="宋体" w:hAnsi="宋体"/>
          <w:color w:val="auto"/>
          <w:kern w:val="0"/>
          <w:szCs w:val="21"/>
          <w:highlight w:val="none"/>
        </w:rPr>
        <w:t>投标</w:t>
      </w:r>
      <w:r>
        <w:rPr>
          <w:rFonts w:hint="eastAsia" w:ascii="宋体" w:hAnsi="宋体"/>
          <w:color w:val="auto"/>
          <w:szCs w:val="21"/>
          <w:highlight w:val="none"/>
        </w:rPr>
        <w:t>。若中标，</w:t>
      </w:r>
      <w:r>
        <w:rPr>
          <w:rFonts w:hint="eastAsia" w:ascii="宋体" w:hAnsi="宋体"/>
          <w:color w:val="auto"/>
          <w:kern w:val="0"/>
          <w:szCs w:val="21"/>
          <w:highlight w:val="none"/>
          <w:u w:val="single"/>
        </w:rPr>
        <w:t>（甲公司全称）与</w:t>
      </w:r>
      <w:r>
        <w:rPr>
          <w:rFonts w:hint="eastAsia" w:ascii="宋体" w:hAnsi="宋体"/>
          <w:color w:val="auto"/>
          <w:szCs w:val="21"/>
          <w:highlight w:val="none"/>
          <w:u w:val="single"/>
        </w:rPr>
        <w:t>招标人</w:t>
      </w:r>
      <w:r>
        <w:rPr>
          <w:rFonts w:hint="eastAsia" w:ascii="宋体" w:hAnsi="宋体"/>
          <w:color w:val="auto"/>
          <w:szCs w:val="21"/>
          <w:highlight w:val="none"/>
        </w:rPr>
        <w:t>签订建设工程施工合同。承接分包意向的各单位与</w:t>
      </w:r>
      <w:r>
        <w:rPr>
          <w:rFonts w:hint="eastAsia" w:ascii="宋体" w:hAnsi="宋体"/>
          <w:color w:val="auto"/>
          <w:szCs w:val="21"/>
          <w:highlight w:val="none"/>
          <w:u w:val="single"/>
        </w:rPr>
        <w:t>（</w:t>
      </w:r>
      <w:r>
        <w:rPr>
          <w:rFonts w:hint="eastAsia" w:ascii="宋体" w:hAnsi="宋体"/>
          <w:color w:val="auto"/>
          <w:kern w:val="0"/>
          <w:szCs w:val="21"/>
          <w:highlight w:val="none"/>
          <w:u w:val="single"/>
        </w:rPr>
        <w:t>甲公司全称</w:t>
      </w:r>
      <w:r>
        <w:rPr>
          <w:rFonts w:hint="eastAsia" w:ascii="宋体" w:hAnsi="宋体"/>
          <w:color w:val="auto"/>
          <w:szCs w:val="21"/>
          <w:highlight w:val="none"/>
          <w:u w:val="single"/>
        </w:rPr>
        <w:t>）</w:t>
      </w:r>
      <w:r>
        <w:rPr>
          <w:rFonts w:hint="eastAsia" w:ascii="宋体" w:hAnsi="宋体"/>
          <w:color w:val="auto"/>
          <w:szCs w:val="21"/>
          <w:highlight w:val="none"/>
        </w:rPr>
        <w:t>签订分包合同。</w:t>
      </w:r>
      <w:r>
        <w:rPr>
          <w:rFonts w:hint="eastAsia" w:ascii="宋体" w:hAnsi="宋体"/>
          <w:color w:val="auto"/>
          <w:kern w:val="0"/>
          <w:szCs w:val="21"/>
          <w:highlight w:val="none"/>
          <w:u w:val="single"/>
        </w:rPr>
        <w:t>（甲公司全称）</w:t>
      </w:r>
      <w:r>
        <w:rPr>
          <w:rFonts w:hint="eastAsia" w:ascii="宋体" w:hAnsi="宋体"/>
          <w:color w:val="auto"/>
          <w:szCs w:val="21"/>
          <w:highlight w:val="none"/>
        </w:rPr>
        <w:t>就招标项目和分包项目向招标人负责，分包单位就分包项目承担责任。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二、有关事项约定如下：</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1.如中标，分包单位分别与</w:t>
      </w:r>
      <w:r>
        <w:rPr>
          <w:rFonts w:hint="eastAsia" w:ascii="宋体" w:hAnsi="宋体"/>
          <w:color w:val="auto"/>
          <w:szCs w:val="21"/>
          <w:highlight w:val="none"/>
          <w:u w:val="single"/>
        </w:rPr>
        <w:t>（</w:t>
      </w:r>
      <w:r>
        <w:rPr>
          <w:rFonts w:hint="eastAsia" w:ascii="宋体" w:hAnsi="宋体"/>
          <w:color w:val="auto"/>
          <w:kern w:val="0"/>
          <w:szCs w:val="21"/>
          <w:highlight w:val="none"/>
          <w:u w:val="single"/>
        </w:rPr>
        <w:t>甲公司全称</w:t>
      </w:r>
      <w:r>
        <w:rPr>
          <w:rFonts w:hint="eastAsia" w:ascii="宋体" w:hAnsi="宋体"/>
          <w:color w:val="auto"/>
          <w:szCs w:val="21"/>
          <w:highlight w:val="none"/>
          <w:u w:val="single"/>
        </w:rPr>
        <w:t>）</w:t>
      </w:r>
      <w:r>
        <w:rPr>
          <w:rFonts w:hint="eastAsia" w:ascii="宋体" w:hAnsi="宋体"/>
          <w:color w:val="auto"/>
          <w:szCs w:val="21"/>
          <w:highlight w:val="none"/>
        </w:rPr>
        <w:t>签订合同书，并就中标项目分包部分承担法律责任；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2.分包意向单位1</w:t>
      </w:r>
      <w:r>
        <w:rPr>
          <w:rFonts w:hint="eastAsia" w:ascii="宋体" w:hAnsi="宋体"/>
          <w:color w:val="auto"/>
          <w:szCs w:val="21"/>
          <w:highlight w:val="none"/>
          <w:u w:val="single"/>
        </w:rPr>
        <w:t xml:space="preserve"> （</w:t>
      </w:r>
      <w:r>
        <w:rPr>
          <w:rFonts w:hint="eastAsia" w:ascii="宋体" w:hAnsi="宋体"/>
          <w:color w:val="auto"/>
          <w:kern w:val="0"/>
          <w:szCs w:val="21"/>
          <w:highlight w:val="none"/>
          <w:u w:val="single"/>
        </w:rPr>
        <w:t>乙</w:t>
      </w:r>
      <w:r>
        <w:rPr>
          <w:rFonts w:hint="eastAsia" w:ascii="宋体" w:hAnsi="宋体"/>
          <w:color w:val="auto"/>
          <w:szCs w:val="21"/>
          <w:highlight w:val="none"/>
          <w:u w:val="single"/>
        </w:rPr>
        <w:t xml:space="preserve">公司全称） </w:t>
      </w:r>
      <w:r>
        <w:rPr>
          <w:rFonts w:hint="eastAsia" w:ascii="宋体" w:hAnsi="宋体"/>
          <w:color w:val="auto"/>
          <w:szCs w:val="21"/>
          <w:highlight w:val="none"/>
        </w:rPr>
        <w:t>为</w:t>
      </w:r>
      <w:r>
        <w:rPr>
          <w:rFonts w:hint="eastAsia" w:ascii="宋体" w:hAnsi="宋体"/>
          <w:color w:val="auto"/>
          <w:szCs w:val="21"/>
          <w:highlight w:val="none"/>
          <w:u w:val="single"/>
        </w:rPr>
        <w:t>（请填写：大型、中型、小型、微型）</w:t>
      </w:r>
      <w:r>
        <w:rPr>
          <w:rFonts w:hint="eastAsia" w:ascii="宋体" w:hAnsi="宋体"/>
          <w:color w:val="auto"/>
          <w:szCs w:val="21"/>
          <w:highlight w:val="none"/>
        </w:rPr>
        <w:t>企业，将承担适宜分包部分</w:t>
      </w:r>
      <w:r>
        <w:rPr>
          <w:rFonts w:hint="eastAsia" w:ascii="宋体" w:hAnsi="宋体"/>
          <w:color w:val="auto"/>
          <w:szCs w:val="21"/>
          <w:highlight w:val="none"/>
          <w:u w:val="single"/>
        </w:rPr>
        <w:t xml:space="preserve"> （具体分包内容）</w:t>
      </w:r>
      <w:r>
        <w:rPr>
          <w:rFonts w:hint="eastAsia" w:ascii="宋体" w:hAnsi="宋体"/>
          <w:color w:val="auto"/>
          <w:szCs w:val="21"/>
          <w:highlight w:val="none"/>
        </w:rPr>
        <w:t>占合同总金额</w:t>
      </w:r>
      <w:r>
        <w:rPr>
          <w:rFonts w:hint="eastAsia" w:ascii="宋体" w:hAnsi="宋体"/>
          <w:color w:val="auto"/>
          <w:szCs w:val="21"/>
          <w:highlight w:val="none"/>
          <w:u w:val="single"/>
        </w:rPr>
        <w:t xml:space="preserve">  </w:t>
      </w:r>
      <w:r>
        <w:rPr>
          <w:rFonts w:hint="eastAsia" w:ascii="宋体" w:hAnsi="宋体"/>
          <w:color w:val="auto"/>
          <w:szCs w:val="21"/>
          <w:highlight w:val="none"/>
        </w:rPr>
        <w:t>%的工作内容。</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3.分包意向单位2</w:t>
      </w:r>
      <w:r>
        <w:rPr>
          <w:rFonts w:hint="eastAsia" w:ascii="宋体" w:hAnsi="宋体"/>
          <w:color w:val="auto"/>
          <w:szCs w:val="21"/>
          <w:highlight w:val="none"/>
          <w:u w:val="single"/>
        </w:rPr>
        <w:t xml:space="preserve"> （</w:t>
      </w:r>
      <w:r>
        <w:rPr>
          <w:rFonts w:hint="eastAsia" w:ascii="宋体" w:hAnsi="宋体"/>
          <w:color w:val="auto"/>
          <w:kern w:val="0"/>
          <w:szCs w:val="21"/>
          <w:highlight w:val="none"/>
          <w:u w:val="single"/>
        </w:rPr>
        <w:t>……</w:t>
      </w:r>
      <w:r>
        <w:rPr>
          <w:rFonts w:hint="eastAsia" w:ascii="宋体" w:hAnsi="宋体"/>
          <w:color w:val="auto"/>
          <w:szCs w:val="21"/>
          <w:highlight w:val="none"/>
          <w:u w:val="single"/>
        </w:rPr>
        <w:t>公司全称）</w:t>
      </w:r>
      <w:r>
        <w:rPr>
          <w:rFonts w:hint="eastAsia" w:ascii="宋体" w:hAnsi="宋体"/>
          <w:color w:val="auto"/>
          <w:szCs w:val="21"/>
          <w:highlight w:val="none"/>
        </w:rPr>
        <w:t>为</w:t>
      </w:r>
      <w:r>
        <w:rPr>
          <w:rFonts w:hint="eastAsia" w:ascii="宋体" w:hAnsi="宋体"/>
          <w:color w:val="auto"/>
          <w:szCs w:val="21"/>
          <w:highlight w:val="none"/>
          <w:u w:val="single"/>
        </w:rPr>
        <w:t>（请填写：大型、中型、小型、微型）</w:t>
      </w:r>
      <w:r>
        <w:rPr>
          <w:rFonts w:hint="eastAsia" w:ascii="宋体" w:hAnsi="宋体"/>
          <w:color w:val="auto"/>
          <w:szCs w:val="21"/>
          <w:highlight w:val="none"/>
        </w:rPr>
        <w:t>企业，将承担适宜分包部分</w:t>
      </w:r>
      <w:r>
        <w:rPr>
          <w:rFonts w:hint="eastAsia" w:ascii="宋体" w:hAnsi="宋体"/>
          <w:color w:val="auto"/>
          <w:szCs w:val="21"/>
          <w:highlight w:val="none"/>
          <w:u w:val="single"/>
        </w:rPr>
        <w:t>（具体分包内容）占</w:t>
      </w:r>
      <w:r>
        <w:rPr>
          <w:rFonts w:hint="eastAsia" w:ascii="宋体" w:hAnsi="宋体"/>
          <w:color w:val="auto"/>
          <w:szCs w:val="21"/>
          <w:highlight w:val="none"/>
        </w:rPr>
        <w:t>合同总金额</w:t>
      </w:r>
      <w:r>
        <w:rPr>
          <w:rFonts w:hint="eastAsia" w:ascii="宋体" w:hAnsi="宋体"/>
          <w:color w:val="auto"/>
          <w:szCs w:val="21"/>
          <w:highlight w:val="none"/>
          <w:u w:val="single"/>
        </w:rPr>
        <w:t xml:space="preserve">  </w:t>
      </w:r>
      <w:r>
        <w:rPr>
          <w:rFonts w:hint="eastAsia" w:ascii="宋体" w:hAnsi="宋体"/>
          <w:color w:val="auto"/>
          <w:szCs w:val="21"/>
          <w:highlight w:val="none"/>
        </w:rPr>
        <w:t>%的工作内容。</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三、接受分包的企业与投标人之间的关系：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1.分包意向单位1</w:t>
      </w:r>
      <w:r>
        <w:rPr>
          <w:rFonts w:hint="eastAsia" w:ascii="宋体" w:hAnsi="宋体"/>
          <w:color w:val="auto"/>
          <w:szCs w:val="21"/>
          <w:highlight w:val="none"/>
          <w:u w:val="single"/>
        </w:rPr>
        <w:t xml:space="preserve"> （公司全称）</w:t>
      </w:r>
      <w:r>
        <w:rPr>
          <w:rFonts w:hint="eastAsia" w:ascii="宋体" w:hAnsi="宋体"/>
          <w:color w:val="auto"/>
          <w:szCs w:val="21"/>
          <w:highlight w:val="none"/>
        </w:rPr>
        <w:t>与投标人之间</w:t>
      </w:r>
      <w:r>
        <w:rPr>
          <w:rFonts w:hint="eastAsia" w:ascii="宋体" w:hAnsi="宋体"/>
          <w:color w:val="auto"/>
          <w:szCs w:val="21"/>
          <w:highlight w:val="none"/>
          <w:u w:val="single"/>
        </w:rPr>
        <w:t>（请填写：是否存在）</w:t>
      </w:r>
      <w:r>
        <w:rPr>
          <w:rFonts w:hint="eastAsia" w:ascii="宋体" w:hAnsi="宋体"/>
          <w:color w:val="auto"/>
          <w:szCs w:val="21"/>
          <w:highlight w:val="none"/>
        </w:rPr>
        <w:t>直接控股、管理关系的情形。</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2.分包意向单位2</w:t>
      </w:r>
      <w:r>
        <w:rPr>
          <w:rFonts w:hint="eastAsia" w:ascii="宋体" w:hAnsi="宋体"/>
          <w:color w:val="auto"/>
          <w:szCs w:val="21"/>
          <w:highlight w:val="none"/>
          <w:u w:val="single"/>
        </w:rPr>
        <w:t xml:space="preserve"> （公司全称）</w:t>
      </w:r>
      <w:r>
        <w:rPr>
          <w:rFonts w:hint="eastAsia" w:ascii="宋体" w:hAnsi="宋体"/>
          <w:color w:val="auto"/>
          <w:szCs w:val="21"/>
          <w:highlight w:val="none"/>
        </w:rPr>
        <w:t>与投标人之间</w:t>
      </w:r>
      <w:r>
        <w:rPr>
          <w:rFonts w:hint="eastAsia" w:ascii="宋体" w:hAnsi="宋体"/>
          <w:color w:val="auto"/>
          <w:szCs w:val="21"/>
          <w:highlight w:val="none"/>
          <w:u w:val="single"/>
        </w:rPr>
        <w:t>（请填写：是否存在）</w:t>
      </w:r>
      <w:r>
        <w:rPr>
          <w:rFonts w:hint="eastAsia" w:ascii="宋体" w:hAnsi="宋体"/>
          <w:color w:val="auto"/>
          <w:szCs w:val="21"/>
          <w:highlight w:val="none"/>
        </w:rPr>
        <w:t>直接控股、管理关系的情形。</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四、如因违约过失责任而导致招标人经济损失或被索赔时，</w:t>
      </w:r>
      <w:r>
        <w:rPr>
          <w:rFonts w:hint="eastAsia" w:ascii="宋体" w:hAnsi="宋体"/>
          <w:color w:val="auto"/>
          <w:szCs w:val="21"/>
          <w:highlight w:val="none"/>
          <w:u w:val="single"/>
        </w:rPr>
        <w:t>（</w:t>
      </w:r>
      <w:r>
        <w:rPr>
          <w:rFonts w:hint="eastAsia" w:ascii="宋体" w:hAnsi="宋体"/>
          <w:color w:val="auto"/>
          <w:kern w:val="0"/>
          <w:szCs w:val="21"/>
          <w:highlight w:val="none"/>
          <w:u w:val="single"/>
        </w:rPr>
        <w:t>甲公司全称</w:t>
      </w:r>
      <w:r>
        <w:rPr>
          <w:rFonts w:hint="eastAsia" w:ascii="宋体" w:hAnsi="宋体"/>
          <w:color w:val="auto"/>
          <w:szCs w:val="21"/>
          <w:highlight w:val="none"/>
          <w:u w:val="single"/>
        </w:rPr>
        <w:t>）</w:t>
      </w:r>
      <w:r>
        <w:rPr>
          <w:rFonts w:hint="eastAsia" w:ascii="宋体" w:hAnsi="宋体"/>
          <w:color w:val="auto"/>
          <w:kern w:val="0"/>
          <w:szCs w:val="21"/>
          <w:highlight w:val="none"/>
        </w:rPr>
        <w:t>同意无条件优先清偿招标人的一切债务和经济赔偿。</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五、如中标，分包意向单位不得以任何理由提出终止本意向协议。</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六、如中标，分包意向单位确定后，不得擅自变更。</w:t>
      </w:r>
    </w:p>
    <w:p>
      <w:pPr>
        <w:spacing w:line="360" w:lineRule="auto"/>
        <w:ind w:left="23" w:leftChars="11" w:firstLine="420" w:firstLineChars="200"/>
        <w:rPr>
          <w:rFonts w:ascii="宋体" w:hAnsi="宋体"/>
          <w:color w:val="auto"/>
          <w:szCs w:val="21"/>
          <w:highlight w:val="none"/>
        </w:rPr>
      </w:pPr>
      <w:r>
        <w:rPr>
          <w:rFonts w:hint="eastAsia" w:ascii="宋体" w:hAnsi="宋体"/>
          <w:color w:val="auto"/>
          <w:kern w:val="0"/>
          <w:szCs w:val="21"/>
          <w:highlight w:val="none"/>
        </w:rPr>
        <w:t>七、</w:t>
      </w:r>
      <w:r>
        <w:rPr>
          <w:rFonts w:hint="eastAsia" w:ascii="宋体" w:hAnsi="宋体"/>
          <w:color w:val="auto"/>
          <w:szCs w:val="21"/>
          <w:highlight w:val="none"/>
        </w:rPr>
        <w:t>本意向书在</w:t>
      </w:r>
      <w:r>
        <w:rPr>
          <w:rFonts w:hint="eastAsia" w:ascii="宋体" w:hAnsi="宋体"/>
          <w:color w:val="auto"/>
          <w:kern w:val="0"/>
          <w:szCs w:val="21"/>
          <w:highlight w:val="none"/>
        </w:rPr>
        <w:t>自签署之日起生效，</w:t>
      </w:r>
      <w:r>
        <w:rPr>
          <w:rFonts w:hint="eastAsia" w:ascii="宋体" w:hAnsi="宋体"/>
          <w:color w:val="auto"/>
          <w:szCs w:val="21"/>
          <w:highlight w:val="none"/>
        </w:rPr>
        <w:t>有效期内有效，如获中标资格，有效期延续至合同履行完毕之日。</w:t>
      </w:r>
    </w:p>
    <w:p>
      <w:pPr>
        <w:widowControl/>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 xml:space="preserve"> </w:t>
      </w:r>
    </w:p>
    <w:p>
      <w:pPr>
        <w:widowControl/>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 xml:space="preserve"> </w:t>
      </w:r>
    </w:p>
    <w:p>
      <w:pPr>
        <w:widowControl/>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 xml:space="preserve"> </w:t>
      </w:r>
    </w:p>
    <w:p>
      <w:pPr>
        <w:widowControl/>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 xml:space="preserve">甲公司全称：（盖章） </w:t>
      </w:r>
      <w:r>
        <w:rPr>
          <w:rFonts w:hint="eastAsia" w:ascii="宋体" w:hAnsi="宋体"/>
          <w:color w:val="auto"/>
          <w:kern w:val="0"/>
          <w:szCs w:val="21"/>
          <w:highlight w:val="none"/>
        </w:rPr>
        <w:tab/>
      </w:r>
    </w:p>
    <w:p>
      <w:pPr>
        <w:widowControl/>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法定代表人（签字或</w:t>
      </w:r>
      <w:r>
        <w:rPr>
          <w:rFonts w:hint="eastAsia" w:ascii="宋体" w:hAnsi="宋体"/>
          <w:color w:val="auto"/>
          <w:szCs w:val="21"/>
          <w:highlight w:val="none"/>
        </w:rPr>
        <w:t>盖章</w:t>
      </w:r>
      <w:r>
        <w:rPr>
          <w:rFonts w:hint="eastAsia" w:ascii="宋体" w:hAnsi="宋体"/>
          <w:color w:val="auto"/>
          <w:kern w:val="0"/>
          <w:szCs w:val="21"/>
          <w:highlight w:val="none"/>
        </w:rPr>
        <w:t>）</w:t>
      </w:r>
    </w:p>
    <w:p>
      <w:pPr>
        <w:widowControl/>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 xml:space="preserve">  年  月  日</w:t>
      </w:r>
      <w:r>
        <w:rPr>
          <w:rFonts w:hint="eastAsia" w:ascii="宋体" w:hAnsi="宋体"/>
          <w:color w:val="auto"/>
          <w:kern w:val="0"/>
          <w:szCs w:val="21"/>
          <w:highlight w:val="none"/>
        </w:rPr>
        <w:tab/>
      </w:r>
    </w:p>
    <w:p>
      <w:pPr>
        <w:widowControl/>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 xml:space="preserve"> </w:t>
      </w:r>
    </w:p>
    <w:p>
      <w:pPr>
        <w:widowControl/>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乙公司全称：（盖章）</w:t>
      </w:r>
      <w:r>
        <w:rPr>
          <w:rFonts w:hint="eastAsia" w:ascii="宋体" w:hAnsi="宋体"/>
          <w:color w:val="auto"/>
          <w:kern w:val="0"/>
          <w:szCs w:val="21"/>
          <w:highlight w:val="none"/>
        </w:rPr>
        <w:tab/>
      </w:r>
    </w:p>
    <w:p>
      <w:pPr>
        <w:spacing w:line="360" w:lineRule="auto"/>
        <w:ind w:left="617" w:hanging="617" w:hangingChars="294"/>
        <w:rPr>
          <w:rFonts w:ascii="宋体" w:hAnsi="宋体"/>
          <w:b/>
          <w:color w:val="auto"/>
          <w:szCs w:val="21"/>
          <w:highlight w:val="none"/>
        </w:rPr>
      </w:pPr>
      <w:r>
        <w:rPr>
          <w:rFonts w:hint="eastAsia" w:ascii="宋体" w:hAnsi="宋体"/>
          <w:color w:val="auto"/>
          <w:kern w:val="0"/>
          <w:szCs w:val="21"/>
          <w:highlight w:val="none"/>
        </w:rPr>
        <w:t>法定代表人（签字或</w:t>
      </w:r>
      <w:r>
        <w:rPr>
          <w:rFonts w:hint="eastAsia" w:ascii="宋体" w:hAnsi="宋体"/>
          <w:color w:val="auto"/>
          <w:szCs w:val="21"/>
          <w:highlight w:val="none"/>
        </w:rPr>
        <w:t>盖章</w:t>
      </w:r>
      <w:r>
        <w:rPr>
          <w:rFonts w:hint="eastAsia" w:ascii="宋体" w:hAnsi="宋体"/>
          <w:color w:val="auto"/>
          <w:kern w:val="0"/>
          <w:szCs w:val="21"/>
          <w:highlight w:val="none"/>
        </w:rPr>
        <w:t>）</w:t>
      </w:r>
      <w:r>
        <w:rPr>
          <w:rFonts w:hint="eastAsia" w:ascii="宋体" w:hAnsi="宋体"/>
          <w:color w:val="auto"/>
          <w:kern w:val="0"/>
          <w:szCs w:val="21"/>
          <w:highlight w:val="none"/>
        </w:rPr>
        <w:tab/>
      </w:r>
    </w:p>
    <w:p>
      <w:pPr>
        <w:widowControl/>
        <w:spacing w:line="360" w:lineRule="auto"/>
        <w:ind w:firstLine="405"/>
        <w:jc w:val="left"/>
        <w:rPr>
          <w:rFonts w:ascii="宋体" w:hAnsi="宋体"/>
          <w:color w:val="auto"/>
          <w:kern w:val="0"/>
          <w:szCs w:val="21"/>
          <w:highlight w:val="none"/>
        </w:rPr>
      </w:pPr>
      <w:r>
        <w:rPr>
          <w:rFonts w:hint="eastAsia" w:ascii="宋体" w:hAnsi="宋体"/>
          <w:color w:val="auto"/>
          <w:kern w:val="0"/>
          <w:szCs w:val="21"/>
          <w:highlight w:val="none"/>
        </w:rPr>
        <w:t>年  月  日</w:t>
      </w:r>
      <w:r>
        <w:rPr>
          <w:rFonts w:hint="eastAsia" w:ascii="宋体" w:hAnsi="宋体"/>
          <w:color w:val="auto"/>
          <w:kern w:val="0"/>
          <w:szCs w:val="21"/>
          <w:highlight w:val="none"/>
        </w:rPr>
        <w:tab/>
      </w:r>
    </w:p>
    <w:p>
      <w:pPr>
        <w:widowControl/>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 xml:space="preserve"> </w:t>
      </w:r>
    </w:p>
    <w:p>
      <w:pPr>
        <w:widowControl/>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……公司全称（盖章）</w:t>
      </w:r>
    </w:p>
    <w:p>
      <w:pPr>
        <w:spacing w:line="360" w:lineRule="auto"/>
        <w:ind w:left="617" w:hanging="617" w:hangingChars="294"/>
        <w:rPr>
          <w:rFonts w:ascii="宋体" w:hAnsi="宋体"/>
          <w:color w:val="auto"/>
          <w:kern w:val="0"/>
          <w:szCs w:val="21"/>
          <w:highlight w:val="none"/>
        </w:rPr>
      </w:pPr>
      <w:r>
        <w:rPr>
          <w:rFonts w:hint="eastAsia" w:ascii="宋体" w:hAnsi="宋体"/>
          <w:color w:val="auto"/>
          <w:kern w:val="0"/>
          <w:szCs w:val="21"/>
          <w:highlight w:val="none"/>
        </w:rPr>
        <w:t>法定代表人：（签字或</w:t>
      </w:r>
      <w:r>
        <w:rPr>
          <w:rFonts w:hint="eastAsia" w:ascii="宋体" w:hAnsi="宋体"/>
          <w:color w:val="auto"/>
          <w:szCs w:val="21"/>
          <w:highlight w:val="none"/>
        </w:rPr>
        <w:t>盖章</w:t>
      </w:r>
      <w:r>
        <w:rPr>
          <w:rFonts w:hint="eastAsia" w:ascii="宋体" w:hAnsi="宋体"/>
          <w:color w:val="auto"/>
          <w:kern w:val="0"/>
          <w:szCs w:val="21"/>
          <w:highlight w:val="none"/>
        </w:rPr>
        <w:t>）</w:t>
      </w:r>
    </w:p>
    <w:p>
      <w:pPr>
        <w:spacing w:line="360" w:lineRule="auto"/>
        <w:ind w:left="617" w:hanging="617" w:hangingChars="294"/>
        <w:rPr>
          <w:rFonts w:ascii="宋体" w:hAnsi="宋体"/>
          <w:b/>
          <w:color w:val="auto"/>
          <w:szCs w:val="21"/>
          <w:highlight w:val="none"/>
        </w:rPr>
      </w:pPr>
      <w:r>
        <w:rPr>
          <w:rFonts w:hint="eastAsia" w:ascii="宋体" w:hAnsi="宋体"/>
          <w:color w:val="auto"/>
          <w:kern w:val="0"/>
          <w:szCs w:val="21"/>
          <w:highlight w:val="none"/>
        </w:rPr>
        <w:t xml:space="preserve">  年  月  日</w:t>
      </w:r>
    </w:p>
    <w:p>
      <w:pPr>
        <w:spacing w:line="360" w:lineRule="auto"/>
        <w:ind w:left="620" w:hanging="620" w:hangingChars="294"/>
        <w:rPr>
          <w:rFonts w:ascii="宋体" w:hAnsi="宋体"/>
          <w:b/>
          <w:color w:val="auto"/>
          <w:szCs w:val="21"/>
          <w:highlight w:val="none"/>
        </w:rPr>
      </w:pPr>
      <w:r>
        <w:rPr>
          <w:rFonts w:hint="eastAsia" w:ascii="宋体" w:hAnsi="宋体"/>
          <w:b/>
          <w:color w:val="auto"/>
          <w:szCs w:val="21"/>
          <w:highlight w:val="none"/>
        </w:rPr>
        <w:t xml:space="preserve"> </w:t>
      </w:r>
    </w:p>
    <w:p>
      <w:pPr>
        <w:spacing w:line="360" w:lineRule="auto"/>
        <w:ind w:left="620" w:hanging="620" w:hangingChars="294"/>
        <w:rPr>
          <w:rFonts w:ascii="宋体" w:hAnsi="宋体"/>
          <w:b/>
          <w:color w:val="auto"/>
          <w:szCs w:val="21"/>
          <w:highlight w:val="none"/>
        </w:rPr>
      </w:pPr>
      <w:r>
        <w:rPr>
          <w:rFonts w:hint="eastAsia" w:ascii="宋体" w:hAnsi="宋体"/>
          <w:b/>
          <w:color w:val="auto"/>
          <w:szCs w:val="21"/>
          <w:highlight w:val="none"/>
        </w:rPr>
        <w:t>注：1．各方成员应在本意向书上共同盖章确认。</w:t>
      </w:r>
    </w:p>
    <w:p>
      <w:pPr>
        <w:ind w:right="-130" w:rightChars="-62"/>
        <w:rPr>
          <w:rFonts w:ascii="宋体" w:hAnsi="宋体"/>
          <w:color w:val="auto"/>
          <w:spacing w:val="6"/>
          <w:sz w:val="30"/>
          <w:szCs w:val="30"/>
          <w:highlight w:val="none"/>
        </w:rPr>
      </w:pPr>
      <w:r>
        <w:rPr>
          <w:rFonts w:hint="eastAsia" w:ascii="宋体" w:hAnsi="宋体"/>
          <w:color w:val="auto"/>
          <w:szCs w:val="21"/>
          <w:highlight w:val="none"/>
        </w:rPr>
        <w:t>2．本意向书内容将作为签订合同的附件之一。</w:t>
      </w:r>
    </w:p>
    <w:p>
      <w:pPr>
        <w:widowControl/>
        <w:jc w:val="left"/>
        <w:rPr>
          <w:rFonts w:ascii="宋体" w:hAnsi="宋体" w:cs="宋体"/>
          <w:bCs/>
          <w:color w:val="auto"/>
          <w:sz w:val="24"/>
          <w:szCs w:val="24"/>
          <w:highlight w:val="none"/>
        </w:rPr>
      </w:pPr>
      <w:r>
        <w:rPr>
          <w:rFonts w:ascii="宋体" w:hAnsi="宋体" w:cs="宋体"/>
          <w:bCs/>
          <w:color w:val="auto"/>
          <w:sz w:val="24"/>
          <w:szCs w:val="24"/>
          <w:highlight w:val="none"/>
        </w:rPr>
        <w:br w:type="page"/>
      </w:r>
    </w:p>
    <w:p>
      <w:pPr>
        <w:pStyle w:val="28"/>
        <w:spacing w:after="0" w:line="336" w:lineRule="auto"/>
        <w:ind w:left="-2" w:leftChars="-1" w:firstLine="2"/>
        <w:jc w:val="left"/>
        <w:rPr>
          <w:rFonts w:ascii="宋体" w:hAnsi="宋体" w:cs="宋体"/>
          <w:color w:val="auto"/>
          <w:sz w:val="24"/>
          <w:szCs w:val="24"/>
          <w:highlight w:val="none"/>
        </w:rPr>
      </w:pPr>
      <w:r>
        <w:rPr>
          <w:rFonts w:hint="eastAsia"/>
          <w:color w:val="auto"/>
          <w:sz w:val="24"/>
          <w:szCs w:val="24"/>
          <w:highlight w:val="none"/>
        </w:rPr>
        <w:t>技术标</w:t>
      </w:r>
      <w:r>
        <w:rPr>
          <w:rFonts w:hint="eastAsia" w:ascii="宋体" w:hAnsi="宋体" w:cs="宋体"/>
          <w:color w:val="auto"/>
          <w:sz w:val="24"/>
          <w:szCs w:val="24"/>
          <w:highlight w:val="none"/>
        </w:rPr>
        <w:t>格式六</w:t>
      </w:r>
    </w:p>
    <w:p>
      <w:pPr>
        <w:pStyle w:val="28"/>
        <w:spacing w:after="0" w:line="336" w:lineRule="auto"/>
        <w:ind w:left="-2" w:leftChars="-1" w:firstLine="2"/>
        <w:jc w:val="center"/>
        <w:rPr>
          <w:rFonts w:ascii="宋体" w:hAnsi="宋体" w:cs="宋体"/>
          <w:b/>
          <w:color w:val="auto"/>
          <w:sz w:val="36"/>
          <w:szCs w:val="36"/>
          <w:highlight w:val="none"/>
        </w:rPr>
      </w:pPr>
      <w:r>
        <w:rPr>
          <w:rFonts w:hint="eastAsia" w:ascii="宋体" w:hAnsi="宋体" w:cs="宋体"/>
          <w:b/>
          <w:color w:val="auto"/>
          <w:sz w:val="36"/>
          <w:szCs w:val="36"/>
          <w:highlight w:val="none"/>
        </w:rPr>
        <w:t>项目负责人驻场承诺书</w:t>
      </w:r>
    </w:p>
    <w:p>
      <w:pPr>
        <w:pStyle w:val="28"/>
        <w:spacing w:after="0" w:line="336" w:lineRule="auto"/>
        <w:ind w:left="-2" w:leftChars="-1" w:firstLineChars="175"/>
        <w:jc w:val="center"/>
        <w:rPr>
          <w:rFonts w:ascii="宋体" w:hAnsi="宋体" w:cs="宋体"/>
          <w:color w:val="auto"/>
          <w:sz w:val="24"/>
          <w:szCs w:val="24"/>
          <w:highlight w:val="none"/>
          <w:u w:val="single"/>
        </w:rPr>
      </w:pPr>
    </w:p>
    <w:p>
      <w:pPr>
        <w:spacing w:line="336" w:lineRule="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致（业主/监理）                                           ：</w:t>
      </w:r>
    </w:p>
    <w:p>
      <w:pPr>
        <w:spacing w:line="336" w:lineRule="auto"/>
        <w:ind w:firstLine="523" w:firstLineChars="218"/>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本人（姓名）              ，项目负责人证书注册编号：                       </w:t>
      </w:r>
    </w:p>
    <w:p>
      <w:pPr>
        <w:spacing w:line="336" w:lineRule="auto"/>
        <w:ind w:left="1"/>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受（投标人）                                                              委派，拟在（项目名称）                                                   担任项目负责人一职。</w:t>
      </w:r>
      <w:r>
        <w:rPr>
          <w:rFonts w:hint="eastAsia" w:ascii="宋体" w:hAnsi="宋体" w:cs="宋体"/>
          <w:color w:val="auto"/>
          <w:sz w:val="24"/>
          <w:szCs w:val="24"/>
          <w:highlight w:val="none"/>
        </w:rPr>
        <w:t>为加强本工程项目管理，保证我公司在中标后严格履行与业主签定的工程建设承包合同，圆满的完成本项工程，我愿就此做出以下承诺；</w:t>
      </w:r>
    </w:p>
    <w:p>
      <w:pPr>
        <w:spacing w:line="336"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本人作为公司选派的本项目的项目负责人，我保证自即日起至项目竣工并通过验收之日止，自始至终全过程常驻工地现场，代表我公司全面负责本工程现场组织，指挥，管理，协调等工作。并承诺在本项目完成后的合同责任保修期内，根据项目实际保修工作需要也能随时到场负责指挥，安排应做的保修工作。</w:t>
      </w:r>
    </w:p>
    <w:p>
      <w:pPr>
        <w:spacing w:line="336"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2．如果本招标工程我公司中标，我本人保证在工程签订合同之日起至工程竣工验收完成期间只担任此工程的项目经理，不参加其他任何工程的报名和任何工作，不在其他任何工程担任本职务。</w:t>
      </w:r>
    </w:p>
    <w:p>
      <w:pPr>
        <w:spacing w:line="336"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除非征得业主的书面批准，否则如果违背以上承诺，不能常驻施工现场，我自愿接受业主给予我本人的批评和处罚，并同意业主就此作为我个人的不良纪录进一步上报区行业主管部门，项目负责人证书注册、备案、审批机构，直至广州市建委等有关部门并接受上述部门给予的通报和相关职能部门给予的扣证等处罚。</w:t>
      </w:r>
    </w:p>
    <w:p>
      <w:pPr>
        <w:spacing w:line="336"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4．项目负责人本人身份证扫描件和</w:t>
      </w:r>
      <w:r>
        <w:rPr>
          <w:rFonts w:hint="eastAsia" w:ascii="宋体" w:hAnsi="宋体" w:cs="宋体"/>
          <w:color w:val="auto"/>
          <w:sz w:val="24"/>
          <w:szCs w:val="24"/>
          <w:highlight w:val="none"/>
          <w:u w:val="single"/>
        </w:rPr>
        <w:t>两寸</w:t>
      </w:r>
      <w:r>
        <w:rPr>
          <w:rFonts w:hint="eastAsia" w:ascii="宋体" w:hAnsi="宋体" w:cs="宋体"/>
          <w:color w:val="auto"/>
          <w:sz w:val="24"/>
          <w:szCs w:val="24"/>
          <w:highlight w:val="none"/>
        </w:rPr>
        <w:t>相片或扫描件：</w:t>
      </w:r>
    </w:p>
    <w:p>
      <w:pPr>
        <w:spacing w:line="336" w:lineRule="auto"/>
        <w:rPr>
          <w:rFonts w:ascii="宋体" w:hAnsi="宋体" w:cs="宋体"/>
          <w:color w:val="auto"/>
          <w:sz w:val="24"/>
          <w:szCs w:val="24"/>
          <w:highlight w:val="none"/>
          <w:u w:val="single"/>
        </w:rPr>
      </w:pPr>
    </w:p>
    <w:tbl>
      <w:tblPr>
        <w:tblStyle w:val="30"/>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8"/>
        <w:gridCol w:w="2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5928" w:type="dxa"/>
            <w:tcBorders>
              <w:top w:val="single" w:color="auto" w:sz="4" w:space="0"/>
              <w:left w:val="single" w:color="auto" w:sz="4" w:space="0"/>
              <w:bottom w:val="single" w:color="auto" w:sz="4" w:space="0"/>
              <w:right w:val="single" w:color="auto" w:sz="4" w:space="0"/>
            </w:tcBorders>
          </w:tcPr>
          <w:p>
            <w:pPr>
              <w:spacing w:line="336" w:lineRule="auto"/>
              <w:jc w:val="center"/>
              <w:rPr>
                <w:rFonts w:ascii="宋体" w:hAnsi="宋体" w:cs="宋体"/>
                <w:color w:val="auto"/>
                <w:szCs w:val="21"/>
                <w:highlight w:val="none"/>
                <w:u w:val="single"/>
              </w:rPr>
            </w:pPr>
          </w:p>
          <w:p>
            <w:pPr>
              <w:spacing w:line="336" w:lineRule="auto"/>
              <w:jc w:val="center"/>
              <w:rPr>
                <w:rFonts w:ascii="宋体" w:hAnsi="宋体" w:cs="宋体"/>
                <w:color w:val="auto"/>
                <w:szCs w:val="21"/>
                <w:highlight w:val="none"/>
                <w:u w:val="single"/>
              </w:rPr>
            </w:pPr>
          </w:p>
          <w:p>
            <w:pPr>
              <w:spacing w:line="336" w:lineRule="auto"/>
              <w:jc w:val="center"/>
              <w:rPr>
                <w:rFonts w:ascii="宋体" w:hAnsi="宋体" w:cs="宋体"/>
                <w:color w:val="auto"/>
                <w:szCs w:val="21"/>
                <w:highlight w:val="none"/>
                <w:u w:val="single"/>
              </w:rPr>
            </w:pPr>
          </w:p>
          <w:p>
            <w:pPr>
              <w:spacing w:line="336"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身份证扫描件</w:t>
            </w:r>
          </w:p>
        </w:tc>
        <w:tc>
          <w:tcPr>
            <w:tcW w:w="2492" w:type="dxa"/>
            <w:tcBorders>
              <w:top w:val="single" w:color="auto" w:sz="4" w:space="0"/>
              <w:left w:val="single" w:color="auto" w:sz="4" w:space="0"/>
              <w:bottom w:val="single" w:color="auto" w:sz="4" w:space="0"/>
              <w:right w:val="single" w:color="auto" w:sz="4" w:space="0"/>
            </w:tcBorders>
          </w:tcPr>
          <w:p>
            <w:pPr>
              <w:spacing w:line="336" w:lineRule="auto"/>
              <w:jc w:val="center"/>
              <w:rPr>
                <w:rFonts w:ascii="宋体" w:hAnsi="宋体" w:cs="宋体"/>
                <w:color w:val="auto"/>
                <w:szCs w:val="21"/>
                <w:highlight w:val="none"/>
                <w:u w:val="single"/>
              </w:rPr>
            </w:pPr>
          </w:p>
          <w:p>
            <w:pPr>
              <w:spacing w:line="336" w:lineRule="auto"/>
              <w:jc w:val="center"/>
              <w:rPr>
                <w:rFonts w:ascii="宋体" w:hAnsi="宋体" w:cs="宋体"/>
                <w:color w:val="auto"/>
                <w:szCs w:val="21"/>
                <w:highlight w:val="none"/>
                <w:u w:val="single"/>
              </w:rPr>
            </w:pPr>
          </w:p>
          <w:p>
            <w:pPr>
              <w:spacing w:line="336" w:lineRule="auto"/>
              <w:jc w:val="center"/>
              <w:rPr>
                <w:rFonts w:ascii="宋体" w:hAnsi="宋体" w:cs="宋体"/>
                <w:color w:val="auto"/>
                <w:szCs w:val="21"/>
                <w:highlight w:val="none"/>
                <w:u w:val="single"/>
              </w:rPr>
            </w:pPr>
          </w:p>
          <w:p>
            <w:pPr>
              <w:spacing w:line="336"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相片</w:t>
            </w:r>
          </w:p>
        </w:tc>
      </w:tr>
    </w:tbl>
    <w:p>
      <w:pPr>
        <w:spacing w:line="336" w:lineRule="auto"/>
        <w:rPr>
          <w:rFonts w:ascii="宋体" w:hAnsi="宋体" w:cs="宋体"/>
          <w:color w:val="auto"/>
          <w:sz w:val="24"/>
          <w:szCs w:val="24"/>
          <w:highlight w:val="none"/>
          <w:u w:val="single"/>
        </w:rPr>
      </w:pPr>
    </w:p>
    <w:p>
      <w:pPr>
        <w:spacing w:line="336" w:lineRule="auto"/>
        <w:ind w:firstLine="3840" w:firstLineChars="16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投标人：（盖章）</w:t>
      </w:r>
    </w:p>
    <w:p>
      <w:pPr>
        <w:spacing w:line="336" w:lineRule="auto"/>
        <w:ind w:firstLine="3840" w:firstLineChars="16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项目负责人签名：                 </w:t>
      </w:r>
    </w:p>
    <w:p>
      <w:pPr>
        <w:tabs>
          <w:tab w:val="left" w:pos="720"/>
        </w:tabs>
        <w:snapToGrid w:val="0"/>
        <w:spacing w:line="336" w:lineRule="auto"/>
        <w:jc w:val="righ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     年   月    日</w:t>
      </w:r>
    </w:p>
    <w:p>
      <w:pPr>
        <w:pStyle w:val="16"/>
        <w:rPr>
          <w:color w:val="auto"/>
          <w:highlight w:val="none"/>
        </w:rPr>
        <w:sectPr>
          <w:pgSz w:w="11906" w:h="16838"/>
          <w:pgMar w:top="1440" w:right="1797" w:bottom="1440" w:left="1797" w:header="851" w:footer="992" w:gutter="0"/>
          <w:cols w:space="720" w:num="1"/>
          <w:docGrid w:type="lines" w:linePitch="312" w:charSpace="0"/>
        </w:sectPr>
      </w:pPr>
    </w:p>
    <w:p>
      <w:pPr>
        <w:topLinePunct/>
        <w:adjustRightInd w:val="0"/>
        <w:snapToGrid w:val="0"/>
        <w:spacing w:line="360" w:lineRule="auto"/>
        <w:rPr>
          <w:rFonts w:ascii="宋体" w:hAnsi="宋体" w:cs="宋体"/>
          <w:bCs/>
          <w:color w:val="auto"/>
          <w:sz w:val="24"/>
          <w:szCs w:val="24"/>
          <w:highlight w:val="none"/>
        </w:rPr>
      </w:pPr>
      <w:r>
        <w:rPr>
          <w:rFonts w:hint="eastAsia"/>
          <w:color w:val="auto"/>
          <w:sz w:val="24"/>
          <w:szCs w:val="24"/>
          <w:highlight w:val="none"/>
        </w:rPr>
        <w:t>技术标</w:t>
      </w:r>
      <w:r>
        <w:rPr>
          <w:rFonts w:hint="eastAsia" w:ascii="宋体" w:hAnsi="宋体" w:cs="宋体"/>
          <w:bCs/>
          <w:color w:val="auto"/>
          <w:sz w:val="24"/>
          <w:szCs w:val="24"/>
          <w:highlight w:val="none"/>
        </w:rPr>
        <w:t>格式七</w:t>
      </w:r>
    </w:p>
    <w:p>
      <w:pPr>
        <w:widowControl/>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投入项目负责人及专职安全员承诺书</w:t>
      </w:r>
    </w:p>
    <w:p>
      <w:pPr>
        <w:widowControl/>
        <w:topLinePunct/>
        <w:adjustRightInd w:val="0"/>
        <w:snapToGrid w:val="0"/>
        <w:spacing w:line="360" w:lineRule="auto"/>
        <w:jc w:val="left"/>
        <w:rPr>
          <w:rFonts w:ascii="宋体" w:hAnsi="宋体" w:cs="宋体"/>
          <w:snapToGrid w:val="0"/>
          <w:color w:val="auto"/>
          <w:spacing w:val="4"/>
          <w:kern w:val="0"/>
          <w:sz w:val="24"/>
          <w:szCs w:val="24"/>
          <w:highlight w:val="none"/>
        </w:rPr>
      </w:pPr>
    </w:p>
    <w:p>
      <w:pPr>
        <w:widowControl/>
        <w:topLinePunct/>
        <w:adjustRightInd w:val="0"/>
        <w:snapToGrid w:val="0"/>
        <w:spacing w:line="360" w:lineRule="auto"/>
        <w:jc w:val="left"/>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致：广州开发区财政投资建设项目管理中心：</w:t>
      </w:r>
    </w:p>
    <w:p>
      <w:pPr>
        <w:widowControl/>
        <w:topLinePunct/>
        <w:adjustRightInd w:val="0"/>
        <w:snapToGrid w:val="0"/>
        <w:spacing w:line="360" w:lineRule="auto"/>
        <w:ind w:firstLine="496" w:firstLineChars="200"/>
        <w:jc w:val="left"/>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经详细阅读本工程招标文件、招标答疑纪要和踏勘现场，我司已理解招标人对本招标项目工程招标及管理的要求，在此，我司郑重作出以下承诺：</w:t>
      </w:r>
    </w:p>
    <w:p>
      <w:pPr>
        <w:widowControl/>
        <w:numPr>
          <w:ilvl w:val="0"/>
          <w:numId w:val="8"/>
        </w:numPr>
        <w:topLinePunct/>
        <w:adjustRightInd w:val="0"/>
        <w:snapToGrid w:val="0"/>
        <w:spacing w:line="360" w:lineRule="auto"/>
        <w:ind w:firstLine="496" w:firstLineChars="200"/>
        <w:jc w:val="left"/>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我司承诺本项目在投标阶段时，委派项目负责人</w:t>
      </w:r>
      <w:r>
        <w:rPr>
          <w:rFonts w:hint="eastAsia" w:ascii="宋体" w:hAnsi="宋体" w:cs="宋体"/>
          <w:snapToGrid w:val="0"/>
          <w:color w:val="auto"/>
          <w:spacing w:val="4"/>
          <w:kern w:val="0"/>
          <w:sz w:val="24"/>
          <w:szCs w:val="24"/>
          <w:highlight w:val="none"/>
          <w:u w:val="single"/>
        </w:rPr>
        <w:t xml:space="preserve">   （名字） </w:t>
      </w:r>
      <w:r>
        <w:rPr>
          <w:rFonts w:hint="eastAsia" w:ascii="宋体" w:hAnsi="宋体" w:cs="宋体"/>
          <w:snapToGrid w:val="0"/>
          <w:color w:val="auto"/>
          <w:spacing w:val="4"/>
          <w:kern w:val="0"/>
          <w:sz w:val="24"/>
          <w:szCs w:val="24"/>
          <w:highlight w:val="none"/>
        </w:rPr>
        <w:t>拟在本项目担任项目负责人一职，委派专职安全员</w:t>
      </w:r>
      <w:r>
        <w:rPr>
          <w:rFonts w:hint="eastAsia" w:ascii="宋体" w:hAnsi="宋体" w:cs="宋体"/>
          <w:snapToGrid w:val="0"/>
          <w:color w:val="auto"/>
          <w:spacing w:val="4"/>
          <w:kern w:val="0"/>
          <w:sz w:val="24"/>
          <w:szCs w:val="24"/>
          <w:highlight w:val="none"/>
          <w:u w:val="single"/>
        </w:rPr>
        <w:t xml:space="preserve">  （名字）    </w:t>
      </w:r>
      <w:r>
        <w:rPr>
          <w:rFonts w:hint="eastAsia" w:ascii="宋体" w:hAnsi="宋体" w:cs="宋体"/>
          <w:snapToGrid w:val="0"/>
          <w:color w:val="auto"/>
          <w:spacing w:val="4"/>
          <w:kern w:val="0"/>
          <w:sz w:val="24"/>
          <w:szCs w:val="24"/>
          <w:highlight w:val="none"/>
        </w:rPr>
        <w:t>拟在本项目担任专职安全员一职。</w:t>
      </w:r>
    </w:p>
    <w:p>
      <w:pPr>
        <w:widowControl/>
        <w:numPr>
          <w:ilvl w:val="0"/>
          <w:numId w:val="8"/>
        </w:numPr>
        <w:topLinePunct/>
        <w:adjustRightInd w:val="0"/>
        <w:snapToGrid w:val="0"/>
        <w:spacing w:line="360" w:lineRule="auto"/>
        <w:ind w:firstLine="464" w:firstLineChars="200"/>
        <w:jc w:val="left"/>
        <w:rPr>
          <w:rFonts w:ascii="宋体" w:hAnsi="宋体" w:cs="宋体"/>
          <w:snapToGrid w:val="0"/>
          <w:color w:val="auto"/>
          <w:spacing w:val="-4"/>
          <w:kern w:val="0"/>
          <w:sz w:val="24"/>
          <w:szCs w:val="21"/>
          <w:highlight w:val="none"/>
        </w:rPr>
      </w:pPr>
      <w:r>
        <w:rPr>
          <w:rFonts w:hint="eastAsia" w:ascii="宋体" w:hAnsi="宋体" w:cs="宋体"/>
          <w:snapToGrid w:val="0"/>
          <w:color w:val="auto"/>
          <w:spacing w:val="-4"/>
          <w:kern w:val="0"/>
          <w:sz w:val="24"/>
          <w:szCs w:val="21"/>
          <w:highlight w:val="none"/>
        </w:rPr>
        <w:t>我司承诺严格按照合同和招投标文件规定履行义务，如因未按承诺执行，接受并同意</w:t>
      </w:r>
      <w:r>
        <w:rPr>
          <w:rFonts w:hint="eastAsia" w:ascii="宋体" w:hAnsi="宋体" w:cs="宋体"/>
          <w:color w:val="auto"/>
          <w:kern w:val="0"/>
          <w:sz w:val="24"/>
          <w:szCs w:val="24"/>
          <w:highlight w:val="none"/>
        </w:rPr>
        <w:t>招标人有权取消本公司作为中标人的中标资格</w:t>
      </w:r>
      <w:r>
        <w:rPr>
          <w:rFonts w:hint="eastAsia" w:ascii="宋体" w:hAnsi="宋体" w:cs="宋体"/>
          <w:snapToGrid w:val="0"/>
          <w:color w:val="auto"/>
          <w:spacing w:val="4"/>
          <w:kern w:val="0"/>
          <w:sz w:val="24"/>
          <w:szCs w:val="24"/>
          <w:highlight w:val="none"/>
        </w:rPr>
        <w:t>，并由此引起的一切后果由我司自行承担</w:t>
      </w:r>
      <w:r>
        <w:rPr>
          <w:rFonts w:hint="eastAsia" w:ascii="宋体" w:hAnsi="宋体" w:cs="宋体"/>
          <w:snapToGrid w:val="0"/>
          <w:color w:val="auto"/>
          <w:spacing w:val="-4"/>
          <w:kern w:val="0"/>
          <w:sz w:val="24"/>
          <w:szCs w:val="21"/>
          <w:highlight w:val="none"/>
        </w:rPr>
        <w:t>。</w:t>
      </w:r>
    </w:p>
    <w:p>
      <w:pPr>
        <w:widowControl/>
        <w:topLinePunct/>
        <w:adjustRightInd w:val="0"/>
        <w:snapToGrid w:val="0"/>
        <w:spacing w:line="360" w:lineRule="auto"/>
        <w:ind w:firstLine="3472" w:firstLineChars="1400"/>
        <w:jc w:val="left"/>
        <w:rPr>
          <w:rFonts w:ascii="宋体" w:hAnsi="宋体" w:cs="宋体"/>
          <w:snapToGrid w:val="0"/>
          <w:color w:val="auto"/>
          <w:spacing w:val="4"/>
          <w:kern w:val="0"/>
          <w:sz w:val="24"/>
          <w:szCs w:val="24"/>
          <w:highlight w:val="none"/>
        </w:rPr>
      </w:pPr>
    </w:p>
    <w:p>
      <w:pPr>
        <w:spacing w:after="120"/>
        <w:rPr>
          <w:color w:val="auto"/>
          <w:kern w:val="0"/>
          <w:sz w:val="20"/>
          <w:szCs w:val="20"/>
          <w:highlight w:val="none"/>
        </w:rPr>
      </w:pPr>
    </w:p>
    <w:p>
      <w:pPr>
        <w:spacing w:after="120"/>
        <w:rPr>
          <w:color w:val="auto"/>
          <w:kern w:val="0"/>
          <w:sz w:val="20"/>
          <w:szCs w:val="20"/>
          <w:highlight w:val="none"/>
        </w:rPr>
      </w:pPr>
    </w:p>
    <w:p>
      <w:pPr>
        <w:spacing w:after="120"/>
        <w:rPr>
          <w:color w:val="auto"/>
          <w:kern w:val="0"/>
          <w:sz w:val="20"/>
          <w:szCs w:val="20"/>
          <w:highlight w:val="none"/>
        </w:rPr>
      </w:pPr>
    </w:p>
    <w:p>
      <w:pPr>
        <w:spacing w:after="120"/>
        <w:rPr>
          <w:color w:val="auto"/>
          <w:kern w:val="0"/>
          <w:sz w:val="20"/>
          <w:szCs w:val="20"/>
          <w:highlight w:val="none"/>
        </w:rPr>
      </w:pPr>
    </w:p>
    <w:p>
      <w:pPr>
        <w:widowControl/>
        <w:topLinePunct/>
        <w:adjustRightInd w:val="0"/>
        <w:snapToGrid w:val="0"/>
        <w:spacing w:line="360" w:lineRule="auto"/>
        <w:ind w:firstLine="5208" w:firstLineChars="2100"/>
        <w:jc w:val="left"/>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投标人：　　（盖章）</w:t>
      </w:r>
    </w:p>
    <w:p>
      <w:pPr>
        <w:widowControl/>
        <w:snapToGrid w:val="0"/>
        <w:spacing w:line="360" w:lineRule="auto"/>
        <w:ind w:right="102"/>
        <w:jc w:val="center"/>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lang w:val="en-US" w:eastAsia="zh-CN"/>
        </w:rPr>
        <w:t xml:space="preserve">                                     </w:t>
      </w:r>
      <w:r>
        <w:rPr>
          <w:rFonts w:hint="eastAsia" w:ascii="宋体" w:hAnsi="宋体" w:cs="宋体"/>
          <w:snapToGrid w:val="0"/>
          <w:color w:val="auto"/>
          <w:spacing w:val="4"/>
          <w:kern w:val="0"/>
          <w:sz w:val="24"/>
          <w:szCs w:val="24"/>
          <w:highlight w:val="none"/>
        </w:rPr>
        <w:t>日  期：    年    月    日</w:t>
      </w:r>
    </w:p>
    <w:p>
      <w:pPr>
        <w:widowControl/>
        <w:snapToGrid w:val="0"/>
        <w:spacing w:line="360" w:lineRule="auto"/>
        <w:ind w:right="102"/>
        <w:jc w:val="right"/>
        <w:rPr>
          <w:rFonts w:ascii="宋体" w:hAnsi="宋体" w:cs="宋体"/>
          <w:snapToGrid w:val="0"/>
          <w:color w:val="auto"/>
          <w:spacing w:val="4"/>
          <w:kern w:val="0"/>
          <w:sz w:val="24"/>
          <w:szCs w:val="24"/>
          <w:highlight w:val="none"/>
        </w:rPr>
      </w:pPr>
    </w:p>
    <w:p>
      <w:pPr>
        <w:widowControl/>
        <w:jc w:val="left"/>
        <w:rPr>
          <w:color w:val="auto"/>
          <w:szCs w:val="20"/>
          <w:highlight w:val="none"/>
        </w:rPr>
      </w:pPr>
      <w:r>
        <w:rPr>
          <w:color w:val="auto"/>
          <w:highlight w:val="none"/>
        </w:rPr>
        <w:br w:type="page"/>
      </w:r>
    </w:p>
    <w:p>
      <w:pPr>
        <w:topLinePunct/>
        <w:adjustRightInd w:val="0"/>
        <w:snapToGrid w:val="0"/>
        <w:spacing w:line="360" w:lineRule="auto"/>
        <w:rPr>
          <w:rFonts w:ascii="宋体" w:hAnsi="宋体" w:cs="宋体"/>
          <w:b/>
          <w:snapToGrid w:val="0"/>
          <w:color w:val="auto"/>
          <w:spacing w:val="4"/>
          <w:kern w:val="0"/>
          <w:sz w:val="24"/>
          <w:szCs w:val="24"/>
          <w:highlight w:val="none"/>
        </w:rPr>
      </w:pPr>
      <w:r>
        <w:rPr>
          <w:rFonts w:hint="eastAsia"/>
          <w:color w:val="auto"/>
          <w:sz w:val="24"/>
          <w:szCs w:val="24"/>
          <w:highlight w:val="none"/>
        </w:rPr>
        <w:t>技术标</w:t>
      </w:r>
      <w:r>
        <w:rPr>
          <w:rFonts w:hint="eastAsia" w:ascii="宋体" w:hAnsi="宋体" w:cs="宋体"/>
          <w:bCs/>
          <w:color w:val="auto"/>
          <w:sz w:val="24"/>
          <w:szCs w:val="24"/>
          <w:highlight w:val="none"/>
        </w:rPr>
        <w:t>格式八</w:t>
      </w: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施工项目管理团队人员信息表</w:t>
      </w:r>
    </w:p>
    <w:tbl>
      <w:tblPr>
        <w:tblStyle w:val="30"/>
        <w:tblW w:w="9180" w:type="dxa"/>
        <w:jc w:val="center"/>
        <w:tblLayout w:type="fixed"/>
        <w:tblCellMar>
          <w:top w:w="0" w:type="dxa"/>
          <w:left w:w="108" w:type="dxa"/>
          <w:bottom w:w="0" w:type="dxa"/>
          <w:right w:w="108" w:type="dxa"/>
        </w:tblCellMar>
      </w:tblPr>
      <w:tblGrid>
        <w:gridCol w:w="1242"/>
        <w:gridCol w:w="1744"/>
        <w:gridCol w:w="1549"/>
        <w:gridCol w:w="1417"/>
        <w:gridCol w:w="3228"/>
      </w:tblGrid>
      <w:tr>
        <w:tblPrEx>
          <w:tblCellMar>
            <w:top w:w="0" w:type="dxa"/>
            <w:left w:w="108" w:type="dxa"/>
            <w:bottom w:w="0" w:type="dxa"/>
            <w:right w:w="108" w:type="dxa"/>
          </w:tblCellMar>
        </w:tblPrEx>
        <w:trPr>
          <w:trHeight w:val="601"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74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姓名</w:t>
            </w:r>
          </w:p>
        </w:tc>
        <w:tc>
          <w:tcPr>
            <w:tcW w:w="154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岗位</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职称</w:t>
            </w:r>
          </w:p>
        </w:tc>
        <w:tc>
          <w:tcPr>
            <w:tcW w:w="322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职称证书或资格证书编号</w:t>
            </w:r>
          </w:p>
        </w:tc>
      </w:tr>
      <w:tr>
        <w:tblPrEx>
          <w:tblCellMar>
            <w:top w:w="0" w:type="dxa"/>
            <w:left w:w="108" w:type="dxa"/>
            <w:bottom w:w="0" w:type="dxa"/>
            <w:right w:w="108" w:type="dxa"/>
          </w:tblCellMar>
        </w:tblPrEx>
        <w:trPr>
          <w:trHeight w:val="425" w:hRule="atLeast"/>
          <w:jc w:val="center"/>
        </w:trPr>
        <w:tc>
          <w:tcPr>
            <w:tcW w:w="124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1</w:t>
            </w:r>
          </w:p>
        </w:tc>
        <w:tc>
          <w:tcPr>
            <w:tcW w:w="174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p>
        </w:tc>
        <w:tc>
          <w:tcPr>
            <w:tcW w:w="154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p>
        </w:tc>
        <w:tc>
          <w:tcPr>
            <w:tcW w:w="3228"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417" w:hRule="atLeast"/>
          <w:jc w:val="center"/>
        </w:trPr>
        <w:tc>
          <w:tcPr>
            <w:tcW w:w="124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c>
          <w:tcPr>
            <w:tcW w:w="174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p>
        </w:tc>
        <w:tc>
          <w:tcPr>
            <w:tcW w:w="3228"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408" w:hRule="atLeast"/>
          <w:jc w:val="center"/>
        </w:trPr>
        <w:tc>
          <w:tcPr>
            <w:tcW w:w="124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3</w:t>
            </w:r>
          </w:p>
        </w:tc>
        <w:tc>
          <w:tcPr>
            <w:tcW w:w="174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p>
        </w:tc>
        <w:tc>
          <w:tcPr>
            <w:tcW w:w="3228"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408" w:hRule="atLeast"/>
          <w:jc w:val="center"/>
        </w:trPr>
        <w:tc>
          <w:tcPr>
            <w:tcW w:w="124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174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p>
        </w:tc>
        <w:tc>
          <w:tcPr>
            <w:tcW w:w="154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p>
        </w:tc>
        <w:tc>
          <w:tcPr>
            <w:tcW w:w="3228"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401" w:hRule="atLeast"/>
          <w:jc w:val="center"/>
        </w:trPr>
        <w:tc>
          <w:tcPr>
            <w:tcW w:w="124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174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p>
        </w:tc>
        <w:tc>
          <w:tcPr>
            <w:tcW w:w="3228"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421" w:hRule="atLeast"/>
          <w:jc w:val="center"/>
        </w:trPr>
        <w:tc>
          <w:tcPr>
            <w:tcW w:w="124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174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p>
        </w:tc>
        <w:tc>
          <w:tcPr>
            <w:tcW w:w="3228"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418" w:hRule="atLeast"/>
          <w:jc w:val="center"/>
        </w:trPr>
        <w:tc>
          <w:tcPr>
            <w:tcW w:w="124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74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p>
        </w:tc>
        <w:tc>
          <w:tcPr>
            <w:tcW w:w="3228"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3787" w:hRule="atLeast"/>
          <w:jc w:val="center"/>
        </w:trPr>
        <w:tc>
          <w:tcPr>
            <w:tcW w:w="9180"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备注：</w:t>
            </w:r>
            <w:r>
              <w:rPr>
                <w:rFonts w:ascii="宋体" w:hAnsi="宋体" w:cs="宋体"/>
                <w:color w:val="auto"/>
                <w:kern w:val="0"/>
                <w:szCs w:val="21"/>
                <w:highlight w:val="none"/>
              </w:rPr>
              <w:t>1、“岗位”要求</w:t>
            </w:r>
            <w:r>
              <w:rPr>
                <w:rFonts w:hint="eastAsia" w:ascii="宋体" w:hAnsi="宋体" w:cs="宋体"/>
                <w:b/>
                <w:bCs/>
                <w:color w:val="auto"/>
                <w:kern w:val="0"/>
                <w:szCs w:val="21"/>
                <w:highlight w:val="none"/>
              </w:rPr>
              <w:t>（除项目负责人和专职安全员外）</w:t>
            </w:r>
            <w:r>
              <w:rPr>
                <w:rFonts w:hint="eastAsia" w:ascii="宋体" w:hAnsi="宋体" w:cs="宋体"/>
                <w:color w:val="auto"/>
                <w:kern w:val="0"/>
                <w:szCs w:val="21"/>
                <w:highlight w:val="none"/>
              </w:rPr>
              <w:t>由招标人根据项目管理需要在本表备注中明确提出，如：拟派驻施工现场的指挥长、技术负责人、质量负责人、安全负责人、造价负责人、工民建（建筑、土木）工程师、机电工程师、暖通工程师、给排水工程师、施工员、质量员、安全员、资料员等。以上项目管理团队人员信息将由交易系统提取后供各相关单位在履约时比对、查核。</w:t>
            </w:r>
          </w:p>
          <w:p>
            <w:pPr>
              <w:widowControl/>
              <w:jc w:val="left"/>
              <w:rPr>
                <w:rFonts w:ascii="宋体" w:hAnsi="宋体" w:cs="宋体"/>
                <w:color w:val="auto"/>
                <w:kern w:val="0"/>
                <w:szCs w:val="21"/>
                <w:highlight w:val="none"/>
              </w:rPr>
            </w:pPr>
            <w:r>
              <w:rPr>
                <w:rFonts w:ascii="宋体" w:hAnsi="宋体" w:cs="宋体"/>
                <w:color w:val="auto"/>
                <w:kern w:val="0"/>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jc w:val="left"/>
              <w:rPr>
                <w:rFonts w:ascii="宋体" w:hAnsi="宋体" w:cs="宋体"/>
                <w:color w:val="auto"/>
                <w:kern w:val="0"/>
                <w:szCs w:val="21"/>
                <w:highlight w:val="none"/>
              </w:rPr>
            </w:pPr>
            <w:r>
              <w:rPr>
                <w:rFonts w:ascii="宋体" w:hAnsi="宋体" w:cs="宋体"/>
                <w:color w:val="auto"/>
                <w:kern w:val="0"/>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pPr>
              <w:widowControl/>
              <w:rPr>
                <w:color w:val="auto"/>
                <w:highlight w:val="none"/>
              </w:rPr>
            </w:pPr>
            <w:r>
              <w:rPr>
                <w:rFonts w:hint="default" w:ascii="宋体" w:hAnsi="宋体" w:eastAsia="宋体" w:cs="宋体"/>
                <w:color w:val="auto"/>
                <w:kern w:val="0"/>
                <w:szCs w:val="21"/>
                <w:highlight w:val="none"/>
                <w:lang w:val="en-US" w:eastAsia="zh-CN" w:bidi="ar"/>
              </w:rPr>
              <w:t>4、</w:t>
            </w:r>
            <w:r>
              <w:rPr>
                <w:rFonts w:hint="default" w:ascii="宋体" w:hAnsi="宋体" w:eastAsia="宋体" w:cs="宋体"/>
                <w:color w:val="auto"/>
                <w:kern w:val="0"/>
                <w:szCs w:val="21"/>
                <w:highlight w:val="none"/>
                <w:lang w:bidi="ar"/>
              </w:rPr>
              <w:t>本表中</w:t>
            </w:r>
            <w:r>
              <w:rPr>
                <w:rFonts w:hint="default" w:ascii="宋体" w:hAnsi="宋体" w:eastAsia="宋体" w:cs="宋体"/>
                <w:color w:val="auto"/>
                <w:kern w:val="0"/>
                <w:szCs w:val="21"/>
                <w:highlight w:val="none"/>
                <w:lang w:val="en-US" w:eastAsia="zh-CN" w:bidi="ar"/>
              </w:rPr>
              <w:t>各岗位人员除须提供相关的职称证书、注册证书等相关证明资料外，还须提供离投标截止时间最近的至少</w:t>
            </w:r>
            <w:r>
              <w:rPr>
                <w:rFonts w:hint="eastAsia" w:ascii="宋体" w:hAnsi="宋体" w:cs="宋体"/>
                <w:color w:val="auto"/>
                <w:kern w:val="0"/>
                <w:szCs w:val="21"/>
                <w:highlight w:val="none"/>
                <w:lang w:val="en-US" w:eastAsia="zh-CN" w:bidi="ar"/>
              </w:rPr>
              <w:t>一</w:t>
            </w:r>
            <w:r>
              <w:rPr>
                <w:rFonts w:hint="default" w:ascii="宋体" w:hAnsi="宋体" w:eastAsia="宋体" w:cs="宋体"/>
                <w:color w:val="auto"/>
                <w:kern w:val="0"/>
                <w:szCs w:val="21"/>
                <w:highlight w:val="none"/>
                <w:lang w:val="en-US" w:eastAsia="zh-CN" w:bidi="ar"/>
              </w:rPr>
              <w:t>个月（2025年7月或8月）在本单位缴纳的社保证明文件。</w:t>
            </w:r>
          </w:p>
        </w:tc>
      </w:tr>
    </w:tbl>
    <w:p>
      <w:pPr>
        <w:keepNext w:val="0"/>
        <w:keepLines w:val="0"/>
        <w:pageBreakBefore w:val="0"/>
        <w:widowControl w:val="0"/>
        <w:kinsoku/>
        <w:wordWrap/>
        <w:overflowPunct/>
        <w:topLinePunct/>
        <w:autoSpaceDE/>
        <w:autoSpaceDN/>
        <w:bidi w:val="0"/>
        <w:adjustRightInd w:val="0"/>
        <w:snapToGrid w:val="0"/>
        <w:spacing w:before="157" w:beforeLines="50" w:line="360" w:lineRule="auto"/>
        <w:jc w:val="left"/>
        <w:textAlignment w:val="auto"/>
        <w:rPr>
          <w:rFonts w:ascii="宋体" w:hAnsi="宋体" w:cs="宋体"/>
          <w:b/>
          <w:snapToGrid w:val="0"/>
          <w:color w:val="auto"/>
          <w:spacing w:val="4"/>
          <w:kern w:val="0"/>
          <w:sz w:val="24"/>
          <w:szCs w:val="24"/>
          <w:highlight w:val="none"/>
        </w:rPr>
      </w:pPr>
      <w:r>
        <w:rPr>
          <w:rFonts w:hint="eastAsia" w:ascii="Calibri" w:hAnsi="Calibri"/>
          <w:color w:val="auto"/>
          <w:highlight w:val="none"/>
        </w:rPr>
        <w:t>注：附相关的证明材料。</w:t>
      </w:r>
    </w:p>
    <w:p>
      <w:pPr>
        <w:topLinePunct/>
        <w:adjustRightInd w:val="0"/>
        <w:snapToGrid w:val="0"/>
        <w:spacing w:line="360" w:lineRule="auto"/>
        <w:ind w:firstLine="3720" w:firstLineChars="150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投标人：　　（盖章）</w:t>
      </w:r>
    </w:p>
    <w:p>
      <w:pPr>
        <w:topLinePunct/>
        <w:adjustRightInd w:val="0"/>
        <w:snapToGrid w:val="0"/>
        <w:spacing w:line="360" w:lineRule="auto"/>
        <w:jc w:val="left"/>
        <w:rPr>
          <w:rFonts w:ascii="宋体" w:hAnsi="宋体" w:cs="宋体"/>
          <w:color w:val="auto"/>
          <w:spacing w:val="4"/>
          <w:kern w:val="0"/>
          <w:szCs w:val="21"/>
          <w:highlight w:val="none"/>
        </w:rPr>
      </w:pPr>
      <w:r>
        <w:rPr>
          <w:rFonts w:hint="eastAsia" w:ascii="宋体" w:hAnsi="宋体" w:cs="宋体"/>
          <w:color w:val="auto"/>
          <w:spacing w:val="4"/>
          <w:kern w:val="0"/>
          <w:sz w:val="24"/>
          <w:szCs w:val="24"/>
          <w:highlight w:val="none"/>
        </w:rPr>
        <w:t xml:space="preserve">                             日   期：    年    月    日</w:t>
      </w:r>
    </w:p>
    <w:p>
      <w:pPr>
        <w:topLinePunct/>
        <w:adjustRightInd w:val="0"/>
        <w:snapToGrid w:val="0"/>
        <w:spacing w:line="360" w:lineRule="auto"/>
        <w:jc w:val="left"/>
        <w:rPr>
          <w:rFonts w:eastAsia="黑体"/>
          <w:b/>
          <w:snapToGrid w:val="0"/>
          <w:color w:val="auto"/>
          <w:spacing w:val="4"/>
          <w:kern w:val="0"/>
          <w:sz w:val="36"/>
          <w:szCs w:val="36"/>
          <w:highlight w:val="none"/>
        </w:rPr>
      </w:pPr>
      <w:r>
        <w:rPr>
          <w:color w:val="auto"/>
          <w:sz w:val="24"/>
          <w:szCs w:val="24"/>
          <w:highlight w:val="none"/>
        </w:rPr>
        <w:br w:type="page"/>
      </w:r>
      <w:r>
        <w:rPr>
          <w:rFonts w:hint="eastAsia"/>
          <w:color w:val="auto"/>
          <w:sz w:val="24"/>
          <w:szCs w:val="24"/>
          <w:highlight w:val="none"/>
        </w:rPr>
        <w:t>技术标</w:t>
      </w:r>
      <w:r>
        <w:rPr>
          <w:rFonts w:hint="eastAsia" w:ascii="宋体" w:hAnsi="宋体" w:cs="宋体"/>
          <w:snapToGrid w:val="0"/>
          <w:color w:val="auto"/>
          <w:spacing w:val="4"/>
          <w:kern w:val="0"/>
          <w:sz w:val="24"/>
          <w:szCs w:val="24"/>
          <w:highlight w:val="none"/>
        </w:rPr>
        <w:t>格式九</w:t>
      </w:r>
    </w:p>
    <w:p>
      <w:pPr>
        <w:topLinePunct/>
        <w:adjustRightInd w:val="0"/>
        <w:snapToGrid w:val="0"/>
        <w:spacing w:line="360" w:lineRule="auto"/>
        <w:jc w:val="center"/>
        <w:rPr>
          <w:rFonts w:hint="eastAsia" w:ascii="宋体" w:hAnsi="宋体" w:cs="宋体"/>
          <w:b/>
          <w:color w:val="auto"/>
          <w:spacing w:val="4"/>
          <w:kern w:val="0"/>
          <w:sz w:val="32"/>
          <w:szCs w:val="32"/>
          <w:highlight w:val="none"/>
        </w:rPr>
      </w:pPr>
      <w:r>
        <w:rPr>
          <w:rFonts w:hint="eastAsia" w:ascii="宋体" w:hAnsi="宋体" w:cs="宋体"/>
          <w:b/>
          <w:color w:val="auto"/>
          <w:spacing w:val="4"/>
          <w:kern w:val="0"/>
          <w:sz w:val="32"/>
          <w:szCs w:val="32"/>
          <w:highlight w:val="none"/>
        </w:rPr>
        <w:t>主要人员简历表</w:t>
      </w:r>
    </w:p>
    <w:tbl>
      <w:tblPr>
        <w:tblStyle w:val="30"/>
        <w:tblpPr w:leftFromText="180" w:rightFromText="180" w:vertAnchor="text" w:tblpXSpec="center" w:tblpY="76"/>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2"/>
        <w:gridCol w:w="1547"/>
        <w:gridCol w:w="557"/>
        <w:gridCol w:w="992"/>
        <w:gridCol w:w="378"/>
        <w:gridCol w:w="1405"/>
        <w:gridCol w:w="296"/>
        <w:gridCol w:w="1182"/>
        <w:gridCol w:w="69"/>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姓名</w:t>
            </w:r>
          </w:p>
        </w:tc>
        <w:tc>
          <w:tcPr>
            <w:tcW w:w="2126" w:type="dxa"/>
            <w:gridSpan w:val="3"/>
            <w:tcBorders>
              <w:top w:val="single" w:color="auto" w:sz="4" w:space="0"/>
              <w:left w:val="single" w:color="auto" w:sz="4" w:space="0"/>
              <w:bottom w:val="single" w:color="auto" w:sz="4" w:space="0"/>
              <w:right w:val="single" w:color="auto" w:sz="4" w:space="0"/>
            </w:tcBorders>
            <w:noWrap w:val="0"/>
            <w:vAlign w:val="center"/>
          </w:tcPr>
          <w:p>
            <w:pPr>
              <w:keepNext/>
              <w:keepLines/>
              <w:topLinePunct/>
              <w:adjustRightInd w:val="0"/>
              <w:snapToGrid w:val="0"/>
              <w:spacing w:before="120" w:after="120" w:line="360" w:lineRule="auto"/>
              <w:jc w:val="center"/>
              <w:outlineLvl w:val="0"/>
              <w:rPr>
                <w:rFonts w:hint="eastAsia" w:ascii="宋体" w:hAnsi="宋体" w:cs="宋体"/>
                <w:b/>
                <w:color w:val="auto"/>
                <w:spacing w:val="4"/>
                <w:kern w:val="0"/>
                <w:sz w:val="24"/>
                <w:szCs w:val="24"/>
                <w:highlight w:val="none"/>
              </w:rPr>
            </w:pPr>
          </w:p>
        </w:tc>
        <w:tc>
          <w:tcPr>
            <w:tcW w:w="137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性别</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keepNext/>
              <w:keepLines/>
              <w:topLinePunct/>
              <w:adjustRightInd w:val="0"/>
              <w:snapToGrid w:val="0"/>
              <w:spacing w:before="120" w:after="120" w:line="360" w:lineRule="auto"/>
              <w:jc w:val="center"/>
              <w:outlineLvl w:val="0"/>
              <w:rPr>
                <w:rFonts w:hint="eastAsia" w:ascii="宋体" w:hAnsi="宋体" w:cs="宋体"/>
                <w:b/>
                <w:color w:val="auto"/>
                <w:spacing w:val="4"/>
                <w:kern w:val="0"/>
                <w:sz w:val="24"/>
                <w:szCs w:val="24"/>
                <w:highlight w:val="none"/>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年龄</w:t>
            </w: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keepNext/>
              <w:keepLines/>
              <w:topLinePunct/>
              <w:adjustRightInd w:val="0"/>
              <w:snapToGrid w:val="0"/>
              <w:spacing w:before="120" w:after="120" w:line="360" w:lineRule="auto"/>
              <w:jc w:val="center"/>
              <w:outlineLvl w:val="0"/>
              <w:rPr>
                <w:rFonts w:hint="eastAsia" w:ascii="宋体" w:hAnsi="宋体" w:cs="宋体"/>
                <w:b/>
                <w:color w:val="auto"/>
                <w:spacing w:val="4"/>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color w:val="auto"/>
                <w:sz w:val="24"/>
                <w:szCs w:val="24"/>
                <w:highlight w:val="none"/>
              </w:rPr>
            </w:pPr>
            <w:r>
              <w:rPr>
                <w:rFonts w:hint="eastAsia" w:ascii="宋体" w:hAnsi="宋体" w:cs="宋体"/>
                <w:b/>
                <w:bCs/>
                <w:color w:val="auto"/>
                <w:szCs w:val="21"/>
                <w:highlight w:val="none"/>
              </w:rPr>
              <w:t>身份证号码</w:t>
            </w:r>
          </w:p>
        </w:tc>
        <w:tc>
          <w:tcPr>
            <w:tcW w:w="7999" w:type="dxa"/>
            <w:gridSpan w:val="10"/>
            <w:tcBorders>
              <w:top w:val="single" w:color="auto" w:sz="4" w:space="0"/>
              <w:left w:val="single" w:color="auto" w:sz="4" w:space="0"/>
              <w:bottom w:val="single" w:color="auto" w:sz="4" w:space="0"/>
              <w:right w:val="single" w:color="auto" w:sz="4" w:space="0"/>
            </w:tcBorders>
            <w:noWrap w:val="0"/>
            <w:vAlign w:val="center"/>
          </w:tcPr>
          <w:p>
            <w:pPr>
              <w:topLinePunct/>
              <w:adjustRightInd w:val="0"/>
              <w:snapToGrid w:val="0"/>
              <w:spacing w:line="360" w:lineRule="auto"/>
              <w:jc w:val="center"/>
              <w:rPr>
                <w:rFonts w:hint="eastAsia" w:ascii="宋体" w:hAnsi="宋体" w:cs="宋体"/>
                <w:b/>
                <w:color w:val="auto"/>
                <w:spacing w:val="4"/>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color w:val="auto"/>
                <w:sz w:val="24"/>
                <w:szCs w:val="24"/>
                <w:highlight w:val="none"/>
              </w:rPr>
            </w:pPr>
            <w:r>
              <w:rPr>
                <w:rFonts w:hint="eastAsia" w:ascii="宋体" w:hAnsi="宋体" w:cs="宋体"/>
                <w:b/>
                <w:bCs/>
                <w:color w:val="auto"/>
                <w:szCs w:val="21"/>
                <w:highlight w:val="none"/>
              </w:rPr>
              <w:t>在本项目任职</w:t>
            </w:r>
          </w:p>
        </w:tc>
        <w:tc>
          <w:tcPr>
            <w:tcW w:w="2126" w:type="dxa"/>
            <w:gridSpan w:val="3"/>
            <w:tcBorders>
              <w:top w:val="single" w:color="auto" w:sz="4" w:space="0"/>
              <w:left w:val="single" w:color="auto" w:sz="4" w:space="0"/>
              <w:bottom w:val="single" w:color="auto" w:sz="4" w:space="0"/>
              <w:right w:val="single" w:color="auto" w:sz="4" w:space="0"/>
            </w:tcBorders>
            <w:noWrap w:val="0"/>
            <w:vAlign w:val="center"/>
          </w:tcPr>
          <w:p>
            <w:pPr>
              <w:keepNext/>
              <w:keepLines/>
              <w:topLinePunct/>
              <w:adjustRightInd w:val="0"/>
              <w:snapToGrid w:val="0"/>
              <w:spacing w:before="120" w:after="120" w:line="360" w:lineRule="auto"/>
              <w:jc w:val="center"/>
              <w:outlineLvl w:val="0"/>
              <w:rPr>
                <w:rFonts w:hint="eastAsia" w:ascii="宋体" w:hAnsi="宋体" w:cs="宋体"/>
                <w:b/>
                <w:color w:val="auto"/>
                <w:spacing w:val="4"/>
                <w:kern w:val="0"/>
                <w:sz w:val="24"/>
                <w:szCs w:val="24"/>
                <w:highlight w:val="none"/>
              </w:rPr>
            </w:pPr>
          </w:p>
        </w:tc>
        <w:tc>
          <w:tcPr>
            <w:tcW w:w="137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职称</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keepNext/>
              <w:keepLines/>
              <w:topLinePunct/>
              <w:adjustRightInd w:val="0"/>
              <w:snapToGrid w:val="0"/>
              <w:spacing w:before="120" w:after="120" w:line="360" w:lineRule="auto"/>
              <w:jc w:val="center"/>
              <w:outlineLvl w:val="0"/>
              <w:rPr>
                <w:rFonts w:hint="eastAsia" w:ascii="宋体" w:hAnsi="宋体" w:cs="宋体"/>
                <w:b/>
                <w:color w:val="auto"/>
                <w:spacing w:val="4"/>
                <w:kern w:val="0"/>
                <w:sz w:val="24"/>
                <w:szCs w:val="24"/>
                <w:highlight w:val="none"/>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学历</w:t>
            </w: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keepNext/>
              <w:keepLines/>
              <w:topLinePunct/>
              <w:adjustRightInd w:val="0"/>
              <w:snapToGrid w:val="0"/>
              <w:spacing w:before="120" w:after="120" w:line="360" w:lineRule="auto"/>
              <w:jc w:val="center"/>
              <w:outlineLvl w:val="0"/>
              <w:rPr>
                <w:rFonts w:hint="eastAsia" w:ascii="宋体" w:hAnsi="宋体" w:cs="宋体"/>
                <w:b/>
                <w:color w:val="auto"/>
                <w:spacing w:val="4"/>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参加工作</w:t>
            </w:r>
          </w:p>
          <w:p>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年限</w:t>
            </w:r>
          </w:p>
        </w:tc>
        <w:tc>
          <w:tcPr>
            <w:tcW w:w="2126" w:type="dxa"/>
            <w:gridSpan w:val="3"/>
            <w:tcBorders>
              <w:top w:val="single" w:color="auto" w:sz="4" w:space="0"/>
              <w:left w:val="single" w:color="auto" w:sz="4" w:space="0"/>
              <w:bottom w:val="single" w:color="auto" w:sz="4" w:space="0"/>
              <w:right w:val="single" w:color="auto" w:sz="4" w:space="0"/>
            </w:tcBorders>
            <w:noWrap w:val="0"/>
            <w:vAlign w:val="center"/>
          </w:tcPr>
          <w:p>
            <w:pPr>
              <w:keepNext/>
              <w:keepLines/>
              <w:topLinePunct/>
              <w:adjustRightInd w:val="0"/>
              <w:snapToGrid w:val="0"/>
              <w:spacing w:before="120" w:after="120" w:line="360" w:lineRule="auto"/>
              <w:jc w:val="center"/>
              <w:outlineLvl w:val="0"/>
              <w:rPr>
                <w:rFonts w:hint="eastAsia" w:ascii="宋体" w:hAnsi="宋体" w:cs="宋体"/>
                <w:b/>
                <w:color w:val="auto"/>
                <w:spacing w:val="4"/>
                <w:kern w:val="0"/>
                <w:sz w:val="24"/>
                <w:szCs w:val="24"/>
                <w:highlight w:val="none"/>
              </w:rPr>
            </w:pPr>
          </w:p>
        </w:tc>
        <w:tc>
          <w:tcPr>
            <w:tcW w:w="1370" w:type="dxa"/>
            <w:gridSpan w:val="2"/>
            <w:tcBorders>
              <w:top w:val="single" w:color="auto" w:sz="4" w:space="0"/>
              <w:left w:val="single" w:color="auto" w:sz="4" w:space="0"/>
              <w:bottom w:val="single" w:color="auto" w:sz="4" w:space="0"/>
              <w:right w:val="single" w:color="auto" w:sz="4" w:space="0"/>
            </w:tcBorders>
            <w:noWrap w:val="0"/>
            <w:vAlign w:val="center"/>
          </w:tcPr>
          <w:p>
            <w:pPr>
              <w:topLinePunct/>
              <w:adjustRightInd w:val="0"/>
              <w:snapToGrid w:val="0"/>
              <w:spacing w:line="360" w:lineRule="auto"/>
              <w:jc w:val="center"/>
              <w:rPr>
                <w:rFonts w:hint="eastAsia" w:ascii="宋体" w:hAnsi="宋体" w:cs="宋体"/>
                <w:b/>
                <w:color w:val="auto"/>
                <w:spacing w:val="4"/>
                <w:kern w:val="0"/>
                <w:sz w:val="24"/>
                <w:szCs w:val="24"/>
                <w:highlight w:val="none"/>
              </w:rPr>
            </w:pPr>
            <w:r>
              <w:rPr>
                <w:rFonts w:hint="eastAsia" w:ascii="宋体" w:hAnsi="宋体" w:cs="宋体"/>
                <w:b/>
                <w:color w:val="auto"/>
                <w:spacing w:val="4"/>
                <w:kern w:val="0"/>
                <w:sz w:val="24"/>
                <w:szCs w:val="24"/>
                <w:highlight w:val="none"/>
              </w:rPr>
              <w:t>担任相应职务年限</w:t>
            </w:r>
          </w:p>
        </w:tc>
        <w:tc>
          <w:tcPr>
            <w:tcW w:w="4503" w:type="dxa"/>
            <w:gridSpan w:val="5"/>
            <w:tcBorders>
              <w:top w:val="single" w:color="auto" w:sz="4" w:space="0"/>
              <w:left w:val="single" w:color="auto" w:sz="4" w:space="0"/>
              <w:bottom w:val="single" w:color="auto" w:sz="4" w:space="0"/>
              <w:right w:val="single" w:color="auto" w:sz="4" w:space="0"/>
            </w:tcBorders>
            <w:noWrap w:val="0"/>
            <w:vAlign w:val="center"/>
          </w:tcPr>
          <w:p>
            <w:pPr>
              <w:keepNext/>
              <w:keepLines/>
              <w:topLinePunct/>
              <w:adjustRightInd w:val="0"/>
              <w:snapToGrid w:val="0"/>
              <w:spacing w:before="120" w:after="120" w:line="360" w:lineRule="auto"/>
              <w:jc w:val="center"/>
              <w:outlineLvl w:val="0"/>
              <w:rPr>
                <w:rFonts w:hint="eastAsia" w:ascii="宋体" w:hAnsi="宋体" w:cs="宋体"/>
                <w:b/>
                <w:color w:val="auto"/>
                <w:spacing w:val="4"/>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资格证书号</w:t>
            </w:r>
          </w:p>
        </w:tc>
        <w:tc>
          <w:tcPr>
            <w:tcW w:w="7999" w:type="dxa"/>
            <w:gridSpan w:val="10"/>
            <w:tcBorders>
              <w:top w:val="single" w:color="auto" w:sz="4" w:space="0"/>
              <w:left w:val="single" w:color="auto" w:sz="4" w:space="0"/>
              <w:bottom w:val="single" w:color="auto" w:sz="4" w:space="0"/>
              <w:right w:val="single" w:color="auto" w:sz="4" w:space="0"/>
            </w:tcBorders>
            <w:noWrap w:val="0"/>
            <w:vAlign w:val="center"/>
          </w:tcPr>
          <w:p>
            <w:pPr>
              <w:keepNext/>
              <w:keepLines/>
              <w:topLinePunct/>
              <w:adjustRightInd w:val="0"/>
              <w:snapToGrid w:val="0"/>
              <w:spacing w:before="120" w:after="120" w:line="360" w:lineRule="auto"/>
              <w:jc w:val="center"/>
              <w:outlineLvl w:val="0"/>
              <w:rPr>
                <w:rFonts w:hint="eastAsia" w:ascii="宋体" w:hAnsi="宋体" w:cs="宋体"/>
                <w:b/>
                <w:color w:val="auto"/>
                <w:spacing w:val="4"/>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525" w:type="dxa"/>
            <w:gridSpan w:val="11"/>
            <w:tcBorders>
              <w:top w:val="single" w:color="auto" w:sz="4" w:space="0"/>
              <w:left w:val="single" w:color="auto" w:sz="4" w:space="0"/>
              <w:bottom w:val="single" w:color="auto" w:sz="4" w:space="0"/>
              <w:right w:val="single" w:color="auto" w:sz="4" w:space="0"/>
            </w:tcBorders>
            <w:noWrap w:val="0"/>
            <w:vAlign w:val="center"/>
          </w:tcPr>
          <w:p>
            <w:pPr>
              <w:topLinePunct/>
              <w:adjustRightInd w:val="0"/>
              <w:snapToGrid w:val="0"/>
              <w:spacing w:line="360" w:lineRule="auto"/>
              <w:jc w:val="center"/>
              <w:rPr>
                <w:rFonts w:hint="eastAsia" w:ascii="宋体" w:hAnsi="宋体" w:cs="宋体"/>
                <w:b/>
                <w:color w:val="auto"/>
                <w:spacing w:val="4"/>
                <w:kern w:val="0"/>
                <w:sz w:val="24"/>
                <w:szCs w:val="24"/>
                <w:highlight w:val="none"/>
              </w:rPr>
            </w:pPr>
            <w:r>
              <w:rPr>
                <w:rFonts w:hint="eastAsia" w:ascii="宋体" w:hAnsi="宋体" w:cs="宋体"/>
                <w:b/>
                <w:color w:val="auto"/>
                <w:spacing w:val="4"/>
                <w:kern w:val="0"/>
                <w:sz w:val="24"/>
                <w:szCs w:val="24"/>
                <w:highlight w:val="none"/>
              </w:rPr>
              <w:t>业绩简介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4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建设单位</w:t>
            </w:r>
          </w:p>
        </w:tc>
        <w:tc>
          <w:tcPr>
            <w:tcW w:w="15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项目名称</w:t>
            </w:r>
          </w:p>
        </w:tc>
        <w:tc>
          <w:tcPr>
            <w:tcW w:w="154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建设规模</w:t>
            </w:r>
          </w:p>
        </w:tc>
        <w:tc>
          <w:tcPr>
            <w:tcW w:w="178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开、竣工日期</w:t>
            </w:r>
          </w:p>
        </w:tc>
        <w:tc>
          <w:tcPr>
            <w:tcW w:w="1547"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在建或已完</w:t>
            </w:r>
          </w:p>
        </w:tc>
        <w:tc>
          <w:tcPr>
            <w:tcW w:w="15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48" w:type="dxa"/>
            <w:gridSpan w:val="2"/>
            <w:tcBorders>
              <w:top w:val="single" w:color="auto" w:sz="4" w:space="0"/>
              <w:left w:val="single" w:color="auto" w:sz="4" w:space="0"/>
              <w:bottom w:val="single" w:color="auto" w:sz="4" w:space="0"/>
              <w:right w:val="single" w:color="auto" w:sz="4" w:space="0"/>
            </w:tcBorders>
            <w:noWrap w:val="0"/>
            <w:vAlign w:val="center"/>
          </w:tcPr>
          <w:p>
            <w:pPr>
              <w:topLinePunct/>
              <w:adjustRightInd w:val="0"/>
              <w:snapToGrid w:val="0"/>
              <w:spacing w:line="360" w:lineRule="auto"/>
              <w:jc w:val="center"/>
              <w:rPr>
                <w:rFonts w:hint="eastAsia" w:ascii="宋体" w:hAnsi="宋体" w:cs="宋体"/>
                <w:b/>
                <w:color w:val="auto"/>
                <w:spacing w:val="4"/>
                <w:kern w:val="0"/>
                <w:sz w:val="24"/>
                <w:szCs w:val="24"/>
                <w:highlight w:val="none"/>
              </w:rPr>
            </w:pPr>
          </w:p>
        </w:tc>
        <w:tc>
          <w:tcPr>
            <w:tcW w:w="1547" w:type="dxa"/>
            <w:tcBorders>
              <w:top w:val="single" w:color="auto" w:sz="4" w:space="0"/>
              <w:left w:val="single" w:color="auto" w:sz="4" w:space="0"/>
              <w:bottom w:val="single" w:color="auto" w:sz="4" w:space="0"/>
              <w:right w:val="single" w:color="auto" w:sz="4" w:space="0"/>
            </w:tcBorders>
            <w:noWrap w:val="0"/>
            <w:vAlign w:val="center"/>
          </w:tcPr>
          <w:p>
            <w:pPr>
              <w:topLinePunct/>
              <w:adjustRightInd w:val="0"/>
              <w:snapToGrid w:val="0"/>
              <w:spacing w:line="360" w:lineRule="auto"/>
              <w:jc w:val="center"/>
              <w:rPr>
                <w:rFonts w:hint="eastAsia" w:ascii="宋体" w:hAnsi="宋体" w:cs="宋体"/>
                <w:b/>
                <w:color w:val="auto"/>
                <w:spacing w:val="4"/>
                <w:kern w:val="0"/>
                <w:sz w:val="24"/>
                <w:szCs w:val="24"/>
                <w:highlight w:val="none"/>
              </w:rPr>
            </w:pPr>
          </w:p>
        </w:tc>
        <w:tc>
          <w:tcPr>
            <w:tcW w:w="1549" w:type="dxa"/>
            <w:gridSpan w:val="2"/>
            <w:tcBorders>
              <w:top w:val="single" w:color="auto" w:sz="4" w:space="0"/>
              <w:left w:val="single" w:color="auto" w:sz="4" w:space="0"/>
              <w:bottom w:val="single" w:color="auto" w:sz="4" w:space="0"/>
              <w:right w:val="single" w:color="auto" w:sz="4" w:space="0"/>
            </w:tcBorders>
            <w:noWrap w:val="0"/>
            <w:vAlign w:val="center"/>
          </w:tcPr>
          <w:p>
            <w:pPr>
              <w:topLinePunct/>
              <w:adjustRightInd w:val="0"/>
              <w:snapToGrid w:val="0"/>
              <w:spacing w:line="360" w:lineRule="auto"/>
              <w:jc w:val="center"/>
              <w:rPr>
                <w:rFonts w:hint="eastAsia" w:ascii="宋体" w:hAnsi="宋体" w:cs="宋体"/>
                <w:b/>
                <w:color w:val="auto"/>
                <w:spacing w:val="4"/>
                <w:kern w:val="0"/>
                <w:sz w:val="24"/>
                <w:szCs w:val="24"/>
                <w:highlight w:val="none"/>
              </w:rPr>
            </w:pPr>
          </w:p>
        </w:tc>
        <w:tc>
          <w:tcPr>
            <w:tcW w:w="1783" w:type="dxa"/>
            <w:gridSpan w:val="2"/>
            <w:tcBorders>
              <w:top w:val="single" w:color="auto" w:sz="4" w:space="0"/>
              <w:left w:val="single" w:color="auto" w:sz="4" w:space="0"/>
              <w:bottom w:val="single" w:color="auto" w:sz="4" w:space="0"/>
              <w:right w:val="single" w:color="auto" w:sz="4" w:space="0"/>
            </w:tcBorders>
            <w:noWrap w:val="0"/>
            <w:vAlign w:val="center"/>
          </w:tcPr>
          <w:p>
            <w:pPr>
              <w:topLinePunct/>
              <w:adjustRightInd w:val="0"/>
              <w:snapToGrid w:val="0"/>
              <w:spacing w:line="360" w:lineRule="auto"/>
              <w:jc w:val="center"/>
              <w:rPr>
                <w:rFonts w:hint="eastAsia" w:ascii="宋体" w:hAnsi="宋体" w:cs="宋体"/>
                <w:b/>
                <w:color w:val="auto"/>
                <w:spacing w:val="4"/>
                <w:kern w:val="0"/>
                <w:sz w:val="24"/>
                <w:szCs w:val="24"/>
                <w:highlight w:val="none"/>
              </w:rPr>
            </w:pPr>
          </w:p>
        </w:tc>
        <w:tc>
          <w:tcPr>
            <w:tcW w:w="1547" w:type="dxa"/>
            <w:gridSpan w:val="3"/>
            <w:tcBorders>
              <w:top w:val="single" w:color="auto" w:sz="4" w:space="0"/>
              <w:left w:val="single" w:color="auto" w:sz="4" w:space="0"/>
              <w:bottom w:val="single" w:color="auto" w:sz="4" w:space="0"/>
              <w:right w:val="single" w:color="auto" w:sz="4" w:space="0"/>
            </w:tcBorders>
            <w:noWrap w:val="0"/>
            <w:vAlign w:val="center"/>
          </w:tcPr>
          <w:p>
            <w:pPr>
              <w:topLinePunct/>
              <w:adjustRightInd w:val="0"/>
              <w:snapToGrid w:val="0"/>
              <w:spacing w:line="360" w:lineRule="auto"/>
              <w:jc w:val="center"/>
              <w:rPr>
                <w:rFonts w:hint="eastAsia" w:ascii="宋体" w:hAnsi="宋体" w:cs="宋体"/>
                <w:b/>
                <w:color w:val="auto"/>
                <w:spacing w:val="4"/>
                <w:kern w:val="0"/>
                <w:sz w:val="24"/>
                <w:szCs w:val="24"/>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pPr>
              <w:topLinePunct/>
              <w:adjustRightInd w:val="0"/>
              <w:snapToGrid w:val="0"/>
              <w:spacing w:line="360" w:lineRule="auto"/>
              <w:jc w:val="center"/>
              <w:rPr>
                <w:rFonts w:hint="eastAsia" w:ascii="宋体" w:hAnsi="宋体" w:cs="宋体"/>
                <w:b/>
                <w:color w:val="auto"/>
                <w:spacing w:val="4"/>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48" w:type="dxa"/>
            <w:gridSpan w:val="2"/>
            <w:tcBorders>
              <w:top w:val="single" w:color="auto" w:sz="4" w:space="0"/>
              <w:left w:val="single" w:color="auto" w:sz="4" w:space="0"/>
              <w:bottom w:val="single" w:color="auto" w:sz="4" w:space="0"/>
              <w:right w:val="single" w:color="auto" w:sz="4" w:space="0"/>
            </w:tcBorders>
            <w:noWrap w:val="0"/>
            <w:vAlign w:val="center"/>
          </w:tcPr>
          <w:p>
            <w:pPr>
              <w:topLinePunct/>
              <w:adjustRightInd w:val="0"/>
              <w:snapToGrid w:val="0"/>
              <w:spacing w:line="360" w:lineRule="auto"/>
              <w:jc w:val="center"/>
              <w:rPr>
                <w:rFonts w:hint="eastAsia" w:ascii="宋体" w:hAnsi="宋体" w:cs="宋体"/>
                <w:color w:val="auto"/>
                <w:spacing w:val="4"/>
                <w:kern w:val="0"/>
                <w:sz w:val="24"/>
                <w:szCs w:val="24"/>
                <w:highlight w:val="none"/>
              </w:rPr>
            </w:pPr>
          </w:p>
        </w:tc>
        <w:tc>
          <w:tcPr>
            <w:tcW w:w="1547" w:type="dxa"/>
            <w:tcBorders>
              <w:top w:val="single" w:color="auto" w:sz="4" w:space="0"/>
              <w:left w:val="single" w:color="auto" w:sz="4" w:space="0"/>
              <w:bottom w:val="single" w:color="auto" w:sz="4" w:space="0"/>
              <w:right w:val="single" w:color="auto" w:sz="4" w:space="0"/>
            </w:tcBorders>
            <w:noWrap w:val="0"/>
            <w:vAlign w:val="center"/>
          </w:tcPr>
          <w:p>
            <w:pPr>
              <w:topLinePunct/>
              <w:adjustRightInd w:val="0"/>
              <w:snapToGrid w:val="0"/>
              <w:spacing w:line="360" w:lineRule="auto"/>
              <w:jc w:val="center"/>
              <w:rPr>
                <w:rFonts w:hint="eastAsia" w:ascii="宋体" w:hAnsi="宋体" w:cs="宋体"/>
                <w:color w:val="auto"/>
                <w:spacing w:val="4"/>
                <w:kern w:val="0"/>
                <w:sz w:val="24"/>
                <w:szCs w:val="24"/>
                <w:highlight w:val="none"/>
              </w:rPr>
            </w:pPr>
          </w:p>
        </w:tc>
        <w:tc>
          <w:tcPr>
            <w:tcW w:w="1549" w:type="dxa"/>
            <w:gridSpan w:val="2"/>
            <w:tcBorders>
              <w:top w:val="single" w:color="auto" w:sz="4" w:space="0"/>
              <w:left w:val="single" w:color="auto" w:sz="4" w:space="0"/>
              <w:bottom w:val="single" w:color="auto" w:sz="4" w:space="0"/>
              <w:right w:val="single" w:color="auto" w:sz="4" w:space="0"/>
            </w:tcBorders>
            <w:noWrap w:val="0"/>
            <w:vAlign w:val="center"/>
          </w:tcPr>
          <w:p>
            <w:pPr>
              <w:topLinePunct/>
              <w:adjustRightInd w:val="0"/>
              <w:snapToGrid w:val="0"/>
              <w:spacing w:line="360" w:lineRule="auto"/>
              <w:jc w:val="center"/>
              <w:rPr>
                <w:rFonts w:hint="eastAsia" w:ascii="宋体" w:hAnsi="宋体" w:cs="宋体"/>
                <w:color w:val="auto"/>
                <w:spacing w:val="4"/>
                <w:kern w:val="0"/>
                <w:sz w:val="24"/>
                <w:szCs w:val="24"/>
                <w:highlight w:val="none"/>
              </w:rPr>
            </w:pPr>
          </w:p>
        </w:tc>
        <w:tc>
          <w:tcPr>
            <w:tcW w:w="1783" w:type="dxa"/>
            <w:gridSpan w:val="2"/>
            <w:tcBorders>
              <w:top w:val="single" w:color="auto" w:sz="4" w:space="0"/>
              <w:left w:val="single" w:color="auto" w:sz="4" w:space="0"/>
              <w:bottom w:val="single" w:color="auto" w:sz="4" w:space="0"/>
              <w:right w:val="single" w:color="auto" w:sz="4" w:space="0"/>
            </w:tcBorders>
            <w:noWrap w:val="0"/>
            <w:vAlign w:val="center"/>
          </w:tcPr>
          <w:p>
            <w:pPr>
              <w:topLinePunct/>
              <w:adjustRightInd w:val="0"/>
              <w:snapToGrid w:val="0"/>
              <w:spacing w:line="360" w:lineRule="auto"/>
              <w:jc w:val="center"/>
              <w:rPr>
                <w:rFonts w:hint="eastAsia" w:ascii="宋体" w:hAnsi="宋体" w:cs="宋体"/>
                <w:color w:val="auto"/>
                <w:spacing w:val="4"/>
                <w:kern w:val="0"/>
                <w:sz w:val="24"/>
                <w:szCs w:val="24"/>
                <w:highlight w:val="none"/>
              </w:rPr>
            </w:pPr>
          </w:p>
        </w:tc>
        <w:tc>
          <w:tcPr>
            <w:tcW w:w="1547" w:type="dxa"/>
            <w:gridSpan w:val="3"/>
            <w:tcBorders>
              <w:top w:val="single" w:color="auto" w:sz="4" w:space="0"/>
              <w:left w:val="single" w:color="auto" w:sz="4" w:space="0"/>
              <w:bottom w:val="single" w:color="auto" w:sz="4" w:space="0"/>
              <w:right w:val="single" w:color="auto" w:sz="4" w:space="0"/>
            </w:tcBorders>
            <w:noWrap w:val="0"/>
            <w:vAlign w:val="center"/>
          </w:tcPr>
          <w:p>
            <w:pPr>
              <w:topLinePunct/>
              <w:adjustRightInd w:val="0"/>
              <w:snapToGrid w:val="0"/>
              <w:spacing w:line="360" w:lineRule="auto"/>
              <w:jc w:val="center"/>
              <w:rPr>
                <w:rFonts w:hint="eastAsia" w:ascii="宋体" w:hAnsi="宋体" w:cs="宋体"/>
                <w:color w:val="auto"/>
                <w:spacing w:val="4"/>
                <w:kern w:val="0"/>
                <w:sz w:val="24"/>
                <w:szCs w:val="24"/>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pPr>
              <w:topLinePunct/>
              <w:adjustRightInd w:val="0"/>
              <w:snapToGrid w:val="0"/>
              <w:spacing w:line="360" w:lineRule="auto"/>
              <w:jc w:val="center"/>
              <w:rPr>
                <w:rFonts w:hint="eastAsia" w:ascii="宋体" w:hAnsi="宋体" w:cs="宋体"/>
                <w:color w:val="auto"/>
                <w:spacing w:val="4"/>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48" w:type="dxa"/>
            <w:gridSpan w:val="2"/>
            <w:tcBorders>
              <w:top w:val="single" w:color="auto" w:sz="4" w:space="0"/>
              <w:left w:val="single" w:color="auto" w:sz="4" w:space="0"/>
              <w:bottom w:val="single" w:color="auto" w:sz="4" w:space="0"/>
              <w:right w:val="single" w:color="auto" w:sz="4" w:space="0"/>
            </w:tcBorders>
            <w:noWrap w:val="0"/>
            <w:vAlign w:val="center"/>
          </w:tcPr>
          <w:p>
            <w:pPr>
              <w:topLinePunct/>
              <w:adjustRightInd w:val="0"/>
              <w:snapToGrid w:val="0"/>
              <w:spacing w:line="360" w:lineRule="auto"/>
              <w:jc w:val="center"/>
              <w:rPr>
                <w:rFonts w:hint="eastAsia" w:ascii="宋体" w:hAnsi="宋体" w:cs="宋体"/>
                <w:color w:val="auto"/>
                <w:spacing w:val="4"/>
                <w:kern w:val="0"/>
                <w:sz w:val="24"/>
                <w:szCs w:val="24"/>
                <w:highlight w:val="none"/>
              </w:rPr>
            </w:pPr>
          </w:p>
        </w:tc>
        <w:tc>
          <w:tcPr>
            <w:tcW w:w="1547" w:type="dxa"/>
            <w:tcBorders>
              <w:top w:val="single" w:color="auto" w:sz="4" w:space="0"/>
              <w:left w:val="single" w:color="auto" w:sz="4" w:space="0"/>
              <w:bottom w:val="single" w:color="auto" w:sz="4" w:space="0"/>
              <w:right w:val="single" w:color="auto" w:sz="4" w:space="0"/>
            </w:tcBorders>
            <w:noWrap w:val="0"/>
            <w:vAlign w:val="center"/>
          </w:tcPr>
          <w:p>
            <w:pPr>
              <w:topLinePunct/>
              <w:adjustRightInd w:val="0"/>
              <w:snapToGrid w:val="0"/>
              <w:spacing w:line="360" w:lineRule="auto"/>
              <w:jc w:val="center"/>
              <w:rPr>
                <w:rFonts w:hint="eastAsia" w:ascii="宋体" w:hAnsi="宋体" w:cs="宋体"/>
                <w:color w:val="auto"/>
                <w:spacing w:val="4"/>
                <w:kern w:val="0"/>
                <w:sz w:val="24"/>
                <w:szCs w:val="24"/>
                <w:highlight w:val="none"/>
              </w:rPr>
            </w:pPr>
          </w:p>
        </w:tc>
        <w:tc>
          <w:tcPr>
            <w:tcW w:w="1549" w:type="dxa"/>
            <w:gridSpan w:val="2"/>
            <w:tcBorders>
              <w:top w:val="single" w:color="auto" w:sz="4" w:space="0"/>
              <w:left w:val="single" w:color="auto" w:sz="4" w:space="0"/>
              <w:bottom w:val="single" w:color="auto" w:sz="4" w:space="0"/>
              <w:right w:val="single" w:color="auto" w:sz="4" w:space="0"/>
            </w:tcBorders>
            <w:noWrap w:val="0"/>
            <w:vAlign w:val="center"/>
          </w:tcPr>
          <w:p>
            <w:pPr>
              <w:topLinePunct/>
              <w:adjustRightInd w:val="0"/>
              <w:snapToGrid w:val="0"/>
              <w:spacing w:line="360" w:lineRule="auto"/>
              <w:jc w:val="center"/>
              <w:rPr>
                <w:rFonts w:hint="eastAsia" w:ascii="宋体" w:hAnsi="宋体" w:cs="宋体"/>
                <w:color w:val="auto"/>
                <w:spacing w:val="4"/>
                <w:kern w:val="0"/>
                <w:sz w:val="24"/>
                <w:szCs w:val="24"/>
                <w:highlight w:val="none"/>
              </w:rPr>
            </w:pPr>
          </w:p>
        </w:tc>
        <w:tc>
          <w:tcPr>
            <w:tcW w:w="1783" w:type="dxa"/>
            <w:gridSpan w:val="2"/>
            <w:tcBorders>
              <w:top w:val="single" w:color="auto" w:sz="4" w:space="0"/>
              <w:left w:val="single" w:color="auto" w:sz="4" w:space="0"/>
              <w:bottom w:val="single" w:color="auto" w:sz="4" w:space="0"/>
              <w:right w:val="single" w:color="auto" w:sz="4" w:space="0"/>
            </w:tcBorders>
            <w:noWrap w:val="0"/>
            <w:vAlign w:val="center"/>
          </w:tcPr>
          <w:p>
            <w:pPr>
              <w:topLinePunct/>
              <w:adjustRightInd w:val="0"/>
              <w:snapToGrid w:val="0"/>
              <w:spacing w:line="360" w:lineRule="auto"/>
              <w:jc w:val="center"/>
              <w:rPr>
                <w:rFonts w:hint="eastAsia" w:ascii="宋体" w:hAnsi="宋体" w:cs="宋体"/>
                <w:color w:val="auto"/>
                <w:spacing w:val="4"/>
                <w:kern w:val="0"/>
                <w:sz w:val="24"/>
                <w:szCs w:val="24"/>
                <w:highlight w:val="none"/>
              </w:rPr>
            </w:pPr>
          </w:p>
        </w:tc>
        <w:tc>
          <w:tcPr>
            <w:tcW w:w="1547" w:type="dxa"/>
            <w:gridSpan w:val="3"/>
            <w:tcBorders>
              <w:top w:val="single" w:color="auto" w:sz="4" w:space="0"/>
              <w:left w:val="single" w:color="auto" w:sz="4" w:space="0"/>
              <w:bottom w:val="single" w:color="auto" w:sz="4" w:space="0"/>
              <w:right w:val="single" w:color="auto" w:sz="4" w:space="0"/>
            </w:tcBorders>
            <w:noWrap w:val="0"/>
            <w:vAlign w:val="center"/>
          </w:tcPr>
          <w:p>
            <w:pPr>
              <w:topLinePunct/>
              <w:adjustRightInd w:val="0"/>
              <w:snapToGrid w:val="0"/>
              <w:spacing w:line="360" w:lineRule="auto"/>
              <w:jc w:val="center"/>
              <w:rPr>
                <w:rFonts w:hint="eastAsia" w:ascii="宋体" w:hAnsi="宋体" w:cs="宋体"/>
                <w:color w:val="auto"/>
                <w:spacing w:val="4"/>
                <w:kern w:val="0"/>
                <w:sz w:val="24"/>
                <w:szCs w:val="24"/>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pPr>
              <w:topLinePunct/>
              <w:adjustRightInd w:val="0"/>
              <w:snapToGrid w:val="0"/>
              <w:spacing w:line="360" w:lineRule="auto"/>
              <w:jc w:val="center"/>
              <w:rPr>
                <w:rFonts w:hint="eastAsia" w:ascii="宋体" w:hAnsi="宋体" w:cs="宋体"/>
                <w:color w:val="auto"/>
                <w:spacing w:val="4"/>
                <w:kern w:val="0"/>
                <w:sz w:val="24"/>
                <w:szCs w:val="24"/>
                <w:highlight w:val="none"/>
              </w:rPr>
            </w:pPr>
          </w:p>
        </w:tc>
      </w:tr>
    </w:tbl>
    <w:p>
      <w:pPr>
        <w:spacing w:line="360" w:lineRule="auto"/>
        <w:outlineLvl w:val="2"/>
        <w:rPr>
          <w:rFonts w:hint="eastAsia" w:ascii="宋体" w:hAnsi="宋体" w:cs="宋体"/>
          <w:b/>
          <w:color w:val="auto"/>
          <w:sz w:val="24"/>
          <w:szCs w:val="24"/>
          <w:highlight w:val="none"/>
        </w:rPr>
      </w:pPr>
    </w:p>
    <w:p>
      <w:pPr>
        <w:topLinePunct/>
        <w:adjustRightInd w:val="0"/>
        <w:snapToGrid w:val="0"/>
        <w:spacing w:line="360" w:lineRule="auto"/>
        <w:ind w:firstLine="496" w:firstLineChars="200"/>
        <w:rPr>
          <w:color w:val="auto"/>
          <w:spacing w:val="4"/>
          <w:kern w:val="0"/>
          <w:sz w:val="24"/>
          <w:szCs w:val="24"/>
          <w:highlight w:val="none"/>
        </w:rPr>
      </w:pPr>
    </w:p>
    <w:p>
      <w:pPr>
        <w:topLinePunct/>
        <w:adjustRightInd w:val="0"/>
        <w:snapToGrid w:val="0"/>
        <w:spacing w:line="360" w:lineRule="auto"/>
        <w:jc w:val="center"/>
        <w:rPr>
          <w:rFonts w:ascii="宋体" w:hAnsi="宋体"/>
          <w:color w:val="auto"/>
          <w:spacing w:val="4"/>
          <w:kern w:val="0"/>
          <w:szCs w:val="21"/>
          <w:highlight w:val="none"/>
        </w:rPr>
      </w:pPr>
      <w:r>
        <w:rPr>
          <w:rFonts w:hint="eastAsia" w:ascii="宋体" w:hAnsi="宋体"/>
          <w:color w:val="auto"/>
          <w:spacing w:val="4"/>
          <w:kern w:val="0"/>
          <w:szCs w:val="21"/>
          <w:highlight w:val="none"/>
          <w:lang w:val="en-US" w:eastAsia="zh-CN"/>
        </w:rPr>
        <w:t xml:space="preserve">          </w:t>
      </w:r>
      <w:r>
        <w:rPr>
          <w:rFonts w:hint="eastAsia" w:ascii="宋体" w:hAnsi="宋体"/>
          <w:color w:val="auto"/>
          <w:spacing w:val="4"/>
          <w:kern w:val="0"/>
          <w:szCs w:val="21"/>
          <w:highlight w:val="none"/>
        </w:rPr>
        <w:t>投标人：　　（盖章）</w:t>
      </w:r>
    </w:p>
    <w:p>
      <w:pPr>
        <w:spacing w:before="120" w:after="120"/>
        <w:jc w:val="center"/>
        <w:rPr>
          <w:rFonts w:ascii="宋体" w:hAnsi="宋体"/>
          <w:b/>
          <w:color w:val="auto"/>
          <w:szCs w:val="21"/>
          <w:highlight w:val="none"/>
        </w:rPr>
      </w:pPr>
      <w:r>
        <w:rPr>
          <w:rFonts w:hint="eastAsia" w:ascii="宋体" w:hAnsi="宋体"/>
          <w:color w:val="auto"/>
          <w:szCs w:val="21"/>
          <w:highlight w:val="none"/>
        </w:rPr>
        <w:t xml:space="preserve">                 日   期：    年    月    日</w:t>
      </w:r>
    </w:p>
    <w:p>
      <w:pPr>
        <w:pStyle w:val="11"/>
        <w:widowControl/>
        <w:snapToGrid w:val="0"/>
        <w:ind w:right="102" w:firstLine="0"/>
        <w:jc w:val="left"/>
        <w:rPr>
          <w:rFonts w:ascii="宋体" w:hAnsi="宋体" w:cs="宋体"/>
          <w:snapToGrid w:val="0"/>
          <w:color w:val="auto"/>
          <w:spacing w:val="4"/>
          <w:kern w:val="0"/>
          <w:sz w:val="24"/>
          <w:szCs w:val="24"/>
          <w:highlight w:val="none"/>
        </w:rPr>
      </w:pPr>
    </w:p>
    <w:p>
      <w:pPr>
        <w:topLinePunct/>
        <w:adjustRightInd w:val="0"/>
        <w:snapToGrid w:val="0"/>
        <w:spacing w:line="360" w:lineRule="auto"/>
        <w:jc w:val="left"/>
        <w:rPr>
          <w:rFonts w:ascii="宋体" w:hAnsi="宋体" w:cs="宋体"/>
          <w:color w:val="auto"/>
          <w:sz w:val="24"/>
          <w:szCs w:val="24"/>
          <w:highlight w:val="none"/>
        </w:rPr>
      </w:pPr>
      <w:r>
        <w:rPr>
          <w:rFonts w:hint="eastAsia" w:ascii="宋体" w:hAnsi="宋体" w:cs="宋体"/>
          <w:bCs/>
          <w:color w:val="auto"/>
          <w:sz w:val="24"/>
          <w:szCs w:val="24"/>
          <w:highlight w:val="none"/>
        </w:rPr>
        <w:br w:type="page"/>
      </w:r>
      <w:r>
        <w:rPr>
          <w:rFonts w:hint="eastAsia" w:ascii="宋体" w:hAnsi="宋体" w:cs="宋体"/>
          <w:snapToGrid w:val="0"/>
          <w:color w:val="auto"/>
          <w:spacing w:val="4"/>
          <w:kern w:val="0"/>
          <w:sz w:val="24"/>
          <w:szCs w:val="24"/>
          <w:highlight w:val="none"/>
        </w:rPr>
        <w:t>技术标格式十</w:t>
      </w:r>
    </w:p>
    <w:p>
      <w:pPr>
        <w:shd w:val="clear" w:color="auto" w:fill="auto"/>
        <w:topLinePunct/>
        <w:adjustRightIn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企业工程获奖情况表</w:t>
      </w:r>
    </w:p>
    <w:tbl>
      <w:tblPr>
        <w:tblStyle w:val="30"/>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237"/>
        <w:gridCol w:w="1131"/>
        <w:gridCol w:w="1152"/>
        <w:gridCol w:w="1284"/>
        <w:gridCol w:w="1056"/>
        <w:gridCol w:w="1088"/>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19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23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业主单位</w:t>
            </w:r>
          </w:p>
        </w:tc>
        <w:tc>
          <w:tcPr>
            <w:tcW w:w="115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完成情况</w:t>
            </w:r>
          </w:p>
        </w:tc>
        <w:tc>
          <w:tcPr>
            <w:tcW w:w="128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颁发单位</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获奖奖项</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获奖时间</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提交证明材料在投标文件的位置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19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例如：投标文件第X页</w:t>
            </w:r>
            <w:r>
              <w:rPr>
                <w:rFonts w:hint="eastAsia" w:ascii="宋体" w:hAnsi="宋体" w:eastAsia="宋体" w:cs="宋体"/>
                <w:color w:val="auto"/>
                <w:sz w:val="24"/>
                <w:szCs w:val="24"/>
                <w:highlight w:val="none"/>
                <w:lang w:eastAsia="zh-CN"/>
              </w:rPr>
              <w:t>至</w:t>
            </w:r>
            <w:r>
              <w:rPr>
                <w:rFonts w:hint="eastAsia" w:ascii="宋体" w:hAnsi="宋体" w:eastAsia="宋体" w:cs="宋体"/>
                <w:color w:val="auto"/>
                <w:sz w:val="24"/>
                <w:szCs w:val="24"/>
                <w:highlight w:val="none"/>
              </w:rPr>
              <w:t>第X页</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19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19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19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19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19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19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opLinePunct/>
              <w:jc w:val="center"/>
              <w:rPr>
                <w:rFonts w:hint="eastAsia" w:ascii="宋体" w:hAnsi="宋体" w:eastAsia="宋体" w:cs="宋体"/>
                <w:color w:val="auto"/>
                <w:szCs w:val="21"/>
                <w:highlight w:val="none"/>
              </w:rPr>
            </w:pPr>
          </w:p>
        </w:tc>
      </w:tr>
    </w:tbl>
    <w:p>
      <w:pPr>
        <w:spacing w:line="360" w:lineRule="auto"/>
        <w:jc w:val="left"/>
        <w:rPr>
          <w:rFonts w:hint="eastAsia" w:ascii="宋体" w:hAnsi="宋体" w:cs="宋体"/>
          <w:color w:val="auto"/>
          <w:szCs w:val="24"/>
          <w:highlight w:val="none"/>
        </w:rPr>
      </w:pPr>
      <w:r>
        <w:rPr>
          <w:rFonts w:hint="eastAsia" w:ascii="宋体" w:hAnsi="宋体" w:cs="宋体"/>
          <w:color w:val="auto"/>
          <w:szCs w:val="24"/>
          <w:highlight w:val="none"/>
        </w:rPr>
        <w:t>注：</w:t>
      </w:r>
      <w:r>
        <w:rPr>
          <w:rFonts w:hint="eastAsia" w:ascii="宋体" w:hAnsi="宋体" w:cs="宋体"/>
          <w:color w:val="auto"/>
          <w:szCs w:val="21"/>
          <w:highlight w:val="none"/>
        </w:rPr>
        <w:t>由投标人按评审要求填写本表，并按《技术标详细审查评分表》要求附相关证明材料</w:t>
      </w:r>
      <w:r>
        <w:rPr>
          <w:rFonts w:hint="eastAsia" w:ascii="宋体" w:hAnsi="宋体" w:cs="宋体"/>
          <w:color w:val="auto"/>
          <w:szCs w:val="24"/>
          <w:highlight w:val="none"/>
        </w:rPr>
        <w:t>。</w:t>
      </w:r>
    </w:p>
    <w:p>
      <w:pPr>
        <w:snapToGrid w:val="0"/>
        <w:spacing w:line="360" w:lineRule="auto"/>
        <w:jc w:val="left"/>
        <w:rPr>
          <w:rFonts w:ascii="宋体" w:hAnsi="宋体" w:cs="宋体"/>
          <w:color w:val="auto"/>
          <w:szCs w:val="21"/>
          <w:highlight w:val="none"/>
        </w:rPr>
      </w:pPr>
    </w:p>
    <w:p>
      <w:pPr>
        <w:topLinePunct/>
        <w:adjustRightInd w:val="0"/>
        <w:snapToGrid w:val="0"/>
        <w:spacing w:line="360" w:lineRule="auto"/>
        <w:ind w:firstLine="1240" w:firstLineChars="500"/>
        <w:jc w:val="center"/>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投标人（盖章）：</w:t>
      </w:r>
    </w:p>
    <w:p>
      <w:pPr>
        <w:autoSpaceDE w:val="0"/>
        <w:autoSpaceDN w:val="0"/>
        <w:adjustRightInd w:val="0"/>
        <w:snapToGrid w:val="0"/>
        <w:spacing w:line="360" w:lineRule="auto"/>
        <w:jc w:val="center"/>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lang w:val="en-US" w:eastAsia="zh-CN"/>
        </w:rPr>
        <w:t xml:space="preserve">                     </w:t>
      </w:r>
      <w:r>
        <w:rPr>
          <w:rFonts w:hint="eastAsia" w:ascii="宋体" w:hAnsi="宋体" w:cs="宋体"/>
          <w:color w:val="auto"/>
          <w:spacing w:val="4"/>
          <w:kern w:val="0"/>
          <w:sz w:val="24"/>
          <w:szCs w:val="24"/>
          <w:highlight w:val="none"/>
        </w:rPr>
        <w:t>日</w:t>
      </w:r>
      <w:r>
        <w:rPr>
          <w:rFonts w:ascii="宋体" w:hAnsi="宋体" w:cs="宋体"/>
          <w:color w:val="auto"/>
          <w:spacing w:val="4"/>
          <w:kern w:val="0"/>
          <w:sz w:val="24"/>
          <w:szCs w:val="24"/>
          <w:highlight w:val="none"/>
        </w:rPr>
        <w:t xml:space="preserve">   </w:t>
      </w:r>
      <w:r>
        <w:rPr>
          <w:rFonts w:hint="eastAsia" w:ascii="宋体" w:hAnsi="宋体" w:cs="宋体"/>
          <w:color w:val="auto"/>
          <w:spacing w:val="4"/>
          <w:kern w:val="0"/>
          <w:sz w:val="24"/>
          <w:szCs w:val="24"/>
          <w:highlight w:val="none"/>
        </w:rPr>
        <w:t>期：</w:t>
      </w:r>
      <w:r>
        <w:rPr>
          <w:rFonts w:ascii="宋体" w:hAnsi="宋体" w:cs="宋体"/>
          <w:color w:val="auto"/>
          <w:spacing w:val="4"/>
          <w:kern w:val="0"/>
          <w:sz w:val="24"/>
          <w:szCs w:val="24"/>
          <w:highlight w:val="none"/>
        </w:rPr>
        <w:t xml:space="preserve">    </w:t>
      </w:r>
      <w:r>
        <w:rPr>
          <w:rFonts w:hint="eastAsia" w:ascii="宋体" w:hAnsi="宋体" w:cs="宋体"/>
          <w:color w:val="auto"/>
          <w:spacing w:val="4"/>
          <w:kern w:val="0"/>
          <w:sz w:val="24"/>
          <w:szCs w:val="24"/>
          <w:highlight w:val="none"/>
        </w:rPr>
        <w:t>年</w:t>
      </w:r>
      <w:r>
        <w:rPr>
          <w:rFonts w:ascii="宋体" w:hAnsi="宋体" w:cs="宋体"/>
          <w:color w:val="auto"/>
          <w:spacing w:val="4"/>
          <w:kern w:val="0"/>
          <w:sz w:val="24"/>
          <w:szCs w:val="24"/>
          <w:highlight w:val="none"/>
        </w:rPr>
        <w:t xml:space="preserve">    </w:t>
      </w:r>
      <w:r>
        <w:rPr>
          <w:rFonts w:hint="eastAsia" w:ascii="宋体" w:hAnsi="宋体" w:cs="宋体"/>
          <w:color w:val="auto"/>
          <w:spacing w:val="4"/>
          <w:kern w:val="0"/>
          <w:sz w:val="24"/>
          <w:szCs w:val="24"/>
          <w:highlight w:val="none"/>
        </w:rPr>
        <w:t>月</w:t>
      </w:r>
      <w:r>
        <w:rPr>
          <w:rFonts w:ascii="宋体" w:hAnsi="宋体" w:cs="宋体"/>
          <w:color w:val="auto"/>
          <w:spacing w:val="4"/>
          <w:kern w:val="0"/>
          <w:sz w:val="24"/>
          <w:szCs w:val="24"/>
          <w:highlight w:val="none"/>
        </w:rPr>
        <w:t xml:space="preserve">    </w:t>
      </w:r>
      <w:r>
        <w:rPr>
          <w:rFonts w:hint="eastAsia" w:ascii="宋体" w:hAnsi="宋体" w:cs="宋体"/>
          <w:color w:val="auto"/>
          <w:spacing w:val="4"/>
          <w:kern w:val="0"/>
          <w:sz w:val="24"/>
          <w:szCs w:val="24"/>
          <w:highlight w:val="none"/>
        </w:rPr>
        <w:t>日</w:t>
      </w:r>
    </w:p>
    <w:p>
      <w:pPr>
        <w:snapToGrid w:val="0"/>
        <w:spacing w:line="360" w:lineRule="auto"/>
        <w:ind w:firstLine="400" w:firstLineChars="200"/>
        <w:rPr>
          <w:rFonts w:ascii="宋体" w:hAnsi="宋体" w:cs="宋体"/>
          <w:color w:val="auto"/>
          <w:sz w:val="20"/>
          <w:szCs w:val="24"/>
          <w:highlight w:val="none"/>
        </w:rPr>
      </w:pPr>
    </w:p>
    <w:p>
      <w:pPr>
        <w:autoSpaceDE w:val="0"/>
        <w:autoSpaceDN w:val="0"/>
        <w:adjustRightInd w:val="0"/>
        <w:snapToGrid w:val="0"/>
        <w:spacing w:line="360" w:lineRule="auto"/>
        <w:jc w:val="center"/>
        <w:rPr>
          <w:rFonts w:ascii="宋体" w:hAnsi="宋体" w:cs="宋体"/>
          <w:b/>
          <w:bCs/>
          <w:color w:val="auto"/>
          <w:sz w:val="36"/>
          <w:szCs w:val="36"/>
          <w:highlight w:val="none"/>
          <w:lang w:val="zh-CN"/>
        </w:rPr>
      </w:pPr>
    </w:p>
    <w:p>
      <w:pPr>
        <w:widowControl/>
        <w:snapToGrid w:val="0"/>
        <w:spacing w:line="360" w:lineRule="auto"/>
        <w:ind w:right="102"/>
        <w:jc w:val="left"/>
        <w:rPr>
          <w:rFonts w:ascii="宋体" w:hAnsi="宋体" w:cs="宋体"/>
          <w:color w:val="auto"/>
          <w:sz w:val="24"/>
          <w:szCs w:val="24"/>
          <w:highlight w:val="none"/>
          <w:lang w:val="zh-CN"/>
        </w:rPr>
      </w:pPr>
    </w:p>
    <w:p>
      <w:pPr>
        <w:widowControl/>
        <w:snapToGrid w:val="0"/>
        <w:spacing w:line="360" w:lineRule="auto"/>
        <w:ind w:right="102"/>
        <w:jc w:val="left"/>
        <w:rPr>
          <w:rFonts w:ascii="宋体" w:hAnsi="宋体" w:cs="宋体"/>
          <w:color w:val="auto"/>
          <w:sz w:val="24"/>
          <w:szCs w:val="24"/>
          <w:highlight w:val="none"/>
          <w:lang w:val="zh-CN"/>
        </w:rPr>
      </w:pPr>
    </w:p>
    <w:p>
      <w:pPr>
        <w:widowControl/>
        <w:snapToGrid w:val="0"/>
        <w:spacing w:line="360" w:lineRule="auto"/>
        <w:ind w:right="102"/>
        <w:jc w:val="left"/>
        <w:rPr>
          <w:rFonts w:ascii="宋体" w:hAnsi="宋体" w:cs="宋体"/>
          <w:color w:val="auto"/>
          <w:sz w:val="24"/>
          <w:szCs w:val="24"/>
          <w:highlight w:val="none"/>
          <w:lang w:val="zh-CN"/>
        </w:rPr>
      </w:pPr>
    </w:p>
    <w:p>
      <w:pPr>
        <w:widowControl/>
        <w:jc w:val="left"/>
        <w:rPr>
          <w:rFonts w:ascii="宋体" w:hAnsi="宋体" w:cs="宋体"/>
          <w:color w:val="auto"/>
          <w:sz w:val="24"/>
          <w:szCs w:val="24"/>
          <w:highlight w:val="none"/>
        </w:rPr>
      </w:pPr>
      <w:r>
        <w:rPr>
          <w:rFonts w:ascii="宋体" w:hAnsi="宋体" w:cs="宋体"/>
          <w:color w:val="auto"/>
          <w:sz w:val="24"/>
          <w:szCs w:val="24"/>
          <w:highlight w:val="none"/>
        </w:rPr>
        <w:br w:type="page"/>
      </w:r>
    </w:p>
    <w:p>
      <w:pPr>
        <w:autoSpaceDE w:val="0"/>
        <w:autoSpaceDN w:val="0"/>
        <w:adjustRightInd w:val="0"/>
        <w:spacing w:line="360" w:lineRule="auto"/>
        <w:rPr>
          <w:rFonts w:ascii="宋体" w:hAnsi="宋体" w:cs="宋体"/>
          <w:bCs/>
          <w:color w:val="auto"/>
          <w:sz w:val="24"/>
          <w:szCs w:val="24"/>
          <w:highlight w:val="none"/>
          <w:lang w:val="zh-CN"/>
        </w:rPr>
      </w:pPr>
      <w:r>
        <w:rPr>
          <w:rFonts w:hint="eastAsia"/>
          <w:color w:val="auto"/>
          <w:sz w:val="24"/>
          <w:szCs w:val="24"/>
          <w:highlight w:val="none"/>
        </w:rPr>
        <w:t>技术标</w:t>
      </w:r>
      <w:r>
        <w:rPr>
          <w:rFonts w:hint="eastAsia" w:ascii="宋体" w:hAnsi="宋体" w:cs="宋体"/>
          <w:color w:val="auto"/>
          <w:sz w:val="24"/>
          <w:szCs w:val="24"/>
          <w:highlight w:val="none"/>
        </w:rPr>
        <w:t>格式十一</w:t>
      </w:r>
    </w:p>
    <w:p>
      <w:pPr>
        <w:autoSpaceDE w:val="0"/>
        <w:autoSpaceDN w:val="0"/>
        <w:adjustRightIn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拟投入本工程施工的主要机械设备配备表</w:t>
      </w:r>
    </w:p>
    <w:tbl>
      <w:tblPr>
        <w:tblStyle w:val="30"/>
        <w:tblW w:w="85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0"/>
        <w:gridCol w:w="2856"/>
        <w:gridCol w:w="2024"/>
        <w:gridCol w:w="1559"/>
        <w:gridCol w:w="13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序</w:t>
            </w:r>
          </w:p>
          <w:p>
            <w:pPr>
              <w:spacing w:line="2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号</w:t>
            </w: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设备名称</w:t>
            </w: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投入总数量</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来源</w:t>
            </w:r>
          </w:p>
          <w:p>
            <w:pPr>
              <w:spacing w:line="2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(自有/租赁)</w:t>
            </w:r>
          </w:p>
        </w:tc>
        <w:tc>
          <w:tcPr>
            <w:tcW w:w="13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3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3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3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3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369" w:type="dxa"/>
            <w:tcBorders>
              <w:top w:val="single" w:color="auto" w:sz="4" w:space="0"/>
              <w:left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r>
    </w:tbl>
    <w:p>
      <w:pPr>
        <w:tabs>
          <w:tab w:val="left" w:pos="720"/>
        </w:tabs>
        <w:snapToGrid w:val="0"/>
        <w:spacing w:line="360" w:lineRule="auto"/>
        <w:rPr>
          <w:color w:val="auto"/>
          <w:highlight w:val="none"/>
        </w:rPr>
      </w:pPr>
    </w:p>
    <w:p>
      <w:pPr>
        <w:ind w:right="-130" w:rightChars="-62"/>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注：</w:t>
      </w:r>
    </w:p>
    <w:p>
      <w:pPr>
        <w:numPr>
          <w:ilvl w:val="0"/>
          <w:numId w:val="9"/>
        </w:numPr>
        <w:ind w:right="-130" w:rightChars="-62"/>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设备名称及要求数量由投标人视本工程具体情况结合招标人对本工程的具体要求自行配备。</w:t>
      </w:r>
    </w:p>
    <w:p>
      <w:pPr>
        <w:numPr>
          <w:ilvl w:val="0"/>
          <w:numId w:val="9"/>
        </w:numPr>
        <w:ind w:right="-130" w:rightChars="-62"/>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为贯彻绿色发展理念，本项目应积极使用燃料电池汽车等新能源工程车，要求投标人投入的新能源工程车占投入的建筑垃圾自卸车（渣土车）总数比例不低于</w:t>
      </w:r>
      <w:r>
        <w:rPr>
          <w:rFonts w:asciiTheme="minorEastAsia" w:hAnsiTheme="minorEastAsia" w:eastAsiaTheme="minorEastAsia"/>
          <w:color w:val="auto"/>
          <w:highlight w:val="none"/>
        </w:rPr>
        <w:t>40%</w:t>
      </w:r>
      <w:r>
        <w:rPr>
          <w:rFonts w:hint="eastAsia" w:asciiTheme="minorEastAsia" w:hAnsiTheme="minorEastAsia" w:eastAsiaTheme="minorEastAsia"/>
          <w:color w:val="auto"/>
          <w:highlight w:val="none"/>
        </w:rPr>
        <w:t>。一旦中标，必须全部到位，否则按合同违约处理。</w:t>
      </w:r>
    </w:p>
    <w:p>
      <w:pPr>
        <w:topLinePunct/>
        <w:adjustRightInd w:val="0"/>
        <w:snapToGrid w:val="0"/>
        <w:spacing w:line="360" w:lineRule="auto"/>
        <w:ind w:firstLine="3161" w:firstLineChars="1450"/>
        <w:rPr>
          <w:snapToGrid w:val="0"/>
          <w:color w:val="auto"/>
          <w:spacing w:val="4"/>
          <w:kern w:val="0"/>
          <w:szCs w:val="21"/>
          <w:highlight w:val="none"/>
        </w:rPr>
      </w:pPr>
    </w:p>
    <w:p>
      <w:pPr>
        <w:topLinePunct/>
        <w:adjustRightInd w:val="0"/>
        <w:snapToGrid w:val="0"/>
        <w:spacing w:line="360" w:lineRule="auto"/>
        <w:ind w:firstLine="3161" w:firstLineChars="1450"/>
        <w:jc w:val="center"/>
        <w:rPr>
          <w:snapToGrid w:val="0"/>
          <w:color w:val="auto"/>
          <w:spacing w:val="4"/>
          <w:kern w:val="0"/>
          <w:szCs w:val="21"/>
          <w:highlight w:val="none"/>
        </w:rPr>
      </w:pPr>
      <w:r>
        <w:rPr>
          <w:rFonts w:hint="eastAsia"/>
          <w:snapToGrid w:val="0"/>
          <w:color w:val="auto"/>
          <w:spacing w:val="4"/>
          <w:kern w:val="0"/>
          <w:szCs w:val="21"/>
          <w:highlight w:val="none"/>
        </w:rPr>
        <w:t>投标人：　　（盖章）</w:t>
      </w:r>
    </w:p>
    <w:p>
      <w:pPr>
        <w:widowControl/>
        <w:snapToGrid w:val="0"/>
        <w:spacing w:line="360" w:lineRule="auto"/>
        <w:ind w:right="102"/>
        <w:jc w:val="center"/>
        <w:rPr>
          <w:snapToGrid w:val="0"/>
          <w:color w:val="auto"/>
          <w:spacing w:val="4"/>
          <w:kern w:val="0"/>
          <w:szCs w:val="21"/>
          <w:highlight w:val="none"/>
        </w:rPr>
      </w:pPr>
      <w:r>
        <w:rPr>
          <w:rFonts w:hint="eastAsia"/>
          <w:snapToGrid w:val="0"/>
          <w:color w:val="auto"/>
          <w:spacing w:val="4"/>
          <w:kern w:val="0"/>
          <w:szCs w:val="21"/>
          <w:highlight w:val="none"/>
          <w:lang w:val="en-US" w:eastAsia="zh-CN"/>
        </w:rPr>
        <w:t xml:space="preserve">                              </w:t>
      </w:r>
      <w:r>
        <w:rPr>
          <w:rFonts w:hint="eastAsia"/>
          <w:snapToGrid w:val="0"/>
          <w:color w:val="auto"/>
          <w:spacing w:val="4"/>
          <w:kern w:val="0"/>
          <w:szCs w:val="21"/>
          <w:highlight w:val="none"/>
        </w:rPr>
        <w:t>日</w:t>
      </w:r>
      <w:r>
        <w:rPr>
          <w:rFonts w:hint="eastAsia"/>
          <w:snapToGrid w:val="0"/>
          <w:color w:val="auto"/>
          <w:spacing w:val="4"/>
          <w:kern w:val="0"/>
          <w:szCs w:val="21"/>
          <w:highlight w:val="none"/>
          <w:lang w:val="en-US" w:eastAsia="zh-CN"/>
        </w:rPr>
        <w:t xml:space="preserve">  </w:t>
      </w:r>
      <w:r>
        <w:rPr>
          <w:rFonts w:hint="eastAsia"/>
          <w:snapToGrid w:val="0"/>
          <w:color w:val="auto"/>
          <w:spacing w:val="4"/>
          <w:kern w:val="0"/>
          <w:szCs w:val="21"/>
          <w:highlight w:val="none"/>
        </w:rPr>
        <w:t>期：</w:t>
      </w:r>
      <w:r>
        <w:rPr>
          <w:rFonts w:hint="eastAsia"/>
          <w:snapToGrid w:val="0"/>
          <w:color w:val="auto"/>
          <w:spacing w:val="4"/>
          <w:kern w:val="0"/>
          <w:szCs w:val="21"/>
          <w:highlight w:val="none"/>
          <w:lang w:val="en-US" w:eastAsia="zh-CN"/>
        </w:rPr>
        <w:t xml:space="preserve"> </w:t>
      </w:r>
      <w:r>
        <w:rPr>
          <w:rFonts w:hint="eastAsia"/>
          <w:snapToGrid w:val="0"/>
          <w:color w:val="auto"/>
          <w:spacing w:val="4"/>
          <w:kern w:val="0"/>
          <w:szCs w:val="21"/>
          <w:highlight w:val="none"/>
        </w:rPr>
        <w:t xml:space="preserve">  年  月  日</w:t>
      </w:r>
    </w:p>
    <w:p>
      <w:pPr>
        <w:widowControl/>
        <w:snapToGrid w:val="0"/>
        <w:spacing w:line="360" w:lineRule="auto"/>
        <w:ind w:right="102"/>
        <w:jc w:val="left"/>
        <w:rPr>
          <w:rFonts w:ascii="宋体" w:hAnsi="宋体" w:cs="宋体"/>
          <w:color w:val="auto"/>
          <w:sz w:val="24"/>
          <w:szCs w:val="24"/>
          <w:highlight w:val="none"/>
          <w:lang w:val="zh-CN"/>
        </w:rPr>
      </w:pPr>
    </w:p>
    <w:p>
      <w:pPr>
        <w:snapToGrid w:val="0"/>
        <w:spacing w:line="360" w:lineRule="auto"/>
        <w:jc w:val="left"/>
        <w:rPr>
          <w:rFonts w:ascii="宋体" w:hAnsi="宋体" w:cs="宋体"/>
          <w:bCs/>
          <w:color w:val="auto"/>
          <w:szCs w:val="24"/>
          <w:highlight w:val="none"/>
        </w:rPr>
      </w:pPr>
    </w:p>
    <w:p>
      <w:pPr>
        <w:snapToGrid w:val="0"/>
        <w:spacing w:line="360" w:lineRule="auto"/>
        <w:jc w:val="left"/>
        <w:rPr>
          <w:rFonts w:ascii="宋体" w:hAnsi="宋体" w:cs="宋体"/>
          <w:bCs/>
          <w:color w:val="auto"/>
          <w:szCs w:val="24"/>
          <w:highlight w:val="none"/>
        </w:rPr>
      </w:pPr>
    </w:p>
    <w:p>
      <w:pPr>
        <w:snapToGrid w:val="0"/>
        <w:spacing w:line="360" w:lineRule="auto"/>
        <w:jc w:val="left"/>
        <w:rPr>
          <w:rFonts w:ascii="宋体" w:hAnsi="宋体" w:cs="宋体"/>
          <w:bCs/>
          <w:color w:val="auto"/>
          <w:szCs w:val="24"/>
          <w:highlight w:val="none"/>
        </w:rPr>
      </w:pPr>
    </w:p>
    <w:p>
      <w:pPr>
        <w:snapToGrid w:val="0"/>
        <w:spacing w:line="360" w:lineRule="auto"/>
        <w:jc w:val="left"/>
        <w:rPr>
          <w:rFonts w:ascii="宋体" w:hAnsi="宋体" w:cs="宋体"/>
          <w:bCs/>
          <w:color w:val="auto"/>
          <w:szCs w:val="24"/>
          <w:highlight w:val="none"/>
        </w:rPr>
      </w:pPr>
    </w:p>
    <w:p>
      <w:pPr>
        <w:snapToGrid w:val="0"/>
        <w:spacing w:line="360" w:lineRule="auto"/>
        <w:jc w:val="left"/>
        <w:rPr>
          <w:rFonts w:ascii="宋体" w:hAnsi="宋体" w:cs="宋体"/>
          <w:bCs/>
          <w:color w:val="auto"/>
          <w:szCs w:val="24"/>
          <w:highlight w:val="none"/>
        </w:rPr>
      </w:pPr>
    </w:p>
    <w:p>
      <w:pPr>
        <w:rPr>
          <w:rFonts w:ascii="宋体" w:hAnsi="宋体" w:cs="宋体"/>
          <w:color w:val="auto"/>
          <w:sz w:val="24"/>
          <w:szCs w:val="24"/>
          <w:highlight w:val="none"/>
        </w:rPr>
      </w:pPr>
      <w:r>
        <w:rPr>
          <w:rFonts w:hint="eastAsia" w:ascii="宋体" w:hAnsi="宋体" w:cs="宋体"/>
          <w:color w:val="auto"/>
          <w:sz w:val="24"/>
          <w:szCs w:val="24"/>
          <w:highlight w:val="none"/>
        </w:rPr>
        <w:br w:type="page"/>
      </w:r>
    </w:p>
    <w:bookmarkEnd w:id="28"/>
    <w:bookmarkEnd w:id="29"/>
    <w:p>
      <w:pPr>
        <w:autoSpaceDE w:val="0"/>
        <w:autoSpaceDN w:val="0"/>
        <w:adjustRightInd w:val="0"/>
        <w:snapToGrid w:val="0"/>
        <w:spacing w:line="360" w:lineRule="auto"/>
        <w:rPr>
          <w:rFonts w:ascii="宋体" w:hAnsi="宋体" w:cs="宋体"/>
          <w:bCs/>
          <w:color w:val="auto"/>
          <w:sz w:val="24"/>
          <w:szCs w:val="24"/>
          <w:highlight w:val="none"/>
        </w:rPr>
      </w:pPr>
      <w:r>
        <w:rPr>
          <w:rFonts w:hint="eastAsia" w:ascii="宋体" w:hAnsi="宋体" w:cs="宋体"/>
          <w:bCs/>
          <w:color w:val="auto"/>
          <w:sz w:val="24"/>
          <w:szCs w:val="24"/>
          <w:highlight w:val="none"/>
        </w:rPr>
        <w:t>技术标格式十二</w:t>
      </w:r>
    </w:p>
    <w:p>
      <w:pPr>
        <w:autoSpaceDE w:val="0"/>
        <w:autoSpaceDN w:val="0"/>
        <w:adjustRightInd w:val="0"/>
        <w:snapToGrid w:val="0"/>
        <w:spacing w:line="36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危险性较大的分部分项工程安全管理措施</w:t>
      </w:r>
    </w:p>
    <w:p>
      <w:pPr>
        <w:numPr>
          <w:ilvl w:val="0"/>
          <w:numId w:val="10"/>
        </w:numPr>
        <w:autoSpaceDE w:val="0"/>
        <w:autoSpaceDN w:val="0"/>
        <w:adjustRightInd w:val="0"/>
        <w:spacing w:line="360" w:lineRule="auto"/>
        <w:jc w:val="left"/>
        <w:rPr>
          <w:rFonts w:ascii="宋体" w:hAnsi="宋体"/>
          <w:snapToGrid w:val="0"/>
          <w:color w:val="auto"/>
          <w:spacing w:val="4"/>
          <w:kern w:val="0"/>
          <w:sz w:val="24"/>
          <w:szCs w:val="24"/>
          <w:highlight w:val="none"/>
        </w:rPr>
      </w:pPr>
      <w:r>
        <w:rPr>
          <w:rFonts w:hint="eastAsia" w:ascii="宋体" w:hAnsi="宋体"/>
          <w:color w:val="auto"/>
          <w:sz w:val="24"/>
          <w:szCs w:val="28"/>
          <w:highlight w:val="none"/>
        </w:rPr>
        <w:t>根据中华人民共和国住房和城乡建设部令第37号《危险性较大的分部分项工程安全管理规定》（以下简称“37号文”），投标人在投标时须补充完善危大工程清单并</w:t>
      </w:r>
      <w:r>
        <w:rPr>
          <w:rFonts w:hint="eastAsia" w:ascii="宋体" w:hAnsi="宋体"/>
          <w:snapToGrid w:val="0"/>
          <w:color w:val="auto"/>
          <w:spacing w:val="4"/>
          <w:kern w:val="0"/>
          <w:sz w:val="24"/>
          <w:szCs w:val="24"/>
          <w:highlight w:val="none"/>
        </w:rPr>
        <w:t>结合本工程的类型和特点，科学、合理地设置本项目的危险性较大的分部分项工程安全管理措施，危险性较大的分部分项工程安全管理措施由投标人结合招标人对本工程的具体要求自行设定。</w:t>
      </w:r>
    </w:p>
    <w:p>
      <w:pPr>
        <w:numPr>
          <w:ilvl w:val="0"/>
          <w:numId w:val="10"/>
        </w:numPr>
        <w:autoSpaceDE w:val="0"/>
        <w:autoSpaceDN w:val="0"/>
        <w:adjustRightInd w:val="0"/>
        <w:spacing w:line="360" w:lineRule="auto"/>
        <w:jc w:val="left"/>
        <w:rPr>
          <w:rFonts w:ascii="宋体" w:hAnsi="宋体"/>
          <w:color w:val="auto"/>
          <w:sz w:val="24"/>
          <w:szCs w:val="28"/>
          <w:highlight w:val="none"/>
        </w:rPr>
      </w:pPr>
      <w:r>
        <w:rPr>
          <w:rFonts w:hint="eastAsia" w:ascii="宋体" w:hAnsi="宋体"/>
          <w:color w:val="auto"/>
          <w:sz w:val="24"/>
          <w:szCs w:val="28"/>
          <w:highlight w:val="none"/>
        </w:rPr>
        <w:t>招标人根据设计文件的要求及37号文的规定列出“危险性较大的分部分项工程清单及超过一定规模的危险性较大的分部分项工程清单”中与本招标项目相关的清单项，具体详第5点“打</w:t>
      </w:r>
      <w:r>
        <w:rPr>
          <w:rFonts w:hint="eastAsia" w:ascii="宋体" w:hAnsi="宋体"/>
          <w:color w:val="auto"/>
          <w:sz w:val="24"/>
          <w:szCs w:val="36"/>
          <w:highlight w:val="none"/>
        </w:rPr>
        <w:t>√”标识。</w:t>
      </w:r>
    </w:p>
    <w:p>
      <w:pPr>
        <w:numPr>
          <w:ilvl w:val="0"/>
          <w:numId w:val="11"/>
        </w:numPr>
        <w:autoSpaceDE w:val="0"/>
        <w:autoSpaceDN w:val="0"/>
        <w:adjustRightInd w:val="0"/>
        <w:spacing w:line="360" w:lineRule="auto"/>
        <w:jc w:val="left"/>
        <w:rPr>
          <w:rFonts w:ascii="宋体" w:hAnsi="宋体"/>
          <w:color w:val="auto"/>
          <w:sz w:val="24"/>
          <w:szCs w:val="36"/>
          <w:highlight w:val="none"/>
        </w:rPr>
      </w:pPr>
      <w:r>
        <w:rPr>
          <w:rFonts w:hint="eastAsia" w:ascii="宋体" w:hAnsi="宋体"/>
          <w:color w:val="auto"/>
          <w:sz w:val="24"/>
          <w:szCs w:val="28"/>
          <w:highlight w:val="none"/>
        </w:rPr>
        <w:t>投标单位同意建设单位在清单中标识的该项请在对应项打“</w:t>
      </w:r>
      <w:r>
        <w:rPr>
          <w:rFonts w:hint="eastAsia" w:ascii="宋体" w:hAnsi="宋体"/>
          <w:color w:val="auto"/>
          <w:sz w:val="24"/>
          <w:szCs w:val="36"/>
          <w:highlight w:val="none"/>
        </w:rPr>
        <w:t>√”标识，并与投标文件中提供相应的安全管理措施。</w:t>
      </w:r>
    </w:p>
    <w:p>
      <w:pPr>
        <w:numPr>
          <w:ilvl w:val="0"/>
          <w:numId w:val="11"/>
        </w:numPr>
        <w:autoSpaceDE w:val="0"/>
        <w:autoSpaceDN w:val="0"/>
        <w:adjustRightInd w:val="0"/>
        <w:spacing w:line="360" w:lineRule="auto"/>
        <w:jc w:val="left"/>
        <w:rPr>
          <w:rFonts w:ascii="宋体" w:hAnsi="宋体"/>
          <w:color w:val="auto"/>
          <w:sz w:val="24"/>
          <w:szCs w:val="36"/>
          <w:highlight w:val="none"/>
        </w:rPr>
      </w:pPr>
      <w:r>
        <w:rPr>
          <w:rFonts w:hint="eastAsia" w:ascii="宋体" w:hAnsi="宋体"/>
          <w:color w:val="auto"/>
          <w:sz w:val="24"/>
          <w:szCs w:val="28"/>
          <w:highlight w:val="none"/>
        </w:rPr>
        <w:t>投标单位对清单中认为需要补充的该项请在对应项打“</w:t>
      </w:r>
      <w:r>
        <w:rPr>
          <w:rFonts w:hint="eastAsia" w:ascii="宋体" w:hAnsi="宋体"/>
          <w:color w:val="auto"/>
          <w:sz w:val="24"/>
          <w:szCs w:val="36"/>
          <w:highlight w:val="none"/>
        </w:rPr>
        <w:t>√”标识，并与投标文件中提供相应的安全管理措施。</w:t>
      </w:r>
    </w:p>
    <w:p>
      <w:pPr>
        <w:numPr>
          <w:ilvl w:val="0"/>
          <w:numId w:val="11"/>
        </w:numPr>
        <w:autoSpaceDE w:val="0"/>
        <w:autoSpaceDN w:val="0"/>
        <w:adjustRightInd w:val="0"/>
        <w:spacing w:line="360" w:lineRule="auto"/>
        <w:jc w:val="left"/>
        <w:rPr>
          <w:rFonts w:ascii="宋体" w:hAnsi="宋体"/>
          <w:color w:val="auto"/>
          <w:sz w:val="24"/>
          <w:szCs w:val="28"/>
          <w:highlight w:val="none"/>
        </w:rPr>
      </w:pPr>
      <w:r>
        <w:rPr>
          <w:rFonts w:hint="eastAsia" w:ascii="宋体" w:hAnsi="宋体"/>
          <w:color w:val="auto"/>
          <w:sz w:val="24"/>
          <w:szCs w:val="36"/>
          <w:highlight w:val="none"/>
        </w:rPr>
        <w:t>投标单位不同意建设单位</w:t>
      </w:r>
      <w:r>
        <w:rPr>
          <w:rFonts w:hint="eastAsia" w:ascii="宋体" w:hAnsi="宋体"/>
          <w:color w:val="auto"/>
          <w:sz w:val="24"/>
          <w:szCs w:val="28"/>
          <w:highlight w:val="none"/>
        </w:rPr>
        <w:t>在清单中标识的该项</w:t>
      </w:r>
      <w:r>
        <w:rPr>
          <w:rFonts w:hint="eastAsia" w:ascii="宋体" w:hAnsi="宋体"/>
          <w:color w:val="auto"/>
          <w:sz w:val="24"/>
          <w:szCs w:val="36"/>
          <w:highlight w:val="none"/>
        </w:rPr>
        <w:t>请在对应项打“×”标识，并在备注栏填上相关说明。</w:t>
      </w:r>
    </w:p>
    <w:p>
      <w:pPr>
        <w:numPr>
          <w:ilvl w:val="0"/>
          <w:numId w:val="10"/>
        </w:numPr>
        <w:autoSpaceDE w:val="0"/>
        <w:autoSpaceDN w:val="0"/>
        <w:adjustRightInd w:val="0"/>
        <w:spacing w:line="360" w:lineRule="auto"/>
        <w:jc w:val="left"/>
        <w:rPr>
          <w:rFonts w:ascii="宋体" w:hAnsi="宋体"/>
          <w:color w:val="auto"/>
          <w:sz w:val="24"/>
          <w:szCs w:val="28"/>
          <w:highlight w:val="none"/>
        </w:rPr>
      </w:pPr>
      <w:r>
        <w:rPr>
          <w:rFonts w:hint="eastAsia" w:ascii="宋体" w:hAnsi="宋体"/>
          <w:color w:val="auto"/>
          <w:sz w:val="24"/>
          <w:szCs w:val="28"/>
          <w:highlight w:val="none"/>
        </w:rPr>
        <w:t>投标单位应当在投标时根据招标人提供的下述第5点清单，在投标文件中编制专项施工方案。</w:t>
      </w:r>
    </w:p>
    <w:p>
      <w:pPr>
        <w:numPr>
          <w:ilvl w:val="0"/>
          <w:numId w:val="10"/>
        </w:numPr>
        <w:autoSpaceDE w:val="0"/>
        <w:autoSpaceDN w:val="0"/>
        <w:adjustRightInd w:val="0"/>
        <w:spacing w:line="360" w:lineRule="auto"/>
        <w:jc w:val="left"/>
        <w:rPr>
          <w:rFonts w:ascii="宋体" w:hAnsi="宋体"/>
          <w:color w:val="auto"/>
          <w:sz w:val="24"/>
          <w:szCs w:val="28"/>
          <w:highlight w:val="none"/>
        </w:rPr>
      </w:pPr>
      <w:r>
        <w:rPr>
          <w:rFonts w:hint="eastAsia" w:ascii="宋体" w:hAnsi="宋体"/>
          <w:color w:val="auto"/>
          <w:sz w:val="24"/>
          <w:szCs w:val="28"/>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numPr>
          <w:ilvl w:val="0"/>
          <w:numId w:val="10"/>
        </w:numPr>
        <w:autoSpaceDE w:val="0"/>
        <w:autoSpaceDN w:val="0"/>
        <w:adjustRightInd w:val="0"/>
        <w:spacing w:line="360" w:lineRule="auto"/>
        <w:jc w:val="left"/>
        <w:rPr>
          <w:rFonts w:ascii="宋体" w:hAnsi="宋体"/>
          <w:color w:val="auto"/>
          <w:sz w:val="24"/>
          <w:szCs w:val="28"/>
          <w:highlight w:val="none"/>
        </w:rPr>
      </w:pPr>
      <w:r>
        <w:rPr>
          <w:rFonts w:hint="eastAsia" w:ascii="宋体" w:hAnsi="宋体"/>
          <w:color w:val="auto"/>
          <w:sz w:val="24"/>
          <w:szCs w:val="28"/>
          <w:highlight w:val="none"/>
        </w:rPr>
        <w:t>危险性较大的分部分项工程清单及超过一定规模的危险性较大的分部分项工程清单：</w:t>
      </w:r>
    </w:p>
    <w:p>
      <w:pPr>
        <w:autoSpaceDE w:val="0"/>
        <w:autoSpaceDN w:val="0"/>
        <w:adjustRightInd w:val="0"/>
        <w:spacing w:line="360" w:lineRule="auto"/>
        <w:jc w:val="left"/>
        <w:rPr>
          <w:rFonts w:ascii="宋体" w:hAnsi="宋体"/>
          <w:color w:val="auto"/>
          <w:sz w:val="24"/>
          <w:szCs w:val="28"/>
          <w:highlight w:val="none"/>
        </w:rPr>
      </w:pPr>
    </w:p>
    <w:tbl>
      <w:tblPr>
        <w:tblStyle w:val="30"/>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6"/>
        <w:gridCol w:w="1361"/>
        <w:gridCol w:w="1361"/>
        <w:gridCol w:w="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26"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rFonts w:ascii="宋体" w:hAnsi="宋体"/>
                <w:b/>
                <w:color w:val="auto"/>
                <w:highlight w:val="none"/>
              </w:rPr>
            </w:pPr>
            <w:r>
              <w:rPr>
                <w:rFonts w:hint="eastAsia" w:ascii="宋体" w:hAnsi="宋体"/>
                <w:b/>
                <w:color w:val="auto"/>
                <w:highlight w:val="none"/>
              </w:rPr>
              <w:t>危险性较大的分部分项工程清单</w:t>
            </w:r>
          </w:p>
        </w:tc>
        <w:tc>
          <w:tcPr>
            <w:tcW w:w="1361" w:type="dxa"/>
            <w:tcBorders>
              <w:top w:val="single" w:color="auto" w:sz="4" w:space="0"/>
              <w:left w:val="nil"/>
              <w:bottom w:val="single" w:color="auto" w:sz="4" w:space="0"/>
              <w:right w:val="single" w:color="auto" w:sz="4" w:space="0"/>
            </w:tcBorders>
            <w:shd w:val="clear" w:color="auto" w:fill="D9D9D9"/>
            <w:vAlign w:val="center"/>
          </w:tcPr>
          <w:p>
            <w:pPr>
              <w:jc w:val="center"/>
              <w:rPr>
                <w:rFonts w:ascii="宋体" w:hAnsi="宋体"/>
                <w:b/>
                <w:color w:val="auto"/>
                <w:highlight w:val="none"/>
              </w:rPr>
            </w:pPr>
            <w:r>
              <w:rPr>
                <w:rFonts w:hint="eastAsia" w:ascii="宋体" w:hAnsi="宋体"/>
                <w:b/>
                <w:color w:val="auto"/>
                <w:highlight w:val="none"/>
              </w:rPr>
              <w:t>招标人</w:t>
            </w:r>
          </w:p>
        </w:tc>
        <w:tc>
          <w:tcPr>
            <w:tcW w:w="1361" w:type="dxa"/>
            <w:tcBorders>
              <w:top w:val="single" w:color="auto" w:sz="4" w:space="0"/>
              <w:left w:val="nil"/>
              <w:bottom w:val="single" w:color="auto" w:sz="4" w:space="0"/>
              <w:right w:val="single" w:color="auto" w:sz="4" w:space="0"/>
            </w:tcBorders>
            <w:shd w:val="clear" w:color="auto" w:fill="D9D9D9"/>
            <w:vAlign w:val="center"/>
          </w:tcPr>
          <w:p>
            <w:pPr>
              <w:jc w:val="center"/>
              <w:rPr>
                <w:rFonts w:ascii="宋体" w:hAnsi="宋体"/>
                <w:b/>
                <w:color w:val="auto"/>
                <w:highlight w:val="none"/>
              </w:rPr>
            </w:pPr>
            <w:r>
              <w:rPr>
                <w:rFonts w:hint="eastAsia" w:ascii="宋体" w:hAnsi="宋体"/>
                <w:b/>
                <w:color w:val="auto"/>
                <w:highlight w:val="none"/>
              </w:rPr>
              <w:t>投标单位</w:t>
            </w:r>
          </w:p>
        </w:tc>
        <w:tc>
          <w:tcPr>
            <w:tcW w:w="797" w:type="dxa"/>
            <w:tcBorders>
              <w:top w:val="single" w:color="auto" w:sz="4" w:space="0"/>
              <w:left w:val="nil"/>
              <w:bottom w:val="single" w:color="auto" w:sz="4" w:space="0"/>
              <w:right w:val="single" w:color="auto" w:sz="4" w:space="0"/>
            </w:tcBorders>
            <w:shd w:val="clear" w:color="auto" w:fill="D9D9D9"/>
            <w:vAlign w:val="center"/>
          </w:tcPr>
          <w:p>
            <w:pPr>
              <w:jc w:val="center"/>
              <w:rPr>
                <w:rFonts w:ascii="宋体" w:hAnsi="宋体"/>
                <w:b/>
                <w:color w:val="auto"/>
                <w:highlight w:val="none"/>
              </w:rPr>
            </w:pPr>
            <w:r>
              <w:rPr>
                <w:rFonts w:hint="eastAsia" w:ascii="宋体" w:hAnsi="宋体"/>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845"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highlight w:val="none"/>
              </w:rPr>
            </w:pPr>
            <w:r>
              <w:rPr>
                <w:rFonts w:hint="eastAsia" w:ascii="宋体" w:hAnsi="宋体"/>
                <w:b/>
                <w:color w:val="auto"/>
                <w:highlight w:val="none"/>
              </w:rPr>
              <w:t>一、基坑支护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（一）开挖深度超过3m（含3m）的基坑（槽）的土方开挖、支护、降水工程。</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0"/>
                <w:szCs w:val="20"/>
                <w:highlight w:val="none"/>
              </w:rPr>
            </w:pPr>
            <w:r>
              <w:rPr>
                <w:rFonts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（二）开挖深度虽未超过3m，但地质条件、周围环境和地下管线复杂，或影响毗邻建、构筑物安全的基坑（槽）的土方开挖、支护、降水工程。</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0"/>
                <w:szCs w:val="20"/>
                <w:highlight w:val="none"/>
              </w:rPr>
            </w:pPr>
            <w:bookmarkStart w:id="30" w:name="OLE_LINK2"/>
            <w:bookmarkStart w:id="31" w:name="OLE_LINK1"/>
            <w:r>
              <w:rPr>
                <w:rFonts w:hint="eastAsia" w:ascii="宋体" w:hAnsi="宋体"/>
                <w:color w:val="auto"/>
                <w:kern w:val="0"/>
                <w:sz w:val="24"/>
                <w:szCs w:val="36"/>
                <w:highlight w:val="none"/>
              </w:rPr>
              <w:t>(  )</w:t>
            </w:r>
            <w:bookmarkEnd w:id="30"/>
            <w:bookmarkEnd w:id="31"/>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5"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b/>
                <w:color w:val="auto"/>
                <w:highlight w:val="none"/>
              </w:rPr>
              <w:t>二、模板工程及支撑体系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（一）各类工具式模板工程：包括滑模、爬模、飞模、隧道模等工程。</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0"/>
                <w:szCs w:val="20"/>
                <w:highlight w:val="none"/>
              </w:rPr>
            </w:pPr>
            <w:r>
              <w:rPr>
                <w:rFonts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0"/>
                <w:szCs w:val="20"/>
                <w:highlight w:val="none"/>
              </w:rPr>
            </w:pPr>
            <w:r>
              <w:rPr>
                <w:rFonts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highlight w:val="none"/>
              </w:rPr>
            </w:pPr>
            <w:r>
              <w:rPr>
                <w:rFonts w:hint="eastAsia" w:ascii="宋体" w:hAnsi="宋体"/>
                <w:color w:val="auto"/>
                <w:highlight w:val="none"/>
              </w:rPr>
              <w:t>（三）承重支撑体系：用于钢结构安装等满堂支撑体系。</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0"/>
                <w:szCs w:val="20"/>
                <w:highlight w:val="none"/>
              </w:rPr>
            </w:pPr>
            <w:r>
              <w:rPr>
                <w:rFonts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5"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b/>
                <w:color w:val="auto"/>
                <w:highlight w:val="none"/>
              </w:rPr>
              <w:t>三、起重吊装及起重机械安装拆卸工程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highlight w:val="none"/>
              </w:rPr>
            </w:pPr>
            <w:r>
              <w:rPr>
                <w:rFonts w:hint="eastAsia" w:ascii="宋体" w:hAnsi="宋体"/>
                <w:color w:val="auto"/>
                <w:highlight w:val="none"/>
              </w:rPr>
              <w:t>（一）采用非常规起重设备、方法，且单件起吊重量在10kN及以上的起重吊装工程。</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0"/>
                <w:szCs w:val="20"/>
                <w:highlight w:val="none"/>
              </w:rPr>
            </w:pPr>
            <w:r>
              <w:rPr>
                <w:rFonts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（二）采用起重机械进行安装的工程。</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0"/>
                <w:szCs w:val="20"/>
                <w:highlight w:val="none"/>
              </w:rPr>
            </w:pPr>
            <w:r>
              <w:rPr>
                <w:rFonts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r>
              <w:rPr>
                <w:rFonts w:hint="eastAsia" w:ascii="宋体" w:hAnsi="宋体"/>
                <w:color w:val="auto"/>
                <w:highlight w:val="none"/>
              </w:rPr>
              <w:t>（三）起重机械安装和拆卸工程。</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0"/>
                <w:szCs w:val="20"/>
                <w:highlight w:val="none"/>
              </w:rPr>
            </w:pPr>
            <w:r>
              <w:rPr>
                <w:rFonts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5"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b/>
                <w:color w:val="auto"/>
                <w:highlight w:val="none"/>
              </w:rPr>
              <w:t>四、脚手架工程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（一）搭设高度24m及以上的落地式钢管脚手架工程（包括采光井、电梯井脚手架）。</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0"/>
                <w:szCs w:val="20"/>
                <w:highlight w:val="none"/>
              </w:rPr>
            </w:pPr>
            <w:r>
              <w:rPr>
                <w:rFonts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（二）附着式升降脚手架工程。</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0"/>
                <w:szCs w:val="20"/>
                <w:highlight w:val="none"/>
              </w:rPr>
            </w:pPr>
            <w:r>
              <w:rPr>
                <w:rFonts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（三）悬挑式脚手架工程。</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0"/>
                <w:szCs w:val="20"/>
                <w:highlight w:val="none"/>
              </w:rPr>
            </w:pPr>
            <w:r>
              <w:rPr>
                <w:rFonts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（四）高处作业吊篮。</w:t>
            </w:r>
          </w:p>
        </w:tc>
        <w:tc>
          <w:tcPr>
            <w:tcW w:w="1361" w:type="dxa"/>
            <w:tcBorders>
              <w:top w:val="single" w:color="auto" w:sz="4" w:space="0"/>
              <w:left w:val="nil"/>
              <w:bottom w:val="single" w:color="auto" w:sz="4" w:space="0"/>
              <w:right w:val="single" w:color="auto" w:sz="4" w:space="0"/>
            </w:tcBorders>
          </w:tcPr>
          <w:p>
            <w:pPr>
              <w:widowControl/>
              <w:jc w:val="center"/>
              <w:rPr>
                <w:rFonts w:ascii="宋体" w:hAnsi="宋体"/>
                <w:color w:val="auto"/>
                <w:kern w:val="0"/>
                <w:sz w:val="20"/>
                <w:szCs w:val="20"/>
                <w:highlight w:val="none"/>
              </w:rPr>
            </w:pPr>
            <w:r>
              <w:rPr>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（五）卸料平台、操作平台工程。</w:t>
            </w:r>
          </w:p>
        </w:tc>
        <w:tc>
          <w:tcPr>
            <w:tcW w:w="1361" w:type="dxa"/>
            <w:tcBorders>
              <w:top w:val="single" w:color="auto" w:sz="4" w:space="0"/>
              <w:left w:val="nil"/>
              <w:bottom w:val="single" w:color="auto" w:sz="4" w:space="0"/>
              <w:right w:val="single" w:color="auto" w:sz="4" w:space="0"/>
            </w:tcBorders>
          </w:tcPr>
          <w:p>
            <w:pPr>
              <w:widowControl/>
              <w:jc w:val="center"/>
              <w:rPr>
                <w:rFonts w:ascii="宋体" w:hAnsi="宋体"/>
                <w:color w:val="auto"/>
                <w:kern w:val="0"/>
                <w:sz w:val="20"/>
                <w:szCs w:val="20"/>
                <w:highlight w:val="none"/>
              </w:rPr>
            </w:pPr>
            <w:r>
              <w:rPr>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（六）异型脚手架工程。</w:t>
            </w:r>
          </w:p>
        </w:tc>
        <w:tc>
          <w:tcPr>
            <w:tcW w:w="1361" w:type="dxa"/>
            <w:tcBorders>
              <w:top w:val="single" w:color="auto" w:sz="4" w:space="0"/>
              <w:left w:val="nil"/>
              <w:bottom w:val="single" w:color="auto" w:sz="4" w:space="0"/>
              <w:right w:val="single" w:color="auto" w:sz="4" w:space="0"/>
            </w:tcBorders>
          </w:tcPr>
          <w:p>
            <w:pPr>
              <w:widowControl/>
              <w:jc w:val="center"/>
              <w:rPr>
                <w:rFonts w:ascii="宋体" w:hAnsi="宋体"/>
                <w:color w:val="auto"/>
                <w:kern w:val="0"/>
                <w:sz w:val="20"/>
                <w:szCs w:val="20"/>
                <w:highlight w:val="none"/>
              </w:rPr>
            </w:pPr>
            <w:r>
              <w:rPr>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5"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b/>
                <w:color w:val="auto"/>
                <w:highlight w:val="none"/>
              </w:rPr>
              <w:t>五、拆除工程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可能影响行人、交通、电力设施、通讯设施或其它建、构筑物安全的拆除工程。</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45"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b/>
                <w:color w:val="auto"/>
                <w:highlight w:val="none"/>
              </w:rPr>
              <w:t>六、暗挖工程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采用矿山法、盾构法、顶管法施工的隧道、洞室工程。</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5"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b/>
                <w:color w:val="auto"/>
                <w:highlight w:val="none"/>
              </w:rPr>
              <w:t>七、其它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（一）建筑幕墙安装工程。</w:t>
            </w:r>
          </w:p>
        </w:tc>
        <w:tc>
          <w:tcPr>
            <w:tcW w:w="1361" w:type="dxa"/>
            <w:tcBorders>
              <w:top w:val="single" w:color="auto" w:sz="4" w:space="0"/>
              <w:left w:val="nil"/>
              <w:bottom w:val="single" w:color="auto" w:sz="4" w:space="0"/>
              <w:right w:val="single" w:color="auto" w:sz="4" w:space="0"/>
            </w:tcBorders>
          </w:tcPr>
          <w:p>
            <w:pPr>
              <w:widowControl/>
              <w:jc w:val="center"/>
              <w:rPr>
                <w:rFonts w:ascii="宋体" w:hAnsi="宋体"/>
                <w:color w:val="auto"/>
                <w:kern w:val="0"/>
                <w:sz w:val="20"/>
                <w:szCs w:val="20"/>
                <w:highlight w:val="none"/>
              </w:rPr>
            </w:pPr>
            <w:r>
              <w:rPr>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（二）钢结构、网架和索膜结构安装工程。</w:t>
            </w:r>
          </w:p>
        </w:tc>
        <w:tc>
          <w:tcPr>
            <w:tcW w:w="1361" w:type="dxa"/>
            <w:tcBorders>
              <w:top w:val="single" w:color="auto" w:sz="4" w:space="0"/>
              <w:left w:val="nil"/>
              <w:bottom w:val="single" w:color="auto" w:sz="4" w:space="0"/>
              <w:right w:val="single" w:color="auto" w:sz="4" w:space="0"/>
            </w:tcBorders>
          </w:tcPr>
          <w:p>
            <w:pPr>
              <w:widowControl/>
              <w:jc w:val="center"/>
              <w:rPr>
                <w:rFonts w:ascii="宋体" w:hAnsi="宋体"/>
                <w:color w:val="auto"/>
                <w:kern w:val="0"/>
                <w:sz w:val="20"/>
                <w:szCs w:val="20"/>
                <w:highlight w:val="none"/>
              </w:rPr>
            </w:pPr>
            <w:r>
              <w:rPr>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（三）人工挖孔桩工程。</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（四）水下作业工程。</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532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（五）装配式建筑混凝土预制构件安装工程。</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0"/>
                <w:szCs w:val="20"/>
                <w:highlight w:val="none"/>
              </w:rPr>
            </w:pPr>
            <w:r>
              <w:rPr>
                <w:rFonts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（六）采用新技术、新工艺、新材料、新设备可能影响工程施工安全，尚无国家、行业及地方技术标准的分部分项工程。</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326"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rFonts w:ascii="宋体" w:hAnsi="宋体"/>
                <w:b/>
                <w:color w:val="auto"/>
                <w:highlight w:val="none"/>
              </w:rPr>
            </w:pPr>
            <w:r>
              <w:rPr>
                <w:rFonts w:hint="eastAsia" w:ascii="宋体" w:hAnsi="宋体"/>
                <w:b/>
                <w:color w:val="auto"/>
                <w:highlight w:val="none"/>
              </w:rPr>
              <w:t>超过一定规模的危险性较大的分部分项工程清单</w:t>
            </w:r>
          </w:p>
        </w:tc>
        <w:tc>
          <w:tcPr>
            <w:tcW w:w="1361" w:type="dxa"/>
            <w:tcBorders>
              <w:top w:val="single" w:color="auto" w:sz="4" w:space="0"/>
              <w:left w:val="nil"/>
              <w:bottom w:val="single" w:color="auto" w:sz="4" w:space="0"/>
              <w:right w:val="single" w:color="auto" w:sz="4" w:space="0"/>
            </w:tcBorders>
            <w:shd w:val="clear" w:color="auto" w:fill="D9D9D9"/>
            <w:vAlign w:val="center"/>
          </w:tcPr>
          <w:p>
            <w:pPr>
              <w:jc w:val="center"/>
              <w:rPr>
                <w:rFonts w:ascii="宋体" w:hAnsi="宋体"/>
                <w:b/>
                <w:color w:val="auto"/>
                <w:highlight w:val="none"/>
              </w:rPr>
            </w:pPr>
            <w:r>
              <w:rPr>
                <w:rFonts w:hint="eastAsia" w:ascii="宋体" w:hAnsi="宋体"/>
                <w:b/>
                <w:color w:val="auto"/>
                <w:highlight w:val="none"/>
              </w:rPr>
              <w:t>招标人</w:t>
            </w:r>
          </w:p>
        </w:tc>
        <w:tc>
          <w:tcPr>
            <w:tcW w:w="1361" w:type="dxa"/>
            <w:tcBorders>
              <w:top w:val="single" w:color="auto" w:sz="4" w:space="0"/>
              <w:left w:val="nil"/>
              <w:bottom w:val="single" w:color="auto" w:sz="4" w:space="0"/>
              <w:right w:val="single" w:color="auto" w:sz="4" w:space="0"/>
            </w:tcBorders>
            <w:shd w:val="clear" w:color="auto" w:fill="D9D9D9"/>
            <w:vAlign w:val="center"/>
          </w:tcPr>
          <w:p>
            <w:pPr>
              <w:jc w:val="center"/>
              <w:rPr>
                <w:rFonts w:ascii="宋体" w:hAnsi="宋体"/>
                <w:b/>
                <w:color w:val="auto"/>
                <w:highlight w:val="none"/>
              </w:rPr>
            </w:pPr>
            <w:r>
              <w:rPr>
                <w:rFonts w:hint="eastAsia" w:ascii="宋体" w:hAnsi="宋体"/>
                <w:b/>
                <w:color w:val="auto"/>
                <w:highlight w:val="none"/>
              </w:rPr>
              <w:t>投标单位</w:t>
            </w:r>
          </w:p>
        </w:tc>
        <w:tc>
          <w:tcPr>
            <w:tcW w:w="797" w:type="dxa"/>
            <w:tcBorders>
              <w:top w:val="single" w:color="auto" w:sz="4" w:space="0"/>
              <w:left w:val="nil"/>
              <w:bottom w:val="single" w:color="auto" w:sz="4" w:space="0"/>
              <w:right w:val="single" w:color="auto" w:sz="4" w:space="0"/>
            </w:tcBorders>
            <w:shd w:val="clear" w:color="auto" w:fill="D9D9D9"/>
            <w:vAlign w:val="center"/>
          </w:tcPr>
          <w:p>
            <w:pPr>
              <w:jc w:val="center"/>
              <w:rPr>
                <w:rFonts w:ascii="宋体" w:hAnsi="宋体"/>
                <w:b/>
                <w:color w:val="auto"/>
                <w:highlight w:val="none"/>
              </w:rPr>
            </w:pPr>
            <w:r>
              <w:rPr>
                <w:rFonts w:hint="eastAsia" w:ascii="宋体" w:hAnsi="宋体"/>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845"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highlight w:val="none"/>
              </w:rPr>
            </w:pPr>
            <w:r>
              <w:rPr>
                <w:rFonts w:hint="eastAsia" w:ascii="宋体" w:hAnsi="宋体"/>
                <w:b/>
                <w:color w:val="auto"/>
                <w:highlight w:val="none"/>
              </w:rPr>
              <w:t>一、深基坑工程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2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开挖深度超过5m（含5m）的基坑（槽）的土方开挖、支护、降水工程。</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0"/>
                <w:szCs w:val="20"/>
                <w:highlight w:val="none"/>
              </w:rPr>
            </w:pPr>
            <w:r>
              <w:rPr>
                <w:rFonts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5"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b/>
                <w:color w:val="auto"/>
                <w:highlight w:val="none"/>
              </w:rPr>
              <w:t>二、模板工程及支撑体系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（一）各类工具式模板工程：包括滑模、爬模、飞模、隧道模等工程。</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0"/>
                <w:szCs w:val="20"/>
                <w:highlight w:val="none"/>
              </w:rPr>
            </w:pPr>
            <w:r>
              <w:rPr>
                <w:rFonts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（二）混凝土模板支撑工程：搭设高度8m及以上，或搭设跨度18m及以上，或施工总荷载（设计值）15kN/m2及以上，或集中线荷载（设计值）20kN/m及以上。</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0"/>
                <w:szCs w:val="20"/>
                <w:highlight w:val="none"/>
              </w:rPr>
            </w:pPr>
            <w:r>
              <w:rPr>
                <w:rFonts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（三）承重支撑体系：用于钢结构安装等满堂支撑体系，承受单点集中荷载7kN及以上。</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0"/>
                <w:szCs w:val="20"/>
                <w:highlight w:val="none"/>
              </w:rPr>
            </w:pPr>
            <w:r>
              <w:rPr>
                <w:rFonts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5"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b/>
                <w:color w:val="auto"/>
                <w:highlight w:val="none"/>
              </w:rPr>
              <w:t>三、起重吊装及起重机械安装拆卸工程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（一）采用非常规起重设备、方法，且单件起吊重量在100kN及以上的起重吊装工程。</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（二）起重量300kN及以上，或搭设总高度200m及以上，或搭设基础标高在200m及以上的起重机械安装和拆卸工程。</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5"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highlight w:val="none"/>
              </w:rPr>
            </w:pPr>
            <w:r>
              <w:rPr>
                <w:rFonts w:hint="eastAsia" w:ascii="宋体" w:hAnsi="宋体"/>
                <w:b/>
                <w:color w:val="auto"/>
                <w:highlight w:val="none"/>
              </w:rPr>
              <w:t>四、脚手架工程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（一）搭设高度50m及以上的落地式钢管脚手架工程。</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0"/>
                <w:szCs w:val="20"/>
                <w:highlight w:val="none"/>
              </w:rPr>
            </w:pPr>
            <w:r>
              <w:rPr>
                <w:rFonts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（二）提升高度在150m及以上的附着式升降脚手架工程或附着式升降操作平台工程。</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（三）分段架体搭设高度20m及以上的悬挑式脚手架工程。</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0"/>
                <w:szCs w:val="20"/>
                <w:highlight w:val="none"/>
              </w:rPr>
            </w:pPr>
            <w:r>
              <w:rPr>
                <w:rFonts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5"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highlight w:val="none"/>
              </w:rPr>
            </w:pPr>
            <w:r>
              <w:rPr>
                <w:rFonts w:hint="eastAsia" w:ascii="宋体" w:hAnsi="宋体"/>
                <w:b/>
                <w:color w:val="auto"/>
                <w:highlight w:val="none"/>
              </w:rPr>
              <w:t>五、拆除工程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（一）码头、桥梁、高架、烟囱、水塔或拆除中容易引起有毒有害气（液）体或粉尘扩散、易燃易爆事故发生的特殊建、构筑物的拆除工程。</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（二）文物保护建筑、优秀历史建筑或历史文化风貌区影响范围内的拆除工程。</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5"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highlight w:val="none"/>
              </w:rPr>
            </w:pPr>
            <w:r>
              <w:rPr>
                <w:rFonts w:hint="eastAsia" w:ascii="宋体" w:hAnsi="宋体"/>
                <w:b/>
                <w:color w:val="auto"/>
                <w:highlight w:val="none"/>
              </w:rPr>
              <w:t>六、暗挖工程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采用矿山法、盾构法、顶管法施工的隧道、洞室工程。</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5"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highlight w:val="none"/>
              </w:rPr>
            </w:pPr>
            <w:r>
              <w:rPr>
                <w:rFonts w:hint="eastAsia" w:ascii="宋体" w:hAnsi="宋体"/>
                <w:b/>
                <w:color w:val="auto"/>
                <w:highlight w:val="none"/>
              </w:rPr>
              <w:t>七、其它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（一）施工高度50m及以上的建筑幕墙安装工程。</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0"/>
                <w:szCs w:val="20"/>
                <w:highlight w:val="none"/>
              </w:rPr>
            </w:pPr>
            <w:r>
              <w:rPr>
                <w:rFonts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（二）跨度36m及以上的钢结构安装工程，或跨度60m及以上的网架和索膜结构安装工程。</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（三）开挖深度16m及以上的人工挖孔桩工程。</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（四）水下作业工程。</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（五）重量1000kN及以上的大型结构整体顶升、平移、转体等施工工艺。</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（六）采用新技术、新工艺、新材料、新设备可能影响工程施工安全，尚无国家、行业及地方技术标准的分部分项工程。</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bl>
    <w:p>
      <w:pPr>
        <w:keepNext w:val="0"/>
        <w:keepLines w:val="0"/>
        <w:pageBreakBefore w:val="0"/>
        <w:widowControl w:val="0"/>
        <w:kinsoku/>
        <w:wordWrap/>
        <w:overflowPunct/>
        <w:topLinePunct/>
        <w:autoSpaceDE/>
        <w:autoSpaceDN/>
        <w:bidi w:val="0"/>
        <w:adjustRightInd w:val="0"/>
        <w:snapToGrid w:val="0"/>
        <w:spacing w:before="157" w:beforeLines="50" w:line="360" w:lineRule="auto"/>
        <w:textAlignment w:val="auto"/>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注：（1）投标人同意招标人在“危险性较大的分部分项工程清单”中打“√”标识的，须在该项的“投标单位”列对应项打“√”标识并在投标文件中提供相应的安全管理措施，否则视作未按规定的格式填写，并作无效标处理。</w:t>
      </w:r>
    </w:p>
    <w:p>
      <w:pPr>
        <w:topLinePunct/>
        <w:adjustRightInd w:val="0"/>
        <w:snapToGrid w:val="0"/>
        <w:spacing w:line="360" w:lineRule="auto"/>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2）“危险性较大的分部分项工程清单”中“招标人”列为空白而投标人认为需要补充打“√”标识的，须在该项的“投标单位”列对应项打“√”标识并在投标文件中提供相应的安全管理措施，否则视作未按规定的格式填写，并作无效标处理。</w:t>
      </w:r>
    </w:p>
    <w:p>
      <w:pPr>
        <w:topLinePunct/>
        <w:adjustRightInd w:val="0"/>
        <w:snapToGrid w:val="0"/>
        <w:spacing w:line="360" w:lineRule="auto"/>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（3）投标人不同意招标人在“危险性较大的分部分项工程清单”中打“√”标识的，须在该项的“投标单位”对应项打“×”标识并在备注栏填上相关说明，否则视作未按规定的格式填写，并作无效标处理。</w:t>
      </w:r>
    </w:p>
    <w:p>
      <w:pPr>
        <w:topLinePunct/>
        <w:adjustRightInd w:val="0"/>
        <w:snapToGrid w:val="0"/>
        <w:spacing w:line="360" w:lineRule="auto"/>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（4）“招标人”及“投标单位”均为空白的“危险性较大的分部分项工程清单”项，但投标单位提供了相应的安全管理措施，视作未按规定的格式填写，并作无效标处理。</w:t>
      </w:r>
    </w:p>
    <w:p>
      <w:pPr>
        <w:topLinePunct/>
        <w:adjustRightInd w:val="0"/>
        <w:snapToGrid w:val="0"/>
        <w:spacing w:line="360" w:lineRule="auto"/>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（5）“招标人”及“投标单位”均为空白的“危险性较大的分部分项工程清单”项且投标人未提供相应的安全管理措施，不作无效标处理。</w:t>
      </w:r>
    </w:p>
    <w:p>
      <w:pPr>
        <w:topLinePunct/>
        <w:adjustRightInd w:val="0"/>
        <w:snapToGrid w:val="0"/>
        <w:spacing w:line="360" w:lineRule="auto"/>
        <w:rPr>
          <w:rFonts w:ascii="宋体" w:hAnsi="宋体"/>
          <w:color w:val="auto"/>
          <w:spacing w:val="4"/>
          <w:kern w:val="0"/>
          <w:sz w:val="24"/>
          <w:szCs w:val="24"/>
          <w:highlight w:val="none"/>
        </w:rPr>
      </w:pPr>
    </w:p>
    <w:p>
      <w:pPr>
        <w:topLinePunct/>
        <w:adjustRightInd w:val="0"/>
        <w:snapToGrid w:val="0"/>
        <w:spacing w:line="360" w:lineRule="auto"/>
        <w:rPr>
          <w:rFonts w:ascii="宋体" w:hAnsi="宋体"/>
          <w:color w:val="auto"/>
          <w:spacing w:val="4"/>
          <w:kern w:val="0"/>
          <w:sz w:val="24"/>
          <w:szCs w:val="24"/>
          <w:highlight w:val="none"/>
        </w:rPr>
      </w:pPr>
    </w:p>
    <w:p>
      <w:pPr>
        <w:spacing w:line="360" w:lineRule="auto"/>
        <w:jc w:val="center"/>
        <w:rPr>
          <w:rFonts w:ascii="宋体" w:hAnsi="宋体" w:cs="宋体"/>
          <w:color w:val="auto"/>
          <w:sz w:val="24"/>
          <w:szCs w:val="20"/>
          <w:highlight w:val="none"/>
        </w:rPr>
      </w:pP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投标人：（盖章）</w:t>
      </w:r>
    </w:p>
    <w:p>
      <w:pPr>
        <w:wordWrap w:val="0"/>
        <w:spacing w:line="360" w:lineRule="auto"/>
        <w:ind w:firstLine="210" w:firstLineChars="100"/>
        <w:jc w:val="right"/>
        <w:rPr>
          <w:rFonts w:ascii="宋体" w:hAnsi="宋体" w:cs="宋体"/>
          <w:color w:val="auto"/>
          <w:sz w:val="24"/>
          <w:szCs w:val="20"/>
          <w:highlight w:val="none"/>
        </w:rPr>
      </w:pPr>
      <w:r>
        <w:rPr>
          <w:rFonts w:hint="eastAsia"/>
          <w:color w:val="auto"/>
          <w:highlight w:val="none"/>
        </w:rPr>
        <w:t xml:space="preserve">                            </w:t>
      </w:r>
      <w:r>
        <w:rPr>
          <w:rFonts w:hint="eastAsia" w:ascii="宋体" w:hAnsi="宋体" w:cs="宋体"/>
          <w:color w:val="auto"/>
          <w:sz w:val="24"/>
          <w:szCs w:val="20"/>
          <w:highlight w:val="none"/>
        </w:rPr>
        <w:t>日</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期：</w:t>
      </w:r>
      <w:r>
        <w:rPr>
          <w:rFonts w:ascii="宋体" w:hAnsi="宋体" w:cs="宋体"/>
          <w:color w:val="auto"/>
          <w:sz w:val="24"/>
          <w:szCs w:val="20"/>
          <w:highlight w:val="none"/>
        </w:rPr>
        <w:t xml:space="preserve">   </w:t>
      </w:r>
      <w:r>
        <w:rPr>
          <w:rFonts w:hint="eastAsia" w:ascii="宋体" w:hAnsi="宋体" w:cs="宋体"/>
          <w:color w:val="auto"/>
          <w:sz w:val="24"/>
          <w:szCs w:val="20"/>
          <w:highlight w:val="none"/>
        </w:rPr>
        <w:t>年</w:t>
      </w:r>
      <w:r>
        <w:rPr>
          <w:rFonts w:ascii="宋体" w:hAnsi="宋体" w:cs="宋体"/>
          <w:color w:val="auto"/>
          <w:sz w:val="24"/>
          <w:szCs w:val="20"/>
          <w:highlight w:val="none"/>
        </w:rPr>
        <w:t xml:space="preserve">  </w:t>
      </w:r>
      <w:r>
        <w:rPr>
          <w:rFonts w:hint="eastAsia" w:ascii="宋体" w:hAnsi="宋体" w:cs="宋体"/>
          <w:color w:val="auto"/>
          <w:sz w:val="24"/>
          <w:szCs w:val="20"/>
          <w:highlight w:val="none"/>
        </w:rPr>
        <w:t>月</w:t>
      </w:r>
      <w:r>
        <w:rPr>
          <w:rFonts w:ascii="宋体" w:hAnsi="宋体" w:cs="宋体"/>
          <w:color w:val="auto"/>
          <w:sz w:val="24"/>
          <w:szCs w:val="20"/>
          <w:highlight w:val="none"/>
        </w:rPr>
        <w:t xml:space="preserve">  </w:t>
      </w:r>
      <w:r>
        <w:rPr>
          <w:rFonts w:hint="eastAsia" w:ascii="宋体" w:hAnsi="宋体" w:cs="宋体"/>
          <w:color w:val="auto"/>
          <w:sz w:val="24"/>
          <w:szCs w:val="20"/>
          <w:highlight w:val="none"/>
        </w:rPr>
        <w:t xml:space="preserve">日               </w:t>
      </w:r>
    </w:p>
    <w:p>
      <w:pPr>
        <w:pStyle w:val="11"/>
        <w:wordWrap w:val="0"/>
        <w:ind w:firstLine="210" w:firstLineChars="100"/>
        <w:rPr>
          <w:color w:val="auto"/>
          <w:highlight w:val="none"/>
        </w:rPr>
      </w:pPr>
    </w:p>
    <w:p>
      <w:pPr>
        <w:wordWrap w:val="0"/>
        <w:ind w:firstLine="210" w:firstLineChars="100"/>
        <w:rPr>
          <w:color w:val="auto"/>
          <w:highlight w:val="none"/>
        </w:rPr>
      </w:pPr>
    </w:p>
    <w:p>
      <w:pPr>
        <w:pStyle w:val="11"/>
        <w:wordWrap w:val="0"/>
        <w:ind w:firstLine="210" w:firstLineChars="100"/>
        <w:rPr>
          <w:color w:val="auto"/>
          <w:highlight w:val="none"/>
        </w:rPr>
      </w:pPr>
    </w:p>
    <w:p>
      <w:pPr>
        <w:wordWrap w:val="0"/>
        <w:ind w:firstLine="210" w:firstLineChars="100"/>
        <w:rPr>
          <w:color w:val="auto"/>
          <w:highlight w:val="none"/>
        </w:rPr>
      </w:pPr>
    </w:p>
    <w:p>
      <w:pPr>
        <w:pStyle w:val="11"/>
        <w:wordWrap w:val="0"/>
        <w:ind w:firstLine="210" w:firstLineChars="100"/>
        <w:rPr>
          <w:color w:val="auto"/>
          <w:highlight w:val="none"/>
        </w:rPr>
      </w:pPr>
    </w:p>
    <w:p>
      <w:pPr>
        <w:autoSpaceDE w:val="0"/>
        <w:autoSpaceDN w:val="0"/>
        <w:adjustRightInd w:val="0"/>
        <w:snapToGrid w:val="0"/>
        <w:spacing w:line="360" w:lineRule="auto"/>
        <w:rPr>
          <w:rFonts w:ascii="宋体" w:hAnsi="宋体" w:cs="宋体"/>
          <w:bCs/>
          <w:color w:val="auto"/>
          <w:sz w:val="24"/>
          <w:szCs w:val="24"/>
          <w:highlight w:val="none"/>
        </w:rPr>
      </w:pPr>
      <w:r>
        <w:rPr>
          <w:color w:val="auto"/>
          <w:highlight w:val="none"/>
        </w:rPr>
        <w:br w:type="page"/>
      </w:r>
      <w:r>
        <w:rPr>
          <w:rFonts w:hint="eastAsia" w:ascii="宋体" w:hAnsi="宋体" w:cs="宋体"/>
          <w:bCs/>
          <w:color w:val="auto"/>
          <w:sz w:val="24"/>
          <w:szCs w:val="24"/>
          <w:highlight w:val="none"/>
        </w:rPr>
        <w:t>技术标格式十三</w:t>
      </w:r>
    </w:p>
    <w:p>
      <w:pPr>
        <w:pStyle w:val="45"/>
        <w:autoSpaceDE w:val="0"/>
        <w:autoSpaceDN w:val="0"/>
        <w:rPr>
          <w:rFonts w:eastAsiaTheme="minorEastAsia"/>
          <w:color w:val="auto"/>
          <w:highlight w:val="none"/>
        </w:rPr>
      </w:pPr>
      <w:r>
        <w:rPr>
          <w:rFonts w:hint="eastAsia" w:eastAsiaTheme="minorEastAsia"/>
          <w:color w:val="auto"/>
          <w:highlight w:val="none"/>
        </w:rPr>
        <w:t>参与编制技术标投标文件人员名单</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470"/>
        <w:gridCol w:w="2520"/>
        <w:gridCol w:w="2415"/>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11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职务</w:t>
            </w: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所承担工作</w:t>
            </w: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身份证号码</w:t>
            </w: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4"/>
                <w:szCs w:val="24"/>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4"/>
                <w:szCs w:val="24"/>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4"/>
                <w:szCs w:val="24"/>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4"/>
                <w:szCs w:val="24"/>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4"/>
                <w:szCs w:val="24"/>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4"/>
                <w:szCs w:val="24"/>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4"/>
                <w:szCs w:val="24"/>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4"/>
                <w:szCs w:val="24"/>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4"/>
                <w:szCs w:val="24"/>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4"/>
                <w:szCs w:val="24"/>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4"/>
                <w:szCs w:val="24"/>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4"/>
                <w:szCs w:val="24"/>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4"/>
                <w:szCs w:val="24"/>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4"/>
                <w:szCs w:val="24"/>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4"/>
                <w:szCs w:val="24"/>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4"/>
                <w:szCs w:val="24"/>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4"/>
                <w:szCs w:val="24"/>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4"/>
                <w:szCs w:val="24"/>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4"/>
                <w:szCs w:val="24"/>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4"/>
                <w:szCs w:val="24"/>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4"/>
                <w:szCs w:val="24"/>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4"/>
                <w:szCs w:val="24"/>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4"/>
                <w:szCs w:val="24"/>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4"/>
                <w:szCs w:val="24"/>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4"/>
                <w:szCs w:val="24"/>
                <w:highlight w:val="none"/>
              </w:rPr>
            </w:pPr>
          </w:p>
        </w:tc>
      </w:tr>
    </w:tbl>
    <w:p>
      <w:pPr>
        <w:autoSpaceDE w:val="0"/>
        <w:autoSpaceDN w:val="0"/>
        <w:adjustRightInd w:val="0"/>
        <w:spacing w:line="360" w:lineRule="auto"/>
        <w:rPr>
          <w:rFonts w:ascii="宋体" w:hAnsi="宋体" w:cs="宋体"/>
          <w:bCs/>
          <w:color w:val="auto"/>
          <w:sz w:val="24"/>
          <w:szCs w:val="24"/>
          <w:highlight w:val="none"/>
        </w:rPr>
      </w:pPr>
      <w:r>
        <w:rPr>
          <w:rFonts w:hint="eastAsia" w:ascii="宋体" w:hAnsi="宋体" w:cs="宋体"/>
          <w:color w:val="auto"/>
          <w:sz w:val="24"/>
          <w:szCs w:val="24"/>
          <w:highlight w:val="none"/>
        </w:rPr>
        <w:t>注：参与编制技术标书所有人员名单应包括如编制技术投标方案、负责清样校对、负责打印及复印等所有人员在内的人员名单。</w:t>
      </w:r>
      <w:r>
        <w:rPr>
          <w:rFonts w:hint="eastAsia" w:ascii="宋体" w:hAnsi="宋体" w:cs="宋体"/>
          <w:color w:val="auto"/>
          <w:sz w:val="24"/>
          <w:szCs w:val="24"/>
          <w:highlight w:val="none"/>
          <w:u w:val="single"/>
        </w:rPr>
        <w:t>要求在表格后附上述人员离投标截止时间最近的至少一个月（2025年7月或8月）在本单位（若为联合体投标，指联合体各方）缴纳的社保证明文件。</w:t>
      </w:r>
    </w:p>
    <w:p>
      <w:pPr>
        <w:autoSpaceDE w:val="0"/>
        <w:autoSpaceDN w:val="0"/>
        <w:adjustRightInd w:val="0"/>
        <w:spacing w:line="360" w:lineRule="auto"/>
        <w:rPr>
          <w:rFonts w:ascii="宋体" w:hAnsi="宋体" w:cs="宋体"/>
          <w:bCs/>
          <w:color w:val="auto"/>
          <w:sz w:val="24"/>
          <w:szCs w:val="24"/>
          <w:highlight w:val="none"/>
        </w:rPr>
      </w:pPr>
    </w:p>
    <w:p>
      <w:pPr>
        <w:snapToGrid w:val="0"/>
        <w:spacing w:line="360" w:lineRule="auto"/>
        <w:ind w:right="-130" w:rightChars="-62"/>
        <w:rPr>
          <w:rFonts w:ascii="宋体" w:hAnsi="宋体" w:cs="宋体"/>
          <w:color w:val="auto"/>
          <w:highlight w:val="none"/>
        </w:rPr>
      </w:pPr>
    </w:p>
    <w:p>
      <w:pPr>
        <w:jc w:val="left"/>
        <w:rPr>
          <w:rFonts w:ascii="宋体" w:hAnsi="宋体" w:cs="宋体"/>
          <w:color w:val="auto"/>
          <w:sz w:val="32"/>
          <w:szCs w:val="32"/>
          <w:highlight w:val="none"/>
        </w:rPr>
      </w:pPr>
      <w:bookmarkStart w:id="32" w:name="_Toc26315"/>
      <w:r>
        <w:rPr>
          <w:rFonts w:hint="eastAsia" w:ascii="宋体" w:hAnsi="宋体" w:cs="宋体"/>
          <w:color w:val="auto"/>
          <w:sz w:val="32"/>
          <w:szCs w:val="32"/>
          <w:highlight w:val="none"/>
        </w:rPr>
        <w:br w:type="page"/>
      </w:r>
    </w:p>
    <w:p>
      <w:pPr>
        <w:autoSpaceDE w:val="0"/>
        <w:autoSpaceDN w:val="0"/>
        <w:adjustRightInd w:val="0"/>
        <w:snapToGrid w:val="0"/>
        <w:spacing w:line="360" w:lineRule="auto"/>
        <w:jc w:val="center"/>
        <w:rPr>
          <w:rFonts w:ascii="宋体" w:hAnsi="宋体" w:cs="宋体"/>
          <w:color w:val="auto"/>
          <w:sz w:val="28"/>
          <w:szCs w:val="28"/>
          <w:highlight w:val="none"/>
        </w:rPr>
      </w:pPr>
    </w:p>
    <w:p>
      <w:pPr>
        <w:autoSpaceDE w:val="0"/>
        <w:autoSpaceDN w:val="0"/>
        <w:adjustRightInd w:val="0"/>
        <w:snapToGrid w:val="0"/>
        <w:spacing w:line="360" w:lineRule="auto"/>
        <w:jc w:val="center"/>
        <w:rPr>
          <w:rFonts w:ascii="宋体" w:hAnsi="宋体" w:cs="宋体"/>
          <w:b/>
          <w:bCs/>
          <w:color w:val="auto"/>
          <w:sz w:val="32"/>
          <w:szCs w:val="32"/>
          <w:highlight w:val="none"/>
          <w:lang w:val="zh-CN"/>
        </w:rPr>
      </w:pPr>
      <w:r>
        <w:rPr>
          <w:rFonts w:hint="eastAsia" w:ascii="宋体" w:hAnsi="宋体" w:cs="宋体"/>
          <w:b/>
          <w:bCs/>
          <w:color w:val="auto"/>
          <w:sz w:val="32"/>
          <w:szCs w:val="32"/>
          <w:highlight w:val="none"/>
        </w:rPr>
        <w:t>二、经济标投标文件格式</w:t>
      </w:r>
      <w:bookmarkEnd w:id="32"/>
    </w:p>
    <w:p>
      <w:pPr>
        <w:widowControl/>
        <w:snapToGrid w:val="0"/>
        <w:spacing w:line="360" w:lineRule="auto"/>
        <w:jc w:val="left"/>
        <w:outlineLvl w:val="2"/>
        <w:rPr>
          <w:rFonts w:ascii="宋体" w:hAnsi="宋体" w:cs="宋体"/>
          <w:bCs/>
          <w:color w:val="auto"/>
          <w:spacing w:val="4"/>
          <w:sz w:val="24"/>
          <w:szCs w:val="24"/>
          <w:highlight w:val="none"/>
        </w:rPr>
      </w:pPr>
      <w:bookmarkStart w:id="33" w:name="_Toc16171"/>
    </w:p>
    <w:p>
      <w:pPr>
        <w:pStyle w:val="11"/>
        <w:widowControl/>
        <w:snapToGrid w:val="0"/>
        <w:jc w:val="left"/>
        <w:outlineLvl w:val="2"/>
        <w:rPr>
          <w:color w:val="auto"/>
          <w:highlight w:val="none"/>
        </w:rPr>
      </w:pPr>
    </w:p>
    <w:p>
      <w:pPr>
        <w:rPr>
          <w:color w:val="auto"/>
          <w:highlight w:val="none"/>
        </w:rPr>
      </w:pPr>
    </w:p>
    <w:p>
      <w:pPr>
        <w:pStyle w:val="11"/>
        <w:widowControl/>
        <w:snapToGrid w:val="0"/>
        <w:jc w:val="left"/>
        <w:outlineLvl w:val="2"/>
        <w:rPr>
          <w:color w:val="auto"/>
          <w:highlight w:val="none"/>
        </w:rPr>
      </w:pPr>
    </w:p>
    <w:p>
      <w:pPr>
        <w:rPr>
          <w:color w:val="auto"/>
          <w:highlight w:val="none"/>
        </w:rPr>
      </w:pPr>
    </w:p>
    <w:p>
      <w:pPr>
        <w:widowControl/>
        <w:jc w:val="left"/>
        <w:rPr>
          <w:rFonts w:ascii="宋体" w:hAnsi="宋体" w:cs="宋体"/>
          <w:bCs/>
          <w:color w:val="auto"/>
          <w:spacing w:val="4"/>
          <w:sz w:val="24"/>
          <w:szCs w:val="24"/>
          <w:highlight w:val="none"/>
        </w:rPr>
      </w:pPr>
      <w:r>
        <w:rPr>
          <w:rFonts w:ascii="宋体" w:hAnsi="宋体" w:cs="宋体"/>
          <w:bCs/>
          <w:color w:val="auto"/>
          <w:spacing w:val="4"/>
          <w:sz w:val="24"/>
          <w:szCs w:val="24"/>
          <w:highlight w:val="none"/>
        </w:rPr>
        <w:br w:type="page"/>
      </w:r>
    </w:p>
    <w:p>
      <w:pPr>
        <w:autoSpaceDE w:val="0"/>
        <w:autoSpaceDN w:val="0"/>
        <w:adjustRightInd w:val="0"/>
        <w:snapToGrid w:val="0"/>
        <w:spacing w:line="360" w:lineRule="auto"/>
        <w:rPr>
          <w:rFonts w:ascii="宋体" w:hAnsi="宋体" w:cs="宋体"/>
          <w:bCs/>
          <w:color w:val="auto"/>
          <w:sz w:val="24"/>
          <w:szCs w:val="24"/>
          <w:highlight w:val="none"/>
        </w:rPr>
      </w:pPr>
      <w:r>
        <w:rPr>
          <w:rFonts w:hint="eastAsia" w:ascii="宋体" w:hAnsi="宋体" w:cs="宋体"/>
          <w:bCs/>
          <w:color w:val="auto"/>
          <w:sz w:val="24"/>
          <w:szCs w:val="24"/>
          <w:highlight w:val="none"/>
        </w:rPr>
        <w:t>经济标格式一</w:t>
      </w:r>
    </w:p>
    <w:bookmarkEnd w:id="33"/>
    <w:p>
      <w:pPr>
        <w:pStyle w:val="44"/>
        <w:widowControl/>
        <w:outlineLvl w:val="1"/>
        <w:rPr>
          <w:rFonts w:ascii="宋体" w:hAnsi="宋体" w:cs="宋体"/>
          <w:b/>
          <w:bCs/>
          <w:color w:val="auto"/>
          <w:kern w:val="0"/>
          <w:highlight w:val="none"/>
        </w:rPr>
      </w:pPr>
      <w:bookmarkStart w:id="34" w:name="_Toc21286"/>
      <w:r>
        <w:rPr>
          <w:rFonts w:hint="eastAsia" w:ascii="宋体" w:hAnsi="宋体" w:cs="宋体"/>
          <w:b/>
          <w:bCs/>
          <w:color w:val="auto"/>
          <w:kern w:val="0"/>
          <w:highlight w:val="none"/>
        </w:rPr>
        <w:t>广州建设工程施工招标投标书（经济标）</w:t>
      </w:r>
      <w:bookmarkEnd w:id="34"/>
    </w:p>
    <w:tbl>
      <w:tblPr>
        <w:tblStyle w:val="30"/>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1" w:hRule="atLeast"/>
        </w:trPr>
        <w:tc>
          <w:tcPr>
            <w:tcW w:w="3334"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工程名称</w:t>
            </w:r>
          </w:p>
        </w:tc>
        <w:tc>
          <w:tcPr>
            <w:tcW w:w="6045"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snapToGrid w:val="0"/>
              <w:spacing w:line="360" w:lineRule="auto"/>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334" w:type="dxa"/>
            <w:vMerge w:val="restart"/>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6045"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rPr>
                <w:rFonts w:ascii="宋体" w:hAnsi="宋体" w:cs="宋体"/>
                <w:b/>
                <w:bCs/>
                <w:color w:val="auto"/>
                <w:sz w:val="24"/>
                <w:szCs w:val="24"/>
                <w:highlight w:val="none"/>
                <w:lang w:val="zh-CN"/>
              </w:rPr>
            </w:pPr>
            <w:r>
              <w:rPr>
                <w:rFonts w:hint="eastAsia" w:ascii="宋体" w:hAnsi="宋体" w:cs="宋体"/>
                <w:b/>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334" w:type="dxa"/>
            <w:vMerge w:val="continue"/>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left"/>
              <w:rPr>
                <w:rFonts w:ascii="宋体" w:hAnsi="宋体" w:cs="宋体"/>
                <w:b/>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rPr>
                <w:rFonts w:ascii="宋体" w:hAnsi="宋体" w:cs="宋体"/>
                <w:b/>
                <w:bCs/>
                <w:color w:val="auto"/>
                <w:sz w:val="24"/>
                <w:szCs w:val="24"/>
                <w:highlight w:val="none"/>
                <w:lang w:val="zh-CN"/>
              </w:rPr>
            </w:pPr>
            <w:r>
              <w:rPr>
                <w:rFonts w:hint="eastAsia" w:ascii="宋体" w:hAnsi="宋体" w:cs="宋体"/>
                <w:b/>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334" w:type="dxa"/>
            <w:vMerge w:val="restart"/>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6045"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rPr>
                <w:rFonts w:ascii="宋体" w:hAnsi="宋体" w:cs="宋体"/>
                <w:b/>
                <w:bCs/>
                <w:color w:val="auto"/>
                <w:sz w:val="24"/>
                <w:szCs w:val="24"/>
                <w:highlight w:val="none"/>
                <w:lang w:val="zh-CN"/>
              </w:rPr>
            </w:pPr>
            <w:r>
              <w:rPr>
                <w:rFonts w:hint="eastAsia" w:ascii="宋体" w:hAnsi="宋体" w:cs="宋体"/>
                <w:b/>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left"/>
              <w:rPr>
                <w:rFonts w:ascii="宋体" w:hAnsi="宋体" w:cs="宋体"/>
                <w:b/>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rPr>
                <w:rFonts w:ascii="宋体" w:hAnsi="宋体" w:cs="宋体"/>
                <w:b/>
                <w:bCs/>
                <w:color w:val="auto"/>
                <w:sz w:val="24"/>
                <w:szCs w:val="24"/>
                <w:highlight w:val="none"/>
                <w:lang w:val="zh-CN"/>
              </w:rPr>
            </w:pPr>
            <w:r>
              <w:rPr>
                <w:rFonts w:hint="eastAsia" w:ascii="宋体" w:hAnsi="宋体" w:cs="宋体"/>
                <w:b/>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restart"/>
            <w:tcBorders>
              <w:top w:val="single" w:color="auto" w:sz="4" w:space="0"/>
              <w:left w:val="single" w:color="auto" w:sz="4" w:space="0"/>
              <w:right w:val="single" w:color="auto" w:sz="4" w:space="0"/>
            </w:tcBorders>
            <w:noWrap/>
            <w:vAlign w:val="center"/>
          </w:tcPr>
          <w:p>
            <w:pPr>
              <w:widowControl/>
              <w:snapToGrid w:val="0"/>
              <w:spacing w:line="360" w:lineRule="auto"/>
              <w:ind w:left="1205" w:hanging="1205" w:hangingChars="500"/>
              <w:jc w:val="left"/>
              <w:rPr>
                <w:rFonts w:ascii="宋体" w:hAnsi="宋体" w:cs="宋体"/>
                <w:b/>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eastAsia="宋体" w:cs="宋体"/>
                <w:b/>
                <w:bCs/>
                <w:color w:val="auto"/>
                <w:sz w:val="24"/>
                <w:szCs w:val="24"/>
                <w:highlight w:val="none"/>
                <w:lang w:val="zh-CN"/>
              </w:rPr>
              <w:t>绿色施工安全防护措施费</w:t>
            </w:r>
            <w:r>
              <w:rPr>
                <w:rFonts w:hint="eastAsia" w:ascii="宋体" w:hAnsi="宋体" w:cs="宋体"/>
                <w:b/>
                <w:color w:val="auto"/>
                <w:sz w:val="24"/>
                <w:szCs w:val="24"/>
                <w:highlight w:val="none"/>
                <w:lang w:val="zh-CN"/>
              </w:rPr>
              <w:t>（元）</w:t>
            </w:r>
          </w:p>
        </w:tc>
        <w:tc>
          <w:tcPr>
            <w:tcW w:w="6045"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rPr>
                <w:rFonts w:ascii="宋体" w:hAnsi="宋体" w:cs="宋体"/>
                <w:b/>
                <w:bCs/>
                <w:color w:val="auto"/>
                <w:sz w:val="24"/>
                <w:szCs w:val="24"/>
                <w:highlight w:val="none"/>
                <w:lang w:val="zh-CN"/>
              </w:rPr>
            </w:pPr>
            <w:r>
              <w:rPr>
                <w:rFonts w:hint="eastAsia" w:ascii="宋体" w:hAnsi="宋体" w:cs="宋体"/>
                <w:b/>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left w:val="single" w:color="auto" w:sz="4" w:space="0"/>
              <w:right w:val="single" w:color="auto" w:sz="4" w:space="0"/>
            </w:tcBorders>
            <w:noWrap/>
            <w:vAlign w:val="center"/>
          </w:tcPr>
          <w:p>
            <w:pPr>
              <w:widowControl/>
              <w:snapToGrid w:val="0"/>
              <w:spacing w:line="360" w:lineRule="auto"/>
              <w:jc w:val="left"/>
              <w:rPr>
                <w:rFonts w:ascii="宋体" w:hAnsi="宋体" w:cs="宋体"/>
                <w:b/>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rPr>
                <w:rFonts w:ascii="宋体" w:hAnsi="宋体" w:cs="宋体"/>
                <w:b/>
                <w:bCs/>
                <w:color w:val="auto"/>
                <w:sz w:val="24"/>
                <w:szCs w:val="24"/>
                <w:highlight w:val="none"/>
                <w:lang w:val="zh-CN"/>
              </w:rPr>
            </w:pPr>
            <w:r>
              <w:rPr>
                <w:rFonts w:hint="eastAsia" w:ascii="宋体" w:hAnsi="宋体" w:cs="宋体"/>
                <w:b/>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restart"/>
            <w:tcBorders>
              <w:left w:val="single" w:color="auto" w:sz="4" w:space="0"/>
              <w:right w:val="single" w:color="auto" w:sz="4" w:space="0"/>
            </w:tcBorders>
            <w:noWrap/>
            <w:vAlign w:val="center"/>
          </w:tcPr>
          <w:p>
            <w:pPr>
              <w:widowControl/>
              <w:snapToGrid w:val="0"/>
              <w:spacing w:line="360" w:lineRule="auto"/>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其中：暂列金额</w:t>
            </w:r>
            <w:r>
              <w:rPr>
                <w:rFonts w:hint="eastAsia" w:ascii="宋体" w:hAnsi="宋体" w:cs="宋体"/>
                <w:b/>
                <w:color w:val="auto"/>
                <w:sz w:val="24"/>
                <w:szCs w:val="24"/>
                <w:highlight w:val="none"/>
                <w:lang w:val="zh-CN"/>
              </w:rPr>
              <w:t>（元）</w:t>
            </w:r>
          </w:p>
        </w:tc>
        <w:tc>
          <w:tcPr>
            <w:tcW w:w="6045"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rPr>
                <w:rFonts w:ascii="宋体" w:hAnsi="宋体" w:cs="宋体"/>
                <w:b/>
                <w:bCs/>
                <w:color w:val="auto"/>
                <w:sz w:val="24"/>
                <w:szCs w:val="24"/>
                <w:highlight w:val="none"/>
                <w:lang w:val="zh-CN"/>
              </w:rPr>
            </w:pPr>
            <w:r>
              <w:rPr>
                <w:rFonts w:hint="eastAsia" w:ascii="宋体" w:hAnsi="宋体" w:cs="宋体"/>
                <w:b/>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left w:val="single" w:color="auto" w:sz="4" w:space="0"/>
              <w:right w:val="single" w:color="auto" w:sz="4" w:space="0"/>
            </w:tcBorders>
            <w:noWrap/>
            <w:vAlign w:val="center"/>
          </w:tcPr>
          <w:p>
            <w:pPr>
              <w:widowControl/>
              <w:snapToGrid w:val="0"/>
              <w:spacing w:line="360" w:lineRule="auto"/>
              <w:jc w:val="left"/>
              <w:rPr>
                <w:rFonts w:ascii="宋体" w:hAnsi="宋体"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rPr>
                <w:rFonts w:ascii="宋体" w:hAnsi="宋体" w:cs="宋体"/>
                <w:b/>
                <w:bCs/>
                <w:color w:val="auto"/>
                <w:sz w:val="24"/>
                <w:szCs w:val="24"/>
                <w:highlight w:val="none"/>
                <w:lang w:val="zh-CN"/>
              </w:rPr>
            </w:pPr>
            <w:r>
              <w:rPr>
                <w:rFonts w:hint="eastAsia" w:ascii="宋体" w:hAnsi="宋体" w:cs="宋体"/>
                <w:b/>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restart"/>
            <w:tcBorders>
              <w:left w:val="single" w:color="auto" w:sz="4" w:space="0"/>
              <w:right w:val="single" w:color="auto" w:sz="4" w:space="0"/>
            </w:tcBorders>
            <w:noWrap/>
            <w:vAlign w:val="center"/>
          </w:tcPr>
          <w:p>
            <w:pPr>
              <w:widowControl/>
              <w:snapToGrid w:val="0"/>
              <w:spacing w:line="360" w:lineRule="auto"/>
              <w:jc w:val="left"/>
              <w:rPr>
                <w:rFonts w:ascii="宋体" w:hAnsi="宋体" w:cs="宋体"/>
                <w:bCs/>
                <w:color w:val="auto"/>
                <w:sz w:val="24"/>
                <w:szCs w:val="24"/>
                <w:highlight w:val="none"/>
                <w:lang w:val="zh-CN"/>
              </w:rPr>
            </w:pPr>
            <w:r>
              <w:rPr>
                <w:rFonts w:hint="eastAsia" w:ascii="宋体" w:hAnsi="宋体" w:cs="宋体"/>
                <w:b/>
                <w:bCs/>
                <w:color w:val="auto"/>
                <w:sz w:val="24"/>
                <w:szCs w:val="24"/>
                <w:highlight w:val="none"/>
                <w:lang w:val="zh-CN"/>
              </w:rPr>
              <w:t>其中：暂估价</w:t>
            </w:r>
            <w:r>
              <w:rPr>
                <w:rFonts w:hint="eastAsia" w:ascii="宋体" w:hAnsi="宋体" w:cs="宋体"/>
                <w:b/>
                <w:color w:val="auto"/>
                <w:sz w:val="24"/>
                <w:szCs w:val="24"/>
                <w:highlight w:val="none"/>
                <w:lang w:val="zh-CN"/>
              </w:rPr>
              <w:t>（元）</w:t>
            </w:r>
          </w:p>
        </w:tc>
        <w:tc>
          <w:tcPr>
            <w:tcW w:w="6045"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left w:val="single" w:color="auto" w:sz="4" w:space="0"/>
              <w:bottom w:val="single" w:color="auto" w:sz="4" w:space="0"/>
              <w:right w:val="single" w:color="auto" w:sz="4" w:space="0"/>
            </w:tcBorders>
            <w:noWrap/>
            <w:vAlign w:val="center"/>
          </w:tcPr>
          <w:p>
            <w:pPr>
              <w:widowControl/>
              <w:snapToGrid w:val="0"/>
              <w:spacing w:line="360" w:lineRule="auto"/>
              <w:jc w:val="left"/>
              <w:rPr>
                <w:rFonts w:ascii="宋体" w:hAnsi="宋体"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小写：</w:t>
            </w:r>
          </w:p>
        </w:tc>
      </w:tr>
    </w:tbl>
    <w:p>
      <w:pPr>
        <w:pStyle w:val="44"/>
        <w:widowControl/>
        <w:jc w:val="left"/>
        <w:outlineLvl w:val="2"/>
        <w:rPr>
          <w:color w:val="auto"/>
          <w:highlight w:val="none"/>
        </w:rPr>
      </w:pPr>
    </w:p>
    <w:p>
      <w:pPr>
        <w:pStyle w:val="44"/>
        <w:widowControl/>
        <w:jc w:val="left"/>
        <w:outlineLvl w:val="2"/>
        <w:rPr>
          <w:color w:val="auto"/>
          <w:highlight w:val="none"/>
        </w:rPr>
      </w:pPr>
    </w:p>
    <w:p>
      <w:pPr>
        <w:pStyle w:val="44"/>
        <w:widowControl/>
        <w:jc w:val="both"/>
        <w:outlineLvl w:val="2"/>
        <w:rPr>
          <w:color w:val="auto"/>
          <w:highlight w:val="none"/>
        </w:rPr>
      </w:pPr>
    </w:p>
    <w:p>
      <w:pPr>
        <w:rPr>
          <w:color w:val="auto"/>
          <w:highlight w:val="none"/>
        </w:rPr>
      </w:pPr>
    </w:p>
    <w:p>
      <w:pPr>
        <w:pStyle w:val="11"/>
        <w:widowControl/>
        <w:snapToGrid w:val="0"/>
        <w:jc w:val="left"/>
        <w:outlineLvl w:val="2"/>
        <w:rPr>
          <w:color w:val="auto"/>
          <w:highlight w:val="none"/>
        </w:rPr>
      </w:pPr>
    </w:p>
    <w:p>
      <w:pPr>
        <w:widowControl/>
        <w:jc w:val="left"/>
        <w:rPr>
          <w:rFonts w:ascii="宋体" w:hAnsi="宋体" w:cs="宋体"/>
          <w:color w:val="auto"/>
          <w:spacing w:val="4"/>
          <w:kern w:val="0"/>
          <w:sz w:val="24"/>
          <w:szCs w:val="24"/>
          <w:highlight w:val="none"/>
        </w:rPr>
      </w:pPr>
      <w:r>
        <w:rPr>
          <w:rFonts w:cs="宋体"/>
          <w:color w:val="auto"/>
          <w:kern w:val="0"/>
          <w:highlight w:val="none"/>
        </w:rPr>
        <w:br w:type="page"/>
      </w:r>
    </w:p>
    <w:p>
      <w:pPr>
        <w:autoSpaceDE w:val="0"/>
        <w:autoSpaceDN w:val="0"/>
        <w:adjustRightInd w:val="0"/>
        <w:snapToGrid w:val="0"/>
        <w:spacing w:line="360" w:lineRule="auto"/>
        <w:rPr>
          <w:rFonts w:ascii="宋体" w:hAnsi="宋体" w:cs="宋体"/>
          <w:bCs/>
          <w:color w:val="auto"/>
          <w:sz w:val="24"/>
          <w:szCs w:val="24"/>
          <w:highlight w:val="none"/>
        </w:rPr>
      </w:pPr>
      <w:bookmarkStart w:id="35" w:name="_Toc30992"/>
      <w:r>
        <w:rPr>
          <w:rFonts w:hint="eastAsia" w:ascii="宋体" w:hAnsi="宋体" w:cs="宋体"/>
          <w:bCs/>
          <w:color w:val="auto"/>
          <w:sz w:val="24"/>
          <w:szCs w:val="24"/>
          <w:highlight w:val="none"/>
        </w:rPr>
        <w:t>经济标格式二</w:t>
      </w:r>
    </w:p>
    <w:bookmarkEnd w:id="35"/>
    <w:p>
      <w:pPr>
        <w:pStyle w:val="44"/>
        <w:widowControl/>
        <w:outlineLvl w:val="1"/>
        <w:rPr>
          <w:rFonts w:ascii="宋体" w:hAnsi="宋体" w:cs="宋体"/>
          <w:b/>
          <w:bCs/>
          <w:color w:val="auto"/>
          <w:kern w:val="0"/>
          <w:highlight w:val="none"/>
        </w:rPr>
      </w:pPr>
      <w:bookmarkStart w:id="36" w:name="_Toc30258"/>
      <w:r>
        <w:rPr>
          <w:rFonts w:hint="eastAsia" w:ascii="宋体" w:hAnsi="宋体" w:cs="宋体"/>
          <w:b/>
          <w:bCs/>
          <w:color w:val="auto"/>
          <w:kern w:val="0"/>
          <w:highlight w:val="none"/>
        </w:rPr>
        <w:t>参与编制经济标投标文件人员名单</w:t>
      </w:r>
      <w:bookmarkEnd w:id="36"/>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41"/>
        <w:gridCol w:w="2461"/>
        <w:gridCol w:w="2359"/>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919" w:type="dxa"/>
            <w:gridSpan w:val="5"/>
            <w:noWrap/>
            <w:vAlign w:val="center"/>
          </w:tcPr>
          <w:p>
            <w:pPr>
              <w:tabs>
                <w:tab w:val="left" w:pos="720"/>
              </w:tabs>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39" w:type="dxa"/>
            <w:noWrap/>
            <w:vAlign w:val="center"/>
          </w:tcPr>
          <w:p>
            <w:pPr>
              <w:tabs>
                <w:tab w:val="left" w:pos="720"/>
              </w:tabs>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1441" w:type="dxa"/>
            <w:noWrap/>
            <w:vAlign w:val="center"/>
          </w:tcPr>
          <w:p>
            <w:pPr>
              <w:tabs>
                <w:tab w:val="left" w:pos="720"/>
              </w:tabs>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职务</w:t>
            </w:r>
          </w:p>
        </w:tc>
        <w:tc>
          <w:tcPr>
            <w:tcW w:w="2461" w:type="dxa"/>
            <w:noWrap/>
            <w:vAlign w:val="center"/>
          </w:tcPr>
          <w:p>
            <w:pPr>
              <w:tabs>
                <w:tab w:val="left" w:pos="720"/>
              </w:tabs>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所承担工作</w:t>
            </w:r>
          </w:p>
        </w:tc>
        <w:tc>
          <w:tcPr>
            <w:tcW w:w="2359" w:type="dxa"/>
            <w:noWrap/>
            <w:vAlign w:val="center"/>
          </w:tcPr>
          <w:p>
            <w:pPr>
              <w:tabs>
                <w:tab w:val="left" w:pos="720"/>
              </w:tabs>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身份证号码</w:t>
            </w:r>
          </w:p>
        </w:tc>
        <w:tc>
          <w:tcPr>
            <w:tcW w:w="1419" w:type="dxa"/>
            <w:noWrap/>
            <w:vAlign w:val="center"/>
          </w:tcPr>
          <w:p>
            <w:pPr>
              <w:tabs>
                <w:tab w:val="left" w:pos="720"/>
              </w:tabs>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39" w:type="dxa"/>
            <w:noWrap/>
            <w:vAlign w:val="center"/>
          </w:tcPr>
          <w:p>
            <w:pPr>
              <w:tabs>
                <w:tab w:val="left" w:pos="720"/>
              </w:tabs>
              <w:snapToGrid w:val="0"/>
              <w:spacing w:line="360" w:lineRule="auto"/>
              <w:jc w:val="center"/>
              <w:rPr>
                <w:rFonts w:ascii="宋体" w:hAnsi="宋体" w:cs="宋体"/>
                <w:color w:val="auto"/>
                <w:sz w:val="24"/>
                <w:szCs w:val="24"/>
                <w:highlight w:val="none"/>
              </w:rPr>
            </w:pPr>
          </w:p>
        </w:tc>
        <w:tc>
          <w:tcPr>
            <w:tcW w:w="1441" w:type="dxa"/>
            <w:noWrap/>
            <w:vAlign w:val="center"/>
          </w:tcPr>
          <w:p>
            <w:pPr>
              <w:tabs>
                <w:tab w:val="left" w:pos="720"/>
              </w:tabs>
              <w:snapToGrid w:val="0"/>
              <w:spacing w:line="360" w:lineRule="auto"/>
              <w:jc w:val="center"/>
              <w:rPr>
                <w:rFonts w:ascii="宋体" w:hAnsi="宋体" w:cs="宋体"/>
                <w:color w:val="auto"/>
                <w:sz w:val="24"/>
                <w:szCs w:val="24"/>
                <w:highlight w:val="none"/>
              </w:rPr>
            </w:pPr>
          </w:p>
        </w:tc>
        <w:tc>
          <w:tcPr>
            <w:tcW w:w="2461" w:type="dxa"/>
            <w:noWrap/>
            <w:vAlign w:val="center"/>
          </w:tcPr>
          <w:p>
            <w:pPr>
              <w:tabs>
                <w:tab w:val="left" w:pos="720"/>
              </w:tabs>
              <w:snapToGrid w:val="0"/>
              <w:spacing w:line="360" w:lineRule="auto"/>
              <w:jc w:val="center"/>
              <w:rPr>
                <w:rFonts w:ascii="宋体" w:hAnsi="宋体" w:cs="宋体"/>
                <w:color w:val="auto"/>
                <w:sz w:val="24"/>
                <w:szCs w:val="24"/>
                <w:highlight w:val="none"/>
              </w:rPr>
            </w:pPr>
          </w:p>
        </w:tc>
        <w:tc>
          <w:tcPr>
            <w:tcW w:w="2359" w:type="dxa"/>
            <w:noWrap/>
            <w:vAlign w:val="center"/>
          </w:tcPr>
          <w:p>
            <w:pPr>
              <w:tabs>
                <w:tab w:val="left" w:pos="720"/>
              </w:tabs>
              <w:snapToGrid w:val="0"/>
              <w:spacing w:line="360" w:lineRule="auto"/>
              <w:jc w:val="center"/>
              <w:rPr>
                <w:rFonts w:ascii="宋体" w:hAnsi="宋体" w:cs="宋体"/>
                <w:color w:val="auto"/>
                <w:sz w:val="24"/>
                <w:szCs w:val="24"/>
                <w:highlight w:val="none"/>
              </w:rPr>
            </w:pPr>
          </w:p>
        </w:tc>
        <w:tc>
          <w:tcPr>
            <w:tcW w:w="1419" w:type="dxa"/>
            <w:noWrap/>
            <w:vAlign w:val="center"/>
          </w:tcPr>
          <w:p>
            <w:pPr>
              <w:tabs>
                <w:tab w:val="left" w:pos="720"/>
              </w:tabs>
              <w:snapToGrid w:val="0"/>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noWrap/>
            <w:vAlign w:val="center"/>
          </w:tcPr>
          <w:p>
            <w:pPr>
              <w:tabs>
                <w:tab w:val="left" w:pos="720"/>
              </w:tabs>
              <w:snapToGrid w:val="0"/>
              <w:spacing w:line="360" w:lineRule="auto"/>
              <w:jc w:val="center"/>
              <w:rPr>
                <w:rFonts w:ascii="宋体" w:hAnsi="宋体" w:cs="宋体"/>
                <w:color w:val="auto"/>
                <w:sz w:val="24"/>
                <w:szCs w:val="24"/>
                <w:highlight w:val="none"/>
              </w:rPr>
            </w:pPr>
          </w:p>
        </w:tc>
        <w:tc>
          <w:tcPr>
            <w:tcW w:w="1441" w:type="dxa"/>
            <w:noWrap/>
            <w:vAlign w:val="center"/>
          </w:tcPr>
          <w:p>
            <w:pPr>
              <w:tabs>
                <w:tab w:val="left" w:pos="720"/>
              </w:tabs>
              <w:snapToGrid w:val="0"/>
              <w:spacing w:line="360" w:lineRule="auto"/>
              <w:jc w:val="center"/>
              <w:rPr>
                <w:rFonts w:ascii="宋体" w:hAnsi="宋体" w:cs="宋体"/>
                <w:color w:val="auto"/>
                <w:sz w:val="24"/>
                <w:szCs w:val="24"/>
                <w:highlight w:val="none"/>
              </w:rPr>
            </w:pPr>
          </w:p>
        </w:tc>
        <w:tc>
          <w:tcPr>
            <w:tcW w:w="2461" w:type="dxa"/>
            <w:noWrap/>
            <w:vAlign w:val="center"/>
          </w:tcPr>
          <w:p>
            <w:pPr>
              <w:tabs>
                <w:tab w:val="left" w:pos="720"/>
              </w:tabs>
              <w:snapToGrid w:val="0"/>
              <w:spacing w:line="360" w:lineRule="auto"/>
              <w:jc w:val="center"/>
              <w:rPr>
                <w:rFonts w:ascii="宋体" w:hAnsi="宋体" w:cs="宋体"/>
                <w:color w:val="auto"/>
                <w:sz w:val="24"/>
                <w:szCs w:val="24"/>
                <w:highlight w:val="none"/>
              </w:rPr>
            </w:pPr>
          </w:p>
        </w:tc>
        <w:tc>
          <w:tcPr>
            <w:tcW w:w="2359" w:type="dxa"/>
            <w:noWrap/>
            <w:vAlign w:val="center"/>
          </w:tcPr>
          <w:p>
            <w:pPr>
              <w:tabs>
                <w:tab w:val="left" w:pos="720"/>
              </w:tabs>
              <w:snapToGrid w:val="0"/>
              <w:spacing w:line="360" w:lineRule="auto"/>
              <w:jc w:val="center"/>
              <w:rPr>
                <w:rFonts w:ascii="宋体" w:hAnsi="宋体" w:cs="宋体"/>
                <w:color w:val="auto"/>
                <w:sz w:val="24"/>
                <w:szCs w:val="24"/>
                <w:highlight w:val="none"/>
              </w:rPr>
            </w:pPr>
          </w:p>
        </w:tc>
        <w:tc>
          <w:tcPr>
            <w:tcW w:w="1419" w:type="dxa"/>
            <w:noWrap/>
            <w:vAlign w:val="center"/>
          </w:tcPr>
          <w:p>
            <w:pPr>
              <w:tabs>
                <w:tab w:val="left" w:pos="720"/>
              </w:tabs>
              <w:snapToGrid w:val="0"/>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noWrap/>
            <w:vAlign w:val="center"/>
          </w:tcPr>
          <w:p>
            <w:pPr>
              <w:tabs>
                <w:tab w:val="left" w:pos="720"/>
              </w:tabs>
              <w:snapToGrid w:val="0"/>
              <w:spacing w:line="360" w:lineRule="auto"/>
              <w:jc w:val="center"/>
              <w:rPr>
                <w:rFonts w:ascii="宋体" w:hAnsi="宋体" w:cs="宋体"/>
                <w:color w:val="auto"/>
                <w:sz w:val="24"/>
                <w:szCs w:val="24"/>
                <w:highlight w:val="none"/>
              </w:rPr>
            </w:pPr>
          </w:p>
        </w:tc>
        <w:tc>
          <w:tcPr>
            <w:tcW w:w="1441" w:type="dxa"/>
            <w:noWrap/>
            <w:vAlign w:val="center"/>
          </w:tcPr>
          <w:p>
            <w:pPr>
              <w:tabs>
                <w:tab w:val="left" w:pos="720"/>
              </w:tabs>
              <w:snapToGrid w:val="0"/>
              <w:spacing w:line="360" w:lineRule="auto"/>
              <w:jc w:val="center"/>
              <w:rPr>
                <w:rFonts w:ascii="宋体" w:hAnsi="宋体" w:cs="宋体"/>
                <w:color w:val="auto"/>
                <w:sz w:val="24"/>
                <w:szCs w:val="24"/>
                <w:highlight w:val="none"/>
              </w:rPr>
            </w:pPr>
          </w:p>
        </w:tc>
        <w:tc>
          <w:tcPr>
            <w:tcW w:w="2461" w:type="dxa"/>
            <w:noWrap/>
            <w:vAlign w:val="center"/>
          </w:tcPr>
          <w:p>
            <w:pPr>
              <w:tabs>
                <w:tab w:val="left" w:pos="720"/>
              </w:tabs>
              <w:snapToGrid w:val="0"/>
              <w:spacing w:line="360" w:lineRule="auto"/>
              <w:jc w:val="center"/>
              <w:rPr>
                <w:rFonts w:ascii="宋体" w:hAnsi="宋体" w:cs="宋体"/>
                <w:color w:val="auto"/>
                <w:sz w:val="24"/>
                <w:szCs w:val="24"/>
                <w:highlight w:val="none"/>
              </w:rPr>
            </w:pPr>
          </w:p>
        </w:tc>
        <w:tc>
          <w:tcPr>
            <w:tcW w:w="2359" w:type="dxa"/>
            <w:noWrap/>
            <w:vAlign w:val="center"/>
          </w:tcPr>
          <w:p>
            <w:pPr>
              <w:tabs>
                <w:tab w:val="left" w:pos="720"/>
              </w:tabs>
              <w:snapToGrid w:val="0"/>
              <w:spacing w:line="360" w:lineRule="auto"/>
              <w:jc w:val="center"/>
              <w:rPr>
                <w:rFonts w:ascii="宋体" w:hAnsi="宋体" w:cs="宋体"/>
                <w:color w:val="auto"/>
                <w:sz w:val="24"/>
                <w:szCs w:val="24"/>
                <w:highlight w:val="none"/>
              </w:rPr>
            </w:pPr>
          </w:p>
        </w:tc>
        <w:tc>
          <w:tcPr>
            <w:tcW w:w="1419" w:type="dxa"/>
            <w:noWrap/>
            <w:vAlign w:val="center"/>
          </w:tcPr>
          <w:p>
            <w:pPr>
              <w:tabs>
                <w:tab w:val="left" w:pos="720"/>
              </w:tabs>
              <w:snapToGrid w:val="0"/>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noWrap/>
            <w:vAlign w:val="center"/>
          </w:tcPr>
          <w:p>
            <w:pPr>
              <w:tabs>
                <w:tab w:val="left" w:pos="720"/>
              </w:tabs>
              <w:snapToGrid w:val="0"/>
              <w:spacing w:line="360" w:lineRule="auto"/>
              <w:jc w:val="center"/>
              <w:rPr>
                <w:rFonts w:ascii="宋体" w:hAnsi="宋体" w:cs="宋体"/>
                <w:color w:val="auto"/>
                <w:sz w:val="24"/>
                <w:szCs w:val="24"/>
                <w:highlight w:val="none"/>
              </w:rPr>
            </w:pPr>
          </w:p>
        </w:tc>
        <w:tc>
          <w:tcPr>
            <w:tcW w:w="1441" w:type="dxa"/>
            <w:noWrap/>
            <w:vAlign w:val="center"/>
          </w:tcPr>
          <w:p>
            <w:pPr>
              <w:tabs>
                <w:tab w:val="left" w:pos="720"/>
              </w:tabs>
              <w:snapToGrid w:val="0"/>
              <w:spacing w:line="360" w:lineRule="auto"/>
              <w:jc w:val="center"/>
              <w:rPr>
                <w:rFonts w:ascii="宋体" w:hAnsi="宋体" w:cs="宋体"/>
                <w:color w:val="auto"/>
                <w:sz w:val="24"/>
                <w:szCs w:val="24"/>
                <w:highlight w:val="none"/>
              </w:rPr>
            </w:pPr>
          </w:p>
        </w:tc>
        <w:tc>
          <w:tcPr>
            <w:tcW w:w="2461" w:type="dxa"/>
            <w:noWrap/>
            <w:vAlign w:val="center"/>
          </w:tcPr>
          <w:p>
            <w:pPr>
              <w:tabs>
                <w:tab w:val="left" w:pos="720"/>
              </w:tabs>
              <w:snapToGrid w:val="0"/>
              <w:spacing w:line="360" w:lineRule="auto"/>
              <w:jc w:val="center"/>
              <w:rPr>
                <w:rFonts w:ascii="宋体" w:hAnsi="宋体" w:cs="宋体"/>
                <w:color w:val="auto"/>
                <w:sz w:val="24"/>
                <w:szCs w:val="24"/>
                <w:highlight w:val="none"/>
              </w:rPr>
            </w:pPr>
          </w:p>
        </w:tc>
        <w:tc>
          <w:tcPr>
            <w:tcW w:w="2359" w:type="dxa"/>
            <w:noWrap/>
            <w:vAlign w:val="center"/>
          </w:tcPr>
          <w:p>
            <w:pPr>
              <w:tabs>
                <w:tab w:val="left" w:pos="720"/>
              </w:tabs>
              <w:snapToGrid w:val="0"/>
              <w:spacing w:line="360" w:lineRule="auto"/>
              <w:jc w:val="center"/>
              <w:rPr>
                <w:rFonts w:ascii="宋体" w:hAnsi="宋体" w:cs="宋体"/>
                <w:color w:val="auto"/>
                <w:sz w:val="24"/>
                <w:szCs w:val="24"/>
                <w:highlight w:val="none"/>
              </w:rPr>
            </w:pPr>
          </w:p>
        </w:tc>
        <w:tc>
          <w:tcPr>
            <w:tcW w:w="1419" w:type="dxa"/>
            <w:noWrap/>
            <w:vAlign w:val="center"/>
          </w:tcPr>
          <w:p>
            <w:pPr>
              <w:tabs>
                <w:tab w:val="left" w:pos="720"/>
              </w:tabs>
              <w:snapToGrid w:val="0"/>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noWrap/>
            <w:vAlign w:val="center"/>
          </w:tcPr>
          <w:p>
            <w:pPr>
              <w:tabs>
                <w:tab w:val="left" w:pos="720"/>
              </w:tabs>
              <w:snapToGrid w:val="0"/>
              <w:spacing w:line="360" w:lineRule="auto"/>
              <w:jc w:val="center"/>
              <w:rPr>
                <w:rFonts w:ascii="宋体" w:hAnsi="宋体" w:cs="宋体"/>
                <w:color w:val="auto"/>
                <w:sz w:val="24"/>
                <w:szCs w:val="24"/>
                <w:highlight w:val="none"/>
              </w:rPr>
            </w:pPr>
          </w:p>
        </w:tc>
        <w:tc>
          <w:tcPr>
            <w:tcW w:w="1441" w:type="dxa"/>
            <w:noWrap/>
            <w:vAlign w:val="center"/>
          </w:tcPr>
          <w:p>
            <w:pPr>
              <w:tabs>
                <w:tab w:val="left" w:pos="720"/>
              </w:tabs>
              <w:snapToGrid w:val="0"/>
              <w:spacing w:line="360" w:lineRule="auto"/>
              <w:jc w:val="center"/>
              <w:rPr>
                <w:rFonts w:ascii="宋体" w:hAnsi="宋体" w:cs="宋体"/>
                <w:color w:val="auto"/>
                <w:sz w:val="24"/>
                <w:szCs w:val="24"/>
                <w:highlight w:val="none"/>
              </w:rPr>
            </w:pPr>
          </w:p>
        </w:tc>
        <w:tc>
          <w:tcPr>
            <w:tcW w:w="2461" w:type="dxa"/>
            <w:noWrap/>
            <w:vAlign w:val="center"/>
          </w:tcPr>
          <w:p>
            <w:pPr>
              <w:tabs>
                <w:tab w:val="left" w:pos="720"/>
              </w:tabs>
              <w:snapToGrid w:val="0"/>
              <w:spacing w:line="360" w:lineRule="auto"/>
              <w:jc w:val="center"/>
              <w:rPr>
                <w:rFonts w:ascii="宋体" w:hAnsi="宋体" w:cs="宋体"/>
                <w:color w:val="auto"/>
                <w:sz w:val="24"/>
                <w:szCs w:val="24"/>
                <w:highlight w:val="none"/>
              </w:rPr>
            </w:pPr>
          </w:p>
        </w:tc>
        <w:tc>
          <w:tcPr>
            <w:tcW w:w="2359" w:type="dxa"/>
            <w:noWrap/>
            <w:vAlign w:val="center"/>
          </w:tcPr>
          <w:p>
            <w:pPr>
              <w:tabs>
                <w:tab w:val="left" w:pos="720"/>
              </w:tabs>
              <w:snapToGrid w:val="0"/>
              <w:spacing w:line="360" w:lineRule="auto"/>
              <w:jc w:val="center"/>
              <w:rPr>
                <w:rFonts w:ascii="宋体" w:hAnsi="宋体" w:cs="宋体"/>
                <w:color w:val="auto"/>
                <w:sz w:val="24"/>
                <w:szCs w:val="24"/>
                <w:highlight w:val="none"/>
              </w:rPr>
            </w:pPr>
          </w:p>
        </w:tc>
        <w:tc>
          <w:tcPr>
            <w:tcW w:w="1419" w:type="dxa"/>
            <w:noWrap/>
            <w:vAlign w:val="center"/>
          </w:tcPr>
          <w:p>
            <w:pPr>
              <w:tabs>
                <w:tab w:val="left" w:pos="720"/>
              </w:tabs>
              <w:snapToGrid w:val="0"/>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noWrap/>
            <w:vAlign w:val="center"/>
          </w:tcPr>
          <w:p>
            <w:pPr>
              <w:tabs>
                <w:tab w:val="left" w:pos="720"/>
              </w:tabs>
              <w:snapToGrid w:val="0"/>
              <w:spacing w:line="360" w:lineRule="auto"/>
              <w:jc w:val="center"/>
              <w:rPr>
                <w:rFonts w:ascii="宋体" w:hAnsi="宋体" w:cs="宋体"/>
                <w:color w:val="auto"/>
                <w:sz w:val="24"/>
                <w:szCs w:val="24"/>
                <w:highlight w:val="none"/>
              </w:rPr>
            </w:pPr>
          </w:p>
        </w:tc>
        <w:tc>
          <w:tcPr>
            <w:tcW w:w="1441" w:type="dxa"/>
            <w:noWrap/>
            <w:vAlign w:val="center"/>
          </w:tcPr>
          <w:p>
            <w:pPr>
              <w:tabs>
                <w:tab w:val="left" w:pos="720"/>
              </w:tabs>
              <w:snapToGrid w:val="0"/>
              <w:spacing w:line="360" w:lineRule="auto"/>
              <w:jc w:val="center"/>
              <w:rPr>
                <w:rFonts w:ascii="宋体" w:hAnsi="宋体" w:cs="宋体"/>
                <w:color w:val="auto"/>
                <w:sz w:val="24"/>
                <w:szCs w:val="24"/>
                <w:highlight w:val="none"/>
              </w:rPr>
            </w:pPr>
          </w:p>
        </w:tc>
        <w:tc>
          <w:tcPr>
            <w:tcW w:w="2461" w:type="dxa"/>
            <w:noWrap/>
            <w:vAlign w:val="center"/>
          </w:tcPr>
          <w:p>
            <w:pPr>
              <w:tabs>
                <w:tab w:val="left" w:pos="720"/>
              </w:tabs>
              <w:snapToGrid w:val="0"/>
              <w:spacing w:line="360" w:lineRule="auto"/>
              <w:jc w:val="center"/>
              <w:rPr>
                <w:rFonts w:ascii="宋体" w:hAnsi="宋体" w:cs="宋体"/>
                <w:color w:val="auto"/>
                <w:sz w:val="24"/>
                <w:szCs w:val="24"/>
                <w:highlight w:val="none"/>
              </w:rPr>
            </w:pPr>
          </w:p>
        </w:tc>
        <w:tc>
          <w:tcPr>
            <w:tcW w:w="2359" w:type="dxa"/>
            <w:noWrap/>
            <w:vAlign w:val="center"/>
          </w:tcPr>
          <w:p>
            <w:pPr>
              <w:tabs>
                <w:tab w:val="left" w:pos="720"/>
              </w:tabs>
              <w:snapToGrid w:val="0"/>
              <w:spacing w:line="360" w:lineRule="auto"/>
              <w:jc w:val="center"/>
              <w:rPr>
                <w:rFonts w:ascii="宋体" w:hAnsi="宋体" w:cs="宋体"/>
                <w:color w:val="auto"/>
                <w:sz w:val="24"/>
                <w:szCs w:val="24"/>
                <w:highlight w:val="none"/>
              </w:rPr>
            </w:pPr>
          </w:p>
        </w:tc>
        <w:tc>
          <w:tcPr>
            <w:tcW w:w="1419" w:type="dxa"/>
            <w:noWrap/>
            <w:vAlign w:val="center"/>
          </w:tcPr>
          <w:p>
            <w:pPr>
              <w:tabs>
                <w:tab w:val="left" w:pos="720"/>
              </w:tabs>
              <w:snapToGrid w:val="0"/>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39" w:type="dxa"/>
            <w:noWrap/>
            <w:vAlign w:val="center"/>
          </w:tcPr>
          <w:p>
            <w:pPr>
              <w:tabs>
                <w:tab w:val="left" w:pos="720"/>
              </w:tabs>
              <w:snapToGrid w:val="0"/>
              <w:spacing w:line="360" w:lineRule="auto"/>
              <w:jc w:val="center"/>
              <w:rPr>
                <w:rFonts w:ascii="宋体" w:hAnsi="宋体" w:cs="宋体"/>
                <w:color w:val="auto"/>
                <w:sz w:val="24"/>
                <w:szCs w:val="24"/>
                <w:highlight w:val="none"/>
              </w:rPr>
            </w:pPr>
          </w:p>
        </w:tc>
        <w:tc>
          <w:tcPr>
            <w:tcW w:w="1441" w:type="dxa"/>
            <w:noWrap/>
            <w:vAlign w:val="center"/>
          </w:tcPr>
          <w:p>
            <w:pPr>
              <w:tabs>
                <w:tab w:val="left" w:pos="720"/>
              </w:tabs>
              <w:snapToGrid w:val="0"/>
              <w:spacing w:line="360" w:lineRule="auto"/>
              <w:jc w:val="center"/>
              <w:rPr>
                <w:rFonts w:ascii="宋体" w:hAnsi="宋体" w:cs="宋体"/>
                <w:color w:val="auto"/>
                <w:sz w:val="24"/>
                <w:szCs w:val="24"/>
                <w:highlight w:val="none"/>
              </w:rPr>
            </w:pPr>
          </w:p>
        </w:tc>
        <w:tc>
          <w:tcPr>
            <w:tcW w:w="2461" w:type="dxa"/>
            <w:noWrap/>
            <w:vAlign w:val="center"/>
          </w:tcPr>
          <w:p>
            <w:pPr>
              <w:tabs>
                <w:tab w:val="left" w:pos="720"/>
              </w:tabs>
              <w:snapToGrid w:val="0"/>
              <w:spacing w:line="360" w:lineRule="auto"/>
              <w:jc w:val="center"/>
              <w:rPr>
                <w:rFonts w:ascii="宋体" w:hAnsi="宋体" w:cs="宋体"/>
                <w:color w:val="auto"/>
                <w:sz w:val="24"/>
                <w:szCs w:val="24"/>
                <w:highlight w:val="none"/>
              </w:rPr>
            </w:pPr>
          </w:p>
        </w:tc>
        <w:tc>
          <w:tcPr>
            <w:tcW w:w="2359" w:type="dxa"/>
            <w:noWrap/>
            <w:vAlign w:val="center"/>
          </w:tcPr>
          <w:p>
            <w:pPr>
              <w:tabs>
                <w:tab w:val="left" w:pos="720"/>
              </w:tabs>
              <w:snapToGrid w:val="0"/>
              <w:spacing w:line="360" w:lineRule="auto"/>
              <w:jc w:val="center"/>
              <w:rPr>
                <w:rFonts w:ascii="宋体" w:hAnsi="宋体" w:cs="宋体"/>
                <w:color w:val="auto"/>
                <w:sz w:val="24"/>
                <w:szCs w:val="24"/>
                <w:highlight w:val="none"/>
              </w:rPr>
            </w:pPr>
          </w:p>
        </w:tc>
        <w:tc>
          <w:tcPr>
            <w:tcW w:w="1419" w:type="dxa"/>
            <w:noWrap/>
            <w:vAlign w:val="center"/>
          </w:tcPr>
          <w:p>
            <w:pPr>
              <w:tabs>
                <w:tab w:val="left" w:pos="720"/>
              </w:tabs>
              <w:snapToGrid w:val="0"/>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39" w:type="dxa"/>
            <w:noWrap/>
            <w:vAlign w:val="center"/>
          </w:tcPr>
          <w:p>
            <w:pPr>
              <w:tabs>
                <w:tab w:val="left" w:pos="720"/>
              </w:tabs>
              <w:snapToGrid w:val="0"/>
              <w:spacing w:line="360" w:lineRule="auto"/>
              <w:jc w:val="center"/>
              <w:rPr>
                <w:rFonts w:ascii="宋体" w:hAnsi="宋体" w:cs="宋体"/>
                <w:color w:val="auto"/>
                <w:sz w:val="24"/>
                <w:szCs w:val="24"/>
                <w:highlight w:val="none"/>
              </w:rPr>
            </w:pPr>
          </w:p>
        </w:tc>
        <w:tc>
          <w:tcPr>
            <w:tcW w:w="1441" w:type="dxa"/>
            <w:noWrap/>
            <w:vAlign w:val="center"/>
          </w:tcPr>
          <w:p>
            <w:pPr>
              <w:tabs>
                <w:tab w:val="left" w:pos="720"/>
              </w:tabs>
              <w:snapToGrid w:val="0"/>
              <w:spacing w:line="360" w:lineRule="auto"/>
              <w:jc w:val="center"/>
              <w:rPr>
                <w:rFonts w:ascii="宋体" w:hAnsi="宋体" w:cs="宋体"/>
                <w:color w:val="auto"/>
                <w:sz w:val="24"/>
                <w:szCs w:val="24"/>
                <w:highlight w:val="none"/>
              </w:rPr>
            </w:pPr>
          </w:p>
        </w:tc>
        <w:tc>
          <w:tcPr>
            <w:tcW w:w="2461" w:type="dxa"/>
            <w:noWrap/>
            <w:vAlign w:val="center"/>
          </w:tcPr>
          <w:p>
            <w:pPr>
              <w:tabs>
                <w:tab w:val="left" w:pos="720"/>
              </w:tabs>
              <w:snapToGrid w:val="0"/>
              <w:spacing w:line="360" w:lineRule="auto"/>
              <w:jc w:val="center"/>
              <w:rPr>
                <w:rFonts w:ascii="宋体" w:hAnsi="宋体" w:cs="宋体"/>
                <w:color w:val="auto"/>
                <w:sz w:val="24"/>
                <w:szCs w:val="24"/>
                <w:highlight w:val="none"/>
              </w:rPr>
            </w:pPr>
          </w:p>
        </w:tc>
        <w:tc>
          <w:tcPr>
            <w:tcW w:w="2359" w:type="dxa"/>
            <w:noWrap/>
            <w:vAlign w:val="center"/>
          </w:tcPr>
          <w:p>
            <w:pPr>
              <w:tabs>
                <w:tab w:val="left" w:pos="720"/>
              </w:tabs>
              <w:snapToGrid w:val="0"/>
              <w:spacing w:line="360" w:lineRule="auto"/>
              <w:jc w:val="center"/>
              <w:rPr>
                <w:rFonts w:ascii="宋体" w:hAnsi="宋体" w:cs="宋体"/>
                <w:color w:val="auto"/>
                <w:sz w:val="24"/>
                <w:szCs w:val="24"/>
                <w:highlight w:val="none"/>
              </w:rPr>
            </w:pPr>
          </w:p>
        </w:tc>
        <w:tc>
          <w:tcPr>
            <w:tcW w:w="1419" w:type="dxa"/>
            <w:noWrap/>
            <w:vAlign w:val="center"/>
          </w:tcPr>
          <w:p>
            <w:pPr>
              <w:tabs>
                <w:tab w:val="left" w:pos="720"/>
              </w:tabs>
              <w:snapToGrid w:val="0"/>
              <w:spacing w:line="360" w:lineRule="auto"/>
              <w:jc w:val="center"/>
              <w:rPr>
                <w:rFonts w:ascii="宋体" w:hAnsi="宋体" w:cs="宋体"/>
                <w:color w:val="auto"/>
                <w:sz w:val="24"/>
                <w:szCs w:val="24"/>
                <w:highlight w:val="none"/>
              </w:rPr>
            </w:pPr>
          </w:p>
        </w:tc>
      </w:tr>
    </w:tbl>
    <w:p>
      <w:pPr>
        <w:tabs>
          <w:tab w:val="left" w:pos="720"/>
        </w:tabs>
        <w:snapToGrid w:val="0"/>
        <w:spacing w:line="360" w:lineRule="auto"/>
        <w:rPr>
          <w:rFonts w:ascii="宋体" w:hAnsi="宋体" w:cs="宋体"/>
          <w:color w:val="auto"/>
          <w:sz w:val="24"/>
          <w:szCs w:val="24"/>
          <w:highlight w:val="none"/>
        </w:rPr>
      </w:pPr>
    </w:p>
    <w:p>
      <w:pPr>
        <w:autoSpaceDE w:val="0"/>
        <w:autoSpaceDN w:val="0"/>
        <w:adjustRightInd w:val="0"/>
        <w:snapToGrid w:val="0"/>
        <w:spacing w:line="360" w:lineRule="auto"/>
        <w:rPr>
          <w:rFonts w:ascii="宋体" w:hAnsi="宋体" w:cs="宋体"/>
          <w:b/>
          <w:bCs/>
          <w:color w:val="auto"/>
          <w:sz w:val="44"/>
          <w:szCs w:val="44"/>
          <w:highlight w:val="none"/>
        </w:rPr>
      </w:pPr>
      <w:r>
        <w:rPr>
          <w:rFonts w:hint="eastAsia" w:ascii="宋体" w:hAnsi="宋体"/>
          <w:color w:val="auto"/>
          <w:spacing w:val="4"/>
          <w:kern w:val="0"/>
          <w:sz w:val="24"/>
          <w:szCs w:val="24"/>
          <w:highlight w:val="none"/>
        </w:rPr>
        <w:t>注：参与编制经济标书所有人员名单应包括如编制各种专业工程量清单投标报价、负责清样校对、负责打印及复印等所有人员在内的人员名单。</w:t>
      </w:r>
      <w:r>
        <w:rPr>
          <w:rFonts w:hint="eastAsia" w:ascii="宋体" w:hAnsi="宋体" w:cs="宋体"/>
          <w:color w:val="auto"/>
          <w:sz w:val="24"/>
          <w:szCs w:val="24"/>
          <w:highlight w:val="none"/>
          <w:u w:val="single"/>
        </w:rPr>
        <w:t>要求在表格后附上述人员离投标截止时间最近的至少一个月（2025年7月或8月）在本单位(委托编制投标文件报价的，在委托单位)缴纳的社保证明文件。</w:t>
      </w:r>
    </w:p>
    <w:p>
      <w:pPr>
        <w:autoSpaceDE w:val="0"/>
        <w:autoSpaceDN w:val="0"/>
        <w:adjustRightInd w:val="0"/>
        <w:snapToGrid w:val="0"/>
        <w:spacing w:line="360" w:lineRule="auto"/>
        <w:rPr>
          <w:rFonts w:ascii="宋体" w:hAnsi="宋体" w:cs="宋体"/>
          <w:b/>
          <w:bCs/>
          <w:color w:val="auto"/>
          <w:sz w:val="44"/>
          <w:szCs w:val="44"/>
          <w:highlight w:val="none"/>
        </w:rPr>
      </w:pPr>
    </w:p>
    <w:p>
      <w:pPr>
        <w:autoSpaceDE w:val="0"/>
        <w:autoSpaceDN w:val="0"/>
        <w:adjustRightInd w:val="0"/>
        <w:snapToGrid w:val="0"/>
        <w:spacing w:line="360" w:lineRule="auto"/>
        <w:rPr>
          <w:rFonts w:ascii="宋体" w:hAnsi="宋体" w:cs="宋体"/>
          <w:b/>
          <w:bCs/>
          <w:color w:val="auto"/>
          <w:sz w:val="44"/>
          <w:szCs w:val="44"/>
          <w:highlight w:val="none"/>
          <w:lang w:val="zh-CN"/>
        </w:rPr>
      </w:pPr>
    </w:p>
    <w:p>
      <w:pPr>
        <w:autoSpaceDE w:val="0"/>
        <w:autoSpaceDN w:val="0"/>
        <w:adjustRightInd w:val="0"/>
        <w:snapToGrid w:val="0"/>
        <w:spacing w:line="360" w:lineRule="auto"/>
        <w:rPr>
          <w:rFonts w:ascii="宋体" w:hAnsi="宋体" w:cs="宋体"/>
          <w:b/>
          <w:bCs/>
          <w:color w:val="auto"/>
          <w:sz w:val="44"/>
          <w:szCs w:val="44"/>
          <w:highlight w:val="none"/>
          <w:lang w:val="zh-CN"/>
        </w:rPr>
      </w:pPr>
    </w:p>
    <w:p>
      <w:pPr>
        <w:snapToGrid w:val="0"/>
        <w:spacing w:line="360" w:lineRule="auto"/>
        <w:rPr>
          <w:rFonts w:ascii="宋体" w:hAnsi="宋体" w:cs="宋体"/>
          <w:color w:val="auto"/>
          <w:sz w:val="24"/>
          <w:szCs w:val="24"/>
          <w:highlight w:val="none"/>
        </w:rPr>
      </w:pPr>
    </w:p>
    <w:p>
      <w:pPr>
        <w:snapToGrid w:val="0"/>
        <w:spacing w:line="360" w:lineRule="auto"/>
        <w:rPr>
          <w:rFonts w:ascii="宋体" w:hAnsi="宋体" w:cs="宋体"/>
          <w:color w:val="auto"/>
          <w:szCs w:val="21"/>
          <w:highlight w:val="none"/>
        </w:rPr>
      </w:pPr>
    </w:p>
    <w:p>
      <w:pPr>
        <w:snapToGrid w:val="0"/>
        <w:spacing w:line="360" w:lineRule="auto"/>
        <w:rPr>
          <w:rFonts w:ascii="宋体" w:hAnsi="宋体" w:cs="宋体"/>
          <w:color w:val="auto"/>
          <w:szCs w:val="21"/>
          <w:highlight w:val="none"/>
        </w:rPr>
      </w:pPr>
    </w:p>
    <w:p>
      <w:pPr>
        <w:snapToGrid w:val="0"/>
        <w:spacing w:line="360" w:lineRule="auto"/>
        <w:rPr>
          <w:rFonts w:ascii="宋体" w:hAnsi="宋体" w:cs="宋体"/>
          <w:color w:val="auto"/>
          <w:szCs w:val="21"/>
          <w:highlight w:val="none"/>
        </w:rPr>
      </w:pPr>
    </w:p>
    <w:p>
      <w:pPr>
        <w:snapToGrid w:val="0"/>
        <w:spacing w:line="360" w:lineRule="auto"/>
        <w:rPr>
          <w:rFonts w:ascii="宋体" w:hAnsi="宋体" w:cs="宋体"/>
          <w:color w:val="auto"/>
          <w:szCs w:val="21"/>
          <w:highlight w:val="none"/>
        </w:rPr>
      </w:pPr>
    </w:p>
    <w:p>
      <w:pPr>
        <w:snapToGrid w:val="0"/>
        <w:spacing w:line="360" w:lineRule="auto"/>
        <w:rPr>
          <w:rFonts w:ascii="宋体" w:hAnsi="宋体" w:cs="宋体"/>
          <w:color w:val="auto"/>
          <w:szCs w:val="21"/>
          <w:highlight w:val="none"/>
        </w:rPr>
      </w:pPr>
    </w:p>
    <w:p>
      <w:pPr>
        <w:snapToGrid w:val="0"/>
        <w:spacing w:line="360" w:lineRule="auto"/>
        <w:rPr>
          <w:rFonts w:ascii="宋体" w:hAnsi="宋体" w:cs="宋体"/>
          <w:color w:val="auto"/>
          <w:szCs w:val="21"/>
          <w:highlight w:val="none"/>
        </w:rPr>
      </w:pPr>
    </w:p>
    <w:p>
      <w:pPr>
        <w:widowControl/>
        <w:jc w:val="left"/>
        <w:rPr>
          <w:rFonts w:ascii="宋体" w:hAnsi="宋体" w:cs="宋体"/>
          <w:bCs/>
          <w:color w:val="auto"/>
          <w:spacing w:val="4"/>
          <w:sz w:val="24"/>
          <w:szCs w:val="24"/>
          <w:highlight w:val="none"/>
        </w:rPr>
      </w:pPr>
      <w:r>
        <w:rPr>
          <w:rFonts w:ascii="宋体" w:hAnsi="宋体" w:cs="宋体"/>
          <w:bCs/>
          <w:color w:val="auto"/>
          <w:spacing w:val="4"/>
          <w:sz w:val="24"/>
          <w:szCs w:val="24"/>
          <w:highlight w:val="none"/>
        </w:rPr>
        <w:br w:type="page"/>
      </w:r>
    </w:p>
    <w:p>
      <w:pPr>
        <w:autoSpaceDE w:val="0"/>
        <w:autoSpaceDN w:val="0"/>
        <w:adjustRightInd w:val="0"/>
        <w:snapToGrid w:val="0"/>
        <w:spacing w:line="360" w:lineRule="auto"/>
        <w:rPr>
          <w:rFonts w:ascii="宋体" w:hAnsi="宋体" w:cs="宋体"/>
          <w:bCs/>
          <w:color w:val="auto"/>
          <w:sz w:val="24"/>
          <w:szCs w:val="24"/>
          <w:highlight w:val="none"/>
        </w:rPr>
      </w:pPr>
      <w:r>
        <w:rPr>
          <w:rFonts w:hint="eastAsia" w:ascii="宋体" w:hAnsi="宋体" w:cs="宋体"/>
          <w:bCs/>
          <w:color w:val="auto"/>
          <w:sz w:val="24"/>
          <w:szCs w:val="24"/>
          <w:highlight w:val="none"/>
        </w:rPr>
        <w:t>经济标格式三</w:t>
      </w:r>
    </w:p>
    <w:p>
      <w:pPr>
        <w:autoSpaceDE w:val="0"/>
        <w:autoSpaceDN w:val="0"/>
        <w:adjustRightInd w:val="0"/>
        <w:snapToGrid w:val="0"/>
        <w:spacing w:line="360" w:lineRule="auto"/>
        <w:jc w:val="center"/>
        <w:rPr>
          <w:rFonts w:ascii="宋体" w:hAnsi="宋体"/>
          <w:b/>
          <w:bCs/>
          <w:color w:val="auto"/>
          <w:spacing w:val="4"/>
          <w:kern w:val="0"/>
          <w:sz w:val="36"/>
          <w:szCs w:val="36"/>
          <w:highlight w:val="none"/>
        </w:rPr>
      </w:pPr>
      <w:bookmarkStart w:id="37" w:name="_Toc134541095"/>
      <w:bookmarkStart w:id="38" w:name="_Toc13531"/>
      <w:r>
        <w:rPr>
          <w:rFonts w:hint="eastAsia" w:ascii="宋体" w:hAnsi="宋体" w:cs="宋体"/>
          <w:b/>
          <w:bCs/>
          <w:color w:val="auto"/>
          <w:sz w:val="36"/>
          <w:szCs w:val="36"/>
          <w:highlight w:val="none"/>
        </w:rPr>
        <w:t>对投标文件编制的承诺</w:t>
      </w:r>
      <w:bookmarkEnd w:id="37"/>
    </w:p>
    <w:p>
      <w:pPr>
        <w:spacing w:line="360" w:lineRule="auto"/>
        <w:ind w:left="-2" w:leftChars="-1" w:firstLine="540" w:firstLineChars="225"/>
        <w:rPr>
          <w:rFonts w:ascii="宋体" w:hAnsi="宋体"/>
          <w:color w:val="auto"/>
          <w:kern w:val="0"/>
          <w:sz w:val="24"/>
          <w:szCs w:val="24"/>
          <w:highlight w:val="none"/>
        </w:rPr>
      </w:pPr>
      <w:r>
        <w:rPr>
          <w:rFonts w:hint="eastAsia" w:ascii="宋体" w:hAnsi="宋体"/>
          <w:color w:val="auto"/>
          <w:kern w:val="0"/>
          <w:sz w:val="24"/>
          <w:szCs w:val="24"/>
          <w:highlight w:val="none"/>
        </w:rPr>
        <w:t>本公司授权</w:t>
      </w:r>
      <w:r>
        <w:rPr>
          <w:rFonts w:hint="eastAsia" w:ascii="宋体" w:hAnsi="宋体"/>
          <w:color w:val="auto"/>
          <w:kern w:val="0"/>
          <w:sz w:val="24"/>
          <w:szCs w:val="24"/>
          <w:highlight w:val="none"/>
          <w:u w:val="single"/>
        </w:rPr>
        <w:t xml:space="preserve">         （身份证号：               ）</w:t>
      </w:r>
      <w:r>
        <w:rPr>
          <w:rFonts w:hint="eastAsia" w:ascii="宋体" w:hAnsi="宋体"/>
          <w:color w:val="auto"/>
          <w:kern w:val="0"/>
          <w:sz w:val="24"/>
          <w:szCs w:val="24"/>
          <w:highlight w:val="none"/>
        </w:rPr>
        <w:t>负责对投标文件的编制及内容进行解释、说明，并承诺以下事项：</w:t>
      </w:r>
    </w:p>
    <w:p>
      <w:pPr>
        <w:spacing w:line="360" w:lineRule="auto"/>
        <w:ind w:left="-2" w:leftChars="-1" w:firstLine="540" w:firstLineChars="225"/>
        <w:rPr>
          <w:rFonts w:ascii="宋体" w:hAnsi="宋体"/>
          <w:color w:val="auto"/>
          <w:kern w:val="0"/>
          <w:sz w:val="24"/>
          <w:szCs w:val="24"/>
          <w:highlight w:val="none"/>
        </w:rPr>
      </w:pPr>
      <w:r>
        <w:rPr>
          <w:rFonts w:hint="eastAsia" w:ascii="宋体" w:hAnsi="宋体"/>
          <w:color w:val="auto"/>
          <w:kern w:val="0"/>
          <w:sz w:val="24"/>
          <w:szCs w:val="24"/>
          <w:highlight w:val="none"/>
        </w:rPr>
        <w:t>1.被授权人清楚投标文件编制的具体情况，包括技术方案文件、工程量清单、以及投标文件的加密打包的理解；</w:t>
      </w:r>
    </w:p>
    <w:p>
      <w:pPr>
        <w:spacing w:line="360" w:lineRule="auto"/>
        <w:ind w:left="-2" w:leftChars="-1" w:firstLine="540" w:firstLineChars="225"/>
        <w:rPr>
          <w:rFonts w:ascii="宋体" w:hAnsi="宋体"/>
          <w:color w:val="auto"/>
          <w:kern w:val="0"/>
          <w:sz w:val="24"/>
          <w:szCs w:val="24"/>
          <w:highlight w:val="none"/>
        </w:rPr>
      </w:pPr>
      <w:r>
        <w:rPr>
          <w:rFonts w:hint="eastAsia" w:ascii="宋体" w:hAnsi="宋体"/>
          <w:color w:val="auto"/>
          <w:kern w:val="0"/>
          <w:sz w:val="24"/>
          <w:szCs w:val="24"/>
          <w:highlight w:val="none"/>
        </w:rPr>
        <w:t>2.在本项目开标至评标结束前，努力确保被授权人在项目评标所在地附近；</w:t>
      </w:r>
    </w:p>
    <w:p>
      <w:pPr>
        <w:spacing w:line="360" w:lineRule="auto"/>
        <w:ind w:left="-2" w:leftChars="-1" w:firstLine="540" w:firstLineChars="225"/>
        <w:rPr>
          <w:rFonts w:ascii="宋体" w:hAnsi="宋体"/>
          <w:color w:val="auto"/>
          <w:kern w:val="0"/>
          <w:sz w:val="24"/>
          <w:szCs w:val="24"/>
          <w:highlight w:val="none"/>
        </w:rPr>
      </w:pPr>
      <w:r>
        <w:rPr>
          <w:rFonts w:hint="eastAsia" w:ascii="宋体" w:hAnsi="宋体"/>
          <w:color w:val="auto"/>
          <w:kern w:val="0"/>
          <w:sz w:val="24"/>
          <w:szCs w:val="24"/>
          <w:highlight w:val="none"/>
        </w:rPr>
        <w:t>3.从评标委员会要求澄清起二小时内，被授权人应如实地书面澄清。</w:t>
      </w:r>
    </w:p>
    <w:p>
      <w:pPr>
        <w:spacing w:line="360" w:lineRule="auto"/>
        <w:ind w:left="-2" w:leftChars="-1" w:firstLine="540" w:firstLineChars="225"/>
        <w:rPr>
          <w:rFonts w:ascii="宋体" w:hAnsi="宋体"/>
          <w:color w:val="auto"/>
          <w:kern w:val="0"/>
          <w:sz w:val="24"/>
          <w:szCs w:val="24"/>
          <w:highlight w:val="none"/>
        </w:rPr>
      </w:pPr>
      <w:r>
        <w:rPr>
          <w:rFonts w:hint="eastAsia" w:ascii="宋体" w:hAnsi="宋体"/>
          <w:color w:val="auto"/>
          <w:kern w:val="0"/>
          <w:sz w:val="24"/>
          <w:szCs w:val="24"/>
          <w:highlight w:val="none"/>
        </w:rPr>
        <w:t xml:space="preserve">如由于未遵守上述承诺内容之一导致无法进行澄清的，我公司认可和接受评标委员会作出的评审结论。                                 </w:t>
      </w:r>
    </w:p>
    <w:p>
      <w:pPr>
        <w:spacing w:line="360" w:lineRule="auto"/>
        <w:ind w:firstLine="360" w:firstLineChars="150"/>
        <w:rPr>
          <w:rFonts w:ascii="宋体" w:hAnsi="宋体"/>
          <w:color w:val="auto"/>
          <w:kern w:val="0"/>
          <w:sz w:val="24"/>
          <w:szCs w:val="24"/>
          <w:highlight w:val="none"/>
        </w:rPr>
      </w:pPr>
      <w:r>
        <w:rPr>
          <w:rFonts w:hint="eastAsia" w:ascii="宋体" w:hAnsi="宋体"/>
          <w:color w:val="auto"/>
          <w:kern w:val="0"/>
          <w:sz w:val="24"/>
          <w:szCs w:val="24"/>
          <w:highlight w:val="none"/>
        </w:rPr>
        <w:t xml:space="preserve"> </w:t>
      </w:r>
    </w:p>
    <w:p>
      <w:pPr>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附件：《投标文件编制情况》</w:t>
      </w:r>
    </w:p>
    <w:p>
      <w:pPr>
        <w:spacing w:line="360" w:lineRule="auto"/>
        <w:ind w:right="90" w:firstLine="3240" w:firstLineChars="1350"/>
        <w:rPr>
          <w:rFonts w:ascii="宋体" w:hAnsi="宋体"/>
          <w:color w:val="auto"/>
          <w:sz w:val="24"/>
          <w:szCs w:val="24"/>
          <w:highlight w:val="none"/>
          <w:u w:val="single"/>
        </w:rPr>
      </w:pPr>
      <w:r>
        <w:rPr>
          <w:rFonts w:hint="eastAsia" w:ascii="宋体" w:hAnsi="宋体"/>
          <w:color w:val="auto"/>
          <w:sz w:val="24"/>
          <w:szCs w:val="24"/>
          <w:highlight w:val="none"/>
        </w:rPr>
        <w:t xml:space="preserve">               </w:t>
      </w:r>
      <w:r>
        <w:rPr>
          <w:rFonts w:hint="eastAsia" w:ascii="宋体" w:hAnsi="宋体" w:cs="宋体"/>
          <w:color w:val="auto"/>
          <w:sz w:val="24"/>
          <w:szCs w:val="24"/>
          <w:highlight w:val="none"/>
        </w:rPr>
        <w:t>投 标 人：（盖章）</w:t>
      </w:r>
    </w:p>
    <w:p>
      <w:pPr>
        <w:spacing w:line="360" w:lineRule="auto"/>
        <w:ind w:left="-2" w:leftChars="-1" w:firstLine="540" w:firstLineChars="225"/>
        <w:jc w:val="right"/>
        <w:rPr>
          <w:rFonts w:ascii="宋体" w:hAnsi="宋体"/>
          <w:color w:val="auto"/>
          <w:sz w:val="24"/>
          <w:szCs w:val="24"/>
          <w:highlight w:val="none"/>
        </w:rPr>
      </w:pPr>
      <w:r>
        <w:rPr>
          <w:rFonts w:hint="eastAsia" w:ascii="宋体" w:hAnsi="宋体"/>
          <w:color w:val="auto"/>
          <w:kern w:val="0"/>
          <w:sz w:val="24"/>
          <w:szCs w:val="24"/>
          <w:highlight w:val="none"/>
        </w:rPr>
        <w:t>日期：</w:t>
      </w:r>
      <w:r>
        <w:rPr>
          <w:rFonts w:ascii="宋体" w:hAnsi="宋体"/>
          <w:color w:val="auto"/>
          <w:kern w:val="0"/>
          <w:sz w:val="24"/>
          <w:szCs w:val="24"/>
          <w:highlight w:val="none"/>
        </w:rPr>
        <w:t xml:space="preserve">     年   月   </w:t>
      </w:r>
      <w:bookmarkStart w:id="39" w:name="_Toc134541096"/>
      <w:r>
        <w:rPr>
          <w:rFonts w:hint="eastAsia" w:ascii="宋体" w:hAnsi="宋体"/>
          <w:color w:val="auto"/>
          <w:kern w:val="0"/>
          <w:sz w:val="24"/>
          <w:szCs w:val="24"/>
          <w:highlight w:val="none"/>
        </w:rPr>
        <w:t>日</w:t>
      </w:r>
      <w:bookmarkEnd w:id="39"/>
    </w:p>
    <w:p>
      <w:pPr>
        <w:autoSpaceDE w:val="0"/>
        <w:autoSpaceDN w:val="0"/>
        <w:adjustRightInd w:val="0"/>
        <w:snapToGrid w:val="0"/>
        <w:spacing w:line="360" w:lineRule="auto"/>
        <w:jc w:val="center"/>
        <w:rPr>
          <w:rFonts w:ascii="宋体" w:hAnsi="宋体"/>
          <w:b/>
          <w:bCs/>
          <w:color w:val="auto"/>
          <w:spacing w:val="4"/>
          <w:kern w:val="0"/>
          <w:sz w:val="36"/>
          <w:szCs w:val="36"/>
          <w:highlight w:val="none"/>
        </w:rPr>
      </w:pPr>
      <w:bookmarkStart w:id="40" w:name="_Toc134541097"/>
      <w:r>
        <w:rPr>
          <w:rFonts w:hint="eastAsia" w:ascii="宋体" w:hAnsi="宋体" w:cs="宋体"/>
          <w:b/>
          <w:bCs/>
          <w:color w:val="auto"/>
          <w:sz w:val="36"/>
          <w:szCs w:val="36"/>
          <w:highlight w:val="none"/>
        </w:rPr>
        <w:t>投标文件编制情况</w:t>
      </w:r>
      <w:bookmarkEnd w:id="40"/>
    </w:p>
    <w:p>
      <w:pPr>
        <w:spacing w:line="360" w:lineRule="auto"/>
        <w:ind w:firstLine="480" w:firstLineChars="200"/>
        <w:rPr>
          <w:rFonts w:ascii="宋体" w:hAnsi="宋体"/>
          <w:color w:val="auto"/>
          <w:kern w:val="0"/>
          <w:sz w:val="24"/>
          <w:szCs w:val="24"/>
          <w:highlight w:val="none"/>
          <w:u w:val="single"/>
        </w:rPr>
      </w:pPr>
      <w:r>
        <w:rPr>
          <w:rFonts w:hint="eastAsia" w:ascii="宋体" w:hAnsi="宋体"/>
          <w:color w:val="auto"/>
          <w:kern w:val="0"/>
          <w:sz w:val="24"/>
          <w:szCs w:val="24"/>
          <w:highlight w:val="none"/>
        </w:rPr>
        <w:t>1.投标文件报价编制方式: □自行编制的，编制的负责人：</w:t>
      </w:r>
      <w:r>
        <w:rPr>
          <w:rFonts w:hint="eastAsia" w:ascii="宋体" w:hAnsi="宋体"/>
          <w:color w:val="auto"/>
          <w:kern w:val="0"/>
          <w:sz w:val="24"/>
          <w:szCs w:val="24"/>
          <w:highlight w:val="none"/>
          <w:u w:val="single"/>
        </w:rPr>
        <w:t xml:space="preserve"> （盖造价工程师执业专用章或全国建设工程造价员章，执业单位应与投标人一致） </w:t>
      </w:r>
      <w:r>
        <w:rPr>
          <w:rFonts w:hint="eastAsia" w:ascii="宋体" w:hAnsi="宋体"/>
          <w:color w:val="auto"/>
          <w:kern w:val="0"/>
          <w:sz w:val="24"/>
          <w:szCs w:val="24"/>
          <w:highlight w:val="none"/>
        </w:rPr>
        <w:t>。□委托编制的，受委托单位</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，编制的负责人：</w:t>
      </w:r>
      <w:r>
        <w:rPr>
          <w:rFonts w:hint="eastAsia" w:ascii="宋体" w:hAnsi="宋体"/>
          <w:color w:val="auto"/>
          <w:kern w:val="0"/>
          <w:sz w:val="24"/>
          <w:szCs w:val="24"/>
          <w:highlight w:val="none"/>
          <w:u w:val="single"/>
        </w:rPr>
        <w:t xml:space="preserve"> （盖造价工程师执业专用章或全国建设工程造价员章，执业单位应与受委托单位一致） </w:t>
      </w:r>
      <w:r>
        <w:rPr>
          <w:rFonts w:hint="eastAsia" w:ascii="宋体" w:hAnsi="宋体"/>
          <w:color w:val="auto"/>
          <w:kern w:val="0"/>
          <w:sz w:val="24"/>
          <w:szCs w:val="24"/>
          <w:highlight w:val="none"/>
        </w:rPr>
        <w:t>。</w:t>
      </w:r>
    </w:p>
    <w:p>
      <w:pPr>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2.投标文件加密打包的电脑情况</w:t>
      </w:r>
    </w:p>
    <w:tbl>
      <w:tblPr>
        <w:tblStyle w:val="30"/>
        <w:tblW w:w="0" w:type="auto"/>
        <w:tblInd w:w="0" w:type="dxa"/>
        <w:tblLayout w:type="fixed"/>
        <w:tblCellMar>
          <w:top w:w="0" w:type="dxa"/>
          <w:left w:w="108" w:type="dxa"/>
          <w:bottom w:w="0" w:type="dxa"/>
          <w:right w:w="108" w:type="dxa"/>
        </w:tblCellMar>
      </w:tblPr>
      <w:tblGrid>
        <w:gridCol w:w="8919"/>
      </w:tblGrid>
      <w:tr>
        <w:tblPrEx>
          <w:tblCellMar>
            <w:top w:w="0" w:type="dxa"/>
            <w:left w:w="108" w:type="dxa"/>
            <w:bottom w:w="0" w:type="dxa"/>
            <w:right w:w="108" w:type="dxa"/>
          </w:tblCellMar>
        </w:tblPrEx>
        <w:trPr>
          <w:trHeight w:val="2819" w:hRule="atLeast"/>
        </w:trPr>
        <w:tc>
          <w:tcPr>
            <w:tcW w:w="8919" w:type="dxa"/>
          </w:tcPr>
          <w:p>
            <w:pPr>
              <w:spacing w:line="360" w:lineRule="auto"/>
              <w:rPr>
                <w:rFonts w:ascii="宋体" w:hAnsi="宋体"/>
                <w:color w:val="auto"/>
                <w:sz w:val="24"/>
                <w:szCs w:val="24"/>
                <w:highlight w:val="none"/>
              </w:rPr>
            </w:pPr>
            <w:r>
              <w:rPr>
                <w:rFonts w:hint="eastAsia" w:ascii="宋体" w:hAnsi="宋体"/>
                <w:color w:val="auto"/>
                <w:sz w:val="24"/>
                <w:szCs w:val="24"/>
                <w:highlight w:val="none"/>
              </w:rPr>
              <w:t>投标文件加密打包的电脑     自有    □      外包    □     其他    □</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电脑类型</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电脑所属单位</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电脑所在地址        （如××市××区(县) ××街（路）××号××大厦××房）</w:t>
            </w:r>
          </w:p>
        </w:tc>
      </w:tr>
      <w:bookmarkEnd w:id="38"/>
    </w:tbl>
    <w:p>
      <w:pPr>
        <w:snapToGrid w:val="0"/>
        <w:spacing w:line="360" w:lineRule="auto"/>
        <w:rPr>
          <w:rFonts w:ascii="宋体" w:hAnsi="宋体" w:cs="宋体"/>
          <w:color w:val="auto"/>
          <w:szCs w:val="21"/>
          <w:highlight w:val="none"/>
        </w:rPr>
      </w:pPr>
    </w:p>
    <w:p>
      <w:pPr>
        <w:widowControl/>
        <w:jc w:val="left"/>
        <w:rPr>
          <w:rStyle w:val="46"/>
          <w:rFonts w:ascii="宋体" w:hAnsi="宋体" w:cs="宋体"/>
          <w:b/>
          <w:color w:val="auto"/>
          <w:sz w:val="32"/>
          <w:szCs w:val="32"/>
          <w:highlight w:val="none"/>
        </w:rPr>
      </w:pPr>
      <w:bookmarkStart w:id="41" w:name="_Toc2272568"/>
      <w:bookmarkStart w:id="42" w:name="_Toc2272569"/>
      <w:r>
        <w:rPr>
          <w:rStyle w:val="46"/>
          <w:rFonts w:ascii="宋体" w:hAnsi="宋体" w:cs="宋体"/>
          <w:b/>
          <w:color w:val="auto"/>
          <w:sz w:val="32"/>
          <w:szCs w:val="32"/>
          <w:highlight w:val="none"/>
        </w:rPr>
        <w:br w:type="page"/>
      </w:r>
    </w:p>
    <w:p>
      <w:pPr>
        <w:tabs>
          <w:tab w:val="left" w:pos="720"/>
        </w:tabs>
        <w:snapToGrid w:val="0"/>
        <w:spacing w:line="360" w:lineRule="auto"/>
        <w:jc w:val="center"/>
        <w:rPr>
          <w:rStyle w:val="46"/>
          <w:rFonts w:ascii="宋体" w:hAnsi="宋体" w:cs="宋体"/>
          <w:b/>
          <w:color w:val="auto"/>
          <w:highlight w:val="none"/>
        </w:rPr>
      </w:pPr>
      <w:bookmarkStart w:id="43" w:name="_Toc194090355"/>
      <w:r>
        <w:rPr>
          <w:rStyle w:val="46"/>
          <w:rFonts w:hint="eastAsia" w:ascii="宋体" w:hAnsi="宋体" w:cs="宋体"/>
          <w:b/>
          <w:color w:val="auto"/>
          <w:highlight w:val="none"/>
        </w:rPr>
        <w:t>第五章</w:t>
      </w:r>
      <w:r>
        <w:rPr>
          <w:rStyle w:val="46"/>
          <w:rFonts w:ascii="宋体" w:hAnsi="宋体" w:cs="宋体"/>
          <w:b/>
          <w:color w:val="auto"/>
          <w:highlight w:val="none"/>
        </w:rPr>
        <w:t xml:space="preserve">  </w:t>
      </w:r>
      <w:r>
        <w:rPr>
          <w:rStyle w:val="46"/>
          <w:rFonts w:hint="eastAsia" w:ascii="宋体" w:hAnsi="宋体" w:cs="宋体"/>
          <w:b/>
          <w:color w:val="auto"/>
          <w:highlight w:val="none"/>
        </w:rPr>
        <w:t>技术条件（工程建设标准）</w:t>
      </w:r>
      <w:bookmarkEnd w:id="41"/>
      <w:bookmarkEnd w:id="43"/>
    </w:p>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一、标准</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以现行的中华人民共和国及有关部委颁布的标准、规范、和规程。若施工时期建设主管部门颁布新的规范、标准，则按照新的规范、标准执行。</w:t>
      </w:r>
    </w:p>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二、施工组织设计要点</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如果中标，中标人应按项目的进展需求，并在规定的时间内按要点要求，编制详细的施工组织设计，作为工程施工的指导性文件，向建设单位提交一式四份的《施工组织设计方案》，内容包括（不限于）以下：</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（一）工程概况及特点</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1.1 工程概况</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工程简述，工程规模，工程承包范围，地质及地貌状况，自然环境，交通情况等。</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1.2 工程特点</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设计特点、工程特点、影响施工的主要和特殊环节分析等。</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（二）施工现场组织机构</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2.1 组织机构关系图</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2.2 工程主要负责人简介。</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（三）施工现场总平面布置图</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3.1 施工现场平面布置图</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（四）施工方案</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4.1 施工准备</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简要叙述施工技术资料、材料、通讯、施工场地的准备，施工机械、施工力量的配置，以及生活设施等的准备情况。主要施工机械设备表。</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4.2 施工工序总体安排</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4.3 主要工序和特殊工序的施工方法和施工效率估计，潜在问题的分析。</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4.4 工程成本的控制措施为控制成本，提高效益，拟采取的措施。</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（五）工期及施工进度计划</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5.1 工期规划及要求</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用横道图反映各主要施工过程的计划进度，深度达到全面、准确、清楚的描述工程实施过程，从中可衍生出各种施工资源计划及其过程管理信息。</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5.2 施工进度计划网络图</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施工网络图应明确工程开工、竣工日期，工程施工的关键路线，并针对关键工序，提出确保工期拟采取的措施。</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5.3 施工资源（人力、材料、机具、场地及进场道路、公共关系）计划</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5.4 施工进度计划分析</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计划潜在问题，计划中的潜力及其开发途径等。</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5.5 计划控制</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程序、方法及制度等。</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（六）质量目标、质量保证体系及技术组织措施</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6.1 质量目标</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本工程要求的质量目标：达到广州市工程质量奖的标准。</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注：1、广州市工程质量奖包括：“广州市建设工程结构优质奖”或“广州市建设工程优质奖”或“广州市建设工程质量五羊杯奖”。</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2、本工程正式签署合同时，质量标准按中标人投标文件承诺质量标准。</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用单位工程和分项工程合格率、优良品率表示，欲达到的工程质量等级。</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6.2 质量管理组织机构及主要职责</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用框图表示质量管理组织机构，并简要叙述各质量管理部门的主要职责。</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6.3 质量管理的措施</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简要叙述质量管理的措施和关键工序的质量控制。</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6.4 质量管理及检验的标准</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执行的主要质量标准、规范。</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6.5 质量保证技术措施</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针对本工程特点，分析质量薄弱环节，拟将采取的技术措施。</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（七）安全目标、安全保证体系及技术组织措施</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7.1 安全管理目标</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7.2 安全管理组织机构及主要职责</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用框图表示安全管理组织机构，并简要叙述各安全管理部门及人员的主要职责。</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7.3 安全管理制度及办法</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7.4 安全组织技术措施</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针对本工程特点，分析安全薄弱环节，拟将采取的技术措施。</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7.5 重要施工方案和特殊施工工序的安全过程控制</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7.6 严格执行《建筑施工安全检查标准》(</w:t>
      </w:r>
      <w:r>
        <w:rPr>
          <w:rFonts w:ascii="宋体" w:hAnsi="宋体" w:cs="宋体"/>
          <w:color w:val="auto"/>
          <w:sz w:val="24"/>
          <w:szCs w:val="24"/>
          <w:highlight w:val="none"/>
        </w:rPr>
        <w:t>JGJ 59-2011</w:t>
      </w:r>
      <w:r>
        <w:rPr>
          <w:rFonts w:hint="eastAsia" w:ascii="宋体" w:hAnsi="宋体" w:cs="宋体"/>
          <w:color w:val="auto"/>
          <w:sz w:val="24"/>
          <w:szCs w:val="24"/>
          <w:highlight w:val="none"/>
        </w:rPr>
        <w:t>)和省、市建设主管部门有关文明施工的规定。并按照甲方要求安排工作时间，在施工中尽量减少噪音，必要时采取有效的隔音措施，混凝土浇灌需连续不间断作业时，按有关规定申报夜间施工许可证。</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安全生产目标：杜绝本项目施工人员重大伤亡事故。</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文明施工目标：标准化管理。</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（八）环境保护及文明施工</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8.1 环境保护</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分析因施工可能引起的环境保护方面的问题。</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8.2 加强施工管理、严格保护环境</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提出环境保护的目标及采取的具体措施。</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8.3 文明施工的目标、组织机构和实施方案</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8.4 文明施工考核、管理办法</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（九）计划、统计和信息管理</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9.1 计划、统计报表的编制与传递；</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9.2 信息管理</w:t>
      </w:r>
    </w:p>
    <w:p>
      <w:pPr>
        <w:keepNext w:val="0"/>
        <w:keepLines w:val="0"/>
        <w:pageBreakBefore w:val="0"/>
        <w:widowControl w:val="0"/>
        <w:kinsoku/>
        <w:wordWrap/>
        <w:overflowPunct/>
        <w:topLinePunct w:val="0"/>
        <w:autoSpaceDE/>
        <w:autoSpaceDN/>
        <w:bidi w:val="0"/>
        <w:spacing w:line="40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提出信息管理的目标及拟将采取的措施。</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（十）建筑垃圾减量及利用要求</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10.1根据《广东省建筑垃圾管理条例》，工程施工单位应当编制建筑垃圾处理方案，采取污染防治措施，并在开工前报工程所在地县级人民政府建筑垃圾主管部门备案。建筑垃圾处理方案内容有调整的，应当及时报告接受备案的部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10.2建筑垃圾处理方案应当包括下列内容：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Calibri"/>
          <w:color w:val="auto"/>
          <w:sz w:val="24"/>
          <w:szCs w:val="24"/>
          <w:highlight w:val="none"/>
        </w:rPr>
      </w:pPr>
      <w:r>
        <w:rPr>
          <w:rFonts w:hint="eastAsia" w:ascii="宋体" w:hAnsi="Calibri"/>
          <w:color w:val="auto"/>
          <w:sz w:val="24"/>
          <w:szCs w:val="24"/>
          <w:highlight w:val="none"/>
        </w:rPr>
        <w:t>10.2.1工程概况和施工单位基本信息；</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Calibri"/>
          <w:color w:val="auto"/>
          <w:sz w:val="24"/>
          <w:szCs w:val="24"/>
          <w:highlight w:val="none"/>
        </w:rPr>
      </w:pPr>
      <w:r>
        <w:rPr>
          <w:rFonts w:hint="eastAsia" w:ascii="宋体" w:hAnsi="Calibri"/>
          <w:color w:val="auto"/>
          <w:sz w:val="24"/>
          <w:szCs w:val="24"/>
          <w:highlight w:val="none"/>
        </w:rPr>
        <w:t>10.2.2建筑垃圾产生量与种类；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Calibri"/>
          <w:color w:val="auto"/>
          <w:sz w:val="24"/>
          <w:szCs w:val="24"/>
          <w:highlight w:val="none"/>
        </w:rPr>
      </w:pPr>
      <w:r>
        <w:rPr>
          <w:rFonts w:hint="eastAsia" w:ascii="宋体" w:hAnsi="Calibri"/>
          <w:color w:val="auto"/>
          <w:sz w:val="24"/>
          <w:szCs w:val="24"/>
          <w:highlight w:val="none"/>
        </w:rPr>
        <w:t>10.2.3建筑垃圾源头减量、分类收集、综合利用、污染防治的措施和目标；</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Calibri"/>
          <w:color w:val="auto"/>
          <w:sz w:val="24"/>
          <w:szCs w:val="24"/>
          <w:highlight w:val="none"/>
        </w:rPr>
      </w:pPr>
      <w:r>
        <w:rPr>
          <w:rFonts w:hint="eastAsia" w:ascii="宋体" w:hAnsi="Calibri"/>
          <w:color w:val="auto"/>
          <w:sz w:val="24"/>
          <w:szCs w:val="24"/>
          <w:highlight w:val="none"/>
        </w:rPr>
        <w:t>10.2.4需要外运的建筑垃圾种类、数量与运输的时间、路线、方式和运输单位；</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Calibri"/>
          <w:color w:val="auto"/>
          <w:sz w:val="24"/>
          <w:szCs w:val="24"/>
          <w:highlight w:val="none"/>
        </w:rPr>
      </w:pPr>
      <w:r>
        <w:rPr>
          <w:rFonts w:hint="eastAsia" w:ascii="宋体" w:hAnsi="Calibri"/>
          <w:color w:val="auto"/>
          <w:sz w:val="24"/>
          <w:szCs w:val="24"/>
          <w:highlight w:val="none"/>
        </w:rPr>
        <w:t>10.2.5建筑垃圾回填、消纳、综合利用场所名称；</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宋体" w:hAnsi="Calibri"/>
          <w:color w:val="auto"/>
          <w:sz w:val="24"/>
          <w:szCs w:val="24"/>
          <w:highlight w:val="none"/>
        </w:rPr>
      </w:pPr>
      <w:r>
        <w:rPr>
          <w:rFonts w:hint="eastAsia" w:ascii="宋体" w:hAnsi="Calibri"/>
          <w:color w:val="auto"/>
          <w:sz w:val="24"/>
          <w:szCs w:val="24"/>
          <w:highlight w:val="none"/>
        </w:rPr>
        <w:t>10.2.6法律、法规规定的其他内容。</w:t>
      </w:r>
    </w:p>
    <w:p>
      <w:pPr>
        <w:pStyle w:val="16"/>
        <w:rPr>
          <w:color w:val="auto"/>
          <w:highlight w:val="none"/>
        </w:rPr>
      </w:pPr>
    </w:p>
    <w:p>
      <w:pPr>
        <w:snapToGrid w:val="0"/>
        <w:spacing w:line="360" w:lineRule="auto"/>
        <w:rPr>
          <w:rFonts w:ascii="宋体" w:hAnsi="宋体" w:cs="宋体"/>
          <w:color w:val="auto"/>
          <w:highlight w:val="none"/>
        </w:rPr>
      </w:pPr>
    </w:p>
    <w:p>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br w:type="page"/>
      </w:r>
    </w:p>
    <w:p>
      <w:pPr>
        <w:tabs>
          <w:tab w:val="left" w:pos="720"/>
        </w:tabs>
        <w:jc w:val="center"/>
        <w:rPr>
          <w:rStyle w:val="46"/>
          <w:rFonts w:ascii="宋体" w:hAnsi="宋体" w:cs="宋体"/>
          <w:b/>
          <w:color w:val="auto"/>
          <w:highlight w:val="none"/>
        </w:rPr>
      </w:pPr>
      <w:bookmarkStart w:id="44" w:name="_Toc194090356"/>
      <w:r>
        <w:rPr>
          <w:rStyle w:val="46"/>
          <w:rFonts w:hint="eastAsia" w:ascii="宋体" w:hAnsi="宋体" w:cs="宋体"/>
          <w:b/>
          <w:color w:val="auto"/>
          <w:highlight w:val="none"/>
        </w:rPr>
        <w:t>第六章</w:t>
      </w:r>
      <w:r>
        <w:rPr>
          <w:rStyle w:val="46"/>
          <w:rFonts w:ascii="宋体" w:hAnsi="宋体" w:cs="宋体"/>
          <w:b/>
          <w:color w:val="auto"/>
          <w:highlight w:val="none"/>
        </w:rPr>
        <w:t xml:space="preserve">  </w:t>
      </w:r>
      <w:r>
        <w:rPr>
          <w:rStyle w:val="46"/>
          <w:rFonts w:hint="eastAsia" w:ascii="宋体" w:hAnsi="宋体" w:cs="宋体"/>
          <w:b/>
          <w:color w:val="auto"/>
          <w:highlight w:val="none"/>
        </w:rPr>
        <w:t>图纸及勘察资料</w:t>
      </w:r>
      <w:bookmarkEnd w:id="42"/>
      <w:bookmarkEnd w:id="44"/>
    </w:p>
    <w:p>
      <w:pPr>
        <w:snapToGrid w:val="0"/>
        <w:spacing w:line="360" w:lineRule="auto"/>
        <w:rPr>
          <w:rFonts w:ascii="宋体" w:hAnsi="宋体" w:cs="宋体"/>
          <w:b/>
          <w:color w:val="auto"/>
          <w:sz w:val="24"/>
          <w:szCs w:val="24"/>
          <w:highlight w:val="none"/>
        </w:rPr>
      </w:pPr>
      <w:r>
        <w:rPr>
          <w:rFonts w:hint="eastAsia" w:ascii="宋体" w:hAnsi="宋体" w:cs="宋体"/>
          <w:color w:val="auto"/>
          <w:sz w:val="24"/>
          <w:szCs w:val="24"/>
          <w:highlight w:val="none"/>
        </w:rPr>
        <w:t>注：本章由招标人自行制定。</w:t>
      </w:r>
    </w:p>
    <w:p>
      <w:pPr>
        <w:pStyle w:val="2"/>
        <w:snapToGrid w:val="0"/>
        <w:spacing w:before="0" w:after="0"/>
        <w:jc w:val="center"/>
        <w:rPr>
          <w:rFonts w:ascii="宋体" w:hAnsi="宋体" w:cs="宋体"/>
          <w:b/>
          <w:bCs/>
          <w:color w:val="auto"/>
          <w:highlight w:val="none"/>
        </w:rPr>
      </w:pP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rPr>
        <w:t>另册</w:t>
      </w:r>
      <w:r>
        <w:rPr>
          <w:rFonts w:hint="eastAsia" w:ascii="宋体" w:hAnsi="宋体" w:cs="宋体"/>
          <w:b w:val="0"/>
          <w:bCs/>
          <w:color w:val="auto"/>
          <w:sz w:val="24"/>
          <w:szCs w:val="24"/>
          <w:highlight w:val="none"/>
          <w:lang w:eastAsia="zh-CN"/>
        </w:rPr>
        <w:t>）</w:t>
      </w:r>
      <w:r>
        <w:rPr>
          <w:rFonts w:hint="eastAsia" w:ascii="宋体" w:hAnsi="宋体" w:cs="宋体"/>
          <w:color w:val="auto"/>
          <w:sz w:val="24"/>
          <w:szCs w:val="24"/>
          <w:highlight w:val="none"/>
        </w:rPr>
        <w:br w:type="page"/>
      </w:r>
      <w:bookmarkStart w:id="45" w:name="_Toc2272570"/>
      <w:bookmarkStart w:id="46" w:name="_Toc194090357"/>
      <w:r>
        <w:rPr>
          <w:rStyle w:val="46"/>
          <w:rFonts w:hint="eastAsia" w:ascii="宋体" w:hAnsi="宋体" w:cs="宋体"/>
          <w:b/>
          <w:bCs/>
          <w:color w:val="auto"/>
          <w:highlight w:val="none"/>
        </w:rPr>
        <w:t>第七章</w:t>
      </w:r>
      <w:r>
        <w:rPr>
          <w:rStyle w:val="46"/>
          <w:rFonts w:ascii="宋体" w:hAnsi="宋体" w:cs="宋体"/>
          <w:b/>
          <w:bCs/>
          <w:color w:val="auto"/>
          <w:highlight w:val="none"/>
        </w:rPr>
        <w:t xml:space="preserve">  </w:t>
      </w:r>
      <w:r>
        <w:rPr>
          <w:rStyle w:val="46"/>
          <w:rFonts w:hint="eastAsia" w:ascii="宋体" w:hAnsi="宋体" w:cs="宋体"/>
          <w:b/>
          <w:bCs/>
          <w:color w:val="auto"/>
          <w:highlight w:val="none"/>
        </w:rPr>
        <w:t>工程量清单</w:t>
      </w:r>
      <w:bookmarkEnd w:id="45"/>
      <w:bookmarkEnd w:id="46"/>
    </w:p>
    <w:p>
      <w:pPr>
        <w:snapToGrid w:val="0"/>
        <w:spacing w:line="360" w:lineRule="auto"/>
        <w:rPr>
          <w:rFonts w:ascii="宋体" w:hAnsi="宋体" w:cs="宋体"/>
          <w:b/>
          <w:color w:val="auto"/>
          <w:sz w:val="24"/>
          <w:szCs w:val="24"/>
          <w:highlight w:val="none"/>
        </w:rPr>
      </w:pPr>
      <w:r>
        <w:rPr>
          <w:rFonts w:hint="eastAsia" w:ascii="宋体" w:hAnsi="宋体" w:cs="宋体"/>
          <w:color w:val="auto"/>
          <w:sz w:val="24"/>
          <w:szCs w:val="24"/>
          <w:highlight w:val="none"/>
        </w:rPr>
        <w:t>注：本章由招标人自行制定。</w:t>
      </w:r>
    </w:p>
    <w:p>
      <w:pPr>
        <w:pStyle w:val="28"/>
        <w:snapToGrid w:val="0"/>
        <w:spacing w:after="0" w:line="360" w:lineRule="auto"/>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另册</w:t>
      </w:r>
      <w:r>
        <w:rPr>
          <w:rFonts w:hint="eastAsia" w:ascii="宋体" w:hAnsi="宋体" w:cs="宋体"/>
          <w:color w:val="auto"/>
          <w:sz w:val="24"/>
          <w:szCs w:val="24"/>
          <w:highlight w:val="none"/>
          <w:lang w:eastAsia="zh-CN"/>
        </w:rPr>
        <w:t>）</w:t>
      </w:r>
    </w:p>
    <w:p>
      <w:pPr>
        <w:pStyle w:val="2"/>
        <w:snapToGrid w:val="0"/>
        <w:spacing w:before="0" w:after="0"/>
        <w:rPr>
          <w:rFonts w:ascii="宋体" w:hAnsi="宋体" w:cs="宋体"/>
          <w:color w:val="auto"/>
          <w:sz w:val="24"/>
          <w:szCs w:val="24"/>
          <w:highlight w:val="none"/>
        </w:rPr>
      </w:pPr>
    </w:p>
    <w:p>
      <w:pPr>
        <w:pStyle w:val="2"/>
        <w:snapToGrid w:val="0"/>
        <w:spacing w:before="0" w:after="0"/>
        <w:jc w:val="center"/>
        <w:rPr>
          <w:rFonts w:ascii="宋体" w:hAnsi="宋体" w:cs="宋体"/>
          <w:b/>
          <w:bCs/>
          <w:color w:val="auto"/>
          <w:highlight w:val="none"/>
        </w:rPr>
      </w:pPr>
      <w:r>
        <w:rPr>
          <w:rFonts w:hint="eastAsia" w:ascii="宋体" w:hAnsi="宋体" w:cs="宋体"/>
          <w:color w:val="auto"/>
          <w:sz w:val="24"/>
          <w:szCs w:val="24"/>
          <w:highlight w:val="none"/>
        </w:rPr>
        <w:br w:type="page"/>
      </w:r>
      <w:bookmarkStart w:id="47" w:name="_Toc194090358"/>
      <w:bookmarkStart w:id="48" w:name="_Toc2272571"/>
      <w:r>
        <w:rPr>
          <w:rStyle w:val="46"/>
          <w:rFonts w:hint="eastAsia" w:ascii="宋体" w:hAnsi="宋体" w:cs="宋体"/>
          <w:b/>
          <w:bCs/>
          <w:color w:val="auto"/>
          <w:highlight w:val="none"/>
        </w:rPr>
        <w:t>第八章</w:t>
      </w:r>
      <w:r>
        <w:rPr>
          <w:rStyle w:val="46"/>
          <w:rFonts w:ascii="宋体" w:hAnsi="宋体" w:cs="宋体"/>
          <w:b/>
          <w:bCs/>
          <w:color w:val="auto"/>
          <w:highlight w:val="none"/>
        </w:rPr>
        <w:t xml:space="preserve">  </w:t>
      </w:r>
      <w:r>
        <w:rPr>
          <w:rStyle w:val="46"/>
          <w:rFonts w:hint="eastAsia" w:ascii="宋体" w:hAnsi="宋体" w:cs="宋体"/>
          <w:b/>
          <w:bCs/>
          <w:color w:val="auto"/>
          <w:highlight w:val="none"/>
        </w:rPr>
        <w:t>最高投标限价</w:t>
      </w:r>
      <w:bookmarkEnd w:id="47"/>
      <w:bookmarkEnd w:id="48"/>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招标人应当在发布招标文件时，公布最高投标限价的总价，分部分项工程费、措施项目费、其他项目费、规费和税金，以及</w:t>
      </w:r>
      <w:r>
        <w:rPr>
          <w:rFonts w:hint="eastAsia" w:ascii="宋体" w:hAnsi="宋体" w:cs="宋体"/>
          <w:color w:val="auto"/>
          <w:sz w:val="24"/>
          <w:szCs w:val="24"/>
          <w:highlight w:val="none"/>
          <w:u w:val="single"/>
        </w:rPr>
        <w:t>安全文明施工费</w:t>
      </w:r>
      <w:r>
        <w:rPr>
          <w:rFonts w:hint="eastAsia" w:ascii="宋体" w:hAnsi="宋体" w:cs="宋体"/>
          <w:color w:val="auto"/>
          <w:sz w:val="24"/>
          <w:szCs w:val="24"/>
          <w:highlight w:val="none"/>
        </w:rPr>
        <w:t>、暂列金额等投标人不可竞争的固定报价。</w:t>
      </w:r>
    </w:p>
    <w:p>
      <w:pPr>
        <w:snapToGrid w:val="0"/>
        <w:spacing w:line="360" w:lineRule="auto"/>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（另册）</w:t>
      </w:r>
    </w:p>
    <w:p>
      <w:pPr>
        <w:snapToGrid w:val="0"/>
        <w:spacing w:line="360" w:lineRule="auto"/>
        <w:ind w:firstLine="480"/>
        <w:rPr>
          <w:rFonts w:ascii="宋体" w:hAnsi="宋体" w:cs="宋体"/>
          <w:color w:val="auto"/>
          <w:sz w:val="24"/>
          <w:szCs w:val="24"/>
          <w:highlight w:val="none"/>
          <w:u w:val="single"/>
        </w:rPr>
      </w:pPr>
    </w:p>
    <w:p>
      <w:pPr>
        <w:snapToGrid w:val="0"/>
        <w:spacing w:line="360" w:lineRule="auto"/>
        <w:rPr>
          <w:rFonts w:ascii="宋体" w:hAnsi="宋体" w:cs="宋体"/>
          <w:color w:val="auto"/>
          <w:highlight w:val="none"/>
        </w:rPr>
      </w:pPr>
    </w:p>
    <w:p>
      <w:pPr>
        <w:snapToGrid w:val="0"/>
        <w:spacing w:line="360" w:lineRule="auto"/>
        <w:rPr>
          <w:rFonts w:ascii="宋体" w:hAnsi="宋体" w:cs="宋体"/>
          <w:color w:val="auto"/>
          <w:highlight w:val="none"/>
        </w:rPr>
      </w:pPr>
    </w:p>
    <w:p>
      <w:pPr>
        <w:rPr>
          <w:rFonts w:ascii="宋体" w:hAnsi="宋体" w:cs="宋体"/>
          <w:color w:val="auto"/>
          <w:highlight w:val="none"/>
        </w:rPr>
      </w:pPr>
      <w:bookmarkStart w:id="49" w:name="_GoBack"/>
      <w:bookmarkEnd w:id="49"/>
    </w:p>
    <w:sectPr>
      <w:headerReference r:id="rId28" w:type="default"/>
      <w:footerReference r:id="rId29" w:type="default"/>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大标宋简体">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jc w:val="center"/>
                          </w:pPr>
                          <w:r>
                            <w:fldChar w:fldCharType="begin"/>
                          </w:r>
                          <w:r>
                            <w:instrText xml:space="preserve"> PAGE   \* MERGEFORMAT </w:instrText>
                          </w:r>
                          <w:r>
                            <w:fldChar w:fldCharType="separate"/>
                          </w:r>
                          <w:r>
                            <w:rPr>
                              <w:lang w:val="zh-CN"/>
                            </w:rPr>
                            <w:t>42</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0"/>
                      <w:jc w:val="center"/>
                    </w:pPr>
                    <w:r>
                      <w:fldChar w:fldCharType="begin"/>
                    </w:r>
                    <w:r>
                      <w:instrText xml:space="preserve"> PAGE   \* MERGEFORMAT </w:instrText>
                    </w:r>
                    <w:r>
                      <w:fldChar w:fldCharType="separate"/>
                    </w:r>
                    <w:r>
                      <w:rPr>
                        <w:lang w:val="zh-CN"/>
                      </w:rPr>
                      <w:t>42</w:t>
                    </w:r>
                    <w:r>
                      <w:rPr>
                        <w:lang w:val="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jc w:val="center"/>
      <w:rPr>
        <w:rFonts w:ascii="仿宋_GB2312" w:hAnsi="等线" w:eastAsia="仿宋_GB2312"/>
        <w:color w:val="000000"/>
        <w:sz w:val="32"/>
      </w:rPr>
    </w:pPr>
    <w:r>
      <w:rPr>
        <w:rFonts w:ascii="仿宋_GB2312" w:hAnsi="等线" w:eastAsia="仿宋_GB2312"/>
        <w:color w:val="000000"/>
        <w:sz w:val="3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515620" cy="41846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15620" cy="418465"/>
                      </a:xfrm>
                      <a:prstGeom prst="rect">
                        <a:avLst/>
                      </a:prstGeom>
                      <a:noFill/>
                      <a:ln>
                        <a:noFill/>
                      </a:ln>
                    </wps:spPr>
                    <wps:txbx>
                      <w:txbxContent>
                        <w:p>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1</w:t>
                          </w:r>
                          <w:r>
                            <w:rPr>
                              <w:rFonts w:eastAsia="仿宋_GB2312"/>
                              <w:color w:val="000000"/>
                              <w:szCs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32.95pt;width:40.6pt;mso-position-horizontal:center;mso-position-horizontal-relative:margin;mso-wrap-style:none;z-index:251664384;mso-width-relative:page;mso-height-relative:page;" filled="f" stroked="f" coordsize="21600,21600" o:gfxdata="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EDJZbRAAAAAwEAAA8AAAAAAAAAAQAgAAAAIgAAAGRycy9kb3du&#10;cmV2LnhtbFBLAQIUABQAAAAIAIdO4kDG6dE6zQEAAJcDAAAOAAAAAAAAAAEAIAAAACABAABkcnMv&#10;ZTJvRG9jLnhtbFBLBQYAAAAABgAGAFkBAABfBQAAAAA=&#10;">
              <v:fill on="f" focussize="0,0"/>
              <v:stroke on="f"/>
              <v:imagedata o:title=""/>
              <o:lock v:ext="edit" aspectratio="f"/>
              <v:textbox inset="0mm,0mm,0mm,0mm" style="mso-fit-shape-to-text:t;">
                <w:txbxContent>
                  <w:p>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1</w:t>
                    </w:r>
                    <w:r>
                      <w:rPr>
                        <w:rFonts w:eastAsia="仿宋_GB2312"/>
                        <w:color w:val="000000"/>
                        <w:szCs w:val="21"/>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jc w:val="center"/>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0"/>
                      <w:jc w:val="center"/>
                    </w:pPr>
                    <w:r>
                      <w:fldChar w:fldCharType="begin"/>
                    </w:r>
                    <w:r>
                      <w:instrText xml:space="preserve"> PAGE   \* MERGEFORMAT </w:instrText>
                    </w:r>
                    <w:r>
                      <w:fldChar w:fldCharType="separate"/>
                    </w:r>
                    <w:r>
                      <w:t>48</w:t>
                    </w:r>
                    <w:r>
                      <w:fldChar w:fldCharType="end"/>
                    </w:r>
                  </w:p>
                </w:txbxContent>
              </v:textbox>
            </v:shape>
          </w:pict>
        </mc:Fallback>
      </mc:AlternateContent>
    </w:r>
  </w:p>
  <w:p>
    <w:pPr>
      <w:pStyle w:val="2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96875" cy="311150"/>
              <wp:effectExtent l="0" t="0" r="4445"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396875" cy="31115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172</w:t>
                          </w:r>
                          <w:r>
                            <w:rPr>
                              <w:rFonts w:hint="eastAsia"/>
                              <w:sz w:val="18"/>
                            </w:rP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top:0pt;height:24.5pt;width:31.25pt;mso-position-horizontal:center;mso-position-horizontal-relative:margin;z-index:251659264;mso-width-relative:page;mso-height-relative:page;" filled="f" stroked="f" coordsize="21600,21600" o:gfxdata="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6nJBB1AAAAAMBAAAPAAAAAAAAAAEAIAAAACIAAABkcnMvZG93bnJldi54bWxQ&#10;SwECFAAUAAAACACHTuJAjvFQlfsBAAADBAAADgAAAAAAAAABACAAAAAjAQAAZHJzL2Uyb0RvYy54&#10;bWxQSwUGAAAAAAYABgBZAQAAkAUAAAAA&#10;">
              <v:fill on="f" focussize="0,0"/>
              <v:stroke on="f"/>
              <v:imagedata o:title=""/>
              <o:lock v:ext="edit" aspectratio="f"/>
              <v:textbox inset="0mm,0mm,0mm,0mm">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172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92"/>
      <w:rPr>
        <w:rStyle w:val="34"/>
      </w:rPr>
    </w:pPr>
    <w:r>
      <w:fldChar w:fldCharType="begin"/>
    </w:r>
    <w:r>
      <w:rPr>
        <w:rStyle w:val="34"/>
      </w:rPr>
      <w:instrText xml:space="preserve">PAGE  </w:instrText>
    </w:r>
    <w:r>
      <w:fldChar w:fldCharType="separate"/>
    </w:r>
    <w:r>
      <w:rPr>
        <w:rStyle w:val="34"/>
        <w:rFonts w:hint="eastAsia"/>
      </w:rPr>
      <w:t>一</w:t>
    </w:r>
    <w:r>
      <w:rPr>
        <w:rStyle w:val="34"/>
      </w:rPr>
      <w:t>–2</w:t>
    </w:r>
    <w:r>
      <w:fldChar w:fldCharType="end"/>
    </w:r>
  </w:p>
  <w:p>
    <w:pPr>
      <w:pStyle w:val="20"/>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jc w:val="center"/>
                          </w:pPr>
                          <w:r>
                            <w:fldChar w:fldCharType="begin"/>
                          </w:r>
                          <w:r>
                            <w:instrText xml:space="preserve"> PAGE   \* MERGEFORMAT </w:instrText>
                          </w:r>
                          <w:r>
                            <w:fldChar w:fldCharType="separate"/>
                          </w:r>
                          <w:r>
                            <w:rPr>
                              <w:lang w:val="zh-CN"/>
                            </w:rPr>
                            <w:t>69</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0"/>
                      <w:jc w:val="center"/>
                    </w:pPr>
                    <w:r>
                      <w:fldChar w:fldCharType="begin"/>
                    </w:r>
                    <w:r>
                      <w:instrText xml:space="preserve"> PAGE   \* MERGEFORMAT </w:instrText>
                    </w:r>
                    <w:r>
                      <w:fldChar w:fldCharType="separate"/>
                    </w:r>
                    <w:r>
                      <w:rPr>
                        <w:lang w:val="zh-CN"/>
                      </w:rPr>
                      <w:t>69</w:t>
                    </w:r>
                    <w:r>
                      <w:rPr>
                        <w:lang w:val="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rPr>
        <w:rFonts w:ascii="仿宋_GB2312" w:hAnsi="等线" w:eastAsia="仿宋_GB2312"/>
        <w:color w:val="000000"/>
        <w:sz w:val="32"/>
      </w:rPr>
    </w:pPr>
    <w:r>
      <w:rPr>
        <w:rFonts w:ascii="仿宋_GB2312" w:hAnsi="等线" w:eastAsia="仿宋_GB2312"/>
        <w:color w:val="000000"/>
        <w:sz w:val="3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33400" cy="229870"/>
              <wp:effectExtent l="0" t="0" r="0" b="0"/>
              <wp:wrapNone/>
              <wp:docPr id="9" name="文本框 9"/>
              <wp:cNvGraphicFramePr/>
              <a:graphic xmlns:a="http://schemas.openxmlformats.org/drawingml/2006/main">
                <a:graphicData uri="http://schemas.microsoft.com/office/word/2010/wordprocessingShape">
                  <wps:wsp>
                    <wps:cNvSpPr txBox="1"/>
                    <wps:spPr>
                      <a:xfrm>
                        <a:off x="0" y="0"/>
                        <a:ext cx="533400" cy="229870"/>
                      </a:xfrm>
                      <a:prstGeom prst="rect">
                        <a:avLst/>
                      </a:prstGeom>
                      <a:noFill/>
                      <a:ln>
                        <a:noFill/>
                      </a:ln>
                    </wps:spPr>
                    <wps:txbx>
                      <w:txbxContent>
                        <w:p>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1</w:t>
                          </w:r>
                          <w:r>
                            <w:rPr>
                              <w:rFonts w:eastAsia="仿宋_GB2312"/>
                              <w:color w:val="000000"/>
                              <w:szCs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8.1pt;width:42pt;mso-position-horizontal:center;mso-position-horizontal-relative:margin;mso-wrap-style:none;z-index:251661312;mso-width-relative:page;mso-height-relative:page;" filled="f" stroked="f" coordsize="21600,21600" o:gfxdata="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6W0ixNEAAAADAQAADwAAAAAAAAABACAAAAAiAAAAZHJzL2Rv&#10;d25yZXYueG1sUEsBAhQAFAAAAAgAh07iQL9XER7PAQAAlwMAAA4AAAAAAAAAAQAgAAAAIAEAAGRy&#10;cy9lMm9Eb2MueG1sUEsFBgAAAAAGAAYAWQEAAGEFAAAAAA==&#10;">
              <v:fill on="f" focussize="0,0"/>
              <v:stroke on="f"/>
              <v:imagedata o:title=""/>
              <o:lock v:ext="edit" aspectratio="f"/>
              <v:textbox inset="0mm,0mm,0mm,0mm" style="mso-fit-shape-to-text:t;">
                <w:txbxContent>
                  <w:p>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1</w:t>
                    </w:r>
                    <w:r>
                      <w:rPr>
                        <w:rFonts w:eastAsia="仿宋_GB2312"/>
                        <w:color w:val="000000"/>
                        <w:szCs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jc w:val="center"/>
      <w:rPr>
        <w:rFonts w:ascii="仿宋_GB2312" w:hAnsi="等线" w:eastAsia="仿宋_GB2312"/>
        <w:color w:val="000000"/>
        <w:sz w:val="32"/>
      </w:rPr>
    </w:pPr>
    <w:r>
      <w:rPr>
        <w:rFonts w:ascii="仿宋_GB2312" w:hAnsi="等线" w:eastAsia="仿宋_GB2312"/>
        <w:color w:val="000000"/>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15620" cy="4184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15620" cy="418465"/>
                      </a:xfrm>
                      <a:prstGeom prst="rect">
                        <a:avLst/>
                      </a:prstGeom>
                      <a:noFill/>
                      <a:ln>
                        <a:noFill/>
                      </a:ln>
                    </wps:spPr>
                    <wps:txbx>
                      <w:txbxContent>
                        <w:p>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1</w:t>
                          </w:r>
                          <w:r>
                            <w:rPr>
                              <w:rFonts w:eastAsia="仿宋_GB2312"/>
                              <w:color w:val="000000"/>
                              <w:szCs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32.95pt;width:40.6pt;mso-position-horizontal:center;mso-position-horizontal-relative:margin;mso-wrap-style:none;z-index:251660288;mso-width-relative:page;mso-height-relative:page;" filled="f" stroked="f" coordsize="21600,21600" o:gfxdata="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BAyWW0QAAAAMBAAAPAAAAAAAAAAEAIAAAACIAAABkcnMvZG93&#10;bnJldi54bWxQSwECFAAUAAAACACHTuJAysSY1M4BAACXAwAADgAAAAAAAAABACAAAAAgAQAAZHJz&#10;L2Uyb0RvYy54bWxQSwUGAAAAAAYABgBZAQAAYAUAAAAA&#10;">
              <v:fill on="f" focussize="0,0"/>
              <v:stroke on="f"/>
              <v:imagedata o:title=""/>
              <o:lock v:ext="edit" aspectratio="f"/>
              <v:textbox inset="0mm,0mm,0mm,0mm" style="mso-fit-shape-to-text:t;">
                <w:txbxContent>
                  <w:p>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1</w:t>
                    </w:r>
                    <w:r>
                      <w:rPr>
                        <w:rFonts w:eastAsia="仿宋_GB2312"/>
                        <w:color w:val="000000"/>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jc w:val="center"/>
      <w:rPr>
        <w:rFonts w:ascii="仿宋_GB2312" w:hAnsi="等线" w:eastAsia="仿宋_GB2312"/>
        <w:color w:val="000000"/>
        <w:sz w:val="32"/>
      </w:rPr>
    </w:pPr>
    <w:r>
      <w:rPr>
        <w:rFonts w:ascii="仿宋_GB2312" w:hAnsi="等线" w:eastAsia="仿宋_GB2312"/>
        <w:color w:val="000000"/>
        <w:sz w:val="3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33400" cy="16319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533400" cy="163195"/>
                      </a:xfrm>
                      <a:prstGeom prst="rect">
                        <a:avLst/>
                      </a:prstGeom>
                      <a:noFill/>
                      <a:ln>
                        <a:noFill/>
                      </a:ln>
                    </wps:spPr>
                    <wps:txbx>
                      <w:txbxContent>
                        <w:p>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1</w:t>
                          </w:r>
                          <w:r>
                            <w:rPr>
                              <w:rFonts w:eastAsia="仿宋_GB2312"/>
                              <w:color w:val="000000"/>
                              <w:szCs w:val="21"/>
                            </w:rPr>
                            <w:fldChar w:fldCharType="end"/>
                          </w:r>
                        </w:p>
                      </w:txbxContent>
                    </wps:txbx>
                    <wps:bodyPr wrap="none" lIns="0" tIns="0" rIns="0" bIns="0" upright="1"/>
                  </wps:wsp>
                </a:graphicData>
              </a:graphic>
            </wp:anchor>
          </w:drawing>
        </mc:Choice>
        <mc:Fallback>
          <w:pict>
            <v:shape id="_x0000_s1026" o:spid="_x0000_s1026" o:spt="202" type="#_x0000_t202" style="position:absolute;left:0pt;margin-top:0pt;height:12.85pt;width:42pt;mso-position-horizontal:center;mso-position-horizontal-relative:margin;mso-wrap-style:none;z-index:251663360;mso-width-relative:page;mso-height-relative:page;" filled="f" stroked="f" coordsize="21600,21600" o:gfxdata="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nR9pVdIAAAADAQAADwAAAAAAAAABACAAAAAiAAAAZHJzL2Rvd25yZXYueG1sUEsB&#10;AhQAFAAAAAgAh07iQBwo+Y3CAQAAfwMAAA4AAAAAAAAAAQAgAAAAIQEAAGRycy9lMm9Eb2MueG1s&#10;UEsFBgAAAAAGAAYAWQEAAFUFAAAAAA==&#10;">
              <v:fill on="f" focussize="0,0"/>
              <v:stroke on="f"/>
              <v:imagedata o:title=""/>
              <o:lock v:ext="edit" aspectratio="f"/>
              <v:textbox inset="0mm,0mm,0mm,0mm">
                <w:txbxContent>
                  <w:p>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1</w:t>
                    </w:r>
                    <w:r>
                      <w:rPr>
                        <w:rFonts w:eastAsia="仿宋_GB2312"/>
                        <w:color w:val="000000"/>
                        <w:szCs w:val="21"/>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jc w:val="center"/>
      <w:rPr>
        <w:rFonts w:ascii="仿宋_GB2312" w:hAnsi="等线" w:eastAsia="仿宋_GB2312"/>
        <w:color w:val="000000"/>
        <w:sz w:val="32"/>
      </w:rPr>
    </w:pPr>
    <w:r>
      <w:rPr>
        <w:rFonts w:ascii="仿宋_GB2312" w:hAnsi="等线" w:eastAsia="仿宋_GB2312"/>
        <w:color w:val="000000"/>
        <w:sz w:val="3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15620" cy="41846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15620" cy="418465"/>
                      </a:xfrm>
                      <a:prstGeom prst="rect">
                        <a:avLst/>
                      </a:prstGeom>
                      <a:noFill/>
                      <a:ln>
                        <a:noFill/>
                      </a:ln>
                    </wps:spPr>
                    <wps:txbx>
                      <w:txbxContent>
                        <w:p>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1</w:t>
                          </w:r>
                          <w:r>
                            <w:rPr>
                              <w:rFonts w:eastAsia="仿宋_GB2312"/>
                              <w:color w:val="000000"/>
                              <w:szCs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32.95pt;width:40.6pt;mso-position-horizontal:center;mso-position-horizontal-relative:margin;mso-wrap-style:none;z-index:251662336;mso-width-relative:page;mso-height-relative:page;" filled="f" stroked="f" coordsize="21600,21600" o:gfxdata="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EDJZbRAAAAAwEAAA8AAAAAAAAAAQAgAAAAIgAAAGRycy9kb3du&#10;cmV2LnhtbFBLAQIUABQAAAAIAIdO4kBFkgw+zQEAAJcDAAAOAAAAAAAAAAEAIAAAACABAABkcnMv&#10;ZTJvRG9jLnhtbFBLBQYAAAAABgAGAFkBAABfBQAAAAA=&#10;">
              <v:fill on="f" focussize="0,0"/>
              <v:stroke on="f"/>
              <v:imagedata o:title=""/>
              <o:lock v:ext="edit" aspectratio="f"/>
              <v:textbox inset="0mm,0mm,0mm,0mm" style="mso-fit-shape-to-text:t;">
                <w:txbxContent>
                  <w:p>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1</w:t>
                    </w:r>
                    <w:r>
                      <w:rPr>
                        <w:rFonts w:eastAsia="仿宋_GB2312"/>
                        <w:color w:val="000000"/>
                        <w:szCs w:val="21"/>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jc w:val="center"/>
      <w:rPr>
        <w:rFonts w:ascii="仿宋_GB2312" w:hAnsi="等线" w:eastAsia="仿宋_GB2312"/>
        <w:color w:val="000000"/>
        <w:sz w:val="32"/>
      </w:rPr>
    </w:pPr>
    <w:r>
      <w:rPr>
        <w:rFonts w:ascii="仿宋_GB2312" w:hAnsi="等线" w:eastAsia="仿宋_GB2312"/>
        <w:color w:val="000000"/>
        <w:sz w:val="3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33400" cy="163195"/>
              <wp:effectExtent l="0" t="0" r="0" b="0"/>
              <wp:wrapNone/>
              <wp:docPr id="7" name="文本框 7"/>
              <wp:cNvGraphicFramePr/>
              <a:graphic xmlns:a="http://schemas.openxmlformats.org/drawingml/2006/main">
                <a:graphicData uri="http://schemas.microsoft.com/office/word/2010/wordprocessingShape">
                  <wps:wsp>
                    <wps:cNvSpPr txBox="1"/>
                    <wps:spPr>
                      <a:xfrm>
                        <a:off x="0" y="0"/>
                        <a:ext cx="533400" cy="163195"/>
                      </a:xfrm>
                      <a:prstGeom prst="rect">
                        <a:avLst/>
                      </a:prstGeom>
                      <a:noFill/>
                      <a:ln>
                        <a:noFill/>
                      </a:ln>
                    </wps:spPr>
                    <wps:txbx>
                      <w:txbxContent>
                        <w:p>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1</w:t>
                          </w:r>
                          <w:r>
                            <w:rPr>
                              <w:rFonts w:eastAsia="仿宋_GB2312"/>
                              <w:color w:val="000000"/>
                              <w:szCs w:val="21"/>
                            </w:rPr>
                            <w:fldChar w:fldCharType="end"/>
                          </w:r>
                        </w:p>
                      </w:txbxContent>
                    </wps:txbx>
                    <wps:bodyPr wrap="none" lIns="0" tIns="0" rIns="0" bIns="0" upright="1"/>
                  </wps:wsp>
                </a:graphicData>
              </a:graphic>
            </wp:anchor>
          </w:drawing>
        </mc:Choice>
        <mc:Fallback>
          <w:pict>
            <v:shape id="_x0000_s1026" o:spid="_x0000_s1026" o:spt="202" type="#_x0000_t202" style="position:absolute;left:0pt;margin-top:0pt;height:12.85pt;width:42pt;mso-position-horizontal:center;mso-position-horizontal-relative:margin;mso-wrap-style:none;z-index:251665408;mso-width-relative:page;mso-height-relative:page;" filled="f" stroked="f" coordsize="21600,21600" o:gfxdata="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nR9pVdIAAAADAQAADwAAAAAAAAABACAAAAAiAAAAZHJzL2Rvd25yZXYueG1sUEsB&#10;AhQAFAAAAAgAh07iQLuqRsHCAQAAfQMAAA4AAAAAAAAAAQAgAAAAIQEAAGRycy9lMm9Eb2MueG1s&#10;UEsFBgAAAAAGAAYAWQEAAFUFAAAAAA==&#10;">
              <v:fill on="f" focussize="0,0"/>
              <v:stroke on="f"/>
              <v:imagedata o:title=""/>
              <o:lock v:ext="edit" aspectratio="f"/>
              <v:textbox inset="0mm,0mm,0mm,0mm">
                <w:txbxContent>
                  <w:p>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1</w:t>
                    </w:r>
                    <w:r>
                      <w:rPr>
                        <w:rFonts w:eastAsia="仿宋_GB2312"/>
                        <w:color w:val="000000"/>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ind w:firstLine="392"/>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jc w:val="right"/>
      <w:rPr>
        <w:i/>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jc w:val="right"/>
      <w:rPr>
        <w:i/>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649B7E"/>
    <w:multiLevelType w:val="singleLevel"/>
    <w:tmpl w:val="DC649B7E"/>
    <w:lvl w:ilvl="0" w:tentative="0">
      <w:start w:val="1"/>
      <w:numFmt w:val="chineseCounting"/>
      <w:suff w:val="nothing"/>
      <w:lvlText w:val="%1、"/>
      <w:lvlJc w:val="left"/>
      <w:rPr>
        <w:rFonts w:hint="eastAsia"/>
      </w:rPr>
    </w:lvl>
  </w:abstractNum>
  <w:abstractNum w:abstractNumId="1">
    <w:nsid w:val="00000006"/>
    <w:multiLevelType w:val="singleLevel"/>
    <w:tmpl w:val="00000006"/>
    <w:lvl w:ilvl="0" w:tentative="0">
      <w:start w:val="1"/>
      <w:numFmt w:val="decimal"/>
      <w:suff w:val="nothing"/>
      <w:lvlText w:val="（%1）"/>
      <w:lvlJc w:val="left"/>
    </w:lvl>
  </w:abstractNum>
  <w:abstractNum w:abstractNumId="2">
    <w:nsid w:val="00000009"/>
    <w:multiLevelType w:val="singleLevel"/>
    <w:tmpl w:val="00000009"/>
    <w:lvl w:ilvl="0" w:tentative="0">
      <w:start w:val="1"/>
      <w:numFmt w:val="decimal"/>
      <w:suff w:val="nothing"/>
      <w:lvlText w:val="（%1）"/>
      <w:lvlJc w:val="left"/>
    </w:lvl>
  </w:abstractNum>
  <w:abstractNum w:abstractNumId="3">
    <w:nsid w:val="0000000C"/>
    <w:multiLevelType w:val="singleLevel"/>
    <w:tmpl w:val="0000000C"/>
    <w:lvl w:ilvl="0" w:tentative="0">
      <w:start w:val="1"/>
      <w:numFmt w:val="decimal"/>
      <w:suff w:val="nothing"/>
      <w:lvlText w:val="（%1）"/>
      <w:lvlJc w:val="left"/>
    </w:lvl>
  </w:abstractNum>
  <w:abstractNum w:abstractNumId="4">
    <w:nsid w:val="01BB16A0"/>
    <w:multiLevelType w:val="singleLevel"/>
    <w:tmpl w:val="01BB16A0"/>
    <w:lvl w:ilvl="0" w:tentative="0">
      <w:start w:val="4"/>
      <w:numFmt w:val="chineseCounting"/>
      <w:suff w:val="space"/>
      <w:lvlText w:val="第%1部分"/>
      <w:lvlJc w:val="left"/>
      <w:rPr>
        <w:rFonts w:hint="eastAsia"/>
      </w:rPr>
    </w:lvl>
  </w:abstractNum>
  <w:abstractNum w:abstractNumId="5">
    <w:nsid w:val="0724CF32"/>
    <w:multiLevelType w:val="singleLevel"/>
    <w:tmpl w:val="0724CF32"/>
    <w:lvl w:ilvl="0" w:tentative="0">
      <w:start w:val="1"/>
      <w:numFmt w:val="decimal"/>
      <w:lvlText w:val="%1."/>
      <w:lvlJc w:val="left"/>
      <w:pPr>
        <w:tabs>
          <w:tab w:val="left" w:pos="312"/>
        </w:tabs>
      </w:pPr>
    </w:lvl>
  </w:abstractNum>
  <w:abstractNum w:abstractNumId="6">
    <w:nsid w:val="14181B7E"/>
    <w:multiLevelType w:val="singleLevel"/>
    <w:tmpl w:val="14181B7E"/>
    <w:lvl w:ilvl="0" w:tentative="0">
      <w:start w:val="1"/>
      <w:numFmt w:val="decimal"/>
      <w:suff w:val="nothing"/>
      <w:lvlText w:val="%1、"/>
      <w:lvlJc w:val="left"/>
    </w:lvl>
  </w:abstractNum>
  <w:abstractNum w:abstractNumId="7">
    <w:nsid w:val="22607BF1"/>
    <w:multiLevelType w:val="multilevel"/>
    <w:tmpl w:val="22607BF1"/>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8">
    <w:nsid w:val="5CADBC91"/>
    <w:multiLevelType w:val="singleLevel"/>
    <w:tmpl w:val="5CADBC91"/>
    <w:lvl w:ilvl="0" w:tentative="0">
      <w:start w:val="1"/>
      <w:numFmt w:val="decimal"/>
      <w:suff w:val="nothing"/>
      <w:lvlText w:val="（%1）"/>
      <w:lvlJc w:val="left"/>
    </w:lvl>
  </w:abstractNum>
  <w:abstractNum w:abstractNumId="9">
    <w:nsid w:val="66830454"/>
    <w:multiLevelType w:val="multilevel"/>
    <w:tmpl w:val="668304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BF30AD4"/>
    <w:multiLevelType w:val="singleLevel"/>
    <w:tmpl w:val="6BF30AD4"/>
    <w:lvl w:ilvl="0" w:tentative="0">
      <w:start w:val="1"/>
      <w:numFmt w:val="decimal"/>
      <w:suff w:val="nothing"/>
      <w:lvlText w:val="%1、"/>
      <w:lvlJc w:val="left"/>
    </w:lvl>
  </w:abstractNum>
  <w:num w:numId="1">
    <w:abstractNumId w:val="10"/>
  </w:num>
  <w:num w:numId="2">
    <w:abstractNumId w:val="8"/>
  </w:num>
  <w:num w:numId="3">
    <w:abstractNumId w:val="3"/>
  </w:num>
  <w:num w:numId="4">
    <w:abstractNumId w:val="2"/>
  </w:num>
  <w:num w:numId="5">
    <w:abstractNumId w:val="1"/>
  </w:num>
  <w:num w:numId="6">
    <w:abstractNumId w:val="4"/>
  </w:num>
  <w:num w:numId="7">
    <w:abstractNumId w:val="6"/>
  </w:num>
  <w:num w:numId="8">
    <w:abstractNumId w:val="0"/>
  </w:num>
  <w:num w:numId="9">
    <w:abstractNumId w:val="5"/>
  </w:num>
  <w:num w:numId="10">
    <w:abstractNumId w:val="9"/>
  </w:num>
  <w:num w:numId="1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林启明">
    <w15:presenceInfo w15:providerId="WPS Office" w15:userId="19525299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NDcxZWExMzk3YmE5NmU5NzM4MTY3NjBhOGE4NWQifQ=="/>
  </w:docVars>
  <w:rsids>
    <w:rsidRoot w:val="6ECA11E3"/>
    <w:rsid w:val="00003253"/>
    <w:rsid w:val="00003DC1"/>
    <w:rsid w:val="0000630B"/>
    <w:rsid w:val="0001195B"/>
    <w:rsid w:val="00012C8A"/>
    <w:rsid w:val="00022D8E"/>
    <w:rsid w:val="00023127"/>
    <w:rsid w:val="000314E6"/>
    <w:rsid w:val="00031800"/>
    <w:rsid w:val="0003425F"/>
    <w:rsid w:val="00034428"/>
    <w:rsid w:val="000467AC"/>
    <w:rsid w:val="00064074"/>
    <w:rsid w:val="00065C3D"/>
    <w:rsid w:val="000667B8"/>
    <w:rsid w:val="0007162F"/>
    <w:rsid w:val="00071BED"/>
    <w:rsid w:val="00076FC6"/>
    <w:rsid w:val="00081289"/>
    <w:rsid w:val="00081DF5"/>
    <w:rsid w:val="00082610"/>
    <w:rsid w:val="00082FBE"/>
    <w:rsid w:val="000832EE"/>
    <w:rsid w:val="000851F9"/>
    <w:rsid w:val="0009034C"/>
    <w:rsid w:val="00094B7F"/>
    <w:rsid w:val="00095CE9"/>
    <w:rsid w:val="00097149"/>
    <w:rsid w:val="000A0E3C"/>
    <w:rsid w:val="000A1466"/>
    <w:rsid w:val="000A29FA"/>
    <w:rsid w:val="000B02B0"/>
    <w:rsid w:val="000B1553"/>
    <w:rsid w:val="000B4861"/>
    <w:rsid w:val="000C78C3"/>
    <w:rsid w:val="000D7357"/>
    <w:rsid w:val="000E69A5"/>
    <w:rsid w:val="000F2D0C"/>
    <w:rsid w:val="000F551D"/>
    <w:rsid w:val="000F5FEF"/>
    <w:rsid w:val="00106F90"/>
    <w:rsid w:val="00111207"/>
    <w:rsid w:val="00117E3D"/>
    <w:rsid w:val="001223BE"/>
    <w:rsid w:val="0012393B"/>
    <w:rsid w:val="001245DC"/>
    <w:rsid w:val="00127636"/>
    <w:rsid w:val="001278BE"/>
    <w:rsid w:val="00134251"/>
    <w:rsid w:val="001415F2"/>
    <w:rsid w:val="00144B3C"/>
    <w:rsid w:val="001505DD"/>
    <w:rsid w:val="001527C3"/>
    <w:rsid w:val="001542C4"/>
    <w:rsid w:val="00155133"/>
    <w:rsid w:val="00165B99"/>
    <w:rsid w:val="00173B81"/>
    <w:rsid w:val="00177979"/>
    <w:rsid w:val="00180B97"/>
    <w:rsid w:val="00181CD9"/>
    <w:rsid w:val="0018210E"/>
    <w:rsid w:val="001874C6"/>
    <w:rsid w:val="001A2400"/>
    <w:rsid w:val="001B061B"/>
    <w:rsid w:val="001B71DA"/>
    <w:rsid w:val="001C2299"/>
    <w:rsid w:val="001D6EB5"/>
    <w:rsid w:val="001E502E"/>
    <w:rsid w:val="001E6B68"/>
    <w:rsid w:val="00200154"/>
    <w:rsid w:val="00203BB3"/>
    <w:rsid w:val="00211645"/>
    <w:rsid w:val="00212FB2"/>
    <w:rsid w:val="002159A1"/>
    <w:rsid w:val="00235CBD"/>
    <w:rsid w:val="00240991"/>
    <w:rsid w:val="00240B72"/>
    <w:rsid w:val="002444D0"/>
    <w:rsid w:val="002525A9"/>
    <w:rsid w:val="00255D4F"/>
    <w:rsid w:val="0026108E"/>
    <w:rsid w:val="002627BB"/>
    <w:rsid w:val="00264227"/>
    <w:rsid w:val="00266600"/>
    <w:rsid w:val="00267091"/>
    <w:rsid w:val="002705EC"/>
    <w:rsid w:val="00280112"/>
    <w:rsid w:val="002804E4"/>
    <w:rsid w:val="00281923"/>
    <w:rsid w:val="00286A1B"/>
    <w:rsid w:val="00286D5C"/>
    <w:rsid w:val="00292729"/>
    <w:rsid w:val="00295B28"/>
    <w:rsid w:val="0029750E"/>
    <w:rsid w:val="00297F9C"/>
    <w:rsid w:val="002A10D2"/>
    <w:rsid w:val="002A3757"/>
    <w:rsid w:val="002B0DB1"/>
    <w:rsid w:val="002B1286"/>
    <w:rsid w:val="002B1F14"/>
    <w:rsid w:val="002B3DD7"/>
    <w:rsid w:val="002B3FB2"/>
    <w:rsid w:val="002C191E"/>
    <w:rsid w:val="002C28A3"/>
    <w:rsid w:val="002C2A9B"/>
    <w:rsid w:val="002D099C"/>
    <w:rsid w:val="002D1EF9"/>
    <w:rsid w:val="002D7C7C"/>
    <w:rsid w:val="002E270C"/>
    <w:rsid w:val="002E6C73"/>
    <w:rsid w:val="002F7A27"/>
    <w:rsid w:val="00300775"/>
    <w:rsid w:val="003132E5"/>
    <w:rsid w:val="00313DE9"/>
    <w:rsid w:val="00317239"/>
    <w:rsid w:val="003248A7"/>
    <w:rsid w:val="00324E98"/>
    <w:rsid w:val="00325331"/>
    <w:rsid w:val="00325887"/>
    <w:rsid w:val="00326BAE"/>
    <w:rsid w:val="00331DBA"/>
    <w:rsid w:val="003328C8"/>
    <w:rsid w:val="003335B1"/>
    <w:rsid w:val="00337BE6"/>
    <w:rsid w:val="00340AD7"/>
    <w:rsid w:val="00347975"/>
    <w:rsid w:val="00351019"/>
    <w:rsid w:val="00352F08"/>
    <w:rsid w:val="003543C9"/>
    <w:rsid w:val="0036437D"/>
    <w:rsid w:val="00364740"/>
    <w:rsid w:val="00367840"/>
    <w:rsid w:val="00374C48"/>
    <w:rsid w:val="003762E8"/>
    <w:rsid w:val="00377456"/>
    <w:rsid w:val="00377B2A"/>
    <w:rsid w:val="00384C73"/>
    <w:rsid w:val="003850E8"/>
    <w:rsid w:val="00392D08"/>
    <w:rsid w:val="0039715B"/>
    <w:rsid w:val="003A0D1D"/>
    <w:rsid w:val="003A6639"/>
    <w:rsid w:val="003A76CA"/>
    <w:rsid w:val="003C0136"/>
    <w:rsid w:val="003C7561"/>
    <w:rsid w:val="003D0823"/>
    <w:rsid w:val="003D5750"/>
    <w:rsid w:val="003E02F8"/>
    <w:rsid w:val="003E50F6"/>
    <w:rsid w:val="003F3076"/>
    <w:rsid w:val="003F78DB"/>
    <w:rsid w:val="0040184D"/>
    <w:rsid w:val="004130C6"/>
    <w:rsid w:val="00424C12"/>
    <w:rsid w:val="00425C60"/>
    <w:rsid w:val="004262D1"/>
    <w:rsid w:val="0043690D"/>
    <w:rsid w:val="004369EF"/>
    <w:rsid w:val="00441614"/>
    <w:rsid w:val="0044786F"/>
    <w:rsid w:val="00447FAB"/>
    <w:rsid w:val="00455610"/>
    <w:rsid w:val="00471A87"/>
    <w:rsid w:val="00474105"/>
    <w:rsid w:val="00474A73"/>
    <w:rsid w:val="00484ECA"/>
    <w:rsid w:val="0048699C"/>
    <w:rsid w:val="00487887"/>
    <w:rsid w:val="00490FB1"/>
    <w:rsid w:val="0049261F"/>
    <w:rsid w:val="004A3AD5"/>
    <w:rsid w:val="004A5B78"/>
    <w:rsid w:val="004A5C52"/>
    <w:rsid w:val="004A76D3"/>
    <w:rsid w:val="004B040C"/>
    <w:rsid w:val="004B3BFA"/>
    <w:rsid w:val="004B79CE"/>
    <w:rsid w:val="004C6EA3"/>
    <w:rsid w:val="004C7A08"/>
    <w:rsid w:val="004D07B1"/>
    <w:rsid w:val="004D2DFF"/>
    <w:rsid w:val="004D5DBE"/>
    <w:rsid w:val="004E146D"/>
    <w:rsid w:val="004E4D19"/>
    <w:rsid w:val="004E7784"/>
    <w:rsid w:val="004F03A7"/>
    <w:rsid w:val="004F06A5"/>
    <w:rsid w:val="004F1DF3"/>
    <w:rsid w:val="005044F0"/>
    <w:rsid w:val="00507142"/>
    <w:rsid w:val="00514548"/>
    <w:rsid w:val="0052259E"/>
    <w:rsid w:val="00523BD0"/>
    <w:rsid w:val="00525C62"/>
    <w:rsid w:val="00530617"/>
    <w:rsid w:val="005368A3"/>
    <w:rsid w:val="005416B3"/>
    <w:rsid w:val="00552948"/>
    <w:rsid w:val="00561E6D"/>
    <w:rsid w:val="0056284E"/>
    <w:rsid w:val="005733E1"/>
    <w:rsid w:val="005807C8"/>
    <w:rsid w:val="00581A0D"/>
    <w:rsid w:val="00581A3D"/>
    <w:rsid w:val="0058344A"/>
    <w:rsid w:val="00583E4C"/>
    <w:rsid w:val="00584A24"/>
    <w:rsid w:val="0058609C"/>
    <w:rsid w:val="00587BC4"/>
    <w:rsid w:val="00591648"/>
    <w:rsid w:val="00592DEE"/>
    <w:rsid w:val="005931D4"/>
    <w:rsid w:val="005A68B3"/>
    <w:rsid w:val="005B33DE"/>
    <w:rsid w:val="005B4759"/>
    <w:rsid w:val="005B5E13"/>
    <w:rsid w:val="005C3328"/>
    <w:rsid w:val="005C7448"/>
    <w:rsid w:val="005D0D79"/>
    <w:rsid w:val="005E0664"/>
    <w:rsid w:val="005E31A2"/>
    <w:rsid w:val="005E37B1"/>
    <w:rsid w:val="005E38B4"/>
    <w:rsid w:val="005F0310"/>
    <w:rsid w:val="005F2BB6"/>
    <w:rsid w:val="005F516D"/>
    <w:rsid w:val="005F7104"/>
    <w:rsid w:val="006112C2"/>
    <w:rsid w:val="006127AA"/>
    <w:rsid w:val="00615EA4"/>
    <w:rsid w:val="00620145"/>
    <w:rsid w:val="00623FEC"/>
    <w:rsid w:val="006300B3"/>
    <w:rsid w:val="0063256C"/>
    <w:rsid w:val="006326BF"/>
    <w:rsid w:val="006340A4"/>
    <w:rsid w:val="00643C8A"/>
    <w:rsid w:val="006468AC"/>
    <w:rsid w:val="00646CDD"/>
    <w:rsid w:val="00650E02"/>
    <w:rsid w:val="00651232"/>
    <w:rsid w:val="00653C67"/>
    <w:rsid w:val="00656716"/>
    <w:rsid w:val="00663C28"/>
    <w:rsid w:val="00670EAC"/>
    <w:rsid w:val="00683B01"/>
    <w:rsid w:val="00695517"/>
    <w:rsid w:val="00695752"/>
    <w:rsid w:val="006970D0"/>
    <w:rsid w:val="006975F8"/>
    <w:rsid w:val="006A67E1"/>
    <w:rsid w:val="006B06D7"/>
    <w:rsid w:val="006B0FAE"/>
    <w:rsid w:val="006B369A"/>
    <w:rsid w:val="006B4859"/>
    <w:rsid w:val="006C1671"/>
    <w:rsid w:val="006C1D19"/>
    <w:rsid w:val="006C7831"/>
    <w:rsid w:val="006D0094"/>
    <w:rsid w:val="006D400C"/>
    <w:rsid w:val="006D5DB4"/>
    <w:rsid w:val="006D7690"/>
    <w:rsid w:val="006E410D"/>
    <w:rsid w:val="006F0443"/>
    <w:rsid w:val="006F10C6"/>
    <w:rsid w:val="006F39DC"/>
    <w:rsid w:val="00702174"/>
    <w:rsid w:val="00710A4A"/>
    <w:rsid w:val="00711EFC"/>
    <w:rsid w:val="00712973"/>
    <w:rsid w:val="00721061"/>
    <w:rsid w:val="00722724"/>
    <w:rsid w:val="007250EC"/>
    <w:rsid w:val="00726226"/>
    <w:rsid w:val="00726627"/>
    <w:rsid w:val="0073163E"/>
    <w:rsid w:val="00733509"/>
    <w:rsid w:val="007379BA"/>
    <w:rsid w:val="007409D3"/>
    <w:rsid w:val="0074316E"/>
    <w:rsid w:val="00745CAD"/>
    <w:rsid w:val="00753A9E"/>
    <w:rsid w:val="0076203B"/>
    <w:rsid w:val="00767BB8"/>
    <w:rsid w:val="007720F7"/>
    <w:rsid w:val="00774B78"/>
    <w:rsid w:val="007767B8"/>
    <w:rsid w:val="007848F2"/>
    <w:rsid w:val="00784DE1"/>
    <w:rsid w:val="0078596A"/>
    <w:rsid w:val="00786DEC"/>
    <w:rsid w:val="00796902"/>
    <w:rsid w:val="007B0E4A"/>
    <w:rsid w:val="007B5778"/>
    <w:rsid w:val="007C2698"/>
    <w:rsid w:val="007C3A57"/>
    <w:rsid w:val="007C4B2E"/>
    <w:rsid w:val="007C4D8F"/>
    <w:rsid w:val="007C4DF3"/>
    <w:rsid w:val="007D319F"/>
    <w:rsid w:val="007D4EBA"/>
    <w:rsid w:val="007E0016"/>
    <w:rsid w:val="007E74BA"/>
    <w:rsid w:val="007F1AF1"/>
    <w:rsid w:val="007F1FE6"/>
    <w:rsid w:val="007F4B1A"/>
    <w:rsid w:val="008039C0"/>
    <w:rsid w:val="00804C69"/>
    <w:rsid w:val="00806EEE"/>
    <w:rsid w:val="00812C81"/>
    <w:rsid w:val="008137EA"/>
    <w:rsid w:val="00815157"/>
    <w:rsid w:val="008172A3"/>
    <w:rsid w:val="00821D2E"/>
    <w:rsid w:val="00824C0A"/>
    <w:rsid w:val="00824C4D"/>
    <w:rsid w:val="00834C69"/>
    <w:rsid w:val="00837C8E"/>
    <w:rsid w:val="00850A70"/>
    <w:rsid w:val="00855698"/>
    <w:rsid w:val="008565D2"/>
    <w:rsid w:val="00862205"/>
    <w:rsid w:val="0086442D"/>
    <w:rsid w:val="008658CA"/>
    <w:rsid w:val="00876F15"/>
    <w:rsid w:val="00882C4D"/>
    <w:rsid w:val="008906E1"/>
    <w:rsid w:val="00896743"/>
    <w:rsid w:val="008A11A7"/>
    <w:rsid w:val="008A705B"/>
    <w:rsid w:val="008C0E73"/>
    <w:rsid w:val="008C1FEB"/>
    <w:rsid w:val="008C2AF6"/>
    <w:rsid w:val="008C3592"/>
    <w:rsid w:val="008D138B"/>
    <w:rsid w:val="008D1DD5"/>
    <w:rsid w:val="008D4EC4"/>
    <w:rsid w:val="008F2E8F"/>
    <w:rsid w:val="0090437B"/>
    <w:rsid w:val="0090460F"/>
    <w:rsid w:val="009059F5"/>
    <w:rsid w:val="0090627F"/>
    <w:rsid w:val="009105C4"/>
    <w:rsid w:val="009149E7"/>
    <w:rsid w:val="0091685D"/>
    <w:rsid w:val="009245AA"/>
    <w:rsid w:val="00924786"/>
    <w:rsid w:val="00926604"/>
    <w:rsid w:val="009433CC"/>
    <w:rsid w:val="009458B3"/>
    <w:rsid w:val="00947367"/>
    <w:rsid w:val="00947843"/>
    <w:rsid w:val="00947F39"/>
    <w:rsid w:val="00955D40"/>
    <w:rsid w:val="00957F64"/>
    <w:rsid w:val="00962C95"/>
    <w:rsid w:val="00964CB6"/>
    <w:rsid w:val="009677A1"/>
    <w:rsid w:val="009729D3"/>
    <w:rsid w:val="00987A63"/>
    <w:rsid w:val="00987AA5"/>
    <w:rsid w:val="00995EAD"/>
    <w:rsid w:val="009971DB"/>
    <w:rsid w:val="009A15DF"/>
    <w:rsid w:val="009A5112"/>
    <w:rsid w:val="009A781D"/>
    <w:rsid w:val="009B0FA5"/>
    <w:rsid w:val="009C4903"/>
    <w:rsid w:val="009D03AB"/>
    <w:rsid w:val="009D31FF"/>
    <w:rsid w:val="009E2798"/>
    <w:rsid w:val="009E5D34"/>
    <w:rsid w:val="009F4307"/>
    <w:rsid w:val="009F468F"/>
    <w:rsid w:val="009F6497"/>
    <w:rsid w:val="00A04ABD"/>
    <w:rsid w:val="00A102CD"/>
    <w:rsid w:val="00A1403A"/>
    <w:rsid w:val="00A152BC"/>
    <w:rsid w:val="00A200DF"/>
    <w:rsid w:val="00A209AD"/>
    <w:rsid w:val="00A20B84"/>
    <w:rsid w:val="00A20C61"/>
    <w:rsid w:val="00A229C6"/>
    <w:rsid w:val="00A23CBD"/>
    <w:rsid w:val="00A24B21"/>
    <w:rsid w:val="00A3092D"/>
    <w:rsid w:val="00A36CA7"/>
    <w:rsid w:val="00A45786"/>
    <w:rsid w:val="00A46B53"/>
    <w:rsid w:val="00A47D89"/>
    <w:rsid w:val="00A51801"/>
    <w:rsid w:val="00A52ED5"/>
    <w:rsid w:val="00A56E1B"/>
    <w:rsid w:val="00A5792C"/>
    <w:rsid w:val="00A57997"/>
    <w:rsid w:val="00A65319"/>
    <w:rsid w:val="00A66D97"/>
    <w:rsid w:val="00A70E6D"/>
    <w:rsid w:val="00A76850"/>
    <w:rsid w:val="00A90F89"/>
    <w:rsid w:val="00AB1BA8"/>
    <w:rsid w:val="00AB2BE8"/>
    <w:rsid w:val="00AB5CDB"/>
    <w:rsid w:val="00AC5723"/>
    <w:rsid w:val="00AC6483"/>
    <w:rsid w:val="00AD1B40"/>
    <w:rsid w:val="00AD3219"/>
    <w:rsid w:val="00AD359B"/>
    <w:rsid w:val="00AD7033"/>
    <w:rsid w:val="00AE012F"/>
    <w:rsid w:val="00B016FD"/>
    <w:rsid w:val="00B22258"/>
    <w:rsid w:val="00B27A0E"/>
    <w:rsid w:val="00B31BE5"/>
    <w:rsid w:val="00B40314"/>
    <w:rsid w:val="00B40348"/>
    <w:rsid w:val="00B43F39"/>
    <w:rsid w:val="00B5267D"/>
    <w:rsid w:val="00B60C6D"/>
    <w:rsid w:val="00B62D9C"/>
    <w:rsid w:val="00B7021D"/>
    <w:rsid w:val="00B808C1"/>
    <w:rsid w:val="00B81DA7"/>
    <w:rsid w:val="00B83096"/>
    <w:rsid w:val="00B83B2F"/>
    <w:rsid w:val="00B8666B"/>
    <w:rsid w:val="00B91743"/>
    <w:rsid w:val="00B95732"/>
    <w:rsid w:val="00B96963"/>
    <w:rsid w:val="00BA03F0"/>
    <w:rsid w:val="00BB0B97"/>
    <w:rsid w:val="00BB5E41"/>
    <w:rsid w:val="00BB5EDF"/>
    <w:rsid w:val="00BB6012"/>
    <w:rsid w:val="00BC5C10"/>
    <w:rsid w:val="00BC5F93"/>
    <w:rsid w:val="00BC7BE3"/>
    <w:rsid w:val="00BD13A3"/>
    <w:rsid w:val="00BD2BCA"/>
    <w:rsid w:val="00BE6B28"/>
    <w:rsid w:val="00BF31BF"/>
    <w:rsid w:val="00BF4E0C"/>
    <w:rsid w:val="00C06A6B"/>
    <w:rsid w:val="00C115F1"/>
    <w:rsid w:val="00C17FFD"/>
    <w:rsid w:val="00C25BCB"/>
    <w:rsid w:val="00C25E6A"/>
    <w:rsid w:val="00C44CD8"/>
    <w:rsid w:val="00C472A2"/>
    <w:rsid w:val="00C5005A"/>
    <w:rsid w:val="00C533DC"/>
    <w:rsid w:val="00C53AB9"/>
    <w:rsid w:val="00C61889"/>
    <w:rsid w:val="00C649DB"/>
    <w:rsid w:val="00C654E6"/>
    <w:rsid w:val="00C67867"/>
    <w:rsid w:val="00C67ED8"/>
    <w:rsid w:val="00C740FC"/>
    <w:rsid w:val="00C83A4F"/>
    <w:rsid w:val="00C92668"/>
    <w:rsid w:val="00C94D94"/>
    <w:rsid w:val="00C96946"/>
    <w:rsid w:val="00CA47D1"/>
    <w:rsid w:val="00CA537B"/>
    <w:rsid w:val="00CA6952"/>
    <w:rsid w:val="00CA79D1"/>
    <w:rsid w:val="00CB0A23"/>
    <w:rsid w:val="00CB14AD"/>
    <w:rsid w:val="00CB1CFE"/>
    <w:rsid w:val="00CB3D3E"/>
    <w:rsid w:val="00CB4A81"/>
    <w:rsid w:val="00CC533F"/>
    <w:rsid w:val="00CC6053"/>
    <w:rsid w:val="00CD1EEB"/>
    <w:rsid w:val="00CE2793"/>
    <w:rsid w:val="00CF1439"/>
    <w:rsid w:val="00D010A8"/>
    <w:rsid w:val="00D0761F"/>
    <w:rsid w:val="00D076BF"/>
    <w:rsid w:val="00D07785"/>
    <w:rsid w:val="00D10699"/>
    <w:rsid w:val="00D111FF"/>
    <w:rsid w:val="00D15DD2"/>
    <w:rsid w:val="00D160CC"/>
    <w:rsid w:val="00D1770B"/>
    <w:rsid w:val="00D2328D"/>
    <w:rsid w:val="00D240E3"/>
    <w:rsid w:val="00D26EB7"/>
    <w:rsid w:val="00D27A65"/>
    <w:rsid w:val="00D3100F"/>
    <w:rsid w:val="00D318D0"/>
    <w:rsid w:val="00D40194"/>
    <w:rsid w:val="00D5601C"/>
    <w:rsid w:val="00D56B60"/>
    <w:rsid w:val="00D577E9"/>
    <w:rsid w:val="00D57FA6"/>
    <w:rsid w:val="00D60DF5"/>
    <w:rsid w:val="00D61863"/>
    <w:rsid w:val="00D6261E"/>
    <w:rsid w:val="00D66832"/>
    <w:rsid w:val="00D6749F"/>
    <w:rsid w:val="00D67F7B"/>
    <w:rsid w:val="00D81BC9"/>
    <w:rsid w:val="00D87583"/>
    <w:rsid w:val="00D900D9"/>
    <w:rsid w:val="00D9027A"/>
    <w:rsid w:val="00D9052D"/>
    <w:rsid w:val="00D940CE"/>
    <w:rsid w:val="00D95AE5"/>
    <w:rsid w:val="00DA6D9C"/>
    <w:rsid w:val="00DB0D24"/>
    <w:rsid w:val="00DB0FD1"/>
    <w:rsid w:val="00DB250B"/>
    <w:rsid w:val="00DD04A1"/>
    <w:rsid w:val="00DD6908"/>
    <w:rsid w:val="00DE5776"/>
    <w:rsid w:val="00DE5819"/>
    <w:rsid w:val="00DE7F23"/>
    <w:rsid w:val="00DF0350"/>
    <w:rsid w:val="00DF04B7"/>
    <w:rsid w:val="00DF4602"/>
    <w:rsid w:val="00DF4735"/>
    <w:rsid w:val="00DF7FD8"/>
    <w:rsid w:val="00E02A00"/>
    <w:rsid w:val="00E17405"/>
    <w:rsid w:val="00E20635"/>
    <w:rsid w:val="00E24352"/>
    <w:rsid w:val="00E26261"/>
    <w:rsid w:val="00E317EA"/>
    <w:rsid w:val="00E31A79"/>
    <w:rsid w:val="00E35A1C"/>
    <w:rsid w:val="00E36DB0"/>
    <w:rsid w:val="00E4116F"/>
    <w:rsid w:val="00E64CCC"/>
    <w:rsid w:val="00E6500F"/>
    <w:rsid w:val="00E65C3C"/>
    <w:rsid w:val="00E66AF7"/>
    <w:rsid w:val="00E66B3E"/>
    <w:rsid w:val="00E672C2"/>
    <w:rsid w:val="00E67C18"/>
    <w:rsid w:val="00E72DC0"/>
    <w:rsid w:val="00E75D22"/>
    <w:rsid w:val="00E8678B"/>
    <w:rsid w:val="00E87A82"/>
    <w:rsid w:val="00E92929"/>
    <w:rsid w:val="00E95420"/>
    <w:rsid w:val="00E97C91"/>
    <w:rsid w:val="00EA3A71"/>
    <w:rsid w:val="00EA76DC"/>
    <w:rsid w:val="00EC2F8E"/>
    <w:rsid w:val="00EC4880"/>
    <w:rsid w:val="00EC73C3"/>
    <w:rsid w:val="00F0250A"/>
    <w:rsid w:val="00F1628A"/>
    <w:rsid w:val="00F163DC"/>
    <w:rsid w:val="00F163F6"/>
    <w:rsid w:val="00F17364"/>
    <w:rsid w:val="00F20FB3"/>
    <w:rsid w:val="00F2454A"/>
    <w:rsid w:val="00F267F7"/>
    <w:rsid w:val="00F370AF"/>
    <w:rsid w:val="00F62954"/>
    <w:rsid w:val="00F671D0"/>
    <w:rsid w:val="00F6731C"/>
    <w:rsid w:val="00F762B1"/>
    <w:rsid w:val="00F80E5E"/>
    <w:rsid w:val="00F879E1"/>
    <w:rsid w:val="00F97BE4"/>
    <w:rsid w:val="00FA67C5"/>
    <w:rsid w:val="00FB129F"/>
    <w:rsid w:val="00FB1719"/>
    <w:rsid w:val="00FB5671"/>
    <w:rsid w:val="00FB60A2"/>
    <w:rsid w:val="00FC0A1E"/>
    <w:rsid w:val="00FC379F"/>
    <w:rsid w:val="00FC4114"/>
    <w:rsid w:val="00FD09DA"/>
    <w:rsid w:val="00FD4514"/>
    <w:rsid w:val="00FD5075"/>
    <w:rsid w:val="00FD7A0B"/>
    <w:rsid w:val="00FE04A1"/>
    <w:rsid w:val="00FE2885"/>
    <w:rsid w:val="00FE5DA3"/>
    <w:rsid w:val="00FE649D"/>
    <w:rsid w:val="00FF0CF9"/>
    <w:rsid w:val="00FF3792"/>
    <w:rsid w:val="01281213"/>
    <w:rsid w:val="016025FC"/>
    <w:rsid w:val="019D4E55"/>
    <w:rsid w:val="02182ED7"/>
    <w:rsid w:val="029562D6"/>
    <w:rsid w:val="029A7D90"/>
    <w:rsid w:val="02A051C2"/>
    <w:rsid w:val="02EF1E8A"/>
    <w:rsid w:val="030F16AE"/>
    <w:rsid w:val="0363173F"/>
    <w:rsid w:val="03673AA8"/>
    <w:rsid w:val="036D2DAF"/>
    <w:rsid w:val="04446019"/>
    <w:rsid w:val="04F875A0"/>
    <w:rsid w:val="06011F07"/>
    <w:rsid w:val="06B900B8"/>
    <w:rsid w:val="06CD59AB"/>
    <w:rsid w:val="07217FE0"/>
    <w:rsid w:val="07867FE9"/>
    <w:rsid w:val="07DE427B"/>
    <w:rsid w:val="07F77C97"/>
    <w:rsid w:val="082A3964"/>
    <w:rsid w:val="085D113C"/>
    <w:rsid w:val="0A081EEC"/>
    <w:rsid w:val="0B15089E"/>
    <w:rsid w:val="0B631E61"/>
    <w:rsid w:val="0C5A2277"/>
    <w:rsid w:val="0C897089"/>
    <w:rsid w:val="0CA77331"/>
    <w:rsid w:val="0CD4440C"/>
    <w:rsid w:val="0D084F34"/>
    <w:rsid w:val="0D1F07B3"/>
    <w:rsid w:val="0DEB5823"/>
    <w:rsid w:val="0E132122"/>
    <w:rsid w:val="0F3D2FCE"/>
    <w:rsid w:val="100D0BBD"/>
    <w:rsid w:val="105F163C"/>
    <w:rsid w:val="10C176EF"/>
    <w:rsid w:val="10F15226"/>
    <w:rsid w:val="11647F5F"/>
    <w:rsid w:val="12C43AFC"/>
    <w:rsid w:val="12F928B1"/>
    <w:rsid w:val="13362245"/>
    <w:rsid w:val="134231CE"/>
    <w:rsid w:val="13494BFB"/>
    <w:rsid w:val="142602DA"/>
    <w:rsid w:val="1484618D"/>
    <w:rsid w:val="15472268"/>
    <w:rsid w:val="159266A5"/>
    <w:rsid w:val="160C1264"/>
    <w:rsid w:val="16815D1C"/>
    <w:rsid w:val="16EA1425"/>
    <w:rsid w:val="17011AF5"/>
    <w:rsid w:val="178A7F7B"/>
    <w:rsid w:val="17EE4C03"/>
    <w:rsid w:val="195873D7"/>
    <w:rsid w:val="19C3747C"/>
    <w:rsid w:val="1B3967A2"/>
    <w:rsid w:val="1B8973D1"/>
    <w:rsid w:val="1B99757B"/>
    <w:rsid w:val="1C6B4655"/>
    <w:rsid w:val="1D100F23"/>
    <w:rsid w:val="1D34296E"/>
    <w:rsid w:val="1D554B87"/>
    <w:rsid w:val="1DEE6806"/>
    <w:rsid w:val="1E263889"/>
    <w:rsid w:val="1E5B7F7C"/>
    <w:rsid w:val="1E651EA7"/>
    <w:rsid w:val="1E65704C"/>
    <w:rsid w:val="1EBD055F"/>
    <w:rsid w:val="1EEC53C1"/>
    <w:rsid w:val="1F3E6060"/>
    <w:rsid w:val="1F8025E1"/>
    <w:rsid w:val="1FC74A7C"/>
    <w:rsid w:val="20B932A5"/>
    <w:rsid w:val="20C65464"/>
    <w:rsid w:val="212D7572"/>
    <w:rsid w:val="21470119"/>
    <w:rsid w:val="21750403"/>
    <w:rsid w:val="2184175C"/>
    <w:rsid w:val="21FF5944"/>
    <w:rsid w:val="22140B6D"/>
    <w:rsid w:val="221413B9"/>
    <w:rsid w:val="223D0F38"/>
    <w:rsid w:val="22DA1DB7"/>
    <w:rsid w:val="23113E7A"/>
    <w:rsid w:val="236D176C"/>
    <w:rsid w:val="23BC0C3B"/>
    <w:rsid w:val="23E3562A"/>
    <w:rsid w:val="247C4C34"/>
    <w:rsid w:val="24A8261D"/>
    <w:rsid w:val="24AC2947"/>
    <w:rsid w:val="2546353E"/>
    <w:rsid w:val="254774AC"/>
    <w:rsid w:val="255F65A3"/>
    <w:rsid w:val="258626E3"/>
    <w:rsid w:val="25A4557A"/>
    <w:rsid w:val="25F969F8"/>
    <w:rsid w:val="26796F4A"/>
    <w:rsid w:val="26BE3237"/>
    <w:rsid w:val="27473104"/>
    <w:rsid w:val="27A1606E"/>
    <w:rsid w:val="27A95429"/>
    <w:rsid w:val="28D66B6E"/>
    <w:rsid w:val="29496766"/>
    <w:rsid w:val="29B753E9"/>
    <w:rsid w:val="2A3E56F6"/>
    <w:rsid w:val="2A675350"/>
    <w:rsid w:val="2A761053"/>
    <w:rsid w:val="2BDF4B0D"/>
    <w:rsid w:val="2C2C5AB4"/>
    <w:rsid w:val="2C765575"/>
    <w:rsid w:val="2CD06DD8"/>
    <w:rsid w:val="2D0C1830"/>
    <w:rsid w:val="2D14731D"/>
    <w:rsid w:val="2D3234A2"/>
    <w:rsid w:val="2D350DF0"/>
    <w:rsid w:val="2D7B31C8"/>
    <w:rsid w:val="2D8868A4"/>
    <w:rsid w:val="2D984D48"/>
    <w:rsid w:val="2DA41E97"/>
    <w:rsid w:val="2DCE2518"/>
    <w:rsid w:val="2E112C5C"/>
    <w:rsid w:val="2EB27755"/>
    <w:rsid w:val="2EC221D3"/>
    <w:rsid w:val="2EFA19CE"/>
    <w:rsid w:val="2F2A2D4D"/>
    <w:rsid w:val="2F654979"/>
    <w:rsid w:val="2FB7406E"/>
    <w:rsid w:val="2FDB1D24"/>
    <w:rsid w:val="3054538E"/>
    <w:rsid w:val="30753757"/>
    <w:rsid w:val="30C25BDA"/>
    <w:rsid w:val="324346E5"/>
    <w:rsid w:val="3331759D"/>
    <w:rsid w:val="33A8434C"/>
    <w:rsid w:val="33BA52ED"/>
    <w:rsid w:val="33CB0C74"/>
    <w:rsid w:val="33D335FD"/>
    <w:rsid w:val="34244371"/>
    <w:rsid w:val="34E15963"/>
    <w:rsid w:val="35727C2D"/>
    <w:rsid w:val="35B212FA"/>
    <w:rsid w:val="35CD711E"/>
    <w:rsid w:val="35CF536D"/>
    <w:rsid w:val="35EB1BF0"/>
    <w:rsid w:val="36933369"/>
    <w:rsid w:val="36A25157"/>
    <w:rsid w:val="36BD576F"/>
    <w:rsid w:val="36DB190F"/>
    <w:rsid w:val="36F823B4"/>
    <w:rsid w:val="3701042F"/>
    <w:rsid w:val="371D536D"/>
    <w:rsid w:val="37373A04"/>
    <w:rsid w:val="37ED0850"/>
    <w:rsid w:val="38136029"/>
    <w:rsid w:val="389425B0"/>
    <w:rsid w:val="38BF277B"/>
    <w:rsid w:val="38C015D8"/>
    <w:rsid w:val="38C62993"/>
    <w:rsid w:val="3946616B"/>
    <w:rsid w:val="39595C88"/>
    <w:rsid w:val="39930966"/>
    <w:rsid w:val="3AB14612"/>
    <w:rsid w:val="3ADC4083"/>
    <w:rsid w:val="3B2B6D8A"/>
    <w:rsid w:val="3C086C85"/>
    <w:rsid w:val="3C466D4E"/>
    <w:rsid w:val="3C525E6D"/>
    <w:rsid w:val="3CB03D04"/>
    <w:rsid w:val="3CF8227C"/>
    <w:rsid w:val="3D127DE6"/>
    <w:rsid w:val="3D143462"/>
    <w:rsid w:val="3DAE273F"/>
    <w:rsid w:val="3DD504CF"/>
    <w:rsid w:val="3DE31C22"/>
    <w:rsid w:val="3E210442"/>
    <w:rsid w:val="3E475944"/>
    <w:rsid w:val="3E813523"/>
    <w:rsid w:val="3ECF38DD"/>
    <w:rsid w:val="3EDC0ECC"/>
    <w:rsid w:val="3F1F5E69"/>
    <w:rsid w:val="3FD44C05"/>
    <w:rsid w:val="4010076F"/>
    <w:rsid w:val="4067023A"/>
    <w:rsid w:val="407960B9"/>
    <w:rsid w:val="408A7CFA"/>
    <w:rsid w:val="40AB650D"/>
    <w:rsid w:val="412A3AB2"/>
    <w:rsid w:val="415E375B"/>
    <w:rsid w:val="41F04E43"/>
    <w:rsid w:val="428B04D9"/>
    <w:rsid w:val="42AD6748"/>
    <w:rsid w:val="42D37FA3"/>
    <w:rsid w:val="42FB288E"/>
    <w:rsid w:val="430C36FA"/>
    <w:rsid w:val="43566DE0"/>
    <w:rsid w:val="438A5A2B"/>
    <w:rsid w:val="43AF5C05"/>
    <w:rsid w:val="44BD25D7"/>
    <w:rsid w:val="450A60D4"/>
    <w:rsid w:val="461E0C19"/>
    <w:rsid w:val="464B166D"/>
    <w:rsid w:val="466963C3"/>
    <w:rsid w:val="477B67D1"/>
    <w:rsid w:val="47894C79"/>
    <w:rsid w:val="48112E41"/>
    <w:rsid w:val="48130217"/>
    <w:rsid w:val="483C5694"/>
    <w:rsid w:val="49125FFB"/>
    <w:rsid w:val="491C4628"/>
    <w:rsid w:val="49220911"/>
    <w:rsid w:val="492E0F85"/>
    <w:rsid w:val="49374014"/>
    <w:rsid w:val="49542533"/>
    <w:rsid w:val="497A283B"/>
    <w:rsid w:val="49A329CC"/>
    <w:rsid w:val="49FD2121"/>
    <w:rsid w:val="4A144EDF"/>
    <w:rsid w:val="4A7E62C5"/>
    <w:rsid w:val="4AAB1E00"/>
    <w:rsid w:val="4AC24D5B"/>
    <w:rsid w:val="4B01452B"/>
    <w:rsid w:val="4B911FE0"/>
    <w:rsid w:val="4BA161FC"/>
    <w:rsid w:val="4C1363D0"/>
    <w:rsid w:val="4C3479F8"/>
    <w:rsid w:val="4C4B0ACB"/>
    <w:rsid w:val="4CAD4520"/>
    <w:rsid w:val="4CDB7E70"/>
    <w:rsid w:val="4D0F6DE7"/>
    <w:rsid w:val="4D534390"/>
    <w:rsid w:val="4DB56DF9"/>
    <w:rsid w:val="4DB77038"/>
    <w:rsid w:val="4DD47E42"/>
    <w:rsid w:val="4F0551D1"/>
    <w:rsid w:val="4F0612C4"/>
    <w:rsid w:val="4F2A7373"/>
    <w:rsid w:val="4FE45773"/>
    <w:rsid w:val="50263CE3"/>
    <w:rsid w:val="50E81293"/>
    <w:rsid w:val="513E350D"/>
    <w:rsid w:val="51640CA2"/>
    <w:rsid w:val="523C163F"/>
    <w:rsid w:val="524424F9"/>
    <w:rsid w:val="52532C9B"/>
    <w:rsid w:val="52AA6800"/>
    <w:rsid w:val="52C16224"/>
    <w:rsid w:val="52FF5D60"/>
    <w:rsid w:val="5316330F"/>
    <w:rsid w:val="533B2EB1"/>
    <w:rsid w:val="53DD7A84"/>
    <w:rsid w:val="54931516"/>
    <w:rsid w:val="54CF5BF7"/>
    <w:rsid w:val="54F46459"/>
    <w:rsid w:val="550C072E"/>
    <w:rsid w:val="55812121"/>
    <w:rsid w:val="55D6260F"/>
    <w:rsid w:val="560A4C0A"/>
    <w:rsid w:val="567B088A"/>
    <w:rsid w:val="56E44B68"/>
    <w:rsid w:val="56E90F5B"/>
    <w:rsid w:val="57174FB2"/>
    <w:rsid w:val="573C16D0"/>
    <w:rsid w:val="57647A08"/>
    <w:rsid w:val="57B462A2"/>
    <w:rsid w:val="57E417E0"/>
    <w:rsid w:val="58634CBB"/>
    <w:rsid w:val="58FA2E94"/>
    <w:rsid w:val="591311F4"/>
    <w:rsid w:val="598B6E78"/>
    <w:rsid w:val="59CA0E72"/>
    <w:rsid w:val="59E3160A"/>
    <w:rsid w:val="59F36F78"/>
    <w:rsid w:val="5A08425C"/>
    <w:rsid w:val="5A222E87"/>
    <w:rsid w:val="5A5D23AA"/>
    <w:rsid w:val="5A9D1E29"/>
    <w:rsid w:val="5AE71315"/>
    <w:rsid w:val="5B622594"/>
    <w:rsid w:val="5B9938B6"/>
    <w:rsid w:val="5B9A46F8"/>
    <w:rsid w:val="5CD94A7D"/>
    <w:rsid w:val="5CF33F5E"/>
    <w:rsid w:val="5CF8540B"/>
    <w:rsid w:val="5D083339"/>
    <w:rsid w:val="5D7C7518"/>
    <w:rsid w:val="5D861C18"/>
    <w:rsid w:val="5DD30C71"/>
    <w:rsid w:val="5E793C16"/>
    <w:rsid w:val="5E814C0F"/>
    <w:rsid w:val="5FDB0AFE"/>
    <w:rsid w:val="5FDD5D57"/>
    <w:rsid w:val="5FDE5D3B"/>
    <w:rsid w:val="60C16F3B"/>
    <w:rsid w:val="60F65306"/>
    <w:rsid w:val="6150080E"/>
    <w:rsid w:val="6153399D"/>
    <w:rsid w:val="61A9013A"/>
    <w:rsid w:val="61FD4BCF"/>
    <w:rsid w:val="624C33EF"/>
    <w:rsid w:val="631B2E02"/>
    <w:rsid w:val="640763E5"/>
    <w:rsid w:val="64106469"/>
    <w:rsid w:val="64943E02"/>
    <w:rsid w:val="64CF1141"/>
    <w:rsid w:val="65243051"/>
    <w:rsid w:val="65312DB1"/>
    <w:rsid w:val="6546456A"/>
    <w:rsid w:val="654B3E0B"/>
    <w:rsid w:val="65734A62"/>
    <w:rsid w:val="65742323"/>
    <w:rsid w:val="65931376"/>
    <w:rsid w:val="65AA7DC8"/>
    <w:rsid w:val="65F57186"/>
    <w:rsid w:val="668B431F"/>
    <w:rsid w:val="67224816"/>
    <w:rsid w:val="677779D2"/>
    <w:rsid w:val="67A755AC"/>
    <w:rsid w:val="67BE6D26"/>
    <w:rsid w:val="68035CC6"/>
    <w:rsid w:val="68384D1D"/>
    <w:rsid w:val="684923CA"/>
    <w:rsid w:val="696B2E1C"/>
    <w:rsid w:val="69903168"/>
    <w:rsid w:val="69910253"/>
    <w:rsid w:val="69CF1EED"/>
    <w:rsid w:val="69DF102E"/>
    <w:rsid w:val="69E629B4"/>
    <w:rsid w:val="69E766E2"/>
    <w:rsid w:val="6A303F94"/>
    <w:rsid w:val="6AF873C8"/>
    <w:rsid w:val="6B50669B"/>
    <w:rsid w:val="6C127F06"/>
    <w:rsid w:val="6D48139B"/>
    <w:rsid w:val="6D9841F0"/>
    <w:rsid w:val="6E021FD1"/>
    <w:rsid w:val="6E0F6CB3"/>
    <w:rsid w:val="6E8F15D9"/>
    <w:rsid w:val="6ECA11E3"/>
    <w:rsid w:val="6F007327"/>
    <w:rsid w:val="6F434296"/>
    <w:rsid w:val="6F5361F2"/>
    <w:rsid w:val="6FE4258E"/>
    <w:rsid w:val="702B4B0F"/>
    <w:rsid w:val="70E465BE"/>
    <w:rsid w:val="711C37A7"/>
    <w:rsid w:val="712B1D28"/>
    <w:rsid w:val="715274D7"/>
    <w:rsid w:val="718B3EE2"/>
    <w:rsid w:val="72DB4A4B"/>
    <w:rsid w:val="7341739E"/>
    <w:rsid w:val="736902A6"/>
    <w:rsid w:val="74A36100"/>
    <w:rsid w:val="74D8746F"/>
    <w:rsid w:val="75087A63"/>
    <w:rsid w:val="760E1BCE"/>
    <w:rsid w:val="763F1AD3"/>
    <w:rsid w:val="76683E52"/>
    <w:rsid w:val="76D811AB"/>
    <w:rsid w:val="776A0912"/>
    <w:rsid w:val="776C5995"/>
    <w:rsid w:val="77805FE8"/>
    <w:rsid w:val="781A5362"/>
    <w:rsid w:val="788A03B6"/>
    <w:rsid w:val="79892D64"/>
    <w:rsid w:val="798C63B0"/>
    <w:rsid w:val="79A33E26"/>
    <w:rsid w:val="79E24B3F"/>
    <w:rsid w:val="79F44419"/>
    <w:rsid w:val="7A316896"/>
    <w:rsid w:val="7A360F8A"/>
    <w:rsid w:val="7B095F8D"/>
    <w:rsid w:val="7B352923"/>
    <w:rsid w:val="7B841CB9"/>
    <w:rsid w:val="7B9F686F"/>
    <w:rsid w:val="7BAA1DDC"/>
    <w:rsid w:val="7C4C3032"/>
    <w:rsid w:val="7C9F72EF"/>
    <w:rsid w:val="7CA131C0"/>
    <w:rsid w:val="7CE15DF2"/>
    <w:rsid w:val="7D161542"/>
    <w:rsid w:val="7D175611"/>
    <w:rsid w:val="7D913F95"/>
    <w:rsid w:val="7DE33EDE"/>
    <w:rsid w:val="7DED6646"/>
    <w:rsid w:val="7E035F8F"/>
    <w:rsid w:val="7E920B47"/>
    <w:rsid w:val="7EC71E0E"/>
    <w:rsid w:val="7F0E027B"/>
    <w:rsid w:val="7F6776A3"/>
    <w:rsid w:val="7F9169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46"/>
    <w:qFormat/>
    <w:uiPriority w:val="0"/>
    <w:pPr>
      <w:keepNext/>
      <w:keepLines/>
      <w:spacing w:after="120" w:line="360" w:lineRule="auto"/>
      <w:jc w:val="left"/>
      <w:outlineLvl w:val="0"/>
    </w:pPr>
    <w:rPr>
      <w:kern w:val="44"/>
      <w:sz w:val="28"/>
      <w:szCs w:val="28"/>
    </w:rPr>
  </w:style>
  <w:style w:type="paragraph" w:styleId="3">
    <w:name w:val="heading 2"/>
    <w:basedOn w:val="1"/>
    <w:next w:val="1"/>
    <w:link w:val="74"/>
    <w:qFormat/>
    <w:uiPriority w:val="0"/>
    <w:pPr>
      <w:keepNext/>
      <w:keepLines/>
      <w:spacing w:before="120" w:after="120" w:line="415" w:lineRule="auto"/>
      <w:ind w:left="454"/>
      <w:jc w:val="center"/>
      <w:outlineLvl w:val="1"/>
    </w:pPr>
    <w:rPr>
      <w:rFonts w:ascii="Arial" w:hAnsi="Arial"/>
      <w:b/>
      <w:color w:val="000000"/>
      <w:kern w:val="0"/>
      <w:sz w:val="24"/>
      <w:szCs w:val="24"/>
    </w:rPr>
  </w:style>
  <w:style w:type="paragraph" w:styleId="4">
    <w:name w:val="heading 3"/>
    <w:basedOn w:val="1"/>
    <w:next w:val="1"/>
    <w:qFormat/>
    <w:uiPriority w:val="0"/>
    <w:pPr>
      <w:widowControl/>
      <w:spacing w:before="100" w:beforeAutospacing="1" w:after="100" w:afterAutospacing="1"/>
      <w:jc w:val="left"/>
      <w:outlineLvl w:val="2"/>
    </w:pPr>
    <w:rPr>
      <w:rFonts w:ascii="宋体" w:hAnsi="宋体"/>
      <w:kern w:val="0"/>
      <w:sz w:val="27"/>
      <w:szCs w:val="27"/>
    </w:rPr>
  </w:style>
  <w:style w:type="paragraph" w:styleId="5">
    <w:name w:val="heading 4"/>
    <w:basedOn w:val="4"/>
    <w:next w:val="6"/>
    <w:link w:val="67"/>
    <w:qFormat/>
    <w:uiPriority w:val="0"/>
    <w:pPr>
      <w:keepNext/>
      <w:keepLines/>
      <w:widowControl w:val="0"/>
      <w:spacing w:beforeLines="50" w:beforeAutospacing="0" w:afterLines="50" w:afterAutospacing="0" w:line="360" w:lineRule="auto"/>
      <w:ind w:left="284" w:hanging="284"/>
      <w:jc w:val="center"/>
      <w:outlineLvl w:val="3"/>
    </w:pPr>
    <w:rPr>
      <w:rFonts w:ascii="Arial" w:hAnsi="Arial"/>
      <w:color w:val="000000"/>
      <w:kern w:val="2"/>
      <w:sz w:val="24"/>
      <w:szCs w:val="24"/>
    </w:rPr>
  </w:style>
  <w:style w:type="paragraph" w:styleId="7">
    <w:name w:val="heading 5"/>
    <w:basedOn w:val="5"/>
    <w:next w:val="6"/>
    <w:link w:val="68"/>
    <w:qFormat/>
    <w:uiPriority w:val="0"/>
    <w:pPr>
      <w:spacing w:line="240" w:lineRule="exact"/>
      <w:ind w:left="0" w:firstLine="0"/>
      <w:outlineLvl w:val="4"/>
    </w:pPr>
  </w:style>
  <w:style w:type="paragraph" w:styleId="8">
    <w:name w:val="heading 7"/>
    <w:basedOn w:val="1"/>
    <w:next w:val="6"/>
    <w:link w:val="69"/>
    <w:qFormat/>
    <w:uiPriority w:val="0"/>
    <w:pPr>
      <w:keepNext/>
      <w:keepLines/>
      <w:spacing w:line="320" w:lineRule="auto"/>
      <w:outlineLvl w:val="6"/>
    </w:pPr>
    <w:rPr>
      <w:b/>
      <w:sz w:val="24"/>
      <w:szCs w:val="20"/>
    </w:rPr>
  </w:style>
  <w:style w:type="paragraph" w:styleId="9">
    <w:name w:val="heading 8"/>
    <w:basedOn w:val="1"/>
    <w:next w:val="6"/>
    <w:link w:val="70"/>
    <w:qFormat/>
    <w:uiPriority w:val="0"/>
    <w:pPr>
      <w:keepNext/>
      <w:keepLines/>
      <w:spacing w:line="320" w:lineRule="auto"/>
      <w:outlineLvl w:val="7"/>
    </w:pPr>
    <w:rPr>
      <w:rFonts w:ascii="Arial" w:hAnsi="Arial" w:eastAsia="黑体"/>
      <w:sz w:val="24"/>
      <w:szCs w:val="20"/>
    </w:rPr>
  </w:style>
  <w:style w:type="paragraph" w:styleId="10">
    <w:name w:val="heading 9"/>
    <w:basedOn w:val="1"/>
    <w:next w:val="6"/>
    <w:link w:val="71"/>
    <w:qFormat/>
    <w:uiPriority w:val="0"/>
    <w:pPr>
      <w:keepNext/>
      <w:keepLines/>
      <w:spacing w:line="320" w:lineRule="auto"/>
      <w:outlineLvl w:val="8"/>
    </w:pPr>
    <w:rPr>
      <w:rFonts w:ascii="Arial" w:hAnsi="Arial" w:eastAsia="黑体"/>
      <w:szCs w:val="20"/>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6">
    <w:name w:val="Normal Indent1"/>
    <w:basedOn w:val="1"/>
    <w:qFormat/>
    <w:uiPriority w:val="0"/>
    <w:pPr>
      <w:ind w:firstLine="420" w:firstLineChars="200"/>
    </w:pPr>
    <w:rPr>
      <w:sz w:val="30"/>
      <w:szCs w:val="24"/>
    </w:rPr>
  </w:style>
  <w:style w:type="paragraph" w:styleId="11">
    <w:name w:val="Normal Indent"/>
    <w:basedOn w:val="1"/>
    <w:next w:val="1"/>
    <w:qFormat/>
    <w:uiPriority w:val="0"/>
    <w:pPr>
      <w:ind w:firstLine="420"/>
    </w:pPr>
    <w:rPr>
      <w:szCs w:val="20"/>
    </w:rPr>
  </w:style>
  <w:style w:type="paragraph" w:styleId="12">
    <w:name w:val="annotation text"/>
    <w:basedOn w:val="1"/>
    <w:link w:val="64"/>
    <w:qFormat/>
    <w:uiPriority w:val="0"/>
    <w:pPr>
      <w:spacing w:line="360" w:lineRule="auto"/>
      <w:ind w:firstLine="523" w:firstLineChars="218"/>
      <w:jc w:val="left"/>
    </w:pPr>
    <w:rPr>
      <w:rFonts w:ascii="宋体" w:hAnsi="宋体"/>
      <w:kern w:val="0"/>
      <w:sz w:val="24"/>
      <w:szCs w:val="24"/>
    </w:rPr>
  </w:style>
  <w:style w:type="paragraph" w:styleId="13">
    <w:name w:val="Body Text"/>
    <w:basedOn w:val="1"/>
    <w:link w:val="75"/>
    <w:qFormat/>
    <w:uiPriority w:val="0"/>
    <w:pPr>
      <w:spacing w:after="120"/>
    </w:pPr>
    <w:rPr>
      <w:kern w:val="0"/>
      <w:sz w:val="20"/>
      <w:szCs w:val="20"/>
    </w:rPr>
  </w:style>
  <w:style w:type="paragraph" w:styleId="14">
    <w:name w:val="Body Text Indent"/>
    <w:basedOn w:val="1"/>
    <w:link w:val="76"/>
    <w:qFormat/>
    <w:uiPriority w:val="0"/>
    <w:pPr>
      <w:ind w:firstLine="570"/>
    </w:pPr>
    <w:rPr>
      <w:kern w:val="0"/>
      <w:sz w:val="28"/>
      <w:szCs w:val="20"/>
    </w:rPr>
  </w:style>
  <w:style w:type="paragraph" w:styleId="15">
    <w:name w:val="toc 3"/>
    <w:basedOn w:val="1"/>
    <w:next w:val="1"/>
    <w:qFormat/>
    <w:uiPriority w:val="39"/>
    <w:pPr>
      <w:snapToGrid w:val="0"/>
      <w:spacing w:line="360" w:lineRule="auto"/>
      <w:ind w:left="400" w:leftChars="400"/>
      <w:jc w:val="left"/>
    </w:pPr>
    <w:rPr>
      <w:sz w:val="24"/>
      <w:szCs w:val="20"/>
    </w:rPr>
  </w:style>
  <w:style w:type="paragraph" w:styleId="16">
    <w:name w:val="Plain Text"/>
    <w:basedOn w:val="1"/>
    <w:next w:val="1"/>
    <w:link w:val="77"/>
    <w:qFormat/>
    <w:uiPriority w:val="0"/>
    <w:rPr>
      <w:rFonts w:ascii="宋体" w:hAnsi="Courier New"/>
      <w:kern w:val="0"/>
      <w:sz w:val="20"/>
      <w:szCs w:val="20"/>
    </w:rPr>
  </w:style>
  <w:style w:type="paragraph" w:styleId="17">
    <w:name w:val="Date"/>
    <w:basedOn w:val="1"/>
    <w:next w:val="1"/>
    <w:link w:val="127"/>
    <w:qFormat/>
    <w:uiPriority w:val="99"/>
    <w:rPr>
      <w:kern w:val="0"/>
      <w:sz w:val="20"/>
      <w:szCs w:val="20"/>
    </w:rPr>
  </w:style>
  <w:style w:type="paragraph" w:styleId="18">
    <w:name w:val="Body Text Indent 2"/>
    <w:basedOn w:val="1"/>
    <w:link w:val="72"/>
    <w:qFormat/>
    <w:uiPriority w:val="0"/>
    <w:pPr>
      <w:spacing w:line="480" w:lineRule="auto"/>
      <w:ind w:left="420" w:leftChars="200"/>
    </w:pPr>
    <w:rPr>
      <w:sz w:val="30"/>
      <w:szCs w:val="24"/>
    </w:rPr>
  </w:style>
  <w:style w:type="paragraph" w:styleId="19">
    <w:name w:val="Balloon Text"/>
    <w:basedOn w:val="1"/>
    <w:link w:val="66"/>
    <w:qFormat/>
    <w:uiPriority w:val="0"/>
    <w:rPr>
      <w:sz w:val="18"/>
      <w:szCs w:val="18"/>
    </w:rPr>
  </w:style>
  <w:style w:type="paragraph" w:styleId="20">
    <w:name w:val="footer"/>
    <w:basedOn w:val="1"/>
    <w:link w:val="78"/>
    <w:unhideWhenUsed/>
    <w:qFormat/>
    <w:uiPriority w:val="0"/>
    <w:pPr>
      <w:tabs>
        <w:tab w:val="center" w:pos="4153"/>
        <w:tab w:val="right" w:pos="8306"/>
      </w:tabs>
      <w:snapToGrid w:val="0"/>
      <w:jc w:val="left"/>
    </w:pPr>
    <w:rPr>
      <w:rFonts w:ascii="Calibri" w:hAnsi="Calibri"/>
      <w:kern w:val="0"/>
      <w:sz w:val="18"/>
      <w:szCs w:val="18"/>
    </w:rPr>
  </w:style>
  <w:style w:type="paragraph" w:styleId="21">
    <w:name w:val="header"/>
    <w:basedOn w:val="1"/>
    <w:link w:val="79"/>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2">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3">
    <w:name w:val="Body Text Indent 3"/>
    <w:basedOn w:val="1"/>
    <w:link w:val="73"/>
    <w:qFormat/>
    <w:uiPriority w:val="0"/>
    <w:pPr>
      <w:ind w:left="420" w:leftChars="200"/>
    </w:pPr>
    <w:rPr>
      <w:sz w:val="16"/>
      <w:szCs w:val="16"/>
    </w:rPr>
  </w:style>
  <w:style w:type="paragraph" w:styleId="24">
    <w:name w:val="toc 2"/>
    <w:basedOn w:val="1"/>
    <w:next w:val="1"/>
    <w:qFormat/>
    <w:uiPriority w:val="39"/>
    <w:pPr>
      <w:tabs>
        <w:tab w:val="right" w:leader="dot" w:pos="9060"/>
      </w:tabs>
      <w:snapToGrid w:val="0"/>
      <w:spacing w:line="360" w:lineRule="auto"/>
      <w:ind w:left="420" w:leftChars="200"/>
      <w:jc w:val="left"/>
    </w:pPr>
    <w:rPr>
      <w:sz w:val="24"/>
      <w:szCs w:val="24"/>
    </w:rPr>
  </w:style>
  <w:style w:type="paragraph" w:styleId="25">
    <w:name w:val="Body Text 2"/>
    <w:basedOn w:val="1"/>
    <w:qFormat/>
    <w:uiPriority w:val="0"/>
    <w:rPr>
      <w:rFonts w:ascii="宋体" w:hAnsi="宋体"/>
      <w:kern w:val="0"/>
      <w:sz w:val="20"/>
      <w:szCs w:val="24"/>
      <w:u w:val="single"/>
    </w:rPr>
  </w:style>
  <w:style w:type="paragraph" w:styleId="26">
    <w:name w:val="Title"/>
    <w:basedOn w:val="1"/>
    <w:next w:val="1"/>
    <w:qFormat/>
    <w:uiPriority w:val="0"/>
    <w:pPr>
      <w:spacing w:before="120" w:after="60"/>
      <w:jc w:val="center"/>
    </w:pPr>
    <w:rPr>
      <w:rFonts w:ascii="Arial" w:hAnsi="Arial"/>
      <w:b/>
      <w:kern w:val="0"/>
      <w:sz w:val="44"/>
      <w:szCs w:val="20"/>
    </w:rPr>
  </w:style>
  <w:style w:type="paragraph" w:styleId="27">
    <w:name w:val="annotation subject"/>
    <w:basedOn w:val="12"/>
    <w:next w:val="12"/>
    <w:link w:val="65"/>
    <w:qFormat/>
    <w:uiPriority w:val="0"/>
    <w:pPr>
      <w:spacing w:line="240" w:lineRule="auto"/>
      <w:ind w:firstLine="0" w:firstLineChars="0"/>
    </w:pPr>
    <w:rPr>
      <w:rFonts w:ascii="Times New Roman" w:hAnsi="Times New Roman"/>
      <w:b/>
      <w:bCs/>
      <w:kern w:val="2"/>
      <w:sz w:val="21"/>
      <w:szCs w:val="22"/>
    </w:rPr>
  </w:style>
  <w:style w:type="paragraph" w:styleId="28">
    <w:name w:val="Body Text First Indent"/>
    <w:basedOn w:val="13"/>
    <w:link w:val="80"/>
    <w:qFormat/>
    <w:uiPriority w:val="0"/>
    <w:pPr>
      <w:ind w:firstLine="420"/>
    </w:pPr>
  </w:style>
  <w:style w:type="paragraph" w:styleId="29">
    <w:name w:val="Body Text First Indent 2"/>
    <w:basedOn w:val="14"/>
    <w:unhideWhenUsed/>
    <w:qFormat/>
    <w:uiPriority w:val="0"/>
    <w:pPr>
      <w:ind w:firstLine="420" w:firstLineChars="200"/>
    </w:pPr>
    <w:rPr>
      <w:sz w:val="21"/>
    </w:rPr>
  </w:style>
  <w:style w:type="table" w:styleId="31">
    <w:name w:val="Table Grid"/>
    <w:basedOn w:val="30"/>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0"/>
    <w:rPr>
      <w:b/>
    </w:rPr>
  </w:style>
  <w:style w:type="character" w:styleId="34">
    <w:name w:val="page number"/>
    <w:basedOn w:val="32"/>
    <w:qFormat/>
    <w:uiPriority w:val="0"/>
    <w:rPr>
      <w:rFonts w:cs="Times New Roman"/>
    </w:rPr>
  </w:style>
  <w:style w:type="character" w:styleId="35">
    <w:name w:val="Hyperlink"/>
    <w:qFormat/>
    <w:uiPriority w:val="99"/>
    <w:rPr>
      <w:color w:val="0000FF"/>
      <w:u w:val="single"/>
    </w:rPr>
  </w:style>
  <w:style w:type="character" w:styleId="36">
    <w:name w:val="annotation reference"/>
    <w:basedOn w:val="32"/>
    <w:qFormat/>
    <w:uiPriority w:val="0"/>
    <w:rPr>
      <w:sz w:val="21"/>
      <w:szCs w:val="21"/>
    </w:rPr>
  </w:style>
  <w:style w:type="character" w:customStyle="1" w:styleId="37">
    <w:name w:val="font51"/>
    <w:qFormat/>
    <w:uiPriority w:val="0"/>
    <w:rPr>
      <w:rFonts w:hint="eastAsia" w:ascii="宋体" w:hAnsi="宋体" w:eastAsia="宋体"/>
      <w:color w:val="000000"/>
      <w:sz w:val="24"/>
      <w:szCs w:val="24"/>
      <w:u w:val="none"/>
    </w:rPr>
  </w:style>
  <w:style w:type="character" w:customStyle="1" w:styleId="38">
    <w:name w:val="font11"/>
    <w:basedOn w:val="32"/>
    <w:qFormat/>
    <w:uiPriority w:val="0"/>
    <w:rPr>
      <w:rFonts w:hint="eastAsia" w:ascii="宋体" w:hAnsi="宋体" w:eastAsia="宋体"/>
      <w:color w:val="000000"/>
      <w:sz w:val="24"/>
      <w:szCs w:val="24"/>
      <w:u w:val="single"/>
    </w:rPr>
  </w:style>
  <w:style w:type="paragraph" w:customStyle="1" w:styleId="39">
    <w:name w:val="正文 New New"/>
    <w:qFormat/>
    <w:uiPriority w:val="0"/>
    <w:pPr>
      <w:widowControl w:val="0"/>
      <w:jc w:val="both"/>
    </w:pPr>
    <w:rPr>
      <w:rFonts w:ascii="Times New Roman" w:hAnsi="Times New Roman" w:eastAsia="楷体_GB2312" w:cs="Times New Roman"/>
      <w:lang w:val="en-US" w:eastAsia="zh-CN" w:bidi="ar-SA"/>
    </w:rPr>
  </w:style>
  <w:style w:type="paragraph" w:customStyle="1" w:styleId="40">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1">
    <w:name w:val="正文文本缩进 New New"/>
    <w:basedOn w:val="1"/>
    <w:qFormat/>
    <w:uiPriority w:val="0"/>
    <w:pPr>
      <w:spacing w:after="120"/>
      <w:ind w:left="420" w:leftChars="200"/>
    </w:pPr>
    <w:rPr>
      <w:rFonts w:eastAsia="楷体_GB2312"/>
      <w:szCs w:val="20"/>
    </w:rPr>
  </w:style>
  <w:style w:type="paragraph" w:customStyle="1" w:styleId="42">
    <w:name w:val="表头"/>
    <w:basedOn w:val="1"/>
    <w:qFormat/>
    <w:uiPriority w:val="0"/>
    <w:pPr>
      <w:spacing w:line="360" w:lineRule="auto"/>
      <w:jc w:val="center"/>
    </w:pPr>
    <w:rPr>
      <w:rFonts w:ascii="黑体" w:eastAsia="黑体"/>
      <w:kern w:val="0"/>
      <w:sz w:val="24"/>
      <w:szCs w:val="20"/>
    </w:rPr>
  </w:style>
  <w:style w:type="paragraph" w:customStyle="1" w:styleId="43">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44">
    <w:name w:val="文一"/>
    <w:basedOn w:val="1"/>
    <w:next w:val="1"/>
    <w:link w:val="128"/>
    <w:qFormat/>
    <w:uiPriority w:val="0"/>
    <w:pPr>
      <w:topLinePunct/>
      <w:adjustRightInd w:val="0"/>
      <w:snapToGrid w:val="0"/>
      <w:spacing w:line="360" w:lineRule="auto"/>
      <w:jc w:val="center"/>
    </w:pPr>
    <w:rPr>
      <w:rFonts w:asciiTheme="minorEastAsia" w:hAnsiTheme="minorEastAsia" w:eastAsiaTheme="minorEastAsia"/>
      <w:spacing w:val="4"/>
      <w:sz w:val="36"/>
      <w:szCs w:val="36"/>
    </w:rPr>
  </w:style>
  <w:style w:type="paragraph" w:customStyle="1" w:styleId="45">
    <w:name w:val="正题"/>
    <w:basedOn w:val="44"/>
    <w:next w:val="44"/>
    <w:qFormat/>
    <w:uiPriority w:val="0"/>
    <w:rPr>
      <w:rFonts w:eastAsia="黑体"/>
      <w:b/>
    </w:rPr>
  </w:style>
  <w:style w:type="character" w:customStyle="1" w:styleId="46">
    <w:name w:val="标题 1 Char"/>
    <w:link w:val="2"/>
    <w:qFormat/>
    <w:uiPriority w:val="0"/>
    <w:rPr>
      <w:kern w:val="44"/>
      <w:sz w:val="28"/>
      <w:szCs w:val="28"/>
    </w:rPr>
  </w:style>
  <w:style w:type="paragraph" w:customStyle="1" w:styleId="47">
    <w:name w:val="样式 宋体 四号 首行缩进:  2 字符"/>
    <w:basedOn w:val="1"/>
    <w:qFormat/>
    <w:uiPriority w:val="0"/>
    <w:pPr>
      <w:widowControl/>
    </w:pPr>
    <w:rPr>
      <w:rFonts w:cs="宋体"/>
      <w:color w:val="000000"/>
      <w:kern w:val="0"/>
      <w:szCs w:val="20"/>
    </w:rPr>
  </w:style>
  <w:style w:type="paragraph" w:styleId="48">
    <w:name w:val="No Spacing"/>
    <w:basedOn w:val="1"/>
    <w:qFormat/>
    <w:uiPriority w:val="0"/>
    <w:rPr>
      <w:sz w:val="22"/>
      <w:szCs w:val="20"/>
    </w:rPr>
  </w:style>
  <w:style w:type="paragraph" w:customStyle="1" w:styleId="49">
    <w:name w:val="PlainText"/>
    <w:basedOn w:val="1"/>
    <w:qFormat/>
    <w:uiPriority w:val="0"/>
    <w:rPr>
      <w:rFonts w:ascii="宋体" w:hAnsi="Courier New"/>
      <w:kern w:val="0"/>
      <w:sz w:val="20"/>
      <w:szCs w:val="20"/>
    </w:rPr>
  </w:style>
  <w:style w:type="paragraph" w:customStyle="1" w:styleId="50">
    <w:name w:val="章节三"/>
    <w:basedOn w:val="44"/>
    <w:next w:val="1"/>
    <w:qFormat/>
    <w:uiPriority w:val="0"/>
    <w:pPr>
      <w:spacing w:beforeLines="50" w:line="240" w:lineRule="auto"/>
      <w:jc w:val="left"/>
      <w:outlineLvl w:val="2"/>
    </w:pPr>
    <w:rPr>
      <w:rFonts w:ascii="黑体" w:eastAsia="黑体"/>
      <w:b/>
    </w:rPr>
  </w:style>
  <w:style w:type="paragraph" w:customStyle="1" w:styleId="51">
    <w:name w:val="封二"/>
    <w:basedOn w:val="44"/>
    <w:next w:val="44"/>
    <w:qFormat/>
    <w:uiPriority w:val="0"/>
    <w:rPr>
      <w:rFonts w:eastAsia="黑体"/>
      <w:b/>
    </w:rPr>
  </w:style>
  <w:style w:type="paragraph" w:customStyle="1" w:styleId="52">
    <w:name w:val="封一"/>
    <w:basedOn w:val="44"/>
    <w:next w:val="44"/>
    <w:qFormat/>
    <w:uiPriority w:val="0"/>
    <w:rPr>
      <w:rFonts w:eastAsia="黑体"/>
      <w:b/>
      <w:sz w:val="84"/>
      <w:szCs w:val="84"/>
    </w:rPr>
  </w:style>
  <w:style w:type="paragraph" w:customStyle="1" w:styleId="53">
    <w:name w:val="封四"/>
    <w:basedOn w:val="44"/>
    <w:next w:val="44"/>
    <w:qFormat/>
    <w:uiPriority w:val="0"/>
    <w:pPr>
      <w:jc w:val="left"/>
    </w:pPr>
    <w:rPr>
      <w:sz w:val="30"/>
      <w:szCs w:val="30"/>
    </w:rPr>
  </w:style>
  <w:style w:type="paragraph" w:customStyle="1" w:styleId="54">
    <w:name w:val="正文文本缩进1"/>
    <w:basedOn w:val="1"/>
    <w:qFormat/>
    <w:uiPriority w:val="0"/>
    <w:pPr>
      <w:ind w:firstLine="480"/>
    </w:pPr>
    <w:rPr>
      <w:sz w:val="24"/>
      <w:szCs w:val="20"/>
    </w:rPr>
  </w:style>
  <w:style w:type="paragraph" w:customStyle="1" w:styleId="55">
    <w:name w:val="正文文本缩进 31"/>
    <w:basedOn w:val="1"/>
    <w:qFormat/>
    <w:uiPriority w:val="0"/>
    <w:pPr>
      <w:snapToGrid w:val="0"/>
      <w:spacing w:line="360" w:lineRule="auto"/>
      <w:ind w:left="20" w:firstLine="529" w:firstLineChars="189"/>
    </w:pPr>
    <w:rPr>
      <w:rFonts w:ascii="仿宋_GB2312" w:eastAsia="仿宋_GB2312"/>
      <w:sz w:val="28"/>
    </w:rPr>
  </w:style>
  <w:style w:type="paragraph" w:customStyle="1" w:styleId="56">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7">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58">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9">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0">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61">
    <w:name w:val="正文缩进 New"/>
    <w:basedOn w:val="60"/>
    <w:qFormat/>
    <w:uiPriority w:val="0"/>
    <w:pPr>
      <w:ind w:firstLine="420"/>
    </w:pPr>
    <w:rPr>
      <w:rFonts w:ascii="Times New Roman" w:hAnsi="Times New Roman" w:cs="Times New Roman"/>
      <w:snapToGrid/>
      <w:kern w:val="2"/>
      <w:szCs w:val="20"/>
    </w:rPr>
  </w:style>
  <w:style w:type="paragraph" w:customStyle="1" w:styleId="62">
    <w:name w:val="正文文本缩进11"/>
    <w:basedOn w:val="1"/>
    <w:qFormat/>
    <w:uiPriority w:val="0"/>
    <w:pPr>
      <w:ind w:firstLine="480"/>
    </w:pPr>
    <w:rPr>
      <w:sz w:val="24"/>
      <w:szCs w:val="20"/>
    </w:rPr>
  </w:style>
  <w:style w:type="paragraph" w:customStyle="1" w:styleId="63">
    <w:name w:val="正文文本缩进 311"/>
    <w:basedOn w:val="1"/>
    <w:qFormat/>
    <w:uiPriority w:val="0"/>
    <w:pPr>
      <w:snapToGrid w:val="0"/>
      <w:spacing w:line="360" w:lineRule="auto"/>
      <w:ind w:left="20" w:firstLine="529" w:firstLineChars="189"/>
    </w:pPr>
    <w:rPr>
      <w:rFonts w:ascii="仿宋_GB2312" w:eastAsia="仿宋_GB2312"/>
      <w:sz w:val="28"/>
    </w:rPr>
  </w:style>
  <w:style w:type="character" w:customStyle="1" w:styleId="64">
    <w:name w:val="批注文字 Char"/>
    <w:basedOn w:val="32"/>
    <w:link w:val="12"/>
    <w:qFormat/>
    <w:uiPriority w:val="0"/>
    <w:rPr>
      <w:rFonts w:ascii="宋体" w:hAnsi="宋体"/>
      <w:sz w:val="24"/>
      <w:szCs w:val="24"/>
    </w:rPr>
  </w:style>
  <w:style w:type="character" w:customStyle="1" w:styleId="65">
    <w:name w:val="批注主题 Char"/>
    <w:basedOn w:val="64"/>
    <w:link w:val="27"/>
    <w:qFormat/>
    <w:uiPriority w:val="0"/>
    <w:rPr>
      <w:rFonts w:ascii="宋体" w:hAnsi="宋体"/>
      <w:sz w:val="24"/>
      <w:szCs w:val="24"/>
    </w:rPr>
  </w:style>
  <w:style w:type="character" w:customStyle="1" w:styleId="66">
    <w:name w:val="批注框文本 Char"/>
    <w:basedOn w:val="32"/>
    <w:link w:val="19"/>
    <w:qFormat/>
    <w:uiPriority w:val="0"/>
    <w:rPr>
      <w:kern w:val="2"/>
      <w:sz w:val="18"/>
      <w:szCs w:val="18"/>
    </w:rPr>
  </w:style>
  <w:style w:type="character" w:customStyle="1" w:styleId="67">
    <w:name w:val="标题 4 Char"/>
    <w:basedOn w:val="32"/>
    <w:link w:val="5"/>
    <w:qFormat/>
    <w:uiPriority w:val="0"/>
    <w:rPr>
      <w:rFonts w:ascii="Arial" w:hAnsi="Arial"/>
      <w:color w:val="000000"/>
      <w:kern w:val="2"/>
      <w:sz w:val="24"/>
      <w:szCs w:val="24"/>
    </w:rPr>
  </w:style>
  <w:style w:type="character" w:customStyle="1" w:styleId="68">
    <w:name w:val="标题 5 Char"/>
    <w:basedOn w:val="32"/>
    <w:link w:val="7"/>
    <w:qFormat/>
    <w:uiPriority w:val="0"/>
    <w:rPr>
      <w:rFonts w:ascii="Arial" w:hAnsi="Arial"/>
      <w:color w:val="000000"/>
      <w:kern w:val="2"/>
      <w:sz w:val="24"/>
      <w:szCs w:val="24"/>
    </w:rPr>
  </w:style>
  <w:style w:type="character" w:customStyle="1" w:styleId="69">
    <w:name w:val="标题 7 Char"/>
    <w:basedOn w:val="32"/>
    <w:link w:val="8"/>
    <w:qFormat/>
    <w:uiPriority w:val="0"/>
    <w:rPr>
      <w:b/>
      <w:kern w:val="2"/>
      <w:sz w:val="24"/>
    </w:rPr>
  </w:style>
  <w:style w:type="character" w:customStyle="1" w:styleId="70">
    <w:name w:val="标题 8 Char"/>
    <w:basedOn w:val="32"/>
    <w:link w:val="9"/>
    <w:qFormat/>
    <w:uiPriority w:val="0"/>
    <w:rPr>
      <w:rFonts w:ascii="Arial" w:hAnsi="Arial" w:eastAsia="黑体"/>
      <w:kern w:val="2"/>
      <w:sz w:val="24"/>
    </w:rPr>
  </w:style>
  <w:style w:type="character" w:customStyle="1" w:styleId="71">
    <w:name w:val="标题 9 Char"/>
    <w:basedOn w:val="32"/>
    <w:link w:val="10"/>
    <w:qFormat/>
    <w:uiPriority w:val="0"/>
    <w:rPr>
      <w:rFonts w:ascii="Arial" w:hAnsi="Arial" w:eastAsia="黑体"/>
      <w:kern w:val="2"/>
      <w:sz w:val="21"/>
    </w:rPr>
  </w:style>
  <w:style w:type="character" w:customStyle="1" w:styleId="72">
    <w:name w:val="正文文本缩进 2 Char"/>
    <w:basedOn w:val="32"/>
    <w:link w:val="18"/>
    <w:qFormat/>
    <w:uiPriority w:val="0"/>
    <w:rPr>
      <w:kern w:val="2"/>
      <w:sz w:val="30"/>
      <w:szCs w:val="24"/>
    </w:rPr>
  </w:style>
  <w:style w:type="character" w:customStyle="1" w:styleId="73">
    <w:name w:val="正文文本缩进 3 Char"/>
    <w:basedOn w:val="32"/>
    <w:link w:val="23"/>
    <w:qFormat/>
    <w:uiPriority w:val="0"/>
    <w:rPr>
      <w:kern w:val="2"/>
      <w:sz w:val="16"/>
      <w:szCs w:val="16"/>
    </w:rPr>
  </w:style>
  <w:style w:type="character" w:customStyle="1" w:styleId="74">
    <w:name w:val="标题 2 Char"/>
    <w:link w:val="3"/>
    <w:qFormat/>
    <w:uiPriority w:val="0"/>
    <w:rPr>
      <w:rFonts w:ascii="Arial" w:hAnsi="Arial"/>
      <w:b/>
      <w:color w:val="000000"/>
      <w:sz w:val="24"/>
      <w:szCs w:val="24"/>
    </w:rPr>
  </w:style>
  <w:style w:type="character" w:customStyle="1" w:styleId="75">
    <w:name w:val="正文文本 Char"/>
    <w:link w:val="13"/>
    <w:qFormat/>
    <w:uiPriority w:val="0"/>
  </w:style>
  <w:style w:type="character" w:customStyle="1" w:styleId="76">
    <w:name w:val="正文文本缩进 Char"/>
    <w:link w:val="14"/>
    <w:qFormat/>
    <w:uiPriority w:val="0"/>
    <w:rPr>
      <w:sz w:val="28"/>
    </w:rPr>
  </w:style>
  <w:style w:type="character" w:customStyle="1" w:styleId="77">
    <w:name w:val="纯文本 Char"/>
    <w:link w:val="16"/>
    <w:qFormat/>
    <w:uiPriority w:val="0"/>
    <w:rPr>
      <w:rFonts w:ascii="宋体" w:hAnsi="Courier New"/>
    </w:rPr>
  </w:style>
  <w:style w:type="character" w:customStyle="1" w:styleId="78">
    <w:name w:val="页脚 Char"/>
    <w:link w:val="20"/>
    <w:qFormat/>
    <w:uiPriority w:val="0"/>
    <w:rPr>
      <w:rFonts w:ascii="Calibri" w:hAnsi="Calibri"/>
      <w:sz w:val="18"/>
      <w:szCs w:val="18"/>
    </w:rPr>
  </w:style>
  <w:style w:type="character" w:customStyle="1" w:styleId="79">
    <w:name w:val="页眉 Char"/>
    <w:link w:val="21"/>
    <w:qFormat/>
    <w:uiPriority w:val="0"/>
    <w:rPr>
      <w:rFonts w:ascii="Calibri" w:hAnsi="Calibri"/>
      <w:sz w:val="18"/>
      <w:szCs w:val="18"/>
    </w:rPr>
  </w:style>
  <w:style w:type="character" w:customStyle="1" w:styleId="80">
    <w:name w:val="正文首行缩进 Char"/>
    <w:basedOn w:val="75"/>
    <w:link w:val="28"/>
    <w:qFormat/>
    <w:uiPriority w:val="0"/>
  </w:style>
  <w:style w:type="character" w:customStyle="1" w:styleId="81">
    <w:name w:val="标题 3 Char Char"/>
    <w:qFormat/>
    <w:uiPriority w:val="0"/>
    <w:rPr>
      <w:rFonts w:ascii="宋体" w:hAnsi="宋体" w:eastAsia="宋体"/>
      <w:b/>
      <w:bCs/>
      <w:color w:val="FF0000"/>
      <w:kern w:val="2"/>
      <w:sz w:val="24"/>
      <w:szCs w:val="24"/>
      <w:lang w:val="zh-CN" w:eastAsia="zh-CN" w:bidi="ar-SA"/>
    </w:rPr>
  </w:style>
  <w:style w:type="character" w:customStyle="1" w:styleId="82">
    <w:name w:val="页码1"/>
    <w:basedOn w:val="32"/>
    <w:qFormat/>
    <w:uiPriority w:val="0"/>
  </w:style>
  <w:style w:type="paragraph" w:customStyle="1" w:styleId="83">
    <w:name w:val="Char Char Char Char"/>
    <w:basedOn w:val="84"/>
    <w:qFormat/>
    <w:uiPriority w:val="0"/>
    <w:rPr>
      <w:rFonts w:ascii="Tahoma" w:hAnsi="Tahoma"/>
      <w:sz w:val="24"/>
    </w:rPr>
  </w:style>
  <w:style w:type="paragraph" w:customStyle="1" w:styleId="84">
    <w:name w:val="文档结构图1"/>
    <w:basedOn w:val="1"/>
    <w:qFormat/>
    <w:uiPriority w:val="0"/>
    <w:pPr>
      <w:shd w:val="clear" w:color="auto" w:fill="000080"/>
    </w:pPr>
    <w:rPr>
      <w:sz w:val="30"/>
      <w:szCs w:val="24"/>
    </w:rPr>
  </w:style>
  <w:style w:type="paragraph" w:customStyle="1" w:styleId="85">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6">
    <w:name w:val="_Style 46"/>
    <w:qFormat/>
    <w:uiPriority w:val="0"/>
    <w:rPr>
      <w:rFonts w:ascii="Times New Roman" w:hAnsi="Times New Roman" w:eastAsia="宋体" w:cs="Times New Roman"/>
      <w:kern w:val="2"/>
      <w:sz w:val="30"/>
      <w:szCs w:val="24"/>
      <w:lang w:val="en-US" w:eastAsia="zh-CN" w:bidi="ar-SA"/>
    </w:rPr>
  </w:style>
  <w:style w:type="paragraph" w:customStyle="1" w:styleId="87">
    <w:name w:val="页脚 New"/>
    <w:basedOn w:val="88"/>
    <w:qFormat/>
    <w:uiPriority w:val="0"/>
    <w:pPr>
      <w:tabs>
        <w:tab w:val="center" w:pos="4153"/>
        <w:tab w:val="right" w:pos="8306"/>
      </w:tabs>
      <w:snapToGrid w:val="0"/>
      <w:jc w:val="left"/>
    </w:pPr>
    <w:rPr>
      <w:sz w:val="18"/>
    </w:rPr>
  </w:style>
  <w:style w:type="paragraph" w:customStyle="1" w:styleId="88">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9">
    <w:name w:val="正文首行缩进1"/>
    <w:basedOn w:val="13"/>
    <w:qFormat/>
    <w:uiPriority w:val="0"/>
    <w:pPr>
      <w:spacing w:after="0"/>
      <w:ind w:firstLine="420" w:firstLineChars="100"/>
    </w:pPr>
    <w:rPr>
      <w:kern w:val="2"/>
      <w:sz w:val="30"/>
      <w:szCs w:val="24"/>
    </w:rPr>
  </w:style>
  <w:style w:type="paragraph" w:customStyle="1" w:styleId="90">
    <w:name w:val="正文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1">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2">
    <w:name w:val="标题 2 New"/>
    <w:basedOn w:val="60"/>
    <w:next w:val="60"/>
    <w:qFormat/>
    <w:uiPriority w:val="0"/>
    <w:pPr>
      <w:keepNext/>
      <w:keepLines/>
      <w:spacing w:line="416" w:lineRule="auto"/>
      <w:outlineLvl w:val="1"/>
    </w:pPr>
    <w:rPr>
      <w:rFonts w:ascii="Arial" w:hAnsi="Arial" w:eastAsia="仿宋_GB2312"/>
      <w:b/>
      <w:bCs/>
      <w:sz w:val="32"/>
    </w:rPr>
  </w:style>
  <w:style w:type="paragraph" w:customStyle="1" w:styleId="93">
    <w:name w:val="正文文本 New"/>
    <w:basedOn w:val="39"/>
    <w:qFormat/>
    <w:uiPriority w:val="0"/>
    <w:rPr>
      <w:rFonts w:eastAsia="宋体"/>
      <w:kern w:val="2"/>
      <w:sz w:val="30"/>
      <w:szCs w:val="24"/>
    </w:rPr>
  </w:style>
  <w:style w:type="paragraph" w:customStyle="1" w:styleId="94">
    <w:name w:val="页眉 New"/>
    <w:basedOn w:val="88"/>
    <w:qFormat/>
    <w:uiPriority w:val="0"/>
    <w:pPr>
      <w:pBdr>
        <w:bottom w:val="single" w:color="auto" w:sz="6" w:space="1"/>
      </w:pBdr>
      <w:tabs>
        <w:tab w:val="center" w:pos="4153"/>
        <w:tab w:val="right" w:pos="8306"/>
      </w:tabs>
      <w:snapToGrid w:val="0"/>
      <w:jc w:val="center"/>
    </w:pPr>
    <w:rPr>
      <w:sz w:val="18"/>
    </w:rPr>
  </w:style>
  <w:style w:type="paragraph" w:customStyle="1" w:styleId="95">
    <w:name w:val="Char1 Char Char Char Char Char Char1"/>
    <w:basedOn w:val="57"/>
    <w:qFormat/>
    <w:uiPriority w:val="0"/>
  </w:style>
  <w:style w:type="paragraph" w:customStyle="1" w:styleId="96">
    <w:name w:val="正文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7">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Char1 Char Char Char Char Char Char1 Char Char Char"/>
    <w:basedOn w:val="1"/>
    <w:qFormat/>
    <w:uiPriority w:val="0"/>
    <w:rPr>
      <w:sz w:val="30"/>
      <w:szCs w:val="24"/>
    </w:rPr>
  </w:style>
  <w:style w:type="paragraph" w:customStyle="1" w:styleId="101">
    <w:name w:val="普通(网站)1"/>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102">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4">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6">
    <w:name w:val="纯文本 New"/>
    <w:basedOn w:val="39"/>
    <w:qFormat/>
    <w:uiPriority w:val="0"/>
    <w:rPr>
      <w:rFonts w:ascii="宋体" w:hAnsi="Courier New" w:eastAsia="宋体"/>
      <w:kern w:val="2"/>
      <w:sz w:val="24"/>
    </w:rPr>
  </w:style>
  <w:style w:type="paragraph" w:customStyle="1" w:styleId="107">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
    <w:name w:val="正文首行缩进 New"/>
    <w:basedOn w:val="93"/>
    <w:qFormat/>
    <w:uiPriority w:val="0"/>
    <w:pPr>
      <w:ind w:firstLine="420" w:firstLineChars="100"/>
    </w:pPr>
  </w:style>
  <w:style w:type="paragraph" w:customStyle="1" w:styleId="109">
    <w:name w:val="页眉 New New"/>
    <w:basedOn w:val="105"/>
    <w:qFormat/>
    <w:uiPriority w:val="0"/>
    <w:pPr>
      <w:pBdr>
        <w:bottom w:val="single" w:color="auto" w:sz="6" w:space="1"/>
      </w:pBdr>
      <w:tabs>
        <w:tab w:val="center" w:pos="4153"/>
        <w:tab w:val="right" w:pos="8306"/>
      </w:tabs>
      <w:snapToGrid w:val="0"/>
      <w:jc w:val="center"/>
    </w:pPr>
    <w:rPr>
      <w:sz w:val="18"/>
    </w:rPr>
  </w:style>
  <w:style w:type="paragraph" w:customStyle="1" w:styleId="110">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1">
    <w:name w:val="正文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112">
    <w:name w:val="Char"/>
    <w:basedOn w:val="1"/>
    <w:qFormat/>
    <w:uiPriority w:val="0"/>
    <w:pPr>
      <w:widowControl/>
      <w:spacing w:line="240" w:lineRule="exact"/>
      <w:jc w:val="left"/>
    </w:pPr>
    <w:rPr>
      <w:sz w:val="30"/>
      <w:szCs w:val="24"/>
    </w:rPr>
  </w:style>
  <w:style w:type="paragraph" w:customStyle="1" w:styleId="113">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4">
    <w:name w:val="正文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5">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7">
    <w:name w:val="正文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8">
    <w:name w:val="纯文本1"/>
    <w:basedOn w:val="1"/>
    <w:qFormat/>
    <w:uiPriority w:val="0"/>
    <w:rPr>
      <w:rFonts w:ascii="宋体" w:hAnsi="Courier New"/>
      <w:sz w:val="24"/>
      <w:szCs w:val="20"/>
    </w:rPr>
  </w:style>
  <w:style w:type="paragraph" w:customStyle="1" w:styleId="119">
    <w:name w:val="正文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0">
    <w:name w:val="正文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正文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2">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3">
    <w:name w:val="页脚 New New"/>
    <w:basedOn w:val="105"/>
    <w:qFormat/>
    <w:uiPriority w:val="0"/>
    <w:pPr>
      <w:tabs>
        <w:tab w:val="center" w:pos="4153"/>
        <w:tab w:val="right" w:pos="8306"/>
      </w:tabs>
      <w:snapToGrid w:val="0"/>
      <w:jc w:val="left"/>
    </w:pPr>
    <w:rPr>
      <w:sz w:val="18"/>
    </w:rPr>
  </w:style>
  <w:style w:type="paragraph" w:customStyle="1" w:styleId="124">
    <w:name w:val="正文文本缩进 21"/>
    <w:basedOn w:val="1"/>
    <w:qFormat/>
    <w:uiPriority w:val="0"/>
    <w:pPr>
      <w:spacing w:line="420" w:lineRule="exact"/>
      <w:ind w:firstLine="480"/>
    </w:pPr>
    <w:rPr>
      <w:b/>
      <w:sz w:val="24"/>
      <w:szCs w:val="20"/>
    </w:rPr>
  </w:style>
  <w:style w:type="paragraph" w:customStyle="1" w:styleId="125">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null3"/>
    <w:qFormat/>
    <w:uiPriority w:val="0"/>
    <w:rPr>
      <w:rFonts w:hint="eastAsia" w:ascii="Calibri" w:hAnsi="Calibri" w:eastAsia="宋体" w:cs="Times New Roman"/>
      <w:lang w:val="en-US" w:eastAsia="zh-Hans" w:bidi="ar-SA"/>
    </w:rPr>
  </w:style>
  <w:style w:type="character" w:customStyle="1" w:styleId="127">
    <w:name w:val="日期 Char"/>
    <w:link w:val="17"/>
    <w:qFormat/>
    <w:uiPriority w:val="0"/>
  </w:style>
  <w:style w:type="character" w:customStyle="1" w:styleId="128">
    <w:name w:val="文一 Char Char"/>
    <w:link w:val="44"/>
    <w:qFormat/>
    <w:uiPriority w:val="0"/>
    <w:rPr>
      <w:rFonts w:asciiTheme="minorEastAsia" w:hAnsiTheme="minorEastAsia" w:eastAsiaTheme="minorEastAsia"/>
      <w:spacing w:val="4"/>
      <w:kern w:val="2"/>
      <w:sz w:val="36"/>
      <w:szCs w:val="36"/>
    </w:rPr>
  </w:style>
  <w:style w:type="paragraph" w:customStyle="1" w:styleId="129">
    <w:name w:val="页脚 New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130">
    <w:name w:val="页脚 New New New New"/>
    <w:basedOn w:val="1"/>
    <w:qFormat/>
    <w:uiPriority w:val="0"/>
    <w:pPr>
      <w:tabs>
        <w:tab w:val="center" w:pos="4153"/>
        <w:tab w:val="right" w:pos="8306"/>
      </w:tabs>
      <w:snapToGrid w:val="0"/>
      <w:jc w:val="left"/>
    </w:pPr>
    <w:rPr>
      <w:sz w:val="18"/>
      <w:szCs w:val="18"/>
    </w:rPr>
  </w:style>
  <w:style w:type="paragraph" w:customStyle="1" w:styleId="131">
    <w:name w:val="页脚 New New New New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132">
    <w:name w:val="页脚 New New New New New New"/>
    <w:basedOn w:val="1"/>
    <w:qFormat/>
    <w:uiPriority w:val="0"/>
    <w:pPr>
      <w:tabs>
        <w:tab w:val="center" w:pos="4153"/>
        <w:tab w:val="right" w:pos="8306"/>
      </w:tabs>
      <w:snapToGrid w:val="0"/>
      <w:jc w:val="left"/>
    </w:pPr>
    <w:rPr>
      <w:sz w:val="18"/>
      <w:szCs w:val="18"/>
    </w:rPr>
  </w:style>
  <w:style w:type="paragraph" w:customStyle="1" w:styleId="133">
    <w:name w:val="页脚 New New New New New New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134">
    <w:name w:val="页脚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135">
    <w:name w:val="Char1 Char Char Char Char Char Char11"/>
    <w:basedOn w:val="57"/>
    <w:qFormat/>
    <w:uiPriority w:val="0"/>
  </w:style>
  <w:style w:type="paragraph" w:customStyle="1" w:styleId="136">
    <w:name w:val="页脚 New New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137">
    <w:name w:val="页脚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138">
    <w:name w:val="页脚 New New New New New New New New New"/>
    <w:basedOn w:val="1"/>
    <w:qFormat/>
    <w:uiPriority w:val="0"/>
    <w:pPr>
      <w:tabs>
        <w:tab w:val="center" w:pos="4153"/>
        <w:tab w:val="right" w:pos="8306"/>
      </w:tabs>
      <w:snapToGrid w:val="0"/>
      <w:jc w:val="left"/>
    </w:pPr>
    <w:rPr>
      <w:sz w:val="18"/>
      <w:szCs w:val="18"/>
    </w:rPr>
  </w:style>
  <w:style w:type="paragraph" w:customStyle="1" w:styleId="139">
    <w:name w:val="页脚 New New New New New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140">
    <w:name w:val="页脚 New New New"/>
    <w:basedOn w:val="1"/>
    <w:qFormat/>
    <w:uiPriority w:val="0"/>
    <w:pPr>
      <w:tabs>
        <w:tab w:val="center" w:pos="4153"/>
        <w:tab w:val="right" w:pos="8306"/>
      </w:tabs>
      <w:snapToGrid w:val="0"/>
      <w:jc w:val="left"/>
    </w:pPr>
    <w:rPr>
      <w:sz w:val="18"/>
      <w:szCs w:val="18"/>
    </w:rPr>
  </w:style>
  <w:style w:type="paragraph" w:customStyle="1" w:styleId="141">
    <w:name w:val="页脚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142">
    <w:name w:val="页脚 New New New New New"/>
    <w:basedOn w:val="1"/>
    <w:qFormat/>
    <w:uiPriority w:val="0"/>
    <w:pPr>
      <w:tabs>
        <w:tab w:val="center" w:pos="4153"/>
        <w:tab w:val="right" w:pos="8306"/>
      </w:tabs>
      <w:snapToGrid w:val="0"/>
      <w:jc w:val="left"/>
    </w:pPr>
    <w:rPr>
      <w:sz w:val="18"/>
      <w:szCs w:val="18"/>
    </w:rPr>
  </w:style>
  <w:style w:type="paragraph" w:customStyle="1" w:styleId="143">
    <w:name w:val="页脚 New New New New New New New New New New New"/>
    <w:basedOn w:val="1"/>
    <w:qFormat/>
    <w:uiPriority w:val="0"/>
    <w:pPr>
      <w:tabs>
        <w:tab w:val="center" w:pos="4153"/>
        <w:tab w:val="right" w:pos="8306"/>
      </w:tabs>
      <w:snapToGrid w:val="0"/>
      <w:jc w:val="left"/>
    </w:pPr>
    <w:rPr>
      <w:sz w:val="18"/>
      <w:szCs w:val="18"/>
    </w:rPr>
  </w:style>
  <w:style w:type="paragraph" w:customStyle="1" w:styleId="144">
    <w:name w:val="页脚 New New New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145">
    <w:name w:val="页脚 New New New New New New New New New New"/>
    <w:basedOn w:val="1"/>
    <w:qFormat/>
    <w:uiPriority w:val="0"/>
    <w:pPr>
      <w:tabs>
        <w:tab w:val="center" w:pos="4153"/>
        <w:tab w:val="right" w:pos="8306"/>
      </w:tabs>
      <w:snapToGrid w:val="0"/>
      <w:jc w:val="left"/>
    </w:pPr>
    <w:rPr>
      <w:sz w:val="18"/>
      <w:szCs w:val="18"/>
    </w:rPr>
  </w:style>
  <w:style w:type="paragraph" w:customStyle="1" w:styleId="146">
    <w:name w:val="页脚 New New New New New New New New New New New New"/>
    <w:basedOn w:val="1"/>
    <w:qFormat/>
    <w:uiPriority w:val="0"/>
    <w:pPr>
      <w:tabs>
        <w:tab w:val="center" w:pos="4153"/>
        <w:tab w:val="right" w:pos="8306"/>
      </w:tabs>
      <w:snapToGrid w:val="0"/>
      <w:jc w:val="left"/>
    </w:pPr>
    <w:rPr>
      <w:sz w:val="18"/>
      <w:szCs w:val="18"/>
    </w:rPr>
  </w:style>
  <w:style w:type="paragraph" w:customStyle="1" w:styleId="147">
    <w:name w:val="页脚 New New New New New New New New"/>
    <w:basedOn w:val="1"/>
    <w:qFormat/>
    <w:uiPriority w:val="0"/>
    <w:pPr>
      <w:tabs>
        <w:tab w:val="center" w:pos="4153"/>
        <w:tab w:val="right" w:pos="8306"/>
      </w:tabs>
      <w:snapToGrid w:val="0"/>
      <w:jc w:val="left"/>
    </w:pPr>
    <w:rPr>
      <w:sz w:val="18"/>
      <w:szCs w:val="18"/>
    </w:rPr>
  </w:style>
  <w:style w:type="paragraph" w:customStyle="1" w:styleId="148">
    <w:name w:val="Char1"/>
    <w:basedOn w:val="1"/>
    <w:qFormat/>
    <w:uiPriority w:val="0"/>
    <w:pPr>
      <w:widowControl/>
      <w:spacing w:line="240" w:lineRule="exact"/>
      <w:jc w:val="left"/>
    </w:pPr>
    <w:rPr>
      <w:rFonts w:eastAsia="仿宋_GB2312"/>
      <w:sz w:val="32"/>
      <w:szCs w:val="24"/>
    </w:rPr>
  </w:style>
  <w:style w:type="paragraph" w:customStyle="1" w:styleId="149">
    <w:name w:val="页脚 New New New New New New New"/>
    <w:basedOn w:val="1"/>
    <w:qFormat/>
    <w:uiPriority w:val="0"/>
    <w:pPr>
      <w:tabs>
        <w:tab w:val="center" w:pos="4153"/>
        <w:tab w:val="right" w:pos="8306"/>
      </w:tabs>
      <w:snapToGrid w:val="0"/>
      <w:jc w:val="left"/>
    </w:pPr>
    <w:rPr>
      <w:sz w:val="18"/>
      <w:szCs w:val="18"/>
    </w:rPr>
  </w:style>
  <w:style w:type="paragraph" w:customStyle="1" w:styleId="150">
    <w:name w:val="_Style 113"/>
    <w:qFormat/>
    <w:uiPriority w:val="0"/>
    <w:rPr>
      <w:rFonts w:ascii="Times New Roman" w:hAnsi="Times New Roman" w:eastAsia="宋体" w:cs="Times New Roman"/>
      <w:kern w:val="2"/>
      <w:sz w:val="30"/>
      <w:szCs w:val="24"/>
      <w:lang w:val="en-US" w:eastAsia="zh-CN" w:bidi="ar-SA"/>
    </w:rPr>
  </w:style>
  <w:style w:type="paragraph" w:customStyle="1" w:styleId="151">
    <w:name w:val="页脚 New New New New New New New New New New New New New"/>
    <w:basedOn w:val="1"/>
    <w:qFormat/>
    <w:uiPriority w:val="0"/>
    <w:pPr>
      <w:tabs>
        <w:tab w:val="center" w:pos="4153"/>
        <w:tab w:val="right" w:pos="8306"/>
      </w:tabs>
      <w:snapToGrid w:val="0"/>
      <w:jc w:val="left"/>
    </w:pPr>
    <w:rPr>
      <w:sz w:val="18"/>
      <w:szCs w:val="18"/>
    </w:rPr>
  </w:style>
  <w:style w:type="table" w:customStyle="1" w:styleId="152">
    <w:name w:val="网格型1"/>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8" Type="http://schemas.microsoft.com/office/2011/relationships/people" Target="people.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4.emf"/><Relationship Id="rId33" Type="http://schemas.openxmlformats.org/officeDocument/2006/relationships/image" Target="media/image3.emf"/><Relationship Id="rId32" Type="http://schemas.openxmlformats.org/officeDocument/2006/relationships/image" Target="media/image2.emf"/><Relationship Id="rId31" Type="http://schemas.openxmlformats.org/officeDocument/2006/relationships/image" Target="media/image1.png"/><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footer" Target="footer11.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168</Pages>
  <Words>117657</Words>
  <Characters>122764</Characters>
  <Lines>995</Lines>
  <Paragraphs>280</Paragraphs>
  <TotalTime>53</TotalTime>
  <ScaleCrop>false</ScaleCrop>
  <LinksUpToDate>false</LinksUpToDate>
  <CharactersWithSpaces>129485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2025-04-29T03:24:00Z</dcterms:created>
  <dc:creator>侠名</dc:creator>
  <cp:lastModifiedBy>Vanny</cp:lastModifiedBy>
  <cp:lastPrinted>2025-08-27T05:21:00Z</cp:lastPrinted>
  <dcterms:modified xsi:type="dcterms:W3CDTF">2025-08-29T08:27:05Z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3D69A875F15344C792750D7F906321C4</vt:lpwstr>
  </property>
  <property fmtid="{D5CDD505-2E9C-101B-9397-08002B2CF9AE}" pid="4" name="KSOTemplateDocerSaveRecord">
    <vt:lpwstr>eyJoZGlkIjoiZmJjZDc2OWFmYzc1NzE2MTRlNGQxNGYwZDczNzZhMzciLCJ1c2VySWQiOiIyOTY5NjY3MDQifQ==</vt:lpwstr>
  </property>
</Properties>
</file>