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EBF8D">
      <w:pPr>
        <w:widowControl/>
        <w:jc w:val="center"/>
        <w:rPr>
          <w:rFonts w:hint="eastAsia" w:ascii="宋体" w:hAnsi="宋体" w:cs="宋体"/>
          <w:b/>
          <w:bCs/>
          <w:sz w:val="48"/>
          <w:szCs w:val="48"/>
          <w:highlight w:val="none"/>
          <w:lang w:eastAsia="zh-CN"/>
        </w:rPr>
      </w:pPr>
      <w:bookmarkStart w:id="0" w:name="_Toc221949921"/>
      <w:bookmarkStart w:id="1" w:name="_Toc168475642"/>
      <w:bookmarkStart w:id="2" w:name="_Toc222033832"/>
      <w:bookmarkStart w:id="3" w:name="_Toc222030983"/>
      <w:bookmarkStart w:id="4" w:name="_Toc168476045"/>
      <w:bookmarkStart w:id="5" w:name="_Toc222032650"/>
      <w:bookmarkStart w:id="6" w:name="_Toc221950007"/>
      <w:bookmarkStart w:id="7" w:name="_Toc229305341"/>
      <w:bookmarkStart w:id="8" w:name="_Toc144974495"/>
      <w:bookmarkStart w:id="9" w:name="_Toc222029481"/>
    </w:p>
    <w:p w14:paraId="0AAE6728">
      <w:pPr>
        <w:widowControl/>
        <w:jc w:val="center"/>
        <w:rPr>
          <w:rFonts w:hint="eastAsia" w:ascii="宋体" w:hAnsi="宋体" w:eastAsia="宋体" w:cs="宋体"/>
          <w:b/>
          <w:bCs/>
          <w:sz w:val="48"/>
          <w:szCs w:val="48"/>
          <w:highlight w:val="none"/>
          <w:lang w:eastAsia="zh-CN"/>
        </w:rPr>
      </w:pPr>
      <w:r>
        <w:rPr>
          <w:rFonts w:hint="eastAsia" w:ascii="宋体" w:hAnsi="宋体" w:cs="宋体"/>
          <w:b/>
          <w:bCs/>
          <w:sz w:val="48"/>
          <w:szCs w:val="48"/>
          <w:highlight w:val="none"/>
          <w:lang w:eastAsia="zh-CN"/>
        </w:rPr>
        <w:t>人和镇农田基础设施建设专项项目</w:t>
      </w:r>
    </w:p>
    <w:p w14:paraId="37743187">
      <w:pPr>
        <w:widowControl/>
        <w:jc w:val="left"/>
        <w:rPr>
          <w:rFonts w:hint="eastAsia" w:ascii="宋体" w:hAnsi="宋体" w:cs="宋体"/>
          <w:b/>
          <w:sz w:val="44"/>
          <w:szCs w:val="44"/>
          <w:highlight w:val="none"/>
        </w:rPr>
      </w:pPr>
    </w:p>
    <w:p w14:paraId="60B47400">
      <w:pPr>
        <w:widowControl/>
        <w:jc w:val="left"/>
        <w:rPr>
          <w:rFonts w:hint="eastAsia" w:ascii="宋体" w:hAnsi="宋体" w:cs="宋体"/>
          <w:b/>
          <w:sz w:val="44"/>
          <w:szCs w:val="44"/>
          <w:highlight w:val="none"/>
        </w:rPr>
      </w:pPr>
    </w:p>
    <w:p w14:paraId="36540732">
      <w:pPr>
        <w:widowControl/>
        <w:jc w:val="left"/>
        <w:rPr>
          <w:rFonts w:hint="eastAsia" w:ascii="宋体" w:hAnsi="宋体" w:cs="宋体"/>
          <w:b/>
          <w:sz w:val="44"/>
          <w:szCs w:val="44"/>
          <w:highlight w:val="none"/>
        </w:rPr>
      </w:pPr>
    </w:p>
    <w:p w14:paraId="3A7D9808">
      <w:pPr>
        <w:widowControl/>
        <w:jc w:val="left"/>
        <w:rPr>
          <w:rFonts w:hint="eastAsia" w:ascii="宋体" w:hAnsi="宋体" w:cs="宋体"/>
          <w:b/>
          <w:sz w:val="44"/>
          <w:szCs w:val="44"/>
          <w:highlight w:val="none"/>
        </w:rPr>
      </w:pPr>
    </w:p>
    <w:p w14:paraId="0C02B488">
      <w:pPr>
        <w:pStyle w:val="10"/>
        <w:rPr>
          <w:highlight w:val="none"/>
        </w:rPr>
      </w:pPr>
    </w:p>
    <w:p w14:paraId="02787412">
      <w:pPr>
        <w:widowControl/>
        <w:jc w:val="left"/>
        <w:rPr>
          <w:rFonts w:hint="eastAsia" w:ascii="宋体" w:hAnsi="宋体" w:cs="宋体"/>
          <w:b/>
          <w:sz w:val="44"/>
          <w:szCs w:val="44"/>
          <w:highlight w:val="none"/>
        </w:rPr>
      </w:pPr>
    </w:p>
    <w:p w14:paraId="3640C61F">
      <w:pPr>
        <w:spacing w:line="360" w:lineRule="auto"/>
        <w:jc w:val="center"/>
        <w:rPr>
          <w:rFonts w:hint="eastAsia" w:ascii="宋体" w:hAnsi="宋体" w:eastAsia="宋体" w:cs="宋体"/>
          <w:b/>
          <w:bCs/>
          <w:spacing w:val="26"/>
          <w:sz w:val="72"/>
          <w:szCs w:val="72"/>
          <w:highlight w:val="none"/>
          <w:lang w:eastAsia="zh-CN"/>
        </w:rPr>
      </w:pPr>
      <w:r>
        <w:rPr>
          <w:rFonts w:hint="eastAsia" w:ascii="宋体" w:hAnsi="宋体" w:cs="宋体"/>
          <w:b/>
          <w:bCs/>
          <w:spacing w:val="26"/>
          <w:sz w:val="72"/>
          <w:szCs w:val="72"/>
          <w:highlight w:val="none"/>
        </w:rPr>
        <w:t>招标</w:t>
      </w:r>
      <w:r>
        <w:rPr>
          <w:rFonts w:hint="eastAsia" w:ascii="宋体" w:hAnsi="宋体" w:cs="宋体"/>
          <w:b/>
          <w:bCs/>
          <w:spacing w:val="26"/>
          <w:sz w:val="72"/>
          <w:szCs w:val="72"/>
          <w:highlight w:val="none"/>
          <w:lang w:val="en-US" w:eastAsia="zh-CN"/>
        </w:rPr>
        <w:t>公告</w:t>
      </w:r>
    </w:p>
    <w:p w14:paraId="4A16D9A7">
      <w:pPr>
        <w:widowControl/>
        <w:jc w:val="left"/>
        <w:rPr>
          <w:rFonts w:ascii="宋体" w:hAnsi="宋体"/>
          <w:sz w:val="24"/>
          <w:highlight w:val="none"/>
        </w:rPr>
      </w:pPr>
    </w:p>
    <w:p w14:paraId="27D716F6">
      <w:pPr>
        <w:widowControl/>
        <w:jc w:val="left"/>
        <w:rPr>
          <w:rFonts w:ascii="宋体" w:hAnsi="宋体"/>
          <w:sz w:val="24"/>
          <w:highlight w:val="none"/>
        </w:rPr>
      </w:pPr>
    </w:p>
    <w:p w14:paraId="5E6F5A36">
      <w:pPr>
        <w:widowControl/>
        <w:jc w:val="left"/>
        <w:rPr>
          <w:rFonts w:ascii="宋体" w:hAnsi="宋体"/>
          <w:sz w:val="24"/>
          <w:highlight w:val="none"/>
        </w:rPr>
      </w:pPr>
    </w:p>
    <w:p w14:paraId="55970C26">
      <w:pPr>
        <w:widowControl/>
        <w:jc w:val="left"/>
        <w:rPr>
          <w:rFonts w:hint="eastAsia" w:ascii="宋体" w:hAnsi="宋体"/>
          <w:sz w:val="24"/>
          <w:highlight w:val="none"/>
        </w:rPr>
      </w:pPr>
    </w:p>
    <w:p w14:paraId="5D8E056F">
      <w:pPr>
        <w:widowControl/>
        <w:jc w:val="left"/>
        <w:rPr>
          <w:rFonts w:hint="eastAsia" w:ascii="宋体" w:hAnsi="宋体"/>
          <w:sz w:val="24"/>
          <w:highlight w:val="none"/>
        </w:rPr>
      </w:pPr>
    </w:p>
    <w:p w14:paraId="4BE79F92">
      <w:pPr>
        <w:widowControl/>
        <w:jc w:val="left"/>
        <w:rPr>
          <w:rFonts w:hint="eastAsia" w:ascii="宋体" w:hAnsi="宋体"/>
          <w:sz w:val="24"/>
          <w:highlight w:val="none"/>
        </w:rPr>
      </w:pPr>
    </w:p>
    <w:p w14:paraId="4ADCA661">
      <w:pPr>
        <w:widowControl/>
        <w:jc w:val="left"/>
        <w:rPr>
          <w:rFonts w:ascii="宋体" w:hAnsi="宋体"/>
          <w:sz w:val="24"/>
          <w:highlight w:val="none"/>
        </w:rPr>
      </w:pPr>
    </w:p>
    <w:p w14:paraId="1490563E">
      <w:pPr>
        <w:widowControl/>
        <w:jc w:val="left"/>
        <w:rPr>
          <w:rFonts w:ascii="宋体" w:hAnsi="宋体"/>
          <w:sz w:val="24"/>
          <w:highlight w:val="none"/>
        </w:rPr>
      </w:pPr>
    </w:p>
    <w:p w14:paraId="76E4EC85">
      <w:pPr>
        <w:widowControl/>
        <w:jc w:val="left"/>
        <w:rPr>
          <w:rFonts w:ascii="宋体" w:hAnsi="宋体"/>
          <w:sz w:val="24"/>
          <w:highlight w:val="none"/>
        </w:rPr>
      </w:pPr>
    </w:p>
    <w:p w14:paraId="1AA18C34">
      <w:pPr>
        <w:pStyle w:val="10"/>
        <w:rPr>
          <w:rFonts w:ascii="宋体" w:hAnsi="宋体"/>
          <w:sz w:val="24"/>
          <w:highlight w:val="none"/>
        </w:rPr>
      </w:pPr>
    </w:p>
    <w:p w14:paraId="1232727F">
      <w:pPr>
        <w:rPr>
          <w:highlight w:val="none"/>
        </w:rPr>
      </w:pPr>
    </w:p>
    <w:p w14:paraId="599C4E23">
      <w:pPr>
        <w:widowControl/>
        <w:jc w:val="left"/>
        <w:rPr>
          <w:rFonts w:ascii="宋体" w:hAnsi="宋体"/>
          <w:sz w:val="24"/>
          <w:highlight w:val="none"/>
        </w:rPr>
      </w:pPr>
    </w:p>
    <w:p w14:paraId="778FFAA4">
      <w:pPr>
        <w:widowControl/>
        <w:jc w:val="left"/>
        <w:rPr>
          <w:rFonts w:ascii="宋体" w:hAnsi="宋体"/>
          <w:sz w:val="24"/>
          <w:highlight w:val="none"/>
        </w:rPr>
      </w:pPr>
    </w:p>
    <w:p w14:paraId="52AB0D1F">
      <w:pPr>
        <w:widowControl/>
        <w:jc w:val="center"/>
        <w:rPr>
          <w:rFonts w:ascii="宋体" w:hAnsi="宋体"/>
          <w:sz w:val="24"/>
          <w:highlight w:val="none"/>
        </w:rPr>
      </w:pPr>
    </w:p>
    <w:p w14:paraId="608A9F03">
      <w:pPr>
        <w:spacing w:line="360" w:lineRule="auto"/>
        <w:ind w:left="2249" w:hanging="2249" w:hangingChars="700"/>
        <w:jc w:val="center"/>
        <w:rPr>
          <w:rFonts w:hint="eastAsia" w:ascii="宋体" w:hAnsi="宋体" w:eastAsia="宋体"/>
          <w:b/>
          <w:sz w:val="32"/>
          <w:szCs w:val="32"/>
          <w:highlight w:val="none"/>
          <w:u w:val="single"/>
          <w:lang w:eastAsia="zh-CN"/>
        </w:rPr>
      </w:pPr>
      <w:r>
        <w:rPr>
          <w:rFonts w:hint="eastAsia" w:ascii="宋体" w:hAnsi="宋体"/>
          <w:b/>
          <w:sz w:val="32"/>
          <w:szCs w:val="32"/>
          <w:highlight w:val="none"/>
        </w:rPr>
        <w:t>招  标 单 位：</w:t>
      </w:r>
      <w:r>
        <w:rPr>
          <w:rFonts w:hint="eastAsia" w:ascii="宋体" w:hAnsi="宋体"/>
          <w:b/>
          <w:sz w:val="32"/>
          <w:szCs w:val="32"/>
          <w:highlight w:val="none"/>
          <w:u w:val="single"/>
          <w:lang w:eastAsia="zh-CN"/>
        </w:rPr>
        <w:t>广州市白云区人和镇人民政府</w:t>
      </w:r>
    </w:p>
    <w:p w14:paraId="1A0AC043">
      <w:pPr>
        <w:spacing w:line="360" w:lineRule="auto"/>
        <w:ind w:firstLine="964" w:firstLineChars="300"/>
        <w:jc w:val="both"/>
        <w:rPr>
          <w:rFonts w:hint="eastAsia" w:ascii="宋体" w:hAnsi="宋体" w:eastAsia="宋体"/>
          <w:b/>
          <w:sz w:val="32"/>
          <w:szCs w:val="32"/>
          <w:highlight w:val="none"/>
          <w:u w:val="single"/>
          <w:lang w:eastAsia="zh-CN"/>
        </w:rPr>
      </w:pPr>
      <w:r>
        <w:rPr>
          <w:rFonts w:hint="eastAsia" w:ascii="宋体" w:hAnsi="宋体"/>
          <w:b/>
          <w:sz w:val="32"/>
          <w:szCs w:val="32"/>
          <w:highlight w:val="none"/>
        </w:rPr>
        <w:t>招标代理机构：</w:t>
      </w:r>
      <w:r>
        <w:rPr>
          <w:rFonts w:hint="eastAsia" w:ascii="宋体" w:hAnsi="宋体"/>
          <w:b/>
          <w:sz w:val="32"/>
          <w:szCs w:val="32"/>
          <w:highlight w:val="none"/>
          <w:u w:val="single"/>
          <w:lang w:eastAsia="zh-CN"/>
        </w:rPr>
        <w:t>广东科信工程管理有限公司</w:t>
      </w:r>
    </w:p>
    <w:p w14:paraId="4FEC5DB0">
      <w:pPr>
        <w:pStyle w:val="9"/>
        <w:spacing w:line="360" w:lineRule="auto"/>
        <w:ind w:firstLine="964" w:firstLineChars="300"/>
        <w:jc w:val="both"/>
        <w:rPr>
          <w:rFonts w:hAnsi="宋体" w:cs="宋体"/>
          <w:b/>
          <w:snapToGrid w:val="0"/>
          <w:kern w:val="0"/>
          <w:sz w:val="32"/>
          <w:szCs w:val="32"/>
          <w:highlight w:val="none"/>
        </w:rPr>
        <w:sectPr>
          <w:footerReference r:id="rId3" w:type="default"/>
          <w:pgSz w:w="11906" w:h="16838"/>
          <w:pgMar w:top="1440" w:right="1797" w:bottom="1440" w:left="1797" w:header="851" w:footer="992" w:gutter="0"/>
          <w:cols w:space="720" w:num="1"/>
          <w:docGrid w:linePitch="312" w:charSpace="0"/>
        </w:sectPr>
      </w:pPr>
      <w:r>
        <w:rPr>
          <w:rFonts w:hint="eastAsia" w:hAnsi="宋体"/>
          <w:b/>
          <w:sz w:val="32"/>
          <w:szCs w:val="32"/>
          <w:highlight w:val="none"/>
        </w:rPr>
        <w:t>日        期：</w:t>
      </w:r>
      <w:r>
        <w:rPr>
          <w:rFonts w:hint="eastAsia" w:hAnsi="宋体"/>
          <w:b/>
          <w:sz w:val="32"/>
          <w:szCs w:val="32"/>
          <w:highlight w:val="none"/>
          <w:u w:val="single"/>
        </w:rPr>
        <w:t>202</w:t>
      </w:r>
      <w:r>
        <w:rPr>
          <w:rFonts w:hint="eastAsia" w:hAnsi="宋体"/>
          <w:b/>
          <w:sz w:val="32"/>
          <w:szCs w:val="32"/>
          <w:highlight w:val="none"/>
          <w:u w:val="single"/>
          <w:lang w:val="en-US" w:eastAsia="zh-CN"/>
        </w:rPr>
        <w:t>5</w:t>
      </w:r>
      <w:r>
        <w:rPr>
          <w:rFonts w:hint="eastAsia" w:hAnsi="宋体"/>
          <w:b/>
          <w:sz w:val="32"/>
          <w:szCs w:val="32"/>
          <w:highlight w:val="none"/>
        </w:rPr>
        <w:t>年</w:t>
      </w:r>
      <w:r>
        <w:rPr>
          <w:rFonts w:hint="eastAsia" w:hAnsi="宋体"/>
          <w:b/>
          <w:sz w:val="32"/>
          <w:szCs w:val="32"/>
          <w:highlight w:val="none"/>
          <w:u w:val="single"/>
          <w:lang w:val="en-US" w:eastAsia="zh-CN"/>
        </w:rPr>
        <w:t>08</w:t>
      </w:r>
      <w:r>
        <w:rPr>
          <w:rFonts w:hint="eastAsia" w:hAnsi="宋体"/>
          <w:b/>
          <w:sz w:val="32"/>
          <w:szCs w:val="32"/>
          <w:highlight w:val="none"/>
        </w:rPr>
        <w:t>月</w:t>
      </w:r>
    </w:p>
    <w:p w14:paraId="1762ECC6">
      <w:pPr>
        <w:spacing w:line="336" w:lineRule="auto"/>
        <w:jc w:val="center"/>
        <w:rPr>
          <w:rFonts w:hint="eastAsia" w:ascii="宋体" w:hAnsi="宋体" w:eastAsia="宋体" w:cs="宋体"/>
          <w:b/>
          <w:sz w:val="28"/>
          <w:szCs w:val="28"/>
          <w:highlight w:val="none"/>
          <w:lang w:eastAsia="zh-CN"/>
        </w:rPr>
      </w:pPr>
      <w:bookmarkStart w:id="381" w:name="_GoBack"/>
      <w:bookmarkEnd w:id="381"/>
      <w:r>
        <w:rPr>
          <w:rFonts w:hint="eastAsia" w:ascii="宋体" w:hAnsi="宋体" w:cs="宋体"/>
          <w:b/>
          <w:sz w:val="28"/>
          <w:szCs w:val="28"/>
          <w:highlight w:val="none"/>
          <w:lang w:eastAsia="zh-CN"/>
        </w:rPr>
        <w:t>人和镇农田基础设施建设专项项目</w:t>
      </w:r>
    </w:p>
    <w:p w14:paraId="49221569">
      <w:pPr>
        <w:spacing w:line="336" w:lineRule="auto"/>
        <w:jc w:val="center"/>
        <w:rPr>
          <w:rFonts w:ascii="宋体" w:hAnsi="宋体" w:cs="宋体"/>
          <w:sz w:val="28"/>
          <w:szCs w:val="28"/>
          <w:highlight w:val="none"/>
        </w:rPr>
      </w:pPr>
      <w:r>
        <w:rPr>
          <w:rFonts w:hint="eastAsia" w:ascii="宋体" w:hAnsi="宋体" w:cs="宋体"/>
          <w:b/>
          <w:sz w:val="28"/>
          <w:szCs w:val="28"/>
          <w:highlight w:val="none"/>
        </w:rPr>
        <w:t>施工招标公告</w:t>
      </w:r>
      <w:bookmarkEnd w:id="0"/>
    </w:p>
    <w:p w14:paraId="3B9C40CD">
      <w:pPr>
        <w:pStyle w:val="19"/>
        <w:keepNext w:val="0"/>
        <w:keepLines w:val="0"/>
        <w:spacing w:before="0" w:line="336" w:lineRule="auto"/>
        <w:outlineLvl w:val="2"/>
        <w:rPr>
          <w:highlight w:val="none"/>
        </w:rPr>
      </w:pPr>
      <w:bookmarkStart w:id="10" w:name="_Toc16974"/>
      <w:bookmarkStart w:id="11" w:name="_Toc24995"/>
      <w:bookmarkStart w:id="12" w:name="_Toc40953892"/>
      <w:bookmarkStart w:id="13" w:name="_Toc26698"/>
      <w:bookmarkStart w:id="14" w:name="_Toc168476029"/>
      <w:bookmarkStart w:id="15" w:name="_Toc17358"/>
      <w:bookmarkStart w:id="16" w:name="_Toc32735"/>
      <w:bookmarkStart w:id="17" w:name="_Toc1233"/>
      <w:bookmarkStart w:id="18" w:name="_Toc19704"/>
      <w:bookmarkStart w:id="19" w:name="_Toc26515"/>
      <w:bookmarkStart w:id="20" w:name="_Toc31377"/>
      <w:bookmarkStart w:id="21" w:name="_Toc3041"/>
      <w:bookmarkStart w:id="22" w:name="_Toc2272"/>
      <w:bookmarkStart w:id="23" w:name="_Toc8168"/>
      <w:bookmarkStart w:id="24" w:name="_Toc229305323"/>
      <w:bookmarkStart w:id="25" w:name="_Toc29060"/>
      <w:bookmarkStart w:id="26" w:name="_Toc168475626"/>
      <w:bookmarkStart w:id="27" w:name="_Toc222029463"/>
      <w:bookmarkStart w:id="28" w:name="_Toc18666"/>
      <w:bookmarkStart w:id="29" w:name="_Toc9777"/>
      <w:bookmarkStart w:id="30" w:name="_Toc12308"/>
      <w:bookmarkStart w:id="31" w:name="_Toc27355"/>
      <w:bookmarkStart w:id="32" w:name="_Toc222032632"/>
      <w:bookmarkStart w:id="33" w:name="_Toc32316"/>
      <w:bookmarkStart w:id="34" w:name="_Toc32300"/>
      <w:bookmarkStart w:id="35" w:name="_Toc222030965"/>
      <w:bookmarkStart w:id="36" w:name="_Toc956"/>
      <w:bookmarkStart w:id="37" w:name="_Toc221949922"/>
      <w:bookmarkStart w:id="38" w:name="_Toc19555"/>
      <w:bookmarkStart w:id="39" w:name="_Toc31636"/>
      <w:bookmarkStart w:id="40" w:name="_Toc387753532"/>
      <w:bookmarkStart w:id="41" w:name="_Toc21316"/>
      <w:bookmarkStart w:id="42" w:name="_Toc1650171334"/>
      <w:bookmarkStart w:id="43" w:name="_Toc222033814"/>
      <w:bookmarkStart w:id="44" w:name="_Toc18551"/>
      <w:bookmarkStart w:id="45" w:name="_Toc28236"/>
      <w:bookmarkStart w:id="46" w:name="_Toc8356"/>
      <w:bookmarkStart w:id="47" w:name="_Toc144974480"/>
      <w:r>
        <w:rPr>
          <w:rFonts w:hint="eastAsia"/>
          <w:highlight w:val="none"/>
        </w:rPr>
        <w:t>1. 招标条件</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46EC246">
      <w:pPr>
        <w:spacing w:line="336" w:lineRule="auto"/>
        <w:ind w:firstLine="420" w:firstLineChars="200"/>
        <w:rPr>
          <w:rFonts w:ascii="宋体" w:hAnsi="宋体" w:cs="宋体"/>
          <w:szCs w:val="21"/>
          <w:highlight w:val="none"/>
        </w:rPr>
      </w:pPr>
      <w:bookmarkStart w:id="48" w:name="_Toc221949923"/>
      <w:r>
        <w:rPr>
          <w:rFonts w:hint="eastAsia" w:ascii="宋体" w:hAnsi="宋体" w:cs="宋体"/>
          <w:szCs w:val="21"/>
          <w:highlight w:val="none"/>
        </w:rPr>
        <w:t>本招标项目</w:t>
      </w:r>
      <w:r>
        <w:rPr>
          <w:rFonts w:hint="eastAsia" w:ascii="宋体" w:hAnsi="宋体" w:cs="宋体"/>
          <w:szCs w:val="21"/>
          <w:highlight w:val="none"/>
          <w:u w:val="single"/>
          <w:lang w:eastAsia="zh-CN"/>
        </w:rPr>
        <w:t>人和镇农田基础设施建设专项项目</w:t>
      </w:r>
      <w:r>
        <w:rPr>
          <w:rFonts w:hint="eastAsia" w:ascii="宋体" w:hAnsi="宋体" w:cs="宋体"/>
          <w:szCs w:val="21"/>
          <w:highlight w:val="none"/>
        </w:rPr>
        <w:t>已由</w:t>
      </w:r>
      <w:r>
        <w:rPr>
          <w:rFonts w:hint="eastAsia" w:ascii="宋体" w:hAnsi="宋体" w:cs="宋体"/>
          <w:szCs w:val="21"/>
          <w:highlight w:val="none"/>
          <w:u w:val="single"/>
          <w:lang w:eastAsia="zh-CN"/>
        </w:rPr>
        <w:t>《广州市白云区农业农村局关于人和镇农田基础设施建设专项项目可行性研究报告的函》</w:t>
      </w:r>
      <w:r>
        <w:rPr>
          <w:rFonts w:hint="eastAsia" w:ascii="宋体" w:hAnsi="宋体" w:cs="宋体"/>
          <w:color w:val="000000" w:themeColor="text1"/>
          <w:szCs w:val="21"/>
          <w:highlight w:val="none"/>
          <w14:textFill>
            <w14:solidFill>
              <w14:schemeClr w14:val="tx1"/>
            </w14:solidFill>
          </w14:textFill>
        </w:rPr>
        <w:t>批准建设，建设资金来自</w:t>
      </w:r>
      <w:r>
        <w:rPr>
          <w:rFonts w:hint="eastAsia"/>
          <w:color w:val="000000" w:themeColor="text1"/>
          <w:szCs w:val="21"/>
          <w:highlight w:val="none"/>
          <w:u w:val="single"/>
          <w14:textFill>
            <w14:solidFill>
              <w14:schemeClr w14:val="tx1"/>
            </w14:solidFill>
          </w14:textFill>
        </w:rPr>
        <w:t>财政资金</w:t>
      </w:r>
      <w:r>
        <w:rPr>
          <w:rFonts w:hint="eastAsia" w:ascii="宋体" w:hAnsi="宋体" w:cs="宋体"/>
          <w:color w:val="000000" w:themeColor="text1"/>
          <w:szCs w:val="21"/>
          <w:highlight w:val="none"/>
          <w14:textFill>
            <w14:solidFill>
              <w14:schemeClr w14:val="tx1"/>
            </w14:solidFill>
          </w14:textFill>
        </w:rPr>
        <w:t>，项目出资比例为</w:t>
      </w:r>
      <w:r>
        <w:rPr>
          <w:rFonts w:hint="eastAsia" w:ascii="宋体" w:hAnsi="宋体" w:cs="宋体"/>
          <w:color w:val="000000" w:themeColor="text1"/>
          <w:szCs w:val="21"/>
          <w:highlight w:val="none"/>
          <w:u w:val="single"/>
          <w14:textFill>
            <w14:solidFill>
              <w14:schemeClr w14:val="tx1"/>
            </w14:solidFill>
          </w14:textFill>
        </w:rPr>
        <w:t>100%</w:t>
      </w:r>
      <w:r>
        <w:rPr>
          <w:rFonts w:hint="eastAsia" w:ascii="宋体" w:hAnsi="宋体" w:cs="宋体"/>
          <w:color w:val="000000" w:themeColor="text1"/>
          <w:szCs w:val="21"/>
          <w:highlight w:val="none"/>
          <w14:textFill>
            <w14:solidFill>
              <w14:schemeClr w14:val="tx1"/>
            </w14:solidFill>
          </w14:textFill>
        </w:rPr>
        <w:t>，招标人为</w:t>
      </w:r>
      <w:r>
        <w:rPr>
          <w:rFonts w:hint="eastAsia" w:ascii="宋体" w:hAnsi="宋体" w:cs="宋体"/>
          <w:color w:val="000000" w:themeColor="text1"/>
          <w:szCs w:val="21"/>
          <w:highlight w:val="none"/>
          <w:u w:val="single"/>
          <w:lang w:eastAsia="zh-CN"/>
          <w14:textFill>
            <w14:solidFill>
              <w14:schemeClr w14:val="tx1"/>
            </w14:solidFill>
          </w14:textFill>
        </w:rPr>
        <w:t>广州市白云区人和镇人民政府</w:t>
      </w:r>
      <w:r>
        <w:rPr>
          <w:rFonts w:hint="eastAsia" w:ascii="宋体" w:hAnsi="宋体" w:cs="宋体"/>
          <w:szCs w:val="21"/>
          <w:highlight w:val="none"/>
        </w:rPr>
        <w:t>，招标代理机构为</w:t>
      </w:r>
      <w:r>
        <w:rPr>
          <w:rFonts w:hint="eastAsia"/>
          <w:szCs w:val="21"/>
          <w:highlight w:val="none"/>
          <w:u w:val="single"/>
          <w:lang w:eastAsia="zh-CN"/>
        </w:rPr>
        <w:t>广东科信工程管理有限公司</w:t>
      </w:r>
      <w:r>
        <w:rPr>
          <w:rFonts w:hint="eastAsia" w:ascii="宋体" w:hAnsi="宋体" w:cs="宋体"/>
          <w:szCs w:val="21"/>
          <w:highlight w:val="none"/>
        </w:rPr>
        <w:t>。项目已具备招标条件，现对本项目施工进行公开招标。</w:t>
      </w:r>
      <w:bookmarkEnd w:id="48"/>
    </w:p>
    <w:p w14:paraId="581FF469">
      <w:pPr>
        <w:pStyle w:val="19"/>
        <w:keepNext w:val="0"/>
        <w:keepLines w:val="0"/>
        <w:spacing w:before="0" w:line="336" w:lineRule="auto"/>
        <w:outlineLvl w:val="2"/>
        <w:rPr>
          <w:highlight w:val="none"/>
        </w:rPr>
      </w:pPr>
      <w:bookmarkStart w:id="49" w:name="_Toc229305324"/>
      <w:bookmarkStart w:id="50" w:name="_Toc222029464"/>
      <w:bookmarkStart w:id="51" w:name="_Toc957"/>
      <w:bookmarkStart w:id="52" w:name="_Toc30072"/>
      <w:bookmarkStart w:id="53" w:name="_Toc817"/>
      <w:bookmarkStart w:id="54" w:name="_Toc168475627"/>
      <w:bookmarkStart w:id="55" w:name="_Toc222033815"/>
      <w:bookmarkStart w:id="56" w:name="_Toc19957"/>
      <w:bookmarkStart w:id="57" w:name="_Toc6490"/>
      <w:bookmarkStart w:id="58" w:name="_Toc10243"/>
      <w:bookmarkStart w:id="59" w:name="_Toc221949924"/>
      <w:bookmarkStart w:id="60" w:name="_Toc4991"/>
      <w:bookmarkStart w:id="61" w:name="_Toc26894"/>
      <w:bookmarkStart w:id="62" w:name="_Toc2394"/>
      <w:bookmarkStart w:id="63" w:name="_Toc22804"/>
      <w:bookmarkStart w:id="64" w:name="_Toc17337"/>
      <w:bookmarkStart w:id="65" w:name="_Toc25279"/>
      <w:bookmarkStart w:id="66" w:name="_Toc387753533"/>
      <w:bookmarkStart w:id="67" w:name="_Toc13235"/>
      <w:bookmarkStart w:id="68" w:name="_Toc21750"/>
      <w:bookmarkStart w:id="69" w:name="_Toc16398"/>
      <w:bookmarkStart w:id="70" w:name="_Toc6395"/>
      <w:bookmarkStart w:id="71" w:name="_Toc24058"/>
      <w:bookmarkStart w:id="72" w:name="_Toc5380"/>
      <w:bookmarkStart w:id="73" w:name="_Toc25971"/>
      <w:bookmarkStart w:id="74" w:name="_Toc222032633"/>
      <w:bookmarkStart w:id="75" w:name="_Toc18869"/>
      <w:bookmarkStart w:id="76" w:name="_Toc168476030"/>
      <w:bookmarkStart w:id="77" w:name="_Toc222030966"/>
      <w:bookmarkStart w:id="78" w:name="_Toc9742"/>
      <w:bookmarkStart w:id="79" w:name="_Toc1034972149"/>
      <w:bookmarkStart w:id="80" w:name="_Toc28353"/>
      <w:bookmarkStart w:id="81" w:name="_Toc950596501"/>
      <w:bookmarkStart w:id="82" w:name="_Toc22303"/>
      <w:bookmarkStart w:id="83" w:name="_Toc144974481"/>
      <w:bookmarkStart w:id="84" w:name="_Toc22425"/>
      <w:bookmarkStart w:id="85" w:name="_Toc23244"/>
      <w:bookmarkStart w:id="86" w:name="_Toc10933"/>
      <w:r>
        <w:rPr>
          <w:rFonts w:hint="eastAsia"/>
          <w:highlight w:val="none"/>
        </w:rPr>
        <w:t>2. 项目概况与招标范围</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CF03915">
      <w:pPr>
        <w:spacing w:line="336" w:lineRule="auto"/>
        <w:ind w:firstLine="420" w:firstLineChars="200"/>
        <w:rPr>
          <w:szCs w:val="21"/>
          <w:highlight w:val="none"/>
        </w:rPr>
      </w:pPr>
      <w:bookmarkStart w:id="87" w:name="_Toc109149738"/>
      <w:r>
        <w:rPr>
          <w:szCs w:val="21"/>
          <w:highlight w:val="none"/>
        </w:rPr>
        <w:t xml:space="preserve">2.1 </w:t>
      </w:r>
      <w:r>
        <w:rPr>
          <w:rFonts w:hint="eastAsia"/>
          <w:szCs w:val="21"/>
          <w:highlight w:val="none"/>
        </w:rPr>
        <w:t>项目概况</w:t>
      </w:r>
      <w:bookmarkEnd w:id="87"/>
    </w:p>
    <w:p w14:paraId="06CACBC6">
      <w:pPr>
        <w:spacing w:line="336" w:lineRule="auto"/>
        <w:ind w:firstLine="840" w:firstLineChars="400"/>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建设地点：</w:t>
      </w:r>
      <w:r>
        <w:rPr>
          <w:rFonts w:hint="eastAsia"/>
          <w:color w:val="000000" w:themeColor="text1"/>
          <w:szCs w:val="21"/>
          <w:highlight w:val="none"/>
          <w:u w:val="single"/>
          <w:lang w:eastAsia="zh-CN"/>
          <w14:textFill>
            <w14:solidFill>
              <w14:schemeClr w14:val="tx1"/>
            </w14:solidFill>
          </w14:textFill>
        </w:rPr>
        <w:t>人和镇清河村</w:t>
      </w:r>
      <w:r>
        <w:rPr>
          <w:rFonts w:hint="eastAsia"/>
          <w:color w:val="000000" w:themeColor="text1"/>
          <w:szCs w:val="21"/>
          <w:highlight w:val="none"/>
          <w14:textFill>
            <w14:solidFill>
              <w14:schemeClr w14:val="tx1"/>
            </w14:solidFill>
          </w14:textFill>
        </w:rPr>
        <w:t>。</w:t>
      </w:r>
    </w:p>
    <w:p w14:paraId="2CF8290C">
      <w:pPr>
        <w:spacing w:line="336" w:lineRule="auto"/>
        <w:ind w:firstLine="840" w:firstLineChars="400"/>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建设规模：</w:t>
      </w:r>
      <w:r>
        <w:rPr>
          <w:rFonts w:hint="eastAsia"/>
          <w:color w:val="000000" w:themeColor="text1"/>
          <w:szCs w:val="21"/>
          <w:highlight w:val="none"/>
          <w:u w:val="single"/>
          <w14:textFill>
            <w14:solidFill>
              <w14:schemeClr w14:val="tx1"/>
            </w14:solidFill>
          </w14:textFill>
        </w:rPr>
        <w:t>主要是新建水渠、新建道路、新建田间路与新建机耕路。其中新建水渠3231米，新建道路3461米，新建田间路187米，新建机耕路230米。具体工作内容详见施工设计图纸和工程量清单</w:t>
      </w:r>
      <w:r>
        <w:rPr>
          <w:rFonts w:hint="eastAsia"/>
          <w:color w:val="000000" w:themeColor="text1"/>
          <w:szCs w:val="21"/>
          <w:highlight w:val="none"/>
          <w:u w:val="single"/>
          <w:lang w:eastAsia="zh-CN"/>
          <w14:textFill>
            <w14:solidFill>
              <w14:schemeClr w14:val="tx1"/>
            </w14:solidFill>
          </w14:textFill>
        </w:rPr>
        <w:t>。</w:t>
      </w:r>
    </w:p>
    <w:p w14:paraId="474B7B17">
      <w:pPr>
        <w:spacing w:line="336" w:lineRule="auto"/>
        <w:ind w:firstLine="840" w:firstLineChars="4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其他：</w:t>
      </w:r>
      <w:r>
        <w:rPr>
          <w:rFonts w:hint="eastAsia"/>
          <w:color w:val="000000" w:themeColor="text1"/>
          <w:szCs w:val="21"/>
          <w:highlight w:val="none"/>
          <w:u w:val="single"/>
          <w14:textFill>
            <w14:solidFill>
              <w14:schemeClr w14:val="tx1"/>
            </w14:solidFill>
          </w14:textFill>
        </w:rPr>
        <w:t>/</w:t>
      </w:r>
      <w:r>
        <w:rPr>
          <w:rFonts w:hint="eastAsia"/>
          <w:color w:val="000000" w:themeColor="text1"/>
          <w:szCs w:val="21"/>
          <w:highlight w:val="none"/>
          <w14:textFill>
            <w14:solidFill>
              <w14:schemeClr w14:val="tx1"/>
            </w14:solidFill>
          </w14:textFill>
        </w:rPr>
        <w:t>。</w:t>
      </w:r>
    </w:p>
    <w:p w14:paraId="35BDF101">
      <w:pPr>
        <w:spacing w:line="336" w:lineRule="auto"/>
        <w:ind w:firstLine="420" w:firstLineChars="200"/>
        <w:rPr>
          <w:szCs w:val="21"/>
          <w:highlight w:val="none"/>
        </w:rPr>
      </w:pPr>
      <w:bookmarkStart w:id="88" w:name="_Toc109149739"/>
      <w:r>
        <w:rPr>
          <w:szCs w:val="21"/>
          <w:highlight w:val="none"/>
        </w:rPr>
        <w:t>2.</w:t>
      </w:r>
      <w:r>
        <w:rPr>
          <w:rFonts w:hint="eastAsia"/>
          <w:szCs w:val="21"/>
          <w:highlight w:val="none"/>
        </w:rPr>
        <w:t>2 标段划分及各标段招标内容、规模和最高投标限价</w:t>
      </w:r>
      <w:bookmarkEnd w:id="88"/>
    </w:p>
    <w:p w14:paraId="1A5EAF18">
      <w:pPr>
        <w:spacing w:line="336" w:lineRule="auto"/>
        <w:ind w:firstLine="840" w:firstLineChars="400"/>
        <w:rPr>
          <w:rFonts w:hint="eastAsia" w:eastAsia="宋体"/>
          <w:color w:val="000000" w:themeColor="text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招标范围及内容：主要内容包括：</w:t>
      </w:r>
      <w:r>
        <w:rPr>
          <w:rFonts w:hint="eastAsia"/>
          <w:color w:val="000000" w:themeColor="text1"/>
          <w:szCs w:val="21"/>
          <w:highlight w:val="none"/>
          <w:u w:val="single"/>
          <w14:textFill>
            <w14:solidFill>
              <w14:schemeClr w14:val="tx1"/>
            </w14:solidFill>
          </w14:textFill>
        </w:rPr>
        <w:t>主要是新建水渠、新建道路、新建田间路与新建机耕路。其中新建水渠3231米，新建道路3461米，新建田间路187米，新建机耕路230米。具体工作内容详见施工设计图纸和工程量清单</w:t>
      </w:r>
      <w:r>
        <w:rPr>
          <w:rFonts w:hint="eastAsia"/>
          <w:color w:val="000000" w:themeColor="text1"/>
          <w:szCs w:val="21"/>
          <w:highlight w:val="none"/>
          <w:u w:val="single"/>
          <w:lang w:eastAsia="zh-CN"/>
          <w14:textFill>
            <w14:solidFill>
              <w14:schemeClr w14:val="tx1"/>
            </w14:solidFill>
          </w14:textFill>
        </w:rPr>
        <w:t>。</w:t>
      </w:r>
    </w:p>
    <w:p w14:paraId="3D6FFAFE">
      <w:pPr>
        <w:spacing w:line="336" w:lineRule="auto"/>
        <w:ind w:firstLine="840" w:firstLineChars="4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标段划分：</w:t>
      </w:r>
      <w:r>
        <w:rPr>
          <w:rFonts w:hint="eastAsia"/>
          <w:color w:val="000000" w:themeColor="text1"/>
          <w:szCs w:val="21"/>
          <w:highlight w:val="none"/>
          <w:u w:val="single"/>
          <w14:textFill>
            <w14:solidFill>
              <w14:schemeClr w14:val="tx1"/>
            </w14:solidFill>
          </w14:textFill>
        </w:rPr>
        <w:t>1个标段</w:t>
      </w:r>
      <w:r>
        <w:rPr>
          <w:rFonts w:hint="eastAsia"/>
          <w:color w:val="000000" w:themeColor="text1"/>
          <w:szCs w:val="21"/>
          <w:highlight w:val="none"/>
          <w14:textFill>
            <w14:solidFill>
              <w14:schemeClr w14:val="tx1"/>
            </w14:solidFill>
          </w14:textFill>
        </w:rPr>
        <w:t>。</w:t>
      </w:r>
    </w:p>
    <w:p w14:paraId="0BFCC2DC">
      <w:pPr>
        <w:spacing w:line="336" w:lineRule="auto"/>
        <w:ind w:left="420" w:leftChars="200" w:firstLine="420" w:firstLineChars="200"/>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计划</w:t>
      </w:r>
      <w:r>
        <w:rPr>
          <w:rFonts w:hint="eastAsia"/>
          <w:color w:val="000000" w:themeColor="text1"/>
          <w:highlight w:val="none"/>
          <w14:textFill>
            <w14:solidFill>
              <w14:schemeClr w14:val="tx1"/>
            </w14:solidFill>
          </w14:textFill>
        </w:rPr>
        <w:t>工期</w:t>
      </w:r>
      <w:r>
        <w:rPr>
          <w:rFonts w:hint="eastAsia"/>
          <w:color w:val="000000" w:themeColor="text1"/>
          <w:szCs w:val="21"/>
          <w:highlight w:val="none"/>
          <w:u w:val="single"/>
          <w14:textFill>
            <w14:solidFill>
              <w14:schemeClr w14:val="tx1"/>
            </w14:solidFill>
          </w14:textFill>
        </w:rPr>
        <w:t>：90日历天。具体以监理工程师发布的开工令计算。</w:t>
      </w:r>
    </w:p>
    <w:p w14:paraId="7ACC2A90">
      <w:pPr>
        <w:spacing w:line="336" w:lineRule="auto"/>
        <w:ind w:firstLine="840" w:firstLineChars="4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最高投标限价：</w:t>
      </w:r>
      <w:r>
        <w:rPr>
          <w:rFonts w:hint="eastAsia"/>
          <w:color w:val="000000" w:themeColor="text1"/>
          <w:szCs w:val="21"/>
          <w:highlight w:val="none"/>
          <w:u w:val="single"/>
          <w14:textFill>
            <w14:solidFill>
              <w14:schemeClr w14:val="tx1"/>
            </w14:solidFill>
          </w14:textFill>
        </w:rPr>
        <w:t>779</w:t>
      </w:r>
      <w:r>
        <w:rPr>
          <w:rFonts w:hint="eastAsia"/>
          <w:color w:val="000000" w:themeColor="text1"/>
          <w:szCs w:val="21"/>
          <w:highlight w:val="none"/>
          <w:u w:val="single"/>
          <w:lang w:val="en-US" w:eastAsia="zh-CN"/>
          <w14:textFill>
            <w14:solidFill>
              <w14:schemeClr w14:val="tx1"/>
            </w14:solidFill>
          </w14:textFill>
        </w:rPr>
        <w:t>.</w:t>
      </w:r>
      <w:r>
        <w:rPr>
          <w:rFonts w:hint="eastAsia"/>
          <w:color w:val="000000" w:themeColor="text1"/>
          <w:szCs w:val="21"/>
          <w:highlight w:val="none"/>
          <w:u w:val="single"/>
          <w14:textFill>
            <w14:solidFill>
              <w14:schemeClr w14:val="tx1"/>
            </w14:solidFill>
          </w14:textFill>
        </w:rPr>
        <w:t>385589</w:t>
      </w:r>
      <w:r>
        <w:rPr>
          <w:rFonts w:hint="eastAsia"/>
          <w:color w:val="000000" w:themeColor="text1"/>
          <w:szCs w:val="21"/>
          <w:highlight w:val="none"/>
          <w14:textFill>
            <w14:solidFill>
              <w14:schemeClr w14:val="tx1"/>
            </w14:solidFill>
          </w14:textFill>
        </w:rPr>
        <w:t>万元。</w:t>
      </w:r>
    </w:p>
    <w:p w14:paraId="0589E2CF">
      <w:pPr>
        <w:spacing w:line="336" w:lineRule="auto"/>
        <w:ind w:firstLine="840" w:firstLineChars="4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承包方式：</w:t>
      </w:r>
      <w:r>
        <w:rPr>
          <w:rFonts w:hint="eastAsia"/>
          <w:color w:val="000000" w:themeColor="text1"/>
          <w:szCs w:val="21"/>
          <w:highlight w:val="none"/>
          <w:u w:val="single"/>
          <w14:textFill>
            <w14:solidFill>
              <w14:schemeClr w14:val="tx1"/>
            </w14:solidFill>
          </w14:textFill>
        </w:rPr>
        <w:t>工程施工总承包，包工、包料、包工期、包质量、包安全、包文明施工、包验收通过。综合单价包干、项目措施费包干，工程量按实计算</w:t>
      </w:r>
      <w:r>
        <w:rPr>
          <w:rFonts w:hint="eastAsia"/>
          <w:color w:val="000000" w:themeColor="text1"/>
          <w:szCs w:val="21"/>
          <w:highlight w:val="none"/>
          <w14:textFill>
            <w14:solidFill>
              <w14:schemeClr w14:val="tx1"/>
            </w14:solidFill>
          </w14:textFill>
        </w:rPr>
        <w:t>。</w:t>
      </w:r>
    </w:p>
    <w:p w14:paraId="15CEC27E">
      <w:pPr>
        <w:spacing w:line="336" w:lineRule="auto"/>
        <w:ind w:firstLine="630" w:firstLineChars="300"/>
        <w:rPr>
          <w:szCs w:val="21"/>
          <w:highlight w:val="none"/>
        </w:rPr>
      </w:pPr>
      <w:r>
        <w:rPr>
          <w:szCs w:val="21"/>
          <w:highlight w:val="none"/>
        </w:rPr>
        <w:t>2.</w:t>
      </w:r>
      <w:r>
        <w:rPr>
          <w:rFonts w:hint="eastAsia"/>
          <w:szCs w:val="21"/>
          <w:highlight w:val="none"/>
        </w:rPr>
        <w:t>3 其他：</w:t>
      </w:r>
      <w:r>
        <w:rPr>
          <w:rFonts w:hint="eastAsia"/>
          <w:szCs w:val="21"/>
          <w:highlight w:val="none"/>
          <w:u w:val="single"/>
        </w:rPr>
        <w:t>/</w:t>
      </w:r>
      <w:r>
        <w:rPr>
          <w:rFonts w:hint="eastAsia"/>
          <w:szCs w:val="21"/>
          <w:highlight w:val="none"/>
        </w:rPr>
        <w:t>。</w:t>
      </w:r>
    </w:p>
    <w:p w14:paraId="38082474">
      <w:pPr>
        <w:pStyle w:val="19"/>
        <w:keepNext w:val="0"/>
        <w:keepLines w:val="0"/>
        <w:spacing w:before="0" w:line="336" w:lineRule="auto"/>
        <w:outlineLvl w:val="2"/>
        <w:rPr>
          <w:highlight w:val="none"/>
        </w:rPr>
      </w:pPr>
      <w:bookmarkStart w:id="89" w:name="_Toc880"/>
      <w:bookmarkStart w:id="90" w:name="_Toc168476031"/>
      <w:bookmarkStart w:id="91" w:name="_Toc8497"/>
      <w:bookmarkStart w:id="92" w:name="_Toc6582"/>
      <w:bookmarkStart w:id="93" w:name="_Toc26764"/>
      <w:bookmarkStart w:id="94" w:name="_Toc13802"/>
      <w:bookmarkStart w:id="95" w:name="_Toc221949926"/>
      <w:bookmarkStart w:id="96" w:name="_Toc4214"/>
      <w:bookmarkStart w:id="97" w:name="_Toc8297"/>
      <w:bookmarkStart w:id="98" w:name="_Toc26544"/>
      <w:bookmarkStart w:id="99" w:name="_Toc222032634"/>
      <w:bookmarkStart w:id="100" w:name="_Toc15703"/>
      <w:bookmarkStart w:id="101" w:name="_Toc29540"/>
      <w:bookmarkStart w:id="102" w:name="_Toc31300"/>
      <w:bookmarkStart w:id="103" w:name="_Toc17731"/>
      <w:bookmarkStart w:id="104" w:name="_Toc222029465"/>
      <w:bookmarkStart w:id="105" w:name="_Toc20762"/>
      <w:bookmarkStart w:id="106" w:name="_Toc644469185"/>
      <w:bookmarkStart w:id="107" w:name="_Toc14722"/>
      <w:bookmarkStart w:id="108" w:name="_Toc387753534"/>
      <w:bookmarkStart w:id="109" w:name="_Toc168475628"/>
      <w:bookmarkStart w:id="110" w:name="_Toc229305325"/>
      <w:bookmarkStart w:id="111" w:name="_Toc283061529"/>
      <w:bookmarkStart w:id="112" w:name="_Toc15097"/>
      <w:bookmarkStart w:id="113" w:name="_Toc16375"/>
      <w:bookmarkStart w:id="114" w:name="_Toc22069"/>
      <w:bookmarkStart w:id="115" w:name="_Toc30667"/>
      <w:bookmarkStart w:id="116" w:name="_Toc222033816"/>
      <w:bookmarkStart w:id="117" w:name="_Toc8293"/>
      <w:bookmarkStart w:id="118" w:name="_Toc222030967"/>
      <w:bookmarkStart w:id="119" w:name="_Toc22071"/>
      <w:bookmarkStart w:id="120" w:name="_Toc16006"/>
      <w:bookmarkStart w:id="121" w:name="_Toc9172"/>
      <w:bookmarkStart w:id="122" w:name="_Toc32748"/>
      <w:bookmarkStart w:id="123" w:name="_Toc24903"/>
      <w:bookmarkStart w:id="124" w:name="_Toc144974482"/>
      <w:bookmarkStart w:id="125" w:name="_Toc22773"/>
      <w:bookmarkStart w:id="126" w:name="_Toc8387"/>
      <w:r>
        <w:rPr>
          <w:rFonts w:hint="eastAsia"/>
          <w:highlight w:val="none"/>
        </w:rPr>
        <w:t>3. 投标人资格要求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B6B5753">
      <w:pPr>
        <w:spacing w:line="336" w:lineRule="auto"/>
        <w:ind w:firstLine="420"/>
        <w:rPr>
          <w:rFonts w:ascii="宋体" w:hAnsi="宋体" w:cs="宋体"/>
          <w:highlight w:val="none"/>
        </w:rPr>
      </w:pPr>
      <w:bookmarkStart w:id="127" w:name="_Toc221949927"/>
      <w:r>
        <w:rPr>
          <w:rFonts w:hint="eastAsia" w:cs="宋体"/>
          <w:highlight w:val="none"/>
        </w:rPr>
        <w:t>3</w:t>
      </w:r>
      <w:r>
        <w:rPr>
          <w:rFonts w:hint="eastAsia" w:ascii="宋体" w:hAnsi="宋体" w:cs="宋体"/>
          <w:highlight w:val="none"/>
        </w:rPr>
        <w:t>.</w:t>
      </w:r>
      <w:r>
        <w:rPr>
          <w:rFonts w:hint="eastAsia" w:cs="宋体"/>
          <w:highlight w:val="none"/>
        </w:rPr>
        <w:t>1</w:t>
      </w:r>
      <w:r>
        <w:rPr>
          <w:rFonts w:hint="eastAsia" w:ascii="宋体" w:hAnsi="宋体" w:cs="宋体"/>
          <w:highlight w:val="none"/>
        </w:rPr>
        <w:t>投标人参加投标的意思表达清楚，投标人代表被授权有效。</w:t>
      </w:r>
    </w:p>
    <w:p w14:paraId="5001D52E">
      <w:pPr>
        <w:spacing w:line="336" w:lineRule="auto"/>
        <w:ind w:firstLine="420"/>
        <w:rPr>
          <w:rFonts w:ascii="宋体" w:hAnsi="宋体" w:cs="宋体"/>
          <w:highlight w:val="none"/>
        </w:rPr>
      </w:pPr>
      <w:r>
        <w:rPr>
          <w:rFonts w:hint="eastAsia" w:cs="宋体"/>
          <w:highlight w:val="none"/>
        </w:rPr>
        <w:t>3</w:t>
      </w:r>
      <w:r>
        <w:rPr>
          <w:rFonts w:hint="eastAsia" w:ascii="宋体" w:hAnsi="宋体" w:cs="宋体"/>
          <w:highlight w:val="none"/>
        </w:rPr>
        <w:t>.</w:t>
      </w:r>
      <w:r>
        <w:rPr>
          <w:rFonts w:hint="eastAsia" w:cs="宋体"/>
          <w:highlight w:val="none"/>
        </w:rPr>
        <w:t>2</w:t>
      </w:r>
      <w:r>
        <w:rPr>
          <w:rFonts w:hint="eastAsia" w:ascii="宋体" w:hAnsi="宋体" w:cs="宋体"/>
          <w:highlight w:val="none"/>
        </w:rPr>
        <w:t>投标人均具有独立法人资格，按国家法律经营。</w:t>
      </w:r>
    </w:p>
    <w:p w14:paraId="715C313B">
      <w:pPr>
        <w:spacing w:line="336" w:lineRule="auto"/>
        <w:ind w:firstLine="420"/>
        <w:rPr>
          <w:rFonts w:ascii="宋体" w:hAnsi="宋体" w:cs="宋体"/>
          <w:highlight w:val="none"/>
        </w:rPr>
      </w:pPr>
      <w:r>
        <w:rPr>
          <w:rFonts w:hint="eastAsia" w:cs="宋体"/>
          <w:highlight w:val="none"/>
        </w:rPr>
        <w:t>3</w:t>
      </w:r>
      <w:r>
        <w:rPr>
          <w:rFonts w:hint="eastAsia" w:ascii="宋体" w:hAnsi="宋体" w:cs="宋体"/>
          <w:highlight w:val="none"/>
        </w:rPr>
        <w:t>.</w:t>
      </w:r>
      <w:r>
        <w:rPr>
          <w:rFonts w:hint="eastAsia" w:cs="宋体"/>
          <w:highlight w:val="none"/>
        </w:rPr>
        <w:t>3</w:t>
      </w:r>
      <w:r>
        <w:rPr>
          <w:rFonts w:hint="eastAsia" w:ascii="宋体" w:hAnsi="宋体" w:cs="宋体"/>
          <w:highlight w:val="none"/>
        </w:rPr>
        <w:t>投标人均持有相关主管部门颁发有效期内的企业资质证书及安全生产许可证。</w:t>
      </w:r>
    </w:p>
    <w:p w14:paraId="78D9975F">
      <w:pPr>
        <w:spacing w:line="336" w:lineRule="auto"/>
        <w:ind w:firstLine="420"/>
        <w:rPr>
          <w:rFonts w:ascii="宋体" w:hAnsi="宋体" w:cs="宋体"/>
          <w:highlight w:val="none"/>
        </w:rPr>
      </w:pPr>
      <w:r>
        <w:rPr>
          <w:rFonts w:hint="eastAsia" w:cs="宋体"/>
          <w:highlight w:val="none"/>
        </w:rPr>
        <w:t>3</w:t>
      </w:r>
      <w:r>
        <w:rPr>
          <w:rFonts w:hint="eastAsia" w:ascii="宋体" w:hAnsi="宋体" w:cs="宋体"/>
          <w:highlight w:val="none"/>
        </w:rPr>
        <w:t>.</w:t>
      </w:r>
      <w:r>
        <w:rPr>
          <w:rFonts w:hint="eastAsia" w:cs="宋体"/>
          <w:highlight w:val="none"/>
        </w:rPr>
        <w:t>4</w:t>
      </w:r>
      <w:r>
        <w:rPr>
          <w:rFonts w:hint="eastAsia" w:ascii="宋体" w:hAnsi="宋体" w:cs="宋体"/>
          <w:highlight w:val="none"/>
        </w:rPr>
        <w:t>本次招标要求投标人须具备以下资质：</w:t>
      </w:r>
    </w:p>
    <w:p w14:paraId="4E9109ED">
      <w:pPr>
        <w:spacing w:line="336" w:lineRule="auto"/>
        <w:ind w:firstLine="420"/>
        <w:rPr>
          <w:rFonts w:hint="eastAsia" w:ascii="宋体" w:hAnsi="宋体" w:cs="宋体"/>
          <w:highlight w:val="none"/>
        </w:rPr>
      </w:pPr>
      <w:r>
        <w:rPr>
          <w:rFonts w:hint="eastAsia" w:ascii="宋体" w:hAnsi="宋体" w:cs="宋体"/>
          <w:highlight w:val="none"/>
        </w:rPr>
        <w:t>投标人具有承接本工程所需的</w:t>
      </w:r>
      <w:r>
        <w:rPr>
          <w:rFonts w:hint="eastAsia" w:ascii="宋体" w:hAnsi="宋体" w:cs="宋体"/>
          <w:highlight w:val="none"/>
          <w:u w:val="single"/>
        </w:rPr>
        <w:t>水利水电工程施工总承包叁级</w:t>
      </w:r>
      <w:r>
        <w:rPr>
          <w:rFonts w:hint="eastAsia" w:ascii="宋体" w:hAnsi="宋体" w:cs="宋体"/>
          <w:highlight w:val="none"/>
        </w:rPr>
        <w:t>或以上级别施工总承包资质；</w:t>
      </w:r>
    </w:p>
    <w:p w14:paraId="647306B2">
      <w:pPr>
        <w:spacing w:line="336" w:lineRule="auto"/>
        <w:ind w:firstLine="420"/>
        <w:rPr>
          <w:rFonts w:hint="eastAsia" w:ascii="宋体" w:hAnsi="宋体" w:cs="宋体"/>
          <w:highlight w:val="none"/>
        </w:rPr>
      </w:pPr>
      <w:r>
        <w:rPr>
          <w:rFonts w:hint="eastAsia" w:ascii="宋体" w:hAnsi="宋体" w:cs="宋体"/>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等相关文件的要求设置。</w:t>
      </w:r>
    </w:p>
    <w:p w14:paraId="643C1327">
      <w:pPr>
        <w:spacing w:line="336" w:lineRule="auto"/>
        <w:ind w:firstLine="420"/>
        <w:rPr>
          <w:rFonts w:hint="eastAsia" w:ascii="宋体" w:hAnsi="宋体" w:cs="宋体"/>
          <w:highlight w:val="none"/>
        </w:rPr>
      </w:pPr>
      <w:r>
        <w:rPr>
          <w:rFonts w:hint="eastAsia" w:ascii="宋体" w:hAnsi="宋体" w:cs="宋体"/>
          <w:highlight w:val="none"/>
        </w:rPr>
        <w:t>②投标人还应当符合《住房和城乡建设部办公厅关于做好建筑业“证照分离”改革衔接有关工作的通知》（建办市〔2021〕30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规定。根据上述文件的要求，投标人需办理企业资质有效期延续的，应当按照相关规定及时办理。招标期间如行政主管部门对建设工程企业资质有效期发布新规定的，按新规定相应调整执行。</w:t>
      </w:r>
    </w:p>
    <w:p w14:paraId="1210CD2B">
      <w:pPr>
        <w:spacing w:line="336" w:lineRule="auto"/>
        <w:ind w:firstLine="420"/>
        <w:rPr>
          <w:rFonts w:hint="eastAsia" w:ascii="宋体" w:hAnsi="宋体" w:cs="宋体"/>
          <w:highlight w:val="none"/>
          <w:lang w:val="en-US" w:eastAsia="zh-CN"/>
        </w:rPr>
      </w:pPr>
      <w:r>
        <w:rPr>
          <w:rFonts w:hint="eastAsia" w:ascii="宋体" w:hAnsi="宋体" w:cs="宋体"/>
          <w:highlight w:val="none"/>
          <w:lang w:val="en-US" w:eastAsia="zh-CN"/>
        </w:rPr>
        <w:t>③如投标人的企业资质是根据2020年11月30日发布的《住房和城乡建设部关于印发建设工程企业资质管理制度改革方案的通知》（建市〔2020〕94号）办理的，则资质相应要求如下：具有建设行政主管部门颁发的水利水电工程施工总承包乙级（或以上）资质。</w:t>
      </w:r>
    </w:p>
    <w:p w14:paraId="2D36B106">
      <w:pPr>
        <w:spacing w:line="336" w:lineRule="auto"/>
        <w:ind w:firstLine="420"/>
        <w:rPr>
          <w:rFonts w:hint="eastAsia" w:ascii="宋体" w:hAnsi="宋体" w:cs="宋体"/>
          <w:highlight w:val="none"/>
        </w:rPr>
      </w:pPr>
      <w:r>
        <w:rPr>
          <w:rFonts w:hint="eastAsia" w:ascii="宋体" w:hAnsi="宋体" w:cs="宋体"/>
          <w:highlight w:val="none"/>
        </w:rPr>
        <w:t>3.5投标人拟担任本项目负责人的人员为：</w:t>
      </w:r>
      <w:r>
        <w:rPr>
          <w:rFonts w:hint="eastAsia" w:ascii="宋体" w:hAnsi="宋体" w:cs="宋体"/>
          <w:highlight w:val="none"/>
          <w:u w:val="single"/>
        </w:rPr>
        <w:t>水利水电工程</w:t>
      </w:r>
      <w:r>
        <w:rPr>
          <w:rFonts w:hint="eastAsia" w:ascii="宋体" w:hAnsi="宋体" w:cs="宋体"/>
          <w:highlight w:val="none"/>
        </w:rPr>
        <w:t>专业</w:t>
      </w:r>
      <w:r>
        <w:rPr>
          <w:rFonts w:hint="eastAsia" w:ascii="宋体" w:hAnsi="宋体" w:cs="宋体"/>
          <w:highlight w:val="none"/>
          <w:u w:val="single"/>
        </w:rPr>
        <w:t>二级</w:t>
      </w:r>
      <w:r>
        <w:rPr>
          <w:rFonts w:hint="eastAsia" w:ascii="宋体" w:hAnsi="宋体" w:cs="宋体"/>
          <w:highlight w:val="none"/>
        </w:rPr>
        <w:t>或以上级别的注册建造师；同时</w:t>
      </w:r>
      <w:r>
        <w:rPr>
          <w:rFonts w:hint="eastAsia" w:ascii="宋体" w:hAnsi="宋体" w:cs="宋体"/>
          <w:highlight w:val="none"/>
          <w:u w:val="single"/>
        </w:rPr>
        <w:t>具备有效的水行政主管部门颁发的安全生产考核合格证（B类）证</w:t>
      </w:r>
      <w:r>
        <w:rPr>
          <w:rFonts w:hint="eastAsia" w:ascii="宋体" w:hAnsi="宋体" w:cs="宋体"/>
          <w:color w:val="auto"/>
          <w:highlight w:val="none"/>
          <w:u w:val="single"/>
        </w:rPr>
        <w:t>书或水行政主管部门颁发的施工企业项目负责人安全生产考核合格证书，且未在其他在建工程项目中担任项目负责人。</w:t>
      </w:r>
    </w:p>
    <w:p w14:paraId="1B94786E">
      <w:pPr>
        <w:spacing w:line="336" w:lineRule="auto"/>
        <w:ind w:firstLine="420"/>
        <w:rPr>
          <w:rFonts w:hint="eastAsia" w:ascii="宋体" w:hAnsi="宋体" w:cs="宋体"/>
          <w:highlight w:val="none"/>
        </w:rPr>
      </w:pPr>
      <w:r>
        <w:rPr>
          <w:rFonts w:hint="eastAsia" w:ascii="宋体" w:hAnsi="宋体" w:cs="宋体"/>
          <w:highlight w:val="none"/>
        </w:rPr>
        <w:t>注：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CB1CCE1">
      <w:pPr>
        <w:spacing w:line="336" w:lineRule="auto"/>
        <w:ind w:firstLine="420"/>
        <w:rPr>
          <w:rFonts w:hint="eastAsia" w:ascii="宋体" w:hAnsi="宋体" w:cs="宋体"/>
          <w:highlight w:val="none"/>
        </w:rPr>
      </w:pPr>
      <w:r>
        <w:rPr>
          <w:rFonts w:hint="eastAsia" w:ascii="宋体" w:hAnsi="宋体" w:cs="宋体"/>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A39FF87">
      <w:pPr>
        <w:spacing w:line="336" w:lineRule="auto"/>
        <w:ind w:firstLine="420"/>
        <w:rPr>
          <w:rFonts w:hint="eastAsia" w:ascii="宋体" w:hAnsi="宋体" w:cs="宋体"/>
          <w:highlight w:val="none"/>
        </w:rPr>
      </w:pPr>
      <w:r>
        <w:rPr>
          <w:rFonts w:hint="eastAsia" w:ascii="宋体" w:hAnsi="宋体" w:cs="宋体"/>
          <w:highlight w:val="non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26320A8C">
      <w:pPr>
        <w:spacing w:line="336" w:lineRule="auto"/>
        <w:ind w:firstLine="420"/>
        <w:rPr>
          <w:rFonts w:ascii="宋体" w:hAnsi="宋体" w:cs="宋体"/>
          <w:highlight w:val="none"/>
        </w:rPr>
      </w:pPr>
      <w:r>
        <w:rPr>
          <w:rFonts w:hint="eastAsia" w:cs="宋体"/>
          <w:highlight w:val="none"/>
        </w:rPr>
        <w:t>3</w:t>
      </w:r>
      <w:r>
        <w:rPr>
          <w:rFonts w:hint="eastAsia" w:ascii="宋体" w:hAnsi="宋体" w:cs="宋体"/>
          <w:highlight w:val="none"/>
        </w:rPr>
        <w:t>.</w:t>
      </w:r>
      <w:r>
        <w:rPr>
          <w:rFonts w:hint="eastAsia" w:cs="宋体"/>
          <w:highlight w:val="none"/>
        </w:rPr>
        <w:t>6</w:t>
      </w:r>
      <w:r>
        <w:rPr>
          <w:rFonts w:hint="eastAsia" w:ascii="宋体" w:hAnsi="宋体" w:cs="宋体"/>
          <w:highlight w:val="none"/>
        </w:rPr>
        <w:t>专职安全员须具</w:t>
      </w:r>
      <w:r>
        <w:rPr>
          <w:rFonts w:hint="eastAsia" w:ascii="宋体" w:hAnsi="宋体" w:cs="宋体"/>
          <w:highlight w:val="none"/>
          <w:lang w:val="en-US" w:eastAsia="zh-CN"/>
        </w:rPr>
        <w:t>有</w:t>
      </w:r>
      <w:r>
        <w:rPr>
          <w:rFonts w:hint="eastAsia" w:ascii="宋体" w:hAnsi="宋体" w:cs="宋体"/>
          <w:color w:val="auto"/>
          <w:highlight w:val="none"/>
          <w:u w:val="single"/>
        </w:rPr>
        <w:t>水行政主管部门颁发的安全生产考核合格证（C类）证书或水行政主管部门颁发的施工企业专职安全生产管理人员安全生产考核合格证书。</w:t>
      </w:r>
    </w:p>
    <w:p w14:paraId="68CB6EC1">
      <w:pPr>
        <w:spacing w:line="336" w:lineRule="auto"/>
        <w:ind w:firstLine="420"/>
        <w:rPr>
          <w:rFonts w:ascii="宋体" w:hAnsi="宋体" w:cs="宋体"/>
          <w:highlight w:val="none"/>
        </w:rPr>
      </w:pPr>
      <w:r>
        <w:rPr>
          <w:rFonts w:hint="eastAsia" w:ascii="宋体" w:hAnsi="宋体" w:cs="宋体"/>
          <w:highlight w:val="none"/>
        </w:rPr>
        <w:t>注：项目负责人在任职期间不得担任专职安全员，项目专职安全员在任职期间也不得担任项目负责人，项目负责人和专职安全员不为同一人。</w:t>
      </w:r>
    </w:p>
    <w:p w14:paraId="5F64D068">
      <w:pPr>
        <w:spacing w:line="336" w:lineRule="auto"/>
        <w:ind w:firstLine="420" w:firstLineChars="200"/>
        <w:rPr>
          <w:rFonts w:ascii="宋体" w:hAnsi="宋体" w:cs="宋体"/>
          <w:highlight w:val="none"/>
        </w:rPr>
      </w:pPr>
      <w:r>
        <w:rPr>
          <w:rFonts w:hint="eastAsia" w:cs="宋体"/>
          <w:highlight w:val="none"/>
        </w:rPr>
        <w:t>3</w:t>
      </w:r>
      <w:r>
        <w:rPr>
          <w:rFonts w:hint="eastAsia" w:ascii="宋体" w:hAnsi="宋体" w:cs="宋体"/>
          <w:highlight w:val="none"/>
        </w:rPr>
        <w:t>.</w:t>
      </w:r>
      <w:r>
        <w:rPr>
          <w:rFonts w:hint="eastAsia" w:cs="宋体"/>
          <w:highlight w:val="none"/>
        </w:rPr>
        <w:t>7</w:t>
      </w:r>
      <w:r>
        <w:rPr>
          <w:rFonts w:hint="eastAsia" w:ascii="宋体" w:hAnsi="宋体" w:cs="宋体"/>
          <w:szCs w:val="21"/>
          <w:highlight w:val="none"/>
        </w:rPr>
        <w:t>本次招标</w:t>
      </w:r>
      <w:r>
        <w:rPr>
          <w:rFonts w:hint="eastAsia" w:ascii="宋体" w:hAnsi="宋体" w:cs="宋体"/>
          <w:szCs w:val="21"/>
          <w:highlight w:val="none"/>
          <w:u w:val="single"/>
        </w:rPr>
        <w:t>不接受</w:t>
      </w:r>
      <w:r>
        <w:rPr>
          <w:rFonts w:hint="eastAsia" w:ascii="宋体" w:hAnsi="宋体" w:cs="宋体"/>
          <w:szCs w:val="21"/>
          <w:highlight w:val="none"/>
        </w:rPr>
        <w:t xml:space="preserve">联合体投标。 </w:t>
      </w:r>
    </w:p>
    <w:p w14:paraId="399C0E02">
      <w:pPr>
        <w:spacing w:line="336" w:lineRule="auto"/>
        <w:ind w:firstLine="420" w:firstLineChars="200"/>
        <w:rPr>
          <w:rFonts w:ascii="宋体" w:hAnsi="宋体" w:cs="宋体"/>
          <w:highlight w:val="none"/>
        </w:rPr>
      </w:pPr>
      <w:r>
        <w:rPr>
          <w:rFonts w:hint="eastAsia" w:cs="宋体"/>
          <w:highlight w:val="none"/>
        </w:rPr>
        <w:t>3</w:t>
      </w:r>
      <w:r>
        <w:rPr>
          <w:rFonts w:hint="eastAsia" w:ascii="宋体" w:hAnsi="宋体" w:cs="宋体"/>
          <w:highlight w:val="none"/>
        </w:rPr>
        <w:t>.</w:t>
      </w:r>
      <w:r>
        <w:rPr>
          <w:rFonts w:hint="eastAsia" w:cs="宋体"/>
          <w:highlight w:val="none"/>
        </w:rPr>
        <w:t>8</w:t>
      </w:r>
      <w:r>
        <w:rPr>
          <w:rFonts w:hint="eastAsia" w:ascii="宋体" w:hAnsi="宋体" w:cs="宋体"/>
          <w:highlight w:val="none"/>
        </w:rPr>
        <w:t>信誉要求</w:t>
      </w:r>
    </w:p>
    <w:p w14:paraId="32D22F9B">
      <w:pPr>
        <w:spacing w:line="336" w:lineRule="auto"/>
        <w:ind w:firstLine="420" w:firstLineChars="200"/>
        <w:rPr>
          <w:rFonts w:ascii="宋体" w:hAnsi="宋体" w:cs="宋体"/>
          <w:highlight w:val="none"/>
        </w:rPr>
      </w:pPr>
      <w:r>
        <w:rPr>
          <w:rFonts w:hint="eastAsia" w:ascii="宋体" w:hAnsi="宋体" w:cs="宋体"/>
          <w:highlight w:val="none"/>
        </w:rPr>
        <w:t>（</w:t>
      </w:r>
      <w:r>
        <w:rPr>
          <w:rFonts w:hint="eastAsia" w:cs="宋体"/>
          <w:highlight w:val="none"/>
        </w:rPr>
        <w:t>1</w:t>
      </w:r>
      <w:r>
        <w:rPr>
          <w:rFonts w:hint="eastAsia" w:ascii="宋体" w:hAnsi="宋体" w:cs="宋体"/>
          <w:highlight w:val="none"/>
        </w:rPr>
        <w:t xml:space="preserve">）没有被依法暂停或取消投标资格（指被本招标项目所在地县级及以上农业农村（或住建、水利、公共资源交易）行政主管部门暂停或取消投标资格或禁止进入该区域建设市场且处于有效期内）； </w:t>
      </w:r>
    </w:p>
    <w:p w14:paraId="44790EB9">
      <w:pPr>
        <w:spacing w:line="336" w:lineRule="auto"/>
        <w:ind w:firstLine="420" w:firstLineChars="200"/>
        <w:rPr>
          <w:rFonts w:ascii="宋体" w:hAnsi="宋体" w:cs="宋体"/>
          <w:highlight w:val="none"/>
        </w:rPr>
      </w:pPr>
      <w:r>
        <w:rPr>
          <w:rFonts w:hint="eastAsia" w:ascii="宋体" w:hAnsi="宋体" w:cs="宋体"/>
          <w:highlight w:val="none"/>
        </w:rPr>
        <w:t>（</w:t>
      </w:r>
      <w:r>
        <w:rPr>
          <w:rFonts w:hint="eastAsia" w:cs="宋体"/>
          <w:highlight w:val="none"/>
        </w:rPr>
        <w:t>2</w:t>
      </w:r>
      <w:r>
        <w:rPr>
          <w:rFonts w:hint="eastAsia" w:ascii="宋体" w:hAnsi="宋体" w:cs="宋体"/>
          <w:highlight w:val="none"/>
        </w:rPr>
        <w:t>）没有被责令停产停业、暂扣或者吊销许可证、暂扣或者吊销执照；</w:t>
      </w:r>
    </w:p>
    <w:p w14:paraId="733698A2">
      <w:pPr>
        <w:spacing w:line="336" w:lineRule="auto"/>
        <w:ind w:firstLine="420" w:firstLineChars="200"/>
        <w:rPr>
          <w:rFonts w:ascii="宋体" w:hAnsi="宋体" w:cs="宋体"/>
          <w:highlight w:val="none"/>
        </w:rPr>
      </w:pPr>
      <w:r>
        <w:rPr>
          <w:rFonts w:hint="eastAsia" w:ascii="宋体" w:hAnsi="宋体" w:cs="宋体"/>
          <w:highlight w:val="none"/>
        </w:rPr>
        <w:t>（</w:t>
      </w:r>
      <w:r>
        <w:rPr>
          <w:rFonts w:hint="eastAsia" w:cs="宋体"/>
          <w:highlight w:val="none"/>
        </w:rPr>
        <w:t>3</w:t>
      </w:r>
      <w:r>
        <w:rPr>
          <w:rFonts w:hint="eastAsia" w:ascii="宋体" w:hAnsi="宋体" w:cs="宋体"/>
          <w:highlight w:val="none"/>
        </w:rPr>
        <w:t>）没有进入清算程序，或被宣告破产，或其他丧失履约能力的情形；</w:t>
      </w:r>
    </w:p>
    <w:p w14:paraId="108A7F5B">
      <w:pPr>
        <w:spacing w:line="336" w:lineRule="auto"/>
        <w:ind w:firstLine="420" w:firstLineChars="200"/>
        <w:rPr>
          <w:rFonts w:ascii="宋体" w:hAnsi="宋体" w:cs="宋体"/>
          <w:highlight w:val="none"/>
        </w:rPr>
      </w:pPr>
      <w:r>
        <w:rPr>
          <w:rFonts w:hint="eastAsia" w:ascii="宋体" w:hAnsi="宋体" w:cs="宋体"/>
          <w:highlight w:val="none"/>
        </w:rPr>
        <w:t>（</w:t>
      </w:r>
      <w:r>
        <w:rPr>
          <w:rFonts w:hint="eastAsia" w:cs="宋体"/>
          <w:highlight w:val="none"/>
        </w:rPr>
        <w:t>4</w:t>
      </w:r>
      <w:r>
        <w:rPr>
          <w:rFonts w:hint="eastAsia" w:ascii="宋体" w:hAnsi="宋体" w:cs="宋体"/>
          <w:highlight w:val="none"/>
        </w:rPr>
        <w:t>）在最近三年内没有发生重大工程质量问题（以相关行业主管部门的行政处罚决定或司法机关出具的有关法律文书为准）；</w:t>
      </w:r>
    </w:p>
    <w:p w14:paraId="2C448D51">
      <w:pPr>
        <w:spacing w:line="336" w:lineRule="auto"/>
        <w:ind w:firstLine="420" w:firstLineChars="200"/>
        <w:rPr>
          <w:rFonts w:ascii="宋体" w:hAnsi="宋体" w:cs="宋体"/>
          <w:highlight w:val="none"/>
        </w:rPr>
      </w:pPr>
      <w:r>
        <w:rPr>
          <w:rFonts w:hint="eastAsia" w:ascii="宋体" w:hAnsi="宋体" w:cs="宋体"/>
          <w:highlight w:val="none"/>
        </w:rPr>
        <w:t>（</w:t>
      </w:r>
      <w:r>
        <w:rPr>
          <w:rFonts w:hint="eastAsia" w:cs="宋体"/>
          <w:highlight w:val="none"/>
        </w:rPr>
        <w:t>5</w:t>
      </w:r>
      <w:r>
        <w:rPr>
          <w:rFonts w:hint="eastAsia" w:ascii="宋体" w:hAnsi="宋体" w:cs="宋体"/>
          <w:highlight w:val="none"/>
        </w:rPr>
        <w:t xml:space="preserve">）在“国家企业信用信息公示系统”（ </w:t>
      </w:r>
      <w:r>
        <w:rPr>
          <w:rFonts w:hint="eastAsia" w:cs="宋体"/>
          <w:highlight w:val="none"/>
        </w:rPr>
        <w:t>www</w:t>
      </w:r>
      <w:r>
        <w:rPr>
          <w:rFonts w:hint="eastAsia" w:ascii="宋体" w:hAnsi="宋体" w:cs="宋体"/>
          <w:highlight w:val="none"/>
        </w:rPr>
        <w:t>.</w:t>
      </w:r>
      <w:r>
        <w:rPr>
          <w:rFonts w:hint="eastAsia" w:cs="宋体"/>
          <w:highlight w:val="none"/>
        </w:rPr>
        <w:t>gsxt</w:t>
      </w:r>
      <w:r>
        <w:rPr>
          <w:rFonts w:hint="eastAsia" w:ascii="宋体" w:hAnsi="宋体" w:cs="宋体"/>
          <w:highlight w:val="none"/>
        </w:rPr>
        <w:t>.</w:t>
      </w:r>
      <w:r>
        <w:rPr>
          <w:rFonts w:hint="eastAsia" w:cs="宋体"/>
          <w:highlight w:val="none"/>
        </w:rPr>
        <w:t>gov</w:t>
      </w:r>
      <w:r>
        <w:rPr>
          <w:rFonts w:hint="eastAsia" w:ascii="宋体" w:hAnsi="宋体" w:cs="宋体"/>
          <w:highlight w:val="none"/>
        </w:rPr>
        <w:t>.</w:t>
      </w:r>
      <w:r>
        <w:rPr>
          <w:rFonts w:hint="eastAsia" w:cs="宋体"/>
          <w:highlight w:val="none"/>
        </w:rPr>
        <w:t>cn</w:t>
      </w:r>
      <w:r>
        <w:rPr>
          <w:rFonts w:hint="eastAsia" w:ascii="宋体" w:hAnsi="宋体" w:cs="宋体"/>
          <w:highlight w:val="none"/>
        </w:rPr>
        <w:t>）中没有被列入严重违法失信企业名单；</w:t>
      </w:r>
    </w:p>
    <w:p w14:paraId="5CEE2C4C">
      <w:pPr>
        <w:spacing w:line="336" w:lineRule="auto"/>
        <w:ind w:firstLine="420" w:firstLineChars="200"/>
        <w:rPr>
          <w:rFonts w:ascii="宋体" w:hAnsi="宋体" w:cs="宋体"/>
          <w:highlight w:val="none"/>
        </w:rPr>
      </w:pPr>
      <w:r>
        <w:rPr>
          <w:rFonts w:hint="eastAsia" w:ascii="宋体" w:hAnsi="宋体" w:cs="宋体"/>
          <w:highlight w:val="none"/>
        </w:rPr>
        <w:t>（</w:t>
      </w:r>
      <w:r>
        <w:rPr>
          <w:rFonts w:hint="eastAsia" w:cs="宋体"/>
          <w:highlight w:val="none"/>
        </w:rPr>
        <w:t>6</w:t>
      </w:r>
      <w:r>
        <w:rPr>
          <w:rFonts w:hint="eastAsia" w:ascii="宋体" w:hAnsi="宋体" w:cs="宋体"/>
          <w:highlight w:val="none"/>
        </w:rPr>
        <w:t>）在“信用中国”网站（</w:t>
      </w:r>
      <w:r>
        <w:rPr>
          <w:rFonts w:hint="eastAsia" w:cs="宋体"/>
          <w:highlight w:val="none"/>
        </w:rPr>
        <w:t>www</w:t>
      </w:r>
      <w:r>
        <w:rPr>
          <w:rFonts w:hint="eastAsia" w:ascii="宋体" w:hAnsi="宋体" w:cs="宋体"/>
          <w:highlight w:val="none"/>
        </w:rPr>
        <w:t>.</w:t>
      </w:r>
      <w:r>
        <w:rPr>
          <w:rFonts w:hint="eastAsia" w:cs="宋体"/>
          <w:highlight w:val="none"/>
        </w:rPr>
        <w:t>creditchina</w:t>
      </w:r>
      <w:r>
        <w:rPr>
          <w:rFonts w:hint="eastAsia" w:ascii="宋体" w:hAnsi="宋体" w:cs="宋体"/>
          <w:highlight w:val="none"/>
        </w:rPr>
        <w:t>.</w:t>
      </w:r>
      <w:r>
        <w:rPr>
          <w:rFonts w:hint="eastAsia" w:cs="宋体"/>
          <w:highlight w:val="none"/>
        </w:rPr>
        <w:t>gov</w:t>
      </w:r>
      <w:r>
        <w:rPr>
          <w:rFonts w:hint="eastAsia" w:ascii="宋体" w:hAnsi="宋体" w:cs="宋体"/>
          <w:highlight w:val="none"/>
        </w:rPr>
        <w:t>.</w:t>
      </w:r>
      <w:r>
        <w:rPr>
          <w:rFonts w:hint="eastAsia" w:cs="宋体"/>
          <w:highlight w:val="none"/>
        </w:rPr>
        <w:t>cn</w:t>
      </w:r>
      <w:r>
        <w:rPr>
          <w:rFonts w:hint="eastAsia" w:ascii="宋体" w:hAnsi="宋体" w:cs="宋体"/>
          <w:highlight w:val="none"/>
        </w:rPr>
        <w:t>）或“中国执行信息公开网”（</w:t>
      </w:r>
      <w:r>
        <w:rPr>
          <w:rFonts w:hint="eastAsia" w:cs="宋体"/>
          <w:highlight w:val="none"/>
        </w:rPr>
        <w:t>http</w:t>
      </w:r>
      <w:r>
        <w:rPr>
          <w:rFonts w:hint="eastAsia" w:ascii="宋体" w:hAnsi="宋体" w:cs="宋体"/>
          <w:highlight w:val="none"/>
        </w:rPr>
        <w:t>://</w:t>
      </w:r>
      <w:r>
        <w:rPr>
          <w:rFonts w:hint="eastAsia" w:cs="宋体"/>
          <w:highlight w:val="none"/>
        </w:rPr>
        <w:t>zxgk</w:t>
      </w:r>
      <w:r>
        <w:rPr>
          <w:rFonts w:hint="eastAsia" w:ascii="宋体" w:hAnsi="宋体" w:cs="宋体"/>
          <w:highlight w:val="none"/>
        </w:rPr>
        <w:t>.</w:t>
      </w:r>
      <w:r>
        <w:rPr>
          <w:rFonts w:hint="eastAsia" w:cs="宋体"/>
          <w:highlight w:val="none"/>
        </w:rPr>
        <w:t>court</w:t>
      </w:r>
      <w:r>
        <w:rPr>
          <w:rFonts w:hint="eastAsia" w:ascii="宋体" w:hAnsi="宋体" w:cs="宋体"/>
          <w:highlight w:val="none"/>
        </w:rPr>
        <w:t>.</w:t>
      </w:r>
      <w:r>
        <w:rPr>
          <w:rFonts w:hint="eastAsia" w:cs="宋体"/>
          <w:highlight w:val="none"/>
        </w:rPr>
        <w:t>gov</w:t>
      </w:r>
      <w:r>
        <w:rPr>
          <w:rFonts w:hint="eastAsia" w:ascii="宋体" w:hAnsi="宋体" w:cs="宋体"/>
          <w:highlight w:val="none"/>
        </w:rPr>
        <w:t>.</w:t>
      </w:r>
      <w:r>
        <w:rPr>
          <w:rFonts w:hint="eastAsia" w:cs="宋体"/>
          <w:highlight w:val="none"/>
        </w:rPr>
        <w:t>cn</w:t>
      </w:r>
      <w:r>
        <w:rPr>
          <w:rFonts w:hint="eastAsia" w:ascii="宋体" w:hAnsi="宋体" w:cs="宋体"/>
          <w:highlight w:val="none"/>
        </w:rPr>
        <w:t>/</w:t>
      </w:r>
      <w:r>
        <w:rPr>
          <w:rFonts w:hint="eastAsia" w:cs="宋体"/>
          <w:highlight w:val="none"/>
        </w:rPr>
        <w:t>shixin</w:t>
      </w:r>
      <w:r>
        <w:rPr>
          <w:rFonts w:hint="eastAsia" w:ascii="宋体" w:hAnsi="宋体" w:cs="宋体"/>
          <w:highlight w:val="none"/>
        </w:rPr>
        <w:t>/）没有被列入失信被执行人名单；</w:t>
      </w:r>
    </w:p>
    <w:p w14:paraId="38265193">
      <w:pPr>
        <w:spacing w:line="336" w:lineRule="auto"/>
        <w:ind w:firstLine="420" w:firstLineChars="200"/>
        <w:rPr>
          <w:rFonts w:ascii="宋体" w:hAnsi="宋体" w:cs="宋体"/>
          <w:highlight w:val="none"/>
        </w:rPr>
      </w:pPr>
      <w:r>
        <w:rPr>
          <w:rFonts w:hint="eastAsia" w:ascii="宋体" w:hAnsi="宋体" w:cs="宋体"/>
          <w:highlight w:val="none"/>
        </w:rPr>
        <w:t>（</w:t>
      </w:r>
      <w:r>
        <w:rPr>
          <w:rFonts w:hint="eastAsia" w:cs="宋体"/>
          <w:highlight w:val="none"/>
        </w:rPr>
        <w:t>7</w:t>
      </w:r>
      <w:r>
        <w:rPr>
          <w:rFonts w:hint="eastAsia" w:ascii="宋体" w:hAnsi="宋体" w:cs="宋体"/>
          <w:highlight w:val="none"/>
        </w:rPr>
        <w:t>）在近三年内投标人或其法定代表人、拟委任的项目负责人没有行贿犯罪行为。</w:t>
      </w:r>
    </w:p>
    <w:p w14:paraId="311458CF">
      <w:pPr>
        <w:spacing w:line="336" w:lineRule="auto"/>
        <w:ind w:firstLine="420" w:firstLineChars="200"/>
        <w:rPr>
          <w:rFonts w:ascii="宋体" w:hAnsi="宋体" w:cs="宋体"/>
          <w:highlight w:val="none"/>
        </w:rPr>
      </w:pPr>
      <w:r>
        <w:rPr>
          <w:rFonts w:hint="eastAsia" w:ascii="宋体" w:hAnsi="宋体" w:cs="宋体"/>
          <w:highlight w:val="none"/>
        </w:rPr>
        <w:t>（</w:t>
      </w:r>
      <w:r>
        <w:rPr>
          <w:rFonts w:hint="eastAsia" w:cs="宋体"/>
          <w:highlight w:val="none"/>
        </w:rPr>
        <w:t>8</w:t>
      </w:r>
      <w:r>
        <w:rPr>
          <w:rFonts w:hint="eastAsia" w:ascii="宋体" w:hAnsi="宋体" w:cs="宋体"/>
          <w:highlight w:val="none"/>
        </w:rPr>
        <w:t>）不存在法律法规或</w:t>
      </w:r>
      <w:r>
        <w:rPr>
          <w:rFonts w:hint="eastAsia" w:cs="宋体" w:asciiTheme="minorEastAsia" w:hAnsiTheme="minorEastAsia" w:eastAsiaTheme="minorEastAsia"/>
          <w:highlight w:val="none"/>
          <w:u w:val="single"/>
        </w:rPr>
        <w:t>招标文件</w:t>
      </w:r>
      <w:r>
        <w:rPr>
          <w:rFonts w:hint="eastAsia" w:ascii="宋体" w:hAnsi="宋体" w:cs="宋体"/>
          <w:highlight w:val="none"/>
        </w:rPr>
        <w:t>投标人须知前附表第</w:t>
      </w:r>
      <w:r>
        <w:rPr>
          <w:rFonts w:hint="eastAsia" w:cs="宋体"/>
          <w:highlight w:val="none"/>
        </w:rPr>
        <w:t>1</w:t>
      </w:r>
      <w:r>
        <w:rPr>
          <w:rFonts w:hint="eastAsia" w:ascii="宋体" w:hAnsi="宋体" w:cs="宋体"/>
          <w:highlight w:val="none"/>
        </w:rPr>
        <w:t>.</w:t>
      </w:r>
      <w:r>
        <w:rPr>
          <w:rFonts w:hint="eastAsia" w:cs="宋体"/>
          <w:highlight w:val="none"/>
        </w:rPr>
        <w:t>4</w:t>
      </w:r>
      <w:r>
        <w:rPr>
          <w:rFonts w:hint="eastAsia" w:ascii="宋体" w:hAnsi="宋体" w:cs="宋体"/>
          <w:highlight w:val="none"/>
        </w:rPr>
        <w:t>.</w:t>
      </w:r>
      <w:r>
        <w:rPr>
          <w:rFonts w:hint="eastAsia" w:cs="宋体"/>
          <w:highlight w:val="none"/>
        </w:rPr>
        <w:t>3</w:t>
      </w:r>
      <w:r>
        <w:rPr>
          <w:rFonts w:hint="eastAsia" w:ascii="宋体" w:hAnsi="宋体" w:cs="宋体"/>
          <w:highlight w:val="none"/>
        </w:rPr>
        <w:t>（</w:t>
      </w:r>
      <w:r>
        <w:rPr>
          <w:rFonts w:hint="eastAsia" w:cs="宋体"/>
          <w:highlight w:val="none"/>
        </w:rPr>
        <w:t>19</w:t>
      </w:r>
      <w:r>
        <w:rPr>
          <w:rFonts w:hint="eastAsia" w:ascii="宋体" w:hAnsi="宋体" w:cs="宋体"/>
          <w:highlight w:val="none"/>
        </w:rPr>
        <w:t>）目规定的不得存在的其他情形。</w:t>
      </w:r>
    </w:p>
    <w:p w14:paraId="749FBFF5">
      <w:pPr>
        <w:spacing w:line="336" w:lineRule="auto"/>
        <w:ind w:firstLine="420" w:firstLineChars="200"/>
        <w:rPr>
          <w:highlight w:val="none"/>
        </w:rPr>
      </w:pPr>
      <w:r>
        <w:rPr>
          <w:rFonts w:hint="eastAsia"/>
          <w:highlight w:val="none"/>
        </w:rPr>
        <w:t>3</w:t>
      </w:r>
      <w:r>
        <w:rPr>
          <w:rFonts w:hint="eastAsia" w:ascii="宋体" w:hAnsi="宋体" w:cs="宋体"/>
          <w:highlight w:val="none"/>
        </w:rPr>
        <w:t>.</w:t>
      </w:r>
      <w:r>
        <w:rPr>
          <w:rFonts w:hint="eastAsia"/>
          <w:highlight w:val="none"/>
        </w:rPr>
        <w:t>9资格审查前，投标人须在交易平台完成企业信息登记，及拟担任本工程项目负责人、专职安全员须是本企业信息登记中的在册人员。企业信息登记应按照交易平台关于企业信息登记的相关指南进行操作。详见：</w:t>
      </w:r>
      <w:r>
        <w:rPr>
          <w:rFonts w:hint="eastAsia"/>
          <w:highlight w:val="none"/>
          <w:u w:val="single"/>
        </w:rPr>
        <w:t>广州交易集团有限公司（广州公共资源交易中心）</w:t>
      </w:r>
      <w:r>
        <w:rPr>
          <w:rFonts w:hint="eastAsia"/>
          <w:szCs w:val="21"/>
          <w:highlight w:val="none"/>
          <w:u w:val="single"/>
        </w:rPr>
        <w:t>网站发布的相关办事指引</w:t>
      </w:r>
      <w:r>
        <w:rPr>
          <w:rFonts w:hint="eastAsia"/>
          <w:highlight w:val="none"/>
        </w:rPr>
        <w:t>。</w:t>
      </w:r>
    </w:p>
    <w:p w14:paraId="2F941423">
      <w:pPr>
        <w:spacing w:line="336" w:lineRule="auto"/>
        <w:ind w:firstLine="420" w:firstLineChars="200"/>
        <w:rPr>
          <w:highlight w:val="none"/>
        </w:rPr>
      </w:pPr>
      <w:r>
        <w:rPr>
          <w:rFonts w:hint="eastAsia"/>
          <w:highlight w:val="none"/>
        </w:rPr>
        <w:t>3.10其他</w:t>
      </w:r>
      <w:r>
        <w:rPr>
          <w:highlight w:val="none"/>
        </w:rPr>
        <w:t>要求：</w:t>
      </w:r>
      <w:r>
        <w:rPr>
          <w:rFonts w:hint="eastAsia" w:asciiTheme="minorEastAsia" w:hAnsiTheme="minorEastAsia" w:eastAsiaTheme="minorEastAsia"/>
          <w:highlight w:val="none"/>
          <w:u w:val="single"/>
        </w:rPr>
        <w:t>投标人未出现以下情形：与本项目其他投标人的单位负责人为同一人或者存在控股、管理关系的（按投标人提供的《投标人基本情况表》中的“关联单位”栏填写的内容进行评审）。</w:t>
      </w:r>
      <w:r>
        <w:rPr>
          <w:rFonts w:hint="eastAsia" w:asciiTheme="minorEastAsia" w:hAnsiTheme="minorEastAsia" w:eastAsiaTheme="minorEastAsia"/>
          <w:b/>
          <w:bCs/>
          <w:highlight w:val="none"/>
          <w:u w:val="single"/>
        </w:rPr>
        <w:t>如不同投标申请人出现单位负责人为同一人或者存在控股、管理关系的情形，则相关投标均无效，否决其投标。</w:t>
      </w:r>
    </w:p>
    <w:bookmarkEnd w:id="127"/>
    <w:p w14:paraId="5ED55F8D">
      <w:pPr>
        <w:pStyle w:val="19"/>
        <w:keepNext w:val="0"/>
        <w:keepLines w:val="0"/>
        <w:spacing w:before="0" w:line="336" w:lineRule="auto"/>
        <w:outlineLvl w:val="2"/>
        <w:rPr>
          <w:highlight w:val="none"/>
        </w:rPr>
      </w:pPr>
      <w:bookmarkStart w:id="128" w:name="_Toc22991"/>
      <w:bookmarkStart w:id="129" w:name="_Toc27249"/>
      <w:bookmarkStart w:id="130" w:name="_Toc6298"/>
      <w:bookmarkStart w:id="131" w:name="_Toc221949930"/>
      <w:bookmarkStart w:id="132" w:name="_Toc22944"/>
      <w:bookmarkStart w:id="133" w:name="_Toc4186"/>
      <w:bookmarkStart w:id="134" w:name="_Toc29364"/>
      <w:bookmarkStart w:id="135" w:name="_Toc23739"/>
      <w:bookmarkStart w:id="136" w:name="_Toc23660"/>
      <w:bookmarkStart w:id="137" w:name="_Toc12445"/>
      <w:bookmarkStart w:id="138" w:name="_Toc1544"/>
      <w:bookmarkStart w:id="139" w:name="_Toc229305326"/>
      <w:bookmarkStart w:id="140" w:name="_Toc144974483"/>
      <w:bookmarkStart w:id="141" w:name="_Toc168476032"/>
      <w:bookmarkStart w:id="142" w:name="_Toc10699"/>
      <w:bookmarkStart w:id="143" w:name="_Toc18784"/>
      <w:bookmarkStart w:id="144" w:name="_Toc899841256"/>
      <w:bookmarkStart w:id="145" w:name="_Toc10877"/>
      <w:bookmarkStart w:id="146" w:name="_Toc592"/>
      <w:bookmarkStart w:id="147" w:name="_Toc222033817"/>
      <w:bookmarkStart w:id="148" w:name="_Toc933282979"/>
      <w:bookmarkStart w:id="149" w:name="_Toc27703"/>
      <w:bookmarkStart w:id="150" w:name="_Toc222029466"/>
      <w:bookmarkStart w:id="151" w:name="_Toc222032635"/>
      <w:bookmarkStart w:id="152" w:name="_Toc18652"/>
      <w:bookmarkStart w:id="153" w:name="_Toc222030968"/>
      <w:bookmarkStart w:id="154" w:name="_Toc12095"/>
      <w:bookmarkStart w:id="155" w:name="_Toc1789"/>
      <w:bookmarkStart w:id="156" w:name="_Toc23779"/>
      <w:bookmarkStart w:id="157" w:name="_Toc31276"/>
      <w:bookmarkStart w:id="158" w:name="_Toc15220"/>
      <w:bookmarkStart w:id="159" w:name="_Toc12519"/>
      <w:bookmarkStart w:id="160" w:name="_Toc5342"/>
      <w:bookmarkStart w:id="161" w:name="_Toc168475629"/>
      <w:bookmarkStart w:id="162" w:name="_Toc6147"/>
      <w:bookmarkStart w:id="163" w:name="_Toc1179"/>
      <w:bookmarkStart w:id="164" w:name="_Toc7220"/>
      <w:bookmarkStart w:id="165" w:name="_Toc387753535"/>
      <w:r>
        <w:rPr>
          <w:rFonts w:hint="eastAsia"/>
          <w:highlight w:val="none"/>
        </w:rPr>
        <w:t>4. 招标文件的获取</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ABF8016">
      <w:pPr>
        <w:adjustRightInd w:val="0"/>
        <w:snapToGrid w:val="0"/>
        <w:spacing w:line="336" w:lineRule="auto"/>
        <w:ind w:firstLine="420" w:firstLineChars="200"/>
        <w:rPr>
          <w:rFonts w:ascii="宋体" w:hAnsi="宋体" w:cs="宋体"/>
          <w:szCs w:val="21"/>
          <w:highlight w:val="none"/>
        </w:rPr>
      </w:pPr>
      <w:bookmarkStart w:id="166" w:name="_Toc229305327"/>
      <w:bookmarkStart w:id="167" w:name="_Toc168475630"/>
      <w:bookmarkStart w:id="168" w:name="_Toc144974484"/>
      <w:bookmarkStart w:id="169" w:name="_Toc221949934"/>
      <w:bookmarkStart w:id="170" w:name="_Toc222029467"/>
      <w:bookmarkStart w:id="171" w:name="_Toc222033818"/>
      <w:bookmarkStart w:id="172" w:name="_Toc222030969"/>
      <w:bookmarkStart w:id="173" w:name="_Toc168476033"/>
      <w:bookmarkStart w:id="174" w:name="_Toc387753536"/>
      <w:bookmarkStart w:id="175" w:name="_Toc222032636"/>
      <w:r>
        <w:rPr>
          <w:rFonts w:hint="eastAsia" w:cs="宋体"/>
          <w:szCs w:val="21"/>
          <w:highlight w:val="none"/>
        </w:rPr>
        <w:t>4</w:t>
      </w:r>
      <w:r>
        <w:rPr>
          <w:rFonts w:hint="eastAsia" w:ascii="宋体" w:hAnsi="宋体" w:cs="宋体"/>
          <w:szCs w:val="21"/>
          <w:highlight w:val="none"/>
        </w:rPr>
        <w:t>.</w:t>
      </w:r>
      <w:r>
        <w:rPr>
          <w:rFonts w:hint="eastAsia" w:cs="宋体"/>
          <w:szCs w:val="21"/>
          <w:highlight w:val="none"/>
        </w:rPr>
        <w:t>1</w:t>
      </w:r>
      <w:r>
        <w:rPr>
          <w:rFonts w:hint="eastAsia"/>
          <w:highlight w:val="none"/>
        </w:rPr>
        <w:t>凡有意参加投标者，应当在</w:t>
      </w:r>
      <w:r>
        <w:rPr>
          <w:rFonts w:hint="eastAsia"/>
          <w:highlight w:val="none"/>
          <w:u w:val="single"/>
        </w:rPr>
        <w:t>广州交易集团有限公司（广州公共资源交易中心）</w:t>
      </w:r>
      <w:r>
        <w:rPr>
          <w:rFonts w:hint="eastAsia"/>
          <w:highlight w:val="none"/>
        </w:rPr>
        <w:t>（以下简称“电子交易平台”，下同）（网址：http://www.gzggzy.cn/）进行注册登记，并办理CA数字证书（</w:t>
      </w:r>
      <w:r>
        <w:rPr>
          <w:rFonts w:hint="eastAsia"/>
          <w:highlight w:val="none"/>
          <w:u w:val="single"/>
        </w:rPr>
        <w:t>具体按照交易平台的相关指南进行操作，详见广州公共资源交易中心（广州交易集团有限公司）网站最新指引</w:t>
      </w:r>
      <w:r>
        <w:rPr>
          <w:rFonts w:hint="eastAsia"/>
          <w:highlight w:val="none"/>
        </w:rPr>
        <w:t>）。</w:t>
      </w:r>
    </w:p>
    <w:p w14:paraId="5FA199FE">
      <w:pPr>
        <w:adjustRightInd w:val="0"/>
        <w:snapToGrid w:val="0"/>
        <w:spacing w:line="336" w:lineRule="auto"/>
        <w:ind w:firstLine="420" w:firstLineChars="200"/>
        <w:rPr>
          <w:highlight w:val="none"/>
        </w:rPr>
      </w:pPr>
      <w:r>
        <w:rPr>
          <w:rFonts w:hint="eastAsia" w:cs="宋体"/>
          <w:szCs w:val="21"/>
          <w:highlight w:val="none"/>
        </w:rPr>
        <w:t>4</w:t>
      </w:r>
      <w:r>
        <w:rPr>
          <w:rFonts w:hint="eastAsia" w:ascii="宋体" w:hAnsi="宋体" w:cs="宋体"/>
          <w:szCs w:val="21"/>
          <w:highlight w:val="none"/>
        </w:rPr>
        <w:t>.</w:t>
      </w:r>
      <w:r>
        <w:rPr>
          <w:rFonts w:hint="eastAsia" w:cs="宋体"/>
          <w:szCs w:val="21"/>
          <w:highlight w:val="none"/>
        </w:rPr>
        <w:t>2</w:t>
      </w:r>
      <w:r>
        <w:rPr>
          <w:rFonts w:hint="eastAsia" w:ascii="宋体" w:hAnsi="宋体" w:cs="宋体"/>
          <w:szCs w:val="21"/>
          <w:highlight w:val="none"/>
        </w:rPr>
        <w:t xml:space="preserve"> 完成注册登记后，</w:t>
      </w:r>
      <w:r>
        <w:rPr>
          <w:rFonts w:hint="eastAsia" w:ascii="宋体" w:hAnsi="宋体" w:cs="宋体"/>
          <w:highlight w:val="none"/>
        </w:rPr>
        <w:t>请于</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日至</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r>
        <w:rPr>
          <w:rFonts w:hint="eastAsia" w:ascii="宋体" w:hAnsi="宋体" w:cs="宋体"/>
          <w:highlight w:val="none"/>
          <w:u w:val="single"/>
        </w:rPr>
        <w:t xml:space="preserve">    </w:t>
      </w:r>
      <w:r>
        <w:rPr>
          <w:rFonts w:hint="eastAsia" w:ascii="宋体" w:hAnsi="宋体" w:cs="宋体"/>
          <w:highlight w:val="none"/>
        </w:rPr>
        <w:t>时</w:t>
      </w:r>
      <w:r>
        <w:rPr>
          <w:rFonts w:hint="eastAsia" w:ascii="宋体" w:hAnsi="宋体" w:cs="宋体"/>
          <w:highlight w:val="none"/>
          <w:u w:val="single"/>
        </w:rPr>
        <w:t xml:space="preserve">    </w:t>
      </w:r>
      <w:r>
        <w:rPr>
          <w:rFonts w:hint="eastAsia" w:ascii="宋体" w:hAnsi="宋体" w:cs="宋体"/>
          <w:highlight w:val="none"/>
        </w:rPr>
        <w:t>分止</w:t>
      </w:r>
      <w:r>
        <w:rPr>
          <w:rFonts w:hint="eastAsia" w:ascii="宋体" w:hAnsi="宋体" w:cs="宋体"/>
          <w:szCs w:val="21"/>
          <w:highlight w:val="none"/>
        </w:rPr>
        <w:t>（北京时间，下同）</w:t>
      </w:r>
      <w:r>
        <w:rPr>
          <w:rFonts w:hint="eastAsia" w:ascii="宋体" w:hAnsi="宋体" w:cs="宋体"/>
          <w:highlight w:val="none"/>
        </w:rPr>
        <w:t>，通过互联网使用</w:t>
      </w:r>
      <w:r>
        <w:rPr>
          <w:rFonts w:hint="eastAsia" w:cs="宋体"/>
          <w:szCs w:val="21"/>
          <w:highlight w:val="none"/>
        </w:rPr>
        <w:t>CA</w:t>
      </w:r>
      <w:r>
        <w:rPr>
          <w:rFonts w:hint="eastAsia" w:ascii="宋体" w:hAnsi="宋体" w:cs="宋体"/>
          <w:szCs w:val="21"/>
          <w:highlight w:val="none"/>
        </w:rPr>
        <w:t>数字证书</w:t>
      </w:r>
      <w:r>
        <w:rPr>
          <w:rFonts w:hint="eastAsia" w:ascii="宋体" w:hAnsi="宋体" w:cs="宋体"/>
          <w:highlight w:val="none"/>
        </w:rPr>
        <w:t>登录“电子交易平台”</w:t>
      </w:r>
      <w:r>
        <w:rPr>
          <w:rFonts w:hint="eastAsia" w:ascii="宋体" w:hAnsi="宋体" w:cs="宋体"/>
          <w:szCs w:val="21"/>
          <w:highlight w:val="none"/>
        </w:rPr>
        <w:t>，在所投标段免费下载招标文件。</w:t>
      </w:r>
      <w:r>
        <w:rPr>
          <w:rFonts w:hint="eastAsia" w:ascii="宋体" w:hAnsi="宋体" w:cs="宋体"/>
          <w:color w:val="auto"/>
          <w:szCs w:val="21"/>
          <w:highlight w:val="none"/>
        </w:rPr>
        <w:t>（具体操作按照交易平台的相关指南进行，详见</w:t>
      </w:r>
      <w:r>
        <w:rPr>
          <w:rFonts w:hint="eastAsia" w:ascii="宋体" w:hAnsi="宋体" w:cs="宋体"/>
          <w:color w:val="auto"/>
          <w:highlight w:val="none"/>
          <w:u w:val="single"/>
        </w:rPr>
        <w:t>广州公共资源交易中心（广州交易集团有限公司）网站最新指引</w:t>
      </w:r>
      <w:r>
        <w:rPr>
          <w:rFonts w:hint="eastAsia"/>
          <w:color w:val="auto"/>
          <w:highlight w:val="none"/>
        </w:rPr>
        <w:t>）。</w:t>
      </w:r>
      <w:r>
        <w:rPr>
          <w:rFonts w:hint="eastAsia" w:ascii="宋体" w:hAnsi="宋体" w:cs="宋体"/>
          <w:szCs w:val="21"/>
          <w:highlight w:val="none"/>
        </w:rPr>
        <w:t>未按规定从“电子交易平台”下载招标文件的，</w:t>
      </w:r>
      <w:r>
        <w:rPr>
          <w:rFonts w:hint="eastAsia"/>
          <w:highlight w:val="none"/>
        </w:rPr>
        <w:t>招标人（“</w:t>
      </w:r>
      <w:r>
        <w:rPr>
          <w:highlight w:val="none"/>
        </w:rPr>
        <w:t>电子</w:t>
      </w:r>
      <w:r>
        <w:rPr>
          <w:rFonts w:hint="eastAsia"/>
          <w:highlight w:val="none"/>
        </w:rPr>
        <w:t>交易平台”）拒收其投标文件。</w:t>
      </w:r>
    </w:p>
    <w:p w14:paraId="559D827C">
      <w:pPr>
        <w:pStyle w:val="19"/>
        <w:keepNext w:val="0"/>
        <w:keepLines w:val="0"/>
        <w:spacing w:before="0" w:line="336" w:lineRule="auto"/>
        <w:outlineLvl w:val="2"/>
        <w:rPr>
          <w:highlight w:val="none"/>
        </w:rPr>
      </w:pPr>
      <w:bookmarkStart w:id="176" w:name="_Toc16281"/>
      <w:bookmarkStart w:id="177" w:name="_Toc15817"/>
      <w:bookmarkStart w:id="178" w:name="_Toc30709"/>
      <w:bookmarkStart w:id="179" w:name="_Toc7337"/>
      <w:bookmarkStart w:id="180" w:name="_Toc22890"/>
      <w:bookmarkStart w:id="181" w:name="_Toc15966"/>
      <w:bookmarkStart w:id="182" w:name="_Toc14406"/>
      <w:bookmarkStart w:id="183" w:name="_Toc25347"/>
      <w:bookmarkStart w:id="184" w:name="_Toc32551"/>
      <w:bookmarkStart w:id="185" w:name="_Toc2815"/>
      <w:bookmarkStart w:id="186" w:name="_Toc30934"/>
      <w:bookmarkStart w:id="187" w:name="_Toc8885"/>
      <w:bookmarkStart w:id="188" w:name="_Toc27825"/>
      <w:bookmarkStart w:id="189" w:name="_Toc5300"/>
      <w:bookmarkStart w:id="190" w:name="_Toc18259"/>
      <w:bookmarkStart w:id="191" w:name="_Toc3773"/>
      <w:bookmarkStart w:id="192" w:name="_Toc21756"/>
      <w:bookmarkStart w:id="193" w:name="_Toc23646"/>
      <w:bookmarkStart w:id="194" w:name="_Toc14058"/>
      <w:bookmarkStart w:id="195" w:name="_Toc8266"/>
      <w:bookmarkStart w:id="196" w:name="_Toc1143022034"/>
      <w:bookmarkStart w:id="197" w:name="_Toc11910"/>
      <w:bookmarkStart w:id="198" w:name="_Toc1314950961"/>
      <w:bookmarkStart w:id="199" w:name="_Toc23271"/>
      <w:bookmarkStart w:id="200" w:name="_Toc7590"/>
      <w:bookmarkStart w:id="201" w:name="_Toc29374"/>
      <w:bookmarkStart w:id="202" w:name="_Toc18917"/>
      <w:bookmarkStart w:id="203" w:name="_Toc9915"/>
      <w:r>
        <w:rPr>
          <w:rFonts w:hint="eastAsia"/>
          <w:highlight w:val="none"/>
        </w:rPr>
        <w:t>5. 公告发布日期、递交投标文件时间与开标时间</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6A3A764">
      <w:pPr>
        <w:spacing w:line="336" w:lineRule="auto"/>
        <w:rPr>
          <w:szCs w:val="21"/>
          <w:highlight w:val="none"/>
        </w:rPr>
      </w:pPr>
      <w:bookmarkStart w:id="204" w:name="_Toc222032638"/>
      <w:bookmarkStart w:id="205" w:name="_Toc221949939"/>
      <w:bookmarkStart w:id="206" w:name="_Toc168476034"/>
      <w:bookmarkStart w:id="207" w:name="_Toc222033820"/>
      <w:bookmarkStart w:id="208" w:name="_Toc387753538"/>
      <w:bookmarkStart w:id="209" w:name="_Toc222029469"/>
      <w:bookmarkStart w:id="210" w:name="_Toc229305329"/>
      <w:bookmarkStart w:id="211" w:name="_Toc168475631"/>
      <w:bookmarkStart w:id="212" w:name="_Toc222030971"/>
      <w:r>
        <w:rPr>
          <w:rFonts w:hint="eastAsia"/>
          <w:szCs w:val="21"/>
          <w:highlight w:val="none"/>
        </w:rPr>
        <w:t xml:space="preserve">    </w:t>
      </w:r>
      <w:r>
        <w:rPr>
          <w:szCs w:val="21"/>
          <w:highlight w:val="none"/>
        </w:rPr>
        <w:t>5</w:t>
      </w:r>
      <w:r>
        <w:rPr>
          <w:rFonts w:ascii="宋体" w:hAnsi="宋体"/>
          <w:szCs w:val="21"/>
          <w:highlight w:val="none"/>
        </w:rPr>
        <w:t>.</w:t>
      </w:r>
      <w:r>
        <w:rPr>
          <w:szCs w:val="21"/>
          <w:highlight w:val="none"/>
        </w:rPr>
        <w:t>1</w:t>
      </w:r>
      <w:r>
        <w:rPr>
          <w:rFonts w:hint="eastAsia"/>
          <w:szCs w:val="21"/>
          <w:highlight w:val="none"/>
        </w:rPr>
        <w:t>公告发布日期（含本日）：</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r>
        <w:rPr>
          <w:rFonts w:hint="eastAsia" w:ascii="宋体" w:hAnsi="宋体" w:cs="宋体"/>
          <w:highlight w:val="none"/>
          <w:u w:val="single"/>
        </w:rPr>
        <w:t xml:space="preserve">    </w:t>
      </w:r>
      <w:r>
        <w:rPr>
          <w:rFonts w:hint="eastAsia" w:ascii="宋体" w:hAnsi="宋体" w:cs="宋体"/>
          <w:highlight w:val="none"/>
        </w:rPr>
        <w:t>时</w:t>
      </w:r>
      <w:r>
        <w:rPr>
          <w:rFonts w:hint="eastAsia" w:ascii="宋体" w:hAnsi="宋体" w:cs="宋体"/>
          <w:highlight w:val="none"/>
          <w:u w:val="single"/>
        </w:rPr>
        <w:t xml:space="preserve">    </w:t>
      </w:r>
      <w:r>
        <w:rPr>
          <w:rFonts w:hint="eastAsia" w:ascii="宋体" w:hAnsi="宋体" w:cs="宋体"/>
          <w:highlight w:val="none"/>
        </w:rPr>
        <w:t>分至</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r>
        <w:rPr>
          <w:rFonts w:hint="eastAsia" w:ascii="宋体" w:hAnsi="宋体" w:cs="宋体"/>
          <w:highlight w:val="none"/>
          <w:u w:val="single"/>
        </w:rPr>
        <w:t xml:space="preserve">    </w:t>
      </w:r>
      <w:r>
        <w:rPr>
          <w:rFonts w:hint="eastAsia" w:ascii="宋体" w:hAnsi="宋体" w:cs="宋体"/>
          <w:highlight w:val="none"/>
        </w:rPr>
        <w:t>时</w:t>
      </w:r>
      <w:r>
        <w:rPr>
          <w:rFonts w:hint="eastAsia" w:ascii="宋体" w:hAnsi="宋体" w:cs="宋体"/>
          <w:highlight w:val="none"/>
          <w:u w:val="single"/>
        </w:rPr>
        <w:t xml:space="preserve">    </w:t>
      </w:r>
      <w:r>
        <w:rPr>
          <w:rFonts w:hint="eastAsia" w:ascii="宋体" w:hAnsi="宋体" w:cs="宋体"/>
          <w:highlight w:val="none"/>
        </w:rPr>
        <w:t>分</w:t>
      </w:r>
      <w:r>
        <w:rPr>
          <w:rFonts w:hint="eastAsia"/>
          <w:highlight w:val="none"/>
        </w:rPr>
        <w:t>。</w:t>
      </w:r>
      <w:r>
        <w:rPr>
          <w:rFonts w:hint="eastAsia"/>
          <w:szCs w:val="21"/>
          <w:highlight w:val="none"/>
        </w:rPr>
        <w:t>凡有意参加投标者，请自行登录电子交易平台网站下载电子招标文件。</w:t>
      </w:r>
    </w:p>
    <w:p w14:paraId="1F5960BA">
      <w:pPr>
        <w:adjustRightInd w:val="0"/>
        <w:snapToGrid w:val="0"/>
        <w:spacing w:line="336" w:lineRule="auto"/>
        <w:ind w:firstLine="420" w:firstLineChars="200"/>
        <w:rPr>
          <w:highlight w:val="none"/>
        </w:rPr>
      </w:pPr>
      <w:r>
        <w:rPr>
          <w:rFonts w:hint="eastAsia"/>
          <w:highlight w:val="none"/>
        </w:rPr>
        <w:t>注：招标公告网上发布时，同时发布招标文件等相关资料。招标公告发布之日起计算编制投标文件时间，编制投标文件的时间不得少于20天。如招标人需发布补充公告的，以最后发布的补充公告的时间起计算编制投标文件时间，并需在补充公告中明确说明。</w:t>
      </w:r>
    </w:p>
    <w:p w14:paraId="42E0784B">
      <w:pPr>
        <w:adjustRightInd w:val="0"/>
        <w:snapToGrid w:val="0"/>
        <w:spacing w:line="336" w:lineRule="auto"/>
        <w:ind w:firstLine="420" w:firstLineChars="200"/>
        <w:rPr>
          <w:highlight w:val="none"/>
        </w:rPr>
      </w:pPr>
      <w:r>
        <w:rPr>
          <w:rFonts w:hint="eastAsia"/>
          <w:highlight w:val="none"/>
        </w:rPr>
        <w:t>5.2递交投标文件起始时间：</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r>
        <w:rPr>
          <w:rFonts w:hint="eastAsia" w:ascii="宋体" w:hAnsi="宋体" w:cs="宋体"/>
          <w:highlight w:val="none"/>
          <w:u w:val="single"/>
        </w:rPr>
        <w:t xml:space="preserve">    </w:t>
      </w:r>
      <w:r>
        <w:rPr>
          <w:rFonts w:hint="eastAsia" w:ascii="宋体" w:hAnsi="宋体" w:cs="宋体"/>
          <w:highlight w:val="none"/>
        </w:rPr>
        <w:t>时</w:t>
      </w:r>
      <w:r>
        <w:rPr>
          <w:rFonts w:hint="eastAsia" w:ascii="宋体" w:hAnsi="宋体" w:cs="宋体"/>
          <w:highlight w:val="none"/>
          <w:u w:val="single"/>
        </w:rPr>
        <w:t xml:space="preserve">    </w:t>
      </w:r>
      <w:r>
        <w:rPr>
          <w:rFonts w:hint="eastAsia" w:ascii="宋体" w:hAnsi="宋体" w:cs="宋体"/>
          <w:highlight w:val="none"/>
        </w:rPr>
        <w:t>分</w:t>
      </w:r>
      <w:r>
        <w:rPr>
          <w:rFonts w:hint="eastAsia"/>
          <w:highlight w:val="none"/>
        </w:rPr>
        <w:t>；</w:t>
      </w:r>
    </w:p>
    <w:p w14:paraId="38739BFB">
      <w:pPr>
        <w:adjustRightInd w:val="0"/>
        <w:snapToGrid w:val="0"/>
        <w:spacing w:line="336" w:lineRule="auto"/>
        <w:ind w:firstLine="2100" w:firstLineChars="1000"/>
        <w:rPr>
          <w:highlight w:val="none"/>
        </w:rPr>
      </w:pPr>
      <w:r>
        <w:rPr>
          <w:rFonts w:hint="eastAsia"/>
          <w:highlight w:val="none"/>
        </w:rPr>
        <w:t>截止时间：</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r>
        <w:rPr>
          <w:rFonts w:hint="eastAsia" w:ascii="宋体" w:hAnsi="宋体" w:cs="宋体"/>
          <w:highlight w:val="none"/>
          <w:u w:val="single"/>
        </w:rPr>
        <w:t xml:space="preserve">    </w:t>
      </w:r>
      <w:r>
        <w:rPr>
          <w:rFonts w:hint="eastAsia" w:ascii="宋体" w:hAnsi="宋体" w:cs="宋体"/>
          <w:highlight w:val="none"/>
        </w:rPr>
        <w:t>时</w:t>
      </w:r>
      <w:r>
        <w:rPr>
          <w:rFonts w:hint="eastAsia" w:ascii="宋体" w:hAnsi="宋体" w:cs="宋体"/>
          <w:highlight w:val="none"/>
          <w:u w:val="single"/>
        </w:rPr>
        <w:t xml:space="preserve">    </w:t>
      </w:r>
      <w:r>
        <w:rPr>
          <w:rFonts w:hint="eastAsia" w:ascii="宋体" w:hAnsi="宋体" w:cs="宋体"/>
          <w:highlight w:val="none"/>
        </w:rPr>
        <w:t>分</w:t>
      </w:r>
      <w:r>
        <w:rPr>
          <w:rFonts w:hint="eastAsia"/>
          <w:highlight w:val="none"/>
        </w:rPr>
        <w:t>。</w:t>
      </w:r>
    </w:p>
    <w:p w14:paraId="4633B1A4">
      <w:pPr>
        <w:adjustRightInd w:val="0"/>
        <w:snapToGrid w:val="0"/>
        <w:spacing w:line="336" w:lineRule="auto"/>
        <w:ind w:firstLine="420" w:firstLineChars="200"/>
        <w:rPr>
          <w:highlight w:val="none"/>
        </w:rPr>
      </w:pPr>
      <w:r>
        <w:rPr>
          <w:rFonts w:hint="eastAsia"/>
          <w:highlight w:val="none"/>
        </w:rPr>
        <w:t>5.3递交投标文件备用光盘时间：</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r>
        <w:rPr>
          <w:rFonts w:hint="eastAsia" w:ascii="宋体" w:hAnsi="宋体" w:cs="宋体"/>
          <w:highlight w:val="none"/>
          <w:u w:val="single"/>
        </w:rPr>
        <w:t xml:space="preserve">    </w:t>
      </w:r>
      <w:r>
        <w:rPr>
          <w:rFonts w:hint="eastAsia" w:ascii="宋体" w:hAnsi="宋体" w:cs="宋体"/>
          <w:highlight w:val="none"/>
        </w:rPr>
        <w:t>时</w:t>
      </w:r>
      <w:r>
        <w:rPr>
          <w:rFonts w:hint="eastAsia" w:ascii="宋体" w:hAnsi="宋体" w:cs="宋体"/>
          <w:highlight w:val="none"/>
          <w:u w:val="single"/>
        </w:rPr>
        <w:t xml:space="preserve">    </w:t>
      </w:r>
      <w:r>
        <w:rPr>
          <w:rFonts w:hint="eastAsia" w:ascii="宋体" w:hAnsi="宋体" w:cs="宋体"/>
          <w:highlight w:val="none"/>
        </w:rPr>
        <w:t>分至</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r>
        <w:rPr>
          <w:rFonts w:hint="eastAsia" w:ascii="宋体" w:hAnsi="宋体" w:cs="宋体"/>
          <w:highlight w:val="none"/>
          <w:u w:val="single"/>
        </w:rPr>
        <w:t xml:space="preserve">    </w:t>
      </w:r>
      <w:r>
        <w:rPr>
          <w:rFonts w:hint="eastAsia" w:ascii="宋体" w:hAnsi="宋体" w:cs="宋体"/>
          <w:highlight w:val="none"/>
        </w:rPr>
        <w:t>时</w:t>
      </w:r>
      <w:r>
        <w:rPr>
          <w:rFonts w:hint="eastAsia" w:ascii="宋体" w:hAnsi="宋体" w:cs="宋体"/>
          <w:highlight w:val="none"/>
          <w:u w:val="single"/>
        </w:rPr>
        <w:t xml:space="preserve">    </w:t>
      </w:r>
      <w:r>
        <w:rPr>
          <w:rFonts w:hint="eastAsia" w:ascii="宋体" w:hAnsi="宋体" w:cs="宋体"/>
          <w:highlight w:val="none"/>
        </w:rPr>
        <w:t>分</w:t>
      </w:r>
      <w:r>
        <w:rPr>
          <w:rFonts w:hint="eastAsia"/>
          <w:highlight w:val="none"/>
        </w:rPr>
        <w:t>；递交地点：</w:t>
      </w:r>
      <w:r>
        <w:rPr>
          <w:rFonts w:hint="eastAsia"/>
          <w:highlight w:val="none"/>
          <w:u w:val="single"/>
        </w:rPr>
        <w:t xml:space="preserve"> </w:t>
      </w:r>
      <w:r>
        <w:rPr>
          <w:rFonts w:hint="eastAsia"/>
          <w:color w:val="auto"/>
          <w:highlight w:val="none"/>
          <w:u w:val="single"/>
        </w:rPr>
        <w:t>广州公共资源交易中心（广州交易集团有限公司）第  开标室</w:t>
      </w:r>
      <w:r>
        <w:rPr>
          <w:rFonts w:hint="eastAsia"/>
          <w:highlight w:val="none"/>
          <w:u w:val="single"/>
        </w:rPr>
        <w:t xml:space="preserve"> </w:t>
      </w:r>
      <w:r>
        <w:rPr>
          <w:rFonts w:hint="eastAsia"/>
          <w:highlight w:val="none"/>
        </w:rPr>
        <w:t>。(建议安排在投标文件截止时间前15分钟至投标文件截止时间）</w:t>
      </w:r>
    </w:p>
    <w:p w14:paraId="4832C907">
      <w:pPr>
        <w:adjustRightInd w:val="0"/>
        <w:snapToGrid w:val="0"/>
        <w:spacing w:line="336" w:lineRule="auto"/>
        <w:ind w:firstLine="420" w:firstLineChars="200"/>
        <w:rPr>
          <w:rFonts w:ascii="宋体" w:hAnsi="宋体" w:cs="宋体"/>
          <w:szCs w:val="21"/>
          <w:highlight w:val="none"/>
        </w:rPr>
      </w:pPr>
      <w:r>
        <w:rPr>
          <w:rFonts w:hint="eastAsia"/>
          <w:highlight w:val="none"/>
        </w:rPr>
        <w:t>5.4开标开始时间：</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r>
        <w:rPr>
          <w:rFonts w:hint="eastAsia" w:ascii="宋体" w:hAnsi="宋体" w:cs="宋体"/>
          <w:highlight w:val="none"/>
          <w:u w:val="single"/>
        </w:rPr>
        <w:t xml:space="preserve">    </w:t>
      </w:r>
      <w:r>
        <w:rPr>
          <w:rFonts w:hint="eastAsia" w:ascii="宋体" w:hAnsi="宋体" w:cs="宋体"/>
          <w:highlight w:val="none"/>
        </w:rPr>
        <w:t>时</w:t>
      </w:r>
      <w:r>
        <w:rPr>
          <w:rFonts w:hint="eastAsia" w:ascii="宋体" w:hAnsi="宋体" w:cs="宋体"/>
          <w:highlight w:val="none"/>
          <w:u w:val="single"/>
        </w:rPr>
        <w:t xml:space="preserve">    </w:t>
      </w:r>
      <w:r>
        <w:rPr>
          <w:rFonts w:hint="eastAsia" w:ascii="宋体" w:hAnsi="宋体" w:cs="宋体"/>
          <w:highlight w:val="none"/>
        </w:rPr>
        <w:t>分；</w:t>
      </w:r>
    </w:p>
    <w:p w14:paraId="5F56F353">
      <w:pPr>
        <w:spacing w:line="336" w:lineRule="auto"/>
        <w:ind w:firstLine="420"/>
        <w:rPr>
          <w:szCs w:val="21"/>
          <w:highlight w:val="none"/>
        </w:rPr>
      </w:pPr>
      <w:r>
        <w:rPr>
          <w:szCs w:val="21"/>
          <w:highlight w:val="none"/>
        </w:rPr>
        <w:t>5</w:t>
      </w:r>
      <w:r>
        <w:rPr>
          <w:rFonts w:ascii="宋体" w:hAnsi="宋体"/>
          <w:szCs w:val="21"/>
          <w:highlight w:val="none"/>
        </w:rPr>
        <w:t>.</w:t>
      </w:r>
      <w:r>
        <w:rPr>
          <w:rFonts w:hint="eastAsia"/>
          <w:szCs w:val="21"/>
          <w:highlight w:val="none"/>
        </w:rPr>
        <w:t>5递交投标文件截止时间与开标时间是否有变化，请密切留意招标答疑中的相关信息。递交投标文件截止时间后，开标时间因故推迟的，相关评标信息仍以原递交投标文件截止时间的信息为准。</w:t>
      </w:r>
    </w:p>
    <w:p w14:paraId="25C19291">
      <w:pPr>
        <w:spacing w:line="336" w:lineRule="auto"/>
        <w:ind w:firstLine="420"/>
        <w:rPr>
          <w:highlight w:val="none"/>
        </w:rPr>
      </w:pPr>
      <w:r>
        <w:rPr>
          <w:rFonts w:hint="eastAsia"/>
          <w:highlight w:val="none"/>
        </w:rPr>
        <w:t>5.6投标人通过电子交易平台递交电子投标文件。投标人应当在投标截止时间前，登录电子交易平台网站办理网上投标登记手续，并</w:t>
      </w:r>
      <w:r>
        <w:rPr>
          <w:highlight w:val="none"/>
        </w:rPr>
        <w:t>通过</w:t>
      </w:r>
      <w:r>
        <w:rPr>
          <w:rFonts w:hint="eastAsia"/>
          <w:highlight w:val="none"/>
        </w:rPr>
        <w:t>互联网</w:t>
      </w:r>
      <w:r>
        <w:rPr>
          <w:highlight w:val="none"/>
        </w:rPr>
        <w:t>使用</w:t>
      </w:r>
      <w:r>
        <w:rPr>
          <w:rFonts w:hint="eastAsia"/>
          <w:highlight w:val="none"/>
        </w:rPr>
        <w:t>CA数字证书登录“电子交易平台”，选择所投标段将</w:t>
      </w:r>
      <w:r>
        <w:rPr>
          <w:rFonts w:hint="eastAsia"/>
          <w:b/>
          <w:highlight w:val="none"/>
        </w:rPr>
        <w:t>加密的电子投标文件</w:t>
      </w:r>
      <w:r>
        <w:rPr>
          <w:rFonts w:hint="eastAsia"/>
          <w:highlight w:val="none"/>
        </w:rPr>
        <w:t>上传（</w:t>
      </w:r>
      <w:r>
        <w:rPr>
          <w:rFonts w:hint="eastAsia"/>
          <w:color w:val="auto"/>
          <w:highlight w:val="none"/>
        </w:rPr>
        <w:t>按照电子交易平台的相关指南进行操作。详见：</w:t>
      </w:r>
      <w:r>
        <w:rPr>
          <w:rFonts w:hint="eastAsia"/>
          <w:color w:val="auto"/>
          <w:highlight w:val="none"/>
          <w:u w:val="single"/>
        </w:rPr>
        <w:t>广州公共资源交易中心（广州交易集团有限公司）网站最新指引</w:t>
      </w:r>
      <w:r>
        <w:rPr>
          <w:rFonts w:hint="eastAsia"/>
          <w:highlight w:val="none"/>
        </w:rPr>
        <w:t>）。投标人完成投标文件上传后，“</w:t>
      </w:r>
      <w:r>
        <w:rPr>
          <w:highlight w:val="none"/>
        </w:rPr>
        <w:t>电子</w:t>
      </w:r>
      <w:r>
        <w:rPr>
          <w:rFonts w:hint="eastAsia"/>
          <w:highlight w:val="none"/>
        </w:rPr>
        <w:t>交易平台”即时向投标人发出</w:t>
      </w:r>
      <w:r>
        <w:rPr>
          <w:highlight w:val="none"/>
        </w:rPr>
        <w:t>电子签收凭证</w:t>
      </w:r>
      <w:r>
        <w:rPr>
          <w:rFonts w:hint="eastAsia"/>
          <w:highlight w:val="none"/>
        </w:rPr>
        <w:t>，递交时间以</w:t>
      </w:r>
      <w:r>
        <w:rPr>
          <w:highlight w:val="none"/>
        </w:rPr>
        <w:t>电子签收凭证</w:t>
      </w:r>
      <w:r>
        <w:rPr>
          <w:rFonts w:hint="eastAsia"/>
          <w:highlight w:val="none"/>
        </w:rPr>
        <w:t>载明的传输完成时间为准。逾</w:t>
      </w:r>
      <w:r>
        <w:rPr>
          <w:highlight w:val="none"/>
        </w:rPr>
        <w:t>期未完成上传</w:t>
      </w:r>
      <w:r>
        <w:rPr>
          <w:rFonts w:hint="eastAsia"/>
          <w:highlight w:val="none"/>
        </w:rPr>
        <w:t>或未加密的</w:t>
      </w:r>
      <w:r>
        <w:rPr>
          <w:highlight w:val="none"/>
        </w:rPr>
        <w:t>电子</w:t>
      </w:r>
      <w:r>
        <w:rPr>
          <w:rFonts w:hint="eastAsia"/>
          <w:highlight w:val="none"/>
        </w:rPr>
        <w:t>投标文件</w:t>
      </w:r>
      <w:r>
        <w:rPr>
          <w:highlight w:val="none"/>
        </w:rPr>
        <w:t>，招标人</w:t>
      </w:r>
      <w:r>
        <w:rPr>
          <w:rFonts w:hint="eastAsia"/>
          <w:highlight w:val="none"/>
        </w:rPr>
        <w:t>（“</w:t>
      </w:r>
      <w:r>
        <w:rPr>
          <w:highlight w:val="none"/>
        </w:rPr>
        <w:t>电子</w:t>
      </w:r>
      <w:r>
        <w:rPr>
          <w:rFonts w:hint="eastAsia"/>
          <w:highlight w:val="none"/>
        </w:rPr>
        <w:t>交易平台”）</w:t>
      </w:r>
      <w:r>
        <w:rPr>
          <w:highlight w:val="none"/>
        </w:rPr>
        <w:t>将拒收。</w:t>
      </w:r>
    </w:p>
    <w:p w14:paraId="0E208F3C">
      <w:pPr>
        <w:pStyle w:val="19"/>
        <w:keepNext w:val="0"/>
        <w:keepLines w:val="0"/>
        <w:spacing w:before="0" w:line="336" w:lineRule="auto"/>
        <w:outlineLvl w:val="2"/>
        <w:rPr>
          <w:highlight w:val="none"/>
        </w:rPr>
      </w:pPr>
      <w:bookmarkStart w:id="213" w:name="_Toc10092"/>
      <w:bookmarkStart w:id="214" w:name="_Toc26893"/>
      <w:bookmarkStart w:id="215" w:name="_Toc29477"/>
      <w:bookmarkStart w:id="216" w:name="_Toc18118"/>
      <w:bookmarkStart w:id="217" w:name="_Toc1526851159"/>
      <w:bookmarkStart w:id="218" w:name="_Toc28797"/>
      <w:bookmarkStart w:id="219" w:name="_Toc13927"/>
      <w:bookmarkStart w:id="220" w:name="_Toc24380"/>
      <w:bookmarkStart w:id="221" w:name="_Toc27055"/>
      <w:bookmarkStart w:id="222" w:name="_Toc25079"/>
      <w:bookmarkStart w:id="223" w:name="_Toc9065"/>
      <w:bookmarkStart w:id="224" w:name="_Toc28629"/>
      <w:bookmarkStart w:id="225" w:name="_Toc103634291"/>
      <w:bookmarkStart w:id="226" w:name="_Toc9008"/>
      <w:bookmarkStart w:id="227" w:name="_Toc1015"/>
      <w:bookmarkStart w:id="228" w:name="_Toc23152"/>
      <w:bookmarkStart w:id="229" w:name="_Toc17667"/>
      <w:bookmarkStart w:id="230" w:name="_Toc3997"/>
      <w:bookmarkStart w:id="231" w:name="_Toc3904"/>
      <w:bookmarkStart w:id="232" w:name="_Toc5562"/>
      <w:bookmarkStart w:id="233" w:name="_Toc13659"/>
      <w:bookmarkStart w:id="234" w:name="_Toc19678"/>
      <w:bookmarkStart w:id="235" w:name="_Toc22977"/>
      <w:bookmarkStart w:id="236" w:name="_Toc4035"/>
      <w:bookmarkStart w:id="237" w:name="_Toc19941"/>
      <w:bookmarkStart w:id="238" w:name="_Toc23604"/>
      <w:bookmarkStart w:id="239" w:name="_Toc27692"/>
      <w:bookmarkStart w:id="240" w:name="_Toc3634"/>
      <w:r>
        <w:rPr>
          <w:rFonts w:hint="eastAsia"/>
          <w:highlight w:val="none"/>
        </w:rPr>
        <w:t>6.投标相关事宜</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12239A03">
      <w:pPr>
        <w:spacing w:line="336" w:lineRule="auto"/>
        <w:ind w:firstLine="420" w:firstLineChars="200"/>
        <w:rPr>
          <w:highlight w:val="none"/>
        </w:rPr>
      </w:pPr>
      <w:r>
        <w:rPr>
          <w:rFonts w:hint="eastAsia" w:asciiTheme="minorEastAsia" w:hAnsiTheme="minorEastAsia" w:eastAsiaTheme="minorEastAsia"/>
          <w:highlight w:val="none"/>
          <w:u w:val="single"/>
        </w:rPr>
        <w:t>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r>
        <w:rPr>
          <w:rFonts w:hint="eastAsia"/>
          <w:highlight w:val="none"/>
        </w:rPr>
        <w:t>。</w:t>
      </w:r>
    </w:p>
    <w:p w14:paraId="7AD814D1">
      <w:pPr>
        <w:pStyle w:val="19"/>
        <w:keepNext w:val="0"/>
        <w:keepLines w:val="0"/>
        <w:spacing w:before="0" w:line="336" w:lineRule="auto"/>
        <w:outlineLvl w:val="2"/>
        <w:rPr>
          <w:highlight w:val="none"/>
        </w:rPr>
      </w:pPr>
      <w:bookmarkStart w:id="241" w:name="_Toc6151"/>
      <w:bookmarkStart w:id="242" w:name="_Toc12346225"/>
      <w:bookmarkStart w:id="243" w:name="_Toc7690"/>
      <w:bookmarkStart w:id="244" w:name="_Toc26051"/>
      <w:bookmarkStart w:id="245" w:name="_Toc29276"/>
      <w:bookmarkStart w:id="246" w:name="_Toc5268"/>
      <w:bookmarkStart w:id="247" w:name="_Toc21152"/>
      <w:bookmarkStart w:id="248" w:name="_Toc3736"/>
      <w:bookmarkStart w:id="249" w:name="_Toc13566"/>
      <w:bookmarkStart w:id="250" w:name="_Toc18157"/>
      <w:bookmarkStart w:id="251" w:name="_Toc6643"/>
      <w:bookmarkStart w:id="252" w:name="_Toc11828"/>
      <w:bookmarkStart w:id="253" w:name="_Toc1763"/>
      <w:bookmarkStart w:id="254" w:name="_Toc1029"/>
      <w:bookmarkStart w:id="255" w:name="_Toc1478"/>
      <w:bookmarkStart w:id="256" w:name="_Toc14400"/>
      <w:bookmarkStart w:id="257" w:name="_Toc4298"/>
      <w:bookmarkStart w:id="258" w:name="_Toc14681"/>
      <w:bookmarkStart w:id="259" w:name="_Toc25148"/>
      <w:bookmarkStart w:id="260" w:name="_Toc20067"/>
      <w:bookmarkStart w:id="261" w:name="_Toc25843"/>
      <w:bookmarkStart w:id="262" w:name="_Toc22670"/>
      <w:bookmarkStart w:id="263" w:name="_Toc27846"/>
      <w:bookmarkStart w:id="264" w:name="_Toc8653"/>
      <w:bookmarkStart w:id="265" w:name="_Toc1837295352"/>
      <w:bookmarkStart w:id="266" w:name="_Toc6498"/>
      <w:bookmarkStart w:id="267" w:name="_Toc9580"/>
      <w:bookmarkStart w:id="268" w:name="_Toc20559"/>
      <w:r>
        <w:rPr>
          <w:rFonts w:hint="eastAsia"/>
          <w:highlight w:val="none"/>
        </w:rPr>
        <w:t>7.资格审查方式评标办法</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EA38AD0">
      <w:pPr>
        <w:spacing w:line="336" w:lineRule="auto"/>
        <w:ind w:firstLine="437"/>
        <w:rPr>
          <w:highlight w:val="none"/>
        </w:rPr>
      </w:pPr>
      <w:r>
        <w:rPr>
          <w:rFonts w:hint="eastAsia"/>
          <w:highlight w:val="none"/>
        </w:rPr>
        <w:t>7.1本次招标采用资格后审方式，由评标委员会负责资格审查。资格审查结果将在网站进行公示，公示时间不得少于3日（最后一天须为工作日）。</w:t>
      </w:r>
    </w:p>
    <w:p w14:paraId="7311352F">
      <w:pPr>
        <w:spacing w:line="336" w:lineRule="auto"/>
        <w:ind w:firstLine="437"/>
        <w:rPr>
          <w:highlight w:val="none"/>
        </w:rPr>
      </w:pPr>
      <w:r>
        <w:rPr>
          <w:rFonts w:hint="eastAsia"/>
          <w:highlight w:val="none"/>
        </w:rPr>
        <w:t>满足资格审查合格条件的投标人不足3名或通过有效性审查的投标人不足3名时为招标失败。招标人分析招标失败原因，修正招标方案，报有关管理部门核准后，重新组织招标。</w:t>
      </w:r>
    </w:p>
    <w:p w14:paraId="7632544A">
      <w:pPr>
        <w:spacing w:line="336" w:lineRule="auto"/>
        <w:ind w:firstLine="437"/>
        <w:rPr>
          <w:highlight w:val="none"/>
        </w:rPr>
      </w:pPr>
      <w:r>
        <w:rPr>
          <w:rFonts w:hint="eastAsia"/>
          <w:highlight w:val="none"/>
        </w:rPr>
        <w:t>7.2本次招标评标办法采用综合评分法。</w:t>
      </w:r>
    </w:p>
    <w:p w14:paraId="03D8A3C8">
      <w:pPr>
        <w:pStyle w:val="19"/>
        <w:keepNext w:val="0"/>
        <w:keepLines w:val="0"/>
        <w:spacing w:before="0" w:line="336" w:lineRule="auto"/>
        <w:outlineLvl w:val="2"/>
        <w:rPr>
          <w:highlight w:val="none"/>
        </w:rPr>
      </w:pPr>
      <w:bookmarkStart w:id="269" w:name="_Toc9054"/>
      <w:bookmarkStart w:id="270" w:name="_Toc27573"/>
      <w:bookmarkStart w:id="271" w:name="_Toc317831565"/>
      <w:bookmarkStart w:id="272" w:name="_Toc22865"/>
      <w:bookmarkStart w:id="273" w:name="_Toc16709"/>
      <w:bookmarkStart w:id="274" w:name="_Toc1170"/>
      <w:bookmarkStart w:id="275" w:name="_Toc24057"/>
      <w:bookmarkStart w:id="276" w:name="_Toc30726"/>
      <w:bookmarkStart w:id="277" w:name="_Toc12949"/>
      <w:bookmarkStart w:id="278" w:name="_Toc25341"/>
      <w:bookmarkStart w:id="279" w:name="_Toc11694"/>
      <w:bookmarkStart w:id="280" w:name="_Toc10275"/>
      <w:bookmarkStart w:id="281" w:name="_Toc29503"/>
      <w:bookmarkStart w:id="282" w:name="_Toc29974"/>
      <w:bookmarkStart w:id="283" w:name="_Toc32419"/>
      <w:bookmarkStart w:id="284" w:name="_Toc30310"/>
      <w:bookmarkStart w:id="285" w:name="_Toc30855"/>
      <w:bookmarkStart w:id="286" w:name="_Toc17397"/>
      <w:bookmarkStart w:id="287" w:name="_Toc7254"/>
      <w:bookmarkStart w:id="288" w:name="_Toc1298211293"/>
      <w:bookmarkStart w:id="289" w:name="_Toc8668"/>
      <w:bookmarkStart w:id="290" w:name="_Toc13536"/>
      <w:bookmarkStart w:id="291" w:name="_Toc21086"/>
      <w:bookmarkStart w:id="292" w:name="_Toc6449"/>
      <w:bookmarkStart w:id="293" w:name="_Toc3352"/>
      <w:bookmarkStart w:id="294" w:name="_Toc4594"/>
      <w:bookmarkStart w:id="295" w:name="_Toc21640"/>
      <w:bookmarkStart w:id="296" w:name="_Toc25611"/>
      <w:r>
        <w:rPr>
          <w:rFonts w:hint="eastAsia"/>
          <w:highlight w:val="none"/>
        </w:rPr>
        <w:t>8. 发布公告的媒介</w:t>
      </w:r>
      <w:bookmarkEnd w:id="204"/>
      <w:bookmarkEnd w:id="205"/>
      <w:bookmarkEnd w:id="206"/>
      <w:bookmarkEnd w:id="207"/>
      <w:bookmarkEnd w:id="208"/>
      <w:bookmarkEnd w:id="209"/>
      <w:bookmarkEnd w:id="210"/>
      <w:bookmarkEnd w:id="211"/>
      <w:bookmarkEnd w:id="212"/>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90FDDBD">
      <w:pPr>
        <w:spacing w:line="336" w:lineRule="auto"/>
        <w:ind w:firstLine="437"/>
        <w:rPr>
          <w:highlight w:val="none"/>
        </w:rPr>
      </w:pPr>
      <w:bookmarkStart w:id="297" w:name="_Toc222033821"/>
      <w:bookmarkStart w:id="298" w:name="_Toc168476035"/>
      <w:bookmarkStart w:id="299" w:name="_Toc144974485"/>
      <w:bookmarkStart w:id="300" w:name="_Toc387753539"/>
      <w:bookmarkStart w:id="301" w:name="_Toc168475632"/>
      <w:bookmarkStart w:id="302" w:name="_Toc222032639"/>
      <w:bookmarkStart w:id="303" w:name="_Toc229305330"/>
      <w:bookmarkStart w:id="304" w:name="_Toc222029470"/>
      <w:bookmarkStart w:id="305" w:name="_Toc221949941"/>
      <w:bookmarkStart w:id="306" w:name="_Toc222030972"/>
      <w:r>
        <w:rPr>
          <w:rFonts w:hint="eastAsia"/>
          <w:highlight w:val="none"/>
        </w:rPr>
        <w:t>本次招标公告同时在</w:t>
      </w:r>
      <w:r>
        <w:rPr>
          <w:rFonts w:hint="eastAsia"/>
          <w:highlight w:val="none"/>
          <w:u w:val="single"/>
        </w:rPr>
        <w:t>广州交易集团有限公司（广州公共资源交易中心）（网址：http://www.gzggzy.cn）</w:t>
      </w:r>
      <w:r>
        <w:rPr>
          <w:rFonts w:hint="eastAsia"/>
          <w:highlight w:val="none"/>
        </w:rPr>
        <w:t>、广东省招标投标监管网（网址：http://zbtb.gd.gov.cn/）和中国招标投标公共服务平台（网址：http://www.cebpubservice.com/）上发布。本公告的修改、补充，在</w:t>
      </w:r>
      <w:r>
        <w:rPr>
          <w:rFonts w:hint="eastAsia"/>
          <w:highlight w:val="none"/>
          <w:u w:val="single"/>
        </w:rPr>
        <w:t>广州交易集团有限公司（广州公共资源交易中心）网</w:t>
      </w:r>
      <w:r>
        <w:rPr>
          <w:rFonts w:hint="eastAsia"/>
          <w:highlight w:val="none"/>
        </w:rPr>
        <w:t>发布。本公告在各媒体发布的文本如有不同之处，以在</w:t>
      </w:r>
      <w:r>
        <w:rPr>
          <w:rFonts w:hint="eastAsia"/>
          <w:highlight w:val="none"/>
          <w:u w:val="single"/>
        </w:rPr>
        <w:t>广州交易集团有限公司（广州公共资源交易中心）网站</w:t>
      </w:r>
      <w:r>
        <w:rPr>
          <w:rFonts w:hint="eastAsia"/>
          <w:highlight w:val="none"/>
        </w:rPr>
        <w:t>发布的文本为准。</w:t>
      </w:r>
    </w:p>
    <w:p w14:paraId="60BA6A55">
      <w:pPr>
        <w:pStyle w:val="19"/>
        <w:keepNext w:val="0"/>
        <w:keepLines w:val="0"/>
        <w:numPr>
          <w:ilvl w:val="0"/>
          <w:numId w:val="1"/>
        </w:numPr>
        <w:spacing w:before="0" w:line="336" w:lineRule="auto"/>
        <w:outlineLvl w:val="2"/>
        <w:rPr>
          <w:highlight w:val="none"/>
        </w:rPr>
      </w:pPr>
      <w:bookmarkStart w:id="307" w:name="_Toc3842"/>
      <w:bookmarkStart w:id="308" w:name="_Toc15467"/>
      <w:bookmarkStart w:id="309" w:name="_Toc11699"/>
      <w:bookmarkStart w:id="310" w:name="_Toc14256"/>
      <w:bookmarkStart w:id="311" w:name="_Toc24110"/>
      <w:bookmarkStart w:id="312" w:name="_Toc750"/>
      <w:bookmarkStart w:id="313" w:name="_Toc27778"/>
      <w:bookmarkStart w:id="314" w:name="_Toc25803"/>
      <w:bookmarkStart w:id="315" w:name="_Toc14154"/>
      <w:bookmarkStart w:id="316" w:name="_Toc8130"/>
      <w:bookmarkStart w:id="317" w:name="_Toc23891"/>
      <w:bookmarkStart w:id="318" w:name="_Toc1420"/>
      <w:bookmarkStart w:id="319" w:name="_Toc15110"/>
      <w:bookmarkStart w:id="320" w:name="_Toc18187"/>
      <w:bookmarkStart w:id="321" w:name="_Toc12940"/>
      <w:bookmarkStart w:id="322" w:name="_Toc13337"/>
      <w:bookmarkStart w:id="323" w:name="_Toc13004"/>
      <w:bookmarkStart w:id="324" w:name="_Toc6165"/>
      <w:bookmarkStart w:id="325" w:name="_Toc30835"/>
      <w:bookmarkStart w:id="326" w:name="_Toc11297"/>
      <w:bookmarkStart w:id="327" w:name="_Toc9917"/>
      <w:bookmarkStart w:id="328" w:name="_Toc15125"/>
      <w:bookmarkStart w:id="329" w:name="_Toc13503"/>
      <w:bookmarkStart w:id="330" w:name="_Toc1407589433"/>
      <w:bookmarkStart w:id="331" w:name="_Toc21076"/>
      <w:bookmarkStart w:id="332" w:name="_Toc822"/>
      <w:bookmarkStart w:id="333" w:name="_Toc1370083816"/>
      <w:bookmarkStart w:id="334" w:name="_Toc28940"/>
      <w:r>
        <w:rPr>
          <w:rFonts w:hint="eastAsia"/>
          <w:highlight w:val="none"/>
        </w:rPr>
        <w:t>异议方式</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6A8E3470">
      <w:pPr>
        <w:pStyle w:val="44"/>
        <w:rPr>
          <w:rFonts w:ascii="宋体" w:hAnsi="宋体" w:eastAsia="宋体" w:cs="宋体"/>
          <w:b/>
          <w:bCs/>
          <w:sz w:val="21"/>
          <w:highlight w:val="none"/>
        </w:rPr>
      </w:pPr>
      <w:bookmarkStart w:id="335" w:name="_Toc28669"/>
      <w:bookmarkStart w:id="336" w:name="_Toc2556"/>
      <w:bookmarkStart w:id="337" w:name="_Toc14566"/>
      <w:bookmarkStart w:id="338" w:name="_Toc25658"/>
      <w:r>
        <w:rPr>
          <w:rFonts w:hint="eastAsia" w:ascii="宋体" w:hAnsi="宋体" w:eastAsia="宋体" w:cs="宋体"/>
          <w:b/>
          <w:bCs/>
          <w:sz w:val="21"/>
          <w:highlight w:val="none"/>
        </w:rPr>
        <w:t>潜在投标人或利害关系人对本招标公告及招标文件有异议的，向招标人书面提出。</w:t>
      </w:r>
      <w:bookmarkEnd w:id="335"/>
      <w:bookmarkEnd w:id="336"/>
      <w:bookmarkEnd w:id="337"/>
      <w:bookmarkEnd w:id="338"/>
    </w:p>
    <w:p w14:paraId="6C7EACAA">
      <w:pPr>
        <w:pStyle w:val="44"/>
        <w:rPr>
          <w:rFonts w:hint="eastAsia" w:ascii="Times New Roman" w:hAnsi="Times New Roman" w:eastAsia="宋体"/>
          <w:color w:val="auto"/>
          <w:kern w:val="2"/>
          <w:sz w:val="21"/>
          <w:szCs w:val="24"/>
          <w:highlight w:val="none"/>
          <w:u w:val="single"/>
          <w:lang w:eastAsia="zh-CN"/>
        </w:rPr>
      </w:pPr>
      <w:bookmarkStart w:id="339" w:name="_Toc6299"/>
      <w:bookmarkStart w:id="340" w:name="_Toc26118"/>
      <w:bookmarkStart w:id="341" w:name="_Toc29841"/>
      <w:r>
        <w:rPr>
          <w:rFonts w:hint="eastAsia" w:ascii="Times New Roman" w:hAnsi="Times New Roman" w:eastAsia="宋体"/>
          <w:color w:val="auto"/>
          <w:kern w:val="2"/>
          <w:sz w:val="21"/>
          <w:szCs w:val="24"/>
          <w:highlight w:val="none"/>
        </w:rPr>
        <w:t>异议受理部门：</w:t>
      </w:r>
      <w:bookmarkEnd w:id="339"/>
      <w:bookmarkEnd w:id="340"/>
      <w:bookmarkEnd w:id="341"/>
      <w:r>
        <w:rPr>
          <w:rFonts w:hint="eastAsia" w:ascii="Times New Roman" w:hAnsi="Times New Roman" w:eastAsia="宋体"/>
          <w:color w:val="auto"/>
          <w:kern w:val="2"/>
          <w:sz w:val="21"/>
          <w:szCs w:val="24"/>
          <w:highlight w:val="none"/>
          <w:u w:val="single"/>
          <w:lang w:eastAsia="zh-CN"/>
        </w:rPr>
        <w:t>广州市白云区人和镇人民政府</w:t>
      </w:r>
    </w:p>
    <w:p w14:paraId="52B2D8E3">
      <w:pPr>
        <w:pStyle w:val="44"/>
        <w:rPr>
          <w:rFonts w:hint="eastAsia" w:ascii="Times New Roman" w:hAnsi="Times New Roman" w:eastAsia="宋体"/>
          <w:color w:val="auto"/>
          <w:kern w:val="2"/>
          <w:sz w:val="21"/>
          <w:szCs w:val="24"/>
          <w:highlight w:val="none"/>
          <w:u w:val="single"/>
          <w:lang w:eastAsia="zh-CN"/>
        </w:rPr>
      </w:pPr>
      <w:bookmarkStart w:id="342" w:name="_Toc25873"/>
      <w:bookmarkStart w:id="343" w:name="_Toc12013"/>
      <w:bookmarkStart w:id="344" w:name="_Toc24828"/>
      <w:r>
        <w:rPr>
          <w:rFonts w:hint="eastAsia" w:ascii="Times New Roman" w:hAnsi="Times New Roman" w:eastAsia="宋体"/>
          <w:color w:val="auto"/>
          <w:kern w:val="2"/>
          <w:sz w:val="21"/>
          <w:szCs w:val="24"/>
          <w:highlight w:val="none"/>
        </w:rPr>
        <w:t>异议受理电话：</w:t>
      </w:r>
      <w:bookmarkEnd w:id="342"/>
      <w:bookmarkEnd w:id="343"/>
      <w:bookmarkEnd w:id="344"/>
      <w:r>
        <w:rPr>
          <w:rFonts w:hint="eastAsia" w:ascii="Times New Roman" w:hAnsi="Times New Roman" w:eastAsia="宋体"/>
          <w:color w:val="auto"/>
          <w:kern w:val="2"/>
          <w:sz w:val="21"/>
          <w:szCs w:val="24"/>
          <w:highlight w:val="none"/>
          <w:u w:val="single"/>
          <w:lang w:eastAsia="zh-CN"/>
        </w:rPr>
        <w:t>020-86452967</w:t>
      </w:r>
    </w:p>
    <w:p w14:paraId="3237624B">
      <w:pPr>
        <w:pStyle w:val="44"/>
        <w:rPr>
          <w:rFonts w:hint="eastAsia" w:ascii="Times New Roman" w:hAnsi="Times New Roman" w:eastAsia="宋体"/>
          <w:color w:val="auto"/>
          <w:kern w:val="2"/>
          <w:sz w:val="21"/>
          <w:szCs w:val="24"/>
          <w:highlight w:val="none"/>
          <w:u w:val="single"/>
          <w:lang w:eastAsia="zh-CN"/>
        </w:rPr>
      </w:pPr>
      <w:bookmarkStart w:id="345" w:name="_Toc6114"/>
      <w:bookmarkStart w:id="346" w:name="_Toc31538"/>
      <w:bookmarkStart w:id="347" w:name="_Toc31370"/>
      <w:r>
        <w:rPr>
          <w:rFonts w:hint="eastAsia" w:ascii="Times New Roman" w:hAnsi="Times New Roman" w:eastAsia="宋体"/>
          <w:color w:val="auto"/>
          <w:kern w:val="2"/>
          <w:sz w:val="21"/>
          <w:szCs w:val="24"/>
          <w:highlight w:val="none"/>
        </w:rPr>
        <w:t>地址：</w:t>
      </w:r>
      <w:bookmarkEnd w:id="345"/>
      <w:bookmarkEnd w:id="346"/>
      <w:bookmarkEnd w:id="347"/>
      <w:r>
        <w:rPr>
          <w:rFonts w:hint="eastAsia" w:ascii="Times New Roman" w:hAnsi="Times New Roman" w:eastAsia="宋体"/>
          <w:color w:val="auto"/>
          <w:kern w:val="2"/>
          <w:sz w:val="21"/>
          <w:szCs w:val="24"/>
          <w:highlight w:val="none"/>
          <w:u w:val="single"/>
          <w:lang w:eastAsia="zh-CN"/>
        </w:rPr>
        <w:t>广州市白云区人和镇鹤龙六路6号</w:t>
      </w:r>
    </w:p>
    <w:p w14:paraId="11C2AB52">
      <w:pPr>
        <w:pStyle w:val="44"/>
        <w:rPr>
          <w:rFonts w:ascii="Times New Roman" w:hAnsi="Times New Roman" w:eastAsia="宋体"/>
          <w:color w:val="auto"/>
          <w:kern w:val="2"/>
          <w:sz w:val="21"/>
          <w:szCs w:val="24"/>
          <w:highlight w:val="none"/>
        </w:rPr>
      </w:pPr>
      <w:bookmarkStart w:id="348" w:name="_Toc6721"/>
      <w:bookmarkStart w:id="349" w:name="_Toc23904"/>
      <w:bookmarkStart w:id="350" w:name="_Toc1013"/>
      <w:r>
        <w:rPr>
          <w:rFonts w:hint="eastAsia" w:ascii="Times New Roman" w:hAnsi="Times New Roman" w:eastAsia="宋体"/>
          <w:color w:val="auto"/>
          <w:kern w:val="2"/>
          <w:sz w:val="21"/>
          <w:szCs w:val="24"/>
          <w:highlight w:val="none"/>
        </w:rPr>
        <w:t>注：潜在投标人或利害关系人可以通过线下或线上的形式提出异议。线上提出异议的，应通过电子交易平台提交，招标人也应通过电子交易平台答复线上提出的异议。具体按照电子交易平台相关指南进行操作。作出答复前，应当暂停招标投标活动。</w:t>
      </w:r>
      <w:bookmarkEnd w:id="348"/>
      <w:bookmarkEnd w:id="349"/>
      <w:bookmarkEnd w:id="350"/>
    </w:p>
    <w:p w14:paraId="7433149F">
      <w:pPr>
        <w:pStyle w:val="19"/>
        <w:keepNext w:val="0"/>
        <w:keepLines w:val="0"/>
        <w:spacing w:before="0" w:line="336" w:lineRule="auto"/>
        <w:outlineLvl w:val="2"/>
        <w:rPr>
          <w:highlight w:val="none"/>
        </w:rPr>
      </w:pPr>
      <w:bookmarkStart w:id="351" w:name="_Toc6807"/>
      <w:bookmarkStart w:id="352" w:name="_Toc29220"/>
      <w:bookmarkStart w:id="353" w:name="_Toc6687"/>
      <w:bookmarkStart w:id="354" w:name="_Toc5943"/>
      <w:bookmarkStart w:id="355" w:name="_Toc19727"/>
      <w:bookmarkStart w:id="356" w:name="_Toc2957"/>
      <w:bookmarkStart w:id="357" w:name="_Toc9735"/>
      <w:bookmarkStart w:id="358" w:name="_Toc4836"/>
      <w:bookmarkStart w:id="359" w:name="_Toc22692"/>
      <w:bookmarkStart w:id="360" w:name="_Toc10634"/>
      <w:bookmarkStart w:id="361" w:name="_Toc26665"/>
      <w:bookmarkStart w:id="362" w:name="_Toc11690"/>
      <w:bookmarkStart w:id="363" w:name="_Toc24942"/>
      <w:bookmarkStart w:id="364" w:name="_Toc8327"/>
      <w:bookmarkStart w:id="365" w:name="_Toc12214"/>
      <w:bookmarkStart w:id="366" w:name="_Toc26158"/>
      <w:bookmarkStart w:id="367" w:name="_Toc5388"/>
      <w:bookmarkStart w:id="368" w:name="_Toc2782"/>
      <w:bookmarkStart w:id="369" w:name="_Toc30424"/>
      <w:bookmarkStart w:id="370" w:name="_Toc31478"/>
      <w:bookmarkStart w:id="371" w:name="_Toc20077"/>
      <w:r>
        <w:rPr>
          <w:rFonts w:hint="eastAsia"/>
          <w:highlight w:val="none"/>
        </w:rPr>
        <w:t>10.联系方式</w:t>
      </w:r>
      <w:bookmarkEnd w:id="297"/>
      <w:bookmarkEnd w:id="298"/>
      <w:bookmarkEnd w:id="299"/>
      <w:bookmarkEnd w:id="300"/>
      <w:bookmarkEnd w:id="301"/>
      <w:bookmarkEnd w:id="302"/>
      <w:bookmarkEnd w:id="303"/>
      <w:bookmarkEnd w:id="304"/>
      <w:bookmarkEnd w:id="305"/>
      <w:bookmarkEnd w:id="306"/>
      <w:bookmarkEnd w:id="328"/>
      <w:bookmarkEnd w:id="329"/>
      <w:bookmarkEnd w:id="330"/>
      <w:bookmarkEnd w:id="331"/>
      <w:bookmarkEnd w:id="332"/>
      <w:bookmarkEnd w:id="333"/>
      <w:bookmarkEnd w:id="334"/>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66AAFB90">
      <w:pPr>
        <w:topLinePunct/>
        <w:spacing w:line="336" w:lineRule="auto"/>
        <w:ind w:firstLine="420" w:firstLineChars="200"/>
        <w:rPr>
          <w:rFonts w:hint="eastAsia" w:ascii="宋体" w:hAnsi="宋体" w:eastAsia="宋体" w:cs="宋体"/>
          <w:szCs w:val="21"/>
          <w:highlight w:val="none"/>
          <w:lang w:eastAsia="zh-CN"/>
        </w:rPr>
      </w:pPr>
      <w:bookmarkStart w:id="372" w:name="_Toc221949942"/>
      <w:r>
        <w:rPr>
          <w:rFonts w:hint="eastAsia" w:ascii="宋体" w:hAnsi="宋体" w:cs="宋体"/>
          <w:szCs w:val="21"/>
          <w:highlight w:val="none"/>
        </w:rPr>
        <w:t>招 标 人：</w:t>
      </w:r>
      <w:r>
        <w:rPr>
          <w:rFonts w:hint="eastAsia" w:ascii="宋体" w:hAnsi="宋体" w:cs="宋体"/>
          <w:szCs w:val="21"/>
          <w:highlight w:val="none"/>
          <w:lang w:eastAsia="zh-CN"/>
        </w:rPr>
        <w:t>广州市白云区人和镇人民政府</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招标代理机构：</w:t>
      </w:r>
      <w:bookmarkEnd w:id="372"/>
      <w:r>
        <w:rPr>
          <w:rFonts w:hint="eastAsia" w:ascii="宋体" w:hAnsi="宋体" w:cs="宋体"/>
          <w:szCs w:val="21"/>
          <w:highlight w:val="none"/>
          <w:lang w:eastAsia="zh-CN"/>
        </w:rPr>
        <w:t>广东科信工程管理有限公司</w:t>
      </w:r>
    </w:p>
    <w:p w14:paraId="4881C16B">
      <w:pPr>
        <w:topLinePunct/>
        <w:spacing w:line="336" w:lineRule="auto"/>
        <w:ind w:left="5649" w:leftChars="190" w:hanging="5250" w:hangingChars="2500"/>
        <w:rPr>
          <w:rFonts w:ascii="宋体" w:hAnsi="宋体" w:cs="宋体"/>
          <w:szCs w:val="21"/>
          <w:highlight w:val="none"/>
        </w:rPr>
      </w:pPr>
      <w:bookmarkStart w:id="373" w:name="_Toc221949943"/>
      <w:r>
        <w:rPr>
          <w:rFonts w:hint="eastAsia" w:ascii="宋体" w:hAnsi="宋体" w:cs="宋体"/>
          <w:szCs w:val="21"/>
          <w:highlight w:val="none"/>
        </w:rPr>
        <w:t>地    址：</w:t>
      </w:r>
      <w:r>
        <w:rPr>
          <w:rFonts w:hint="eastAsia" w:ascii="宋体" w:hAnsi="宋体" w:cs="宋体"/>
          <w:szCs w:val="21"/>
          <w:highlight w:val="none"/>
          <w:lang w:eastAsia="zh-CN"/>
        </w:rPr>
        <w:t>广州市白云区人和镇鹤龙六路6号</w:t>
      </w:r>
      <w:r>
        <w:rPr>
          <w:rFonts w:hint="eastAsia" w:ascii="宋体" w:hAnsi="宋体" w:cs="宋体"/>
          <w:szCs w:val="21"/>
          <w:highlight w:val="none"/>
        </w:rPr>
        <w:t xml:space="preserve">   地    址：</w:t>
      </w:r>
      <w:bookmarkEnd w:id="373"/>
      <w:r>
        <w:rPr>
          <w:rFonts w:hint="eastAsia" w:ascii="宋体" w:hAnsi="宋体" w:cs="宋体"/>
          <w:szCs w:val="21"/>
          <w:highlight w:val="none"/>
          <w:lang w:eastAsia="zh-CN"/>
        </w:rPr>
        <w:t>广州市天河区燕岭路123号第十二层1201房</w:t>
      </w:r>
      <w:r>
        <w:rPr>
          <w:rFonts w:hint="eastAsia" w:ascii="宋体" w:hAnsi="宋体" w:cs="宋体"/>
          <w:szCs w:val="21"/>
          <w:highlight w:val="none"/>
        </w:rPr>
        <w:t xml:space="preserve"> </w:t>
      </w:r>
    </w:p>
    <w:p w14:paraId="34E5F43F">
      <w:pPr>
        <w:topLinePunct/>
        <w:spacing w:line="336" w:lineRule="auto"/>
        <w:ind w:firstLine="420" w:firstLineChars="200"/>
        <w:rPr>
          <w:rFonts w:hint="eastAsia" w:ascii="宋体" w:hAnsi="宋体" w:eastAsia="宋体" w:cs="宋体"/>
          <w:szCs w:val="21"/>
          <w:highlight w:val="none"/>
          <w:lang w:eastAsia="zh-CN"/>
        </w:rPr>
      </w:pPr>
      <w:bookmarkStart w:id="374" w:name="_Toc221949944"/>
      <w:r>
        <w:rPr>
          <w:rFonts w:hint="eastAsia" w:ascii="宋体" w:hAnsi="宋体" w:cs="宋体"/>
          <w:szCs w:val="21"/>
          <w:highlight w:val="none"/>
        </w:rPr>
        <w:t>邮    编：</w:t>
      </w:r>
      <w:r>
        <w:rPr>
          <w:rFonts w:hint="eastAsia" w:ascii="宋体" w:hAnsi="宋体" w:cs="宋体"/>
          <w:szCs w:val="21"/>
          <w:highlight w:val="none"/>
          <w:lang w:val="en-US" w:eastAsia="zh-CN"/>
        </w:rPr>
        <w:t>/</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邮    编：</w:t>
      </w:r>
      <w:bookmarkEnd w:id="374"/>
      <w:r>
        <w:rPr>
          <w:rFonts w:hint="eastAsia" w:ascii="宋体" w:hAnsi="宋体" w:cs="宋体"/>
          <w:szCs w:val="21"/>
          <w:highlight w:val="none"/>
          <w:lang w:eastAsia="zh-CN"/>
        </w:rPr>
        <w:t>510507</w:t>
      </w:r>
    </w:p>
    <w:p w14:paraId="74D7EE93">
      <w:pPr>
        <w:topLinePunct/>
        <w:spacing w:line="336" w:lineRule="auto"/>
        <w:ind w:firstLine="420" w:firstLineChars="200"/>
        <w:rPr>
          <w:rFonts w:ascii="宋体" w:hAnsi="宋体" w:cs="宋体"/>
          <w:szCs w:val="21"/>
          <w:highlight w:val="none"/>
        </w:rPr>
      </w:pPr>
      <w:bookmarkStart w:id="375" w:name="_Toc221949945"/>
      <w:r>
        <w:rPr>
          <w:rFonts w:hint="eastAsia" w:ascii="宋体" w:hAnsi="宋体" w:cs="宋体"/>
          <w:szCs w:val="21"/>
          <w:highlight w:val="none"/>
        </w:rPr>
        <w:t>联 系 人：</w:t>
      </w:r>
      <w:r>
        <w:rPr>
          <w:rFonts w:hint="eastAsia" w:ascii="宋体" w:hAnsi="宋体" w:cs="宋体"/>
          <w:szCs w:val="21"/>
          <w:highlight w:val="none"/>
          <w:lang w:eastAsia="zh-CN"/>
        </w:rPr>
        <w:t>戴先生</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联 系 人：</w:t>
      </w:r>
      <w:bookmarkEnd w:id="375"/>
      <w:r>
        <w:rPr>
          <w:rFonts w:hint="eastAsia" w:ascii="宋体" w:hAnsi="宋体" w:cs="宋体"/>
          <w:szCs w:val="21"/>
          <w:highlight w:val="none"/>
          <w:lang w:val="en-US" w:eastAsia="zh-CN"/>
        </w:rPr>
        <w:t>李工、周工</w:t>
      </w:r>
    </w:p>
    <w:p w14:paraId="1AE86781">
      <w:pPr>
        <w:topLinePunct/>
        <w:spacing w:line="336" w:lineRule="auto"/>
        <w:ind w:firstLine="420" w:firstLineChars="200"/>
        <w:rPr>
          <w:rFonts w:hint="eastAsia" w:ascii="宋体" w:hAnsi="宋体" w:eastAsia="宋体" w:cs="宋体"/>
          <w:szCs w:val="21"/>
          <w:highlight w:val="none"/>
          <w:lang w:eastAsia="zh-CN"/>
        </w:rPr>
      </w:pPr>
      <w:bookmarkStart w:id="376" w:name="_Toc221949946"/>
      <w:r>
        <w:rPr>
          <w:rFonts w:hint="eastAsia" w:ascii="宋体" w:hAnsi="宋体" w:cs="宋体"/>
          <w:szCs w:val="21"/>
          <w:highlight w:val="none"/>
        </w:rPr>
        <w:t>电    话：</w:t>
      </w:r>
      <w:r>
        <w:rPr>
          <w:rFonts w:hint="eastAsia" w:ascii="宋体" w:hAnsi="宋体" w:cs="宋体"/>
          <w:szCs w:val="21"/>
          <w:highlight w:val="none"/>
          <w:lang w:eastAsia="zh-CN"/>
        </w:rPr>
        <w:t>020-86452967</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电    话：</w:t>
      </w:r>
      <w:bookmarkEnd w:id="376"/>
      <w:r>
        <w:rPr>
          <w:rFonts w:hint="eastAsia" w:ascii="宋体" w:hAnsi="宋体" w:cs="宋体"/>
          <w:szCs w:val="21"/>
          <w:highlight w:val="none"/>
          <w:lang w:eastAsia="zh-CN"/>
        </w:rPr>
        <w:t>020-87037139</w:t>
      </w:r>
    </w:p>
    <w:p w14:paraId="60D77B21">
      <w:pPr>
        <w:topLinePunct/>
        <w:spacing w:line="336" w:lineRule="auto"/>
        <w:ind w:firstLine="420" w:firstLineChars="200"/>
        <w:rPr>
          <w:rFonts w:ascii="宋体" w:hAnsi="宋体" w:cs="宋体"/>
          <w:szCs w:val="21"/>
          <w:highlight w:val="none"/>
        </w:rPr>
      </w:pPr>
      <w:bookmarkStart w:id="377" w:name="_Toc221949947"/>
      <w:r>
        <w:rPr>
          <w:rFonts w:hint="eastAsia" w:ascii="宋体" w:hAnsi="宋体" w:cs="宋体"/>
          <w:szCs w:val="21"/>
          <w:highlight w:val="none"/>
        </w:rPr>
        <w:t xml:space="preserve">传    真：                                </w:t>
      </w:r>
      <w:r>
        <w:rPr>
          <w:rFonts w:hint="eastAsia" w:ascii="宋体" w:hAnsi="宋体" w:cs="宋体"/>
          <w:szCs w:val="21"/>
          <w:highlight w:val="none"/>
          <w:lang w:val="en-US" w:eastAsia="zh-CN"/>
        </w:rPr>
        <w:t xml:space="preserve"> </w:t>
      </w:r>
      <w:r>
        <w:rPr>
          <w:rFonts w:hint="eastAsia" w:ascii="宋体" w:hAnsi="宋体" w:cs="宋体"/>
          <w:szCs w:val="21"/>
          <w:highlight w:val="none"/>
        </w:rPr>
        <w:t>传    真：</w:t>
      </w:r>
      <w:bookmarkEnd w:id="377"/>
    </w:p>
    <w:p w14:paraId="459B94D4">
      <w:pPr>
        <w:topLinePunct/>
        <w:spacing w:line="336" w:lineRule="auto"/>
        <w:ind w:firstLine="420" w:firstLineChars="200"/>
        <w:rPr>
          <w:rFonts w:ascii="宋体" w:hAnsi="宋体" w:cs="宋体"/>
          <w:szCs w:val="21"/>
          <w:highlight w:val="none"/>
        </w:rPr>
      </w:pPr>
      <w:bookmarkStart w:id="378" w:name="_Toc221949948"/>
      <w:r>
        <w:rPr>
          <w:rFonts w:hint="eastAsia" w:ascii="宋体" w:hAnsi="宋体" w:cs="宋体"/>
          <w:szCs w:val="21"/>
          <w:highlight w:val="none"/>
        </w:rPr>
        <w:t xml:space="preserve">电子邮件：                                </w:t>
      </w:r>
      <w:r>
        <w:rPr>
          <w:rFonts w:hint="eastAsia" w:ascii="宋体" w:hAnsi="宋体" w:cs="宋体"/>
          <w:szCs w:val="21"/>
          <w:highlight w:val="none"/>
          <w:lang w:val="en-US" w:eastAsia="zh-CN"/>
        </w:rPr>
        <w:t xml:space="preserve"> </w:t>
      </w:r>
      <w:r>
        <w:rPr>
          <w:rFonts w:hint="eastAsia" w:ascii="宋体" w:hAnsi="宋体" w:cs="宋体"/>
          <w:szCs w:val="21"/>
          <w:highlight w:val="none"/>
        </w:rPr>
        <w:t>电子邮件：</w:t>
      </w:r>
      <w:bookmarkEnd w:id="378"/>
    </w:p>
    <w:p w14:paraId="7CA95BCF">
      <w:pPr>
        <w:topLinePunct/>
        <w:spacing w:line="336" w:lineRule="auto"/>
        <w:ind w:firstLine="420" w:firstLineChars="200"/>
        <w:rPr>
          <w:rFonts w:ascii="宋体" w:hAnsi="宋体" w:cs="宋体"/>
          <w:szCs w:val="21"/>
          <w:highlight w:val="none"/>
        </w:rPr>
      </w:pPr>
      <w:bookmarkStart w:id="379" w:name="_Toc221949949"/>
      <w:r>
        <w:rPr>
          <w:rFonts w:hint="eastAsia" w:ascii="宋体" w:hAnsi="宋体" w:cs="宋体"/>
          <w:szCs w:val="21"/>
          <w:highlight w:val="none"/>
        </w:rPr>
        <w:t xml:space="preserve">网    址：                                </w:t>
      </w:r>
      <w:r>
        <w:rPr>
          <w:rFonts w:hint="eastAsia" w:ascii="宋体" w:hAnsi="宋体" w:cs="宋体"/>
          <w:szCs w:val="21"/>
          <w:highlight w:val="none"/>
          <w:lang w:val="en-US" w:eastAsia="zh-CN"/>
        </w:rPr>
        <w:t xml:space="preserve"> </w:t>
      </w:r>
      <w:r>
        <w:rPr>
          <w:rFonts w:hint="eastAsia" w:ascii="宋体" w:hAnsi="宋体" w:cs="宋体"/>
          <w:szCs w:val="21"/>
          <w:highlight w:val="none"/>
        </w:rPr>
        <w:t>网    址：</w:t>
      </w:r>
      <w:bookmarkEnd w:id="379"/>
    </w:p>
    <w:p w14:paraId="08340964">
      <w:pPr>
        <w:spacing w:line="336" w:lineRule="auto"/>
        <w:rPr>
          <w:rFonts w:ascii="宋体" w:hAnsi="宋体" w:cs="宋体"/>
          <w:szCs w:val="21"/>
          <w:highlight w:val="none"/>
        </w:rPr>
      </w:pPr>
    </w:p>
    <w:p w14:paraId="4F58F81A">
      <w:pPr>
        <w:topLinePunct/>
        <w:spacing w:line="336" w:lineRule="auto"/>
        <w:ind w:firstLine="420" w:firstLineChars="200"/>
        <w:rPr>
          <w:rFonts w:ascii="宋体" w:hAnsi="宋体" w:cs="宋体"/>
          <w:szCs w:val="21"/>
          <w:highlight w:val="none"/>
        </w:rPr>
      </w:pPr>
      <w:r>
        <w:rPr>
          <w:rFonts w:hint="eastAsia" w:ascii="宋体" w:hAnsi="宋体" w:cs="宋体"/>
          <w:szCs w:val="21"/>
          <w:highlight w:val="none"/>
        </w:rPr>
        <w:t>招标监督机构：广州市白云区农业农村局</w:t>
      </w:r>
    </w:p>
    <w:p w14:paraId="2332CED2">
      <w:pPr>
        <w:topLinePunct/>
        <w:spacing w:line="336" w:lineRule="auto"/>
        <w:ind w:firstLine="420" w:firstLineChars="200"/>
        <w:rPr>
          <w:rFonts w:ascii="宋体" w:hAnsi="宋体" w:cs="宋体"/>
          <w:szCs w:val="21"/>
          <w:highlight w:val="none"/>
        </w:rPr>
      </w:pPr>
      <w:r>
        <w:rPr>
          <w:rFonts w:hint="eastAsia" w:ascii="宋体" w:hAnsi="宋体" w:cs="宋体"/>
          <w:szCs w:val="21"/>
          <w:highlight w:val="none"/>
        </w:rPr>
        <w:t>监督电话：020-36492997</w:t>
      </w:r>
    </w:p>
    <w:p w14:paraId="6F350BCD">
      <w:pPr>
        <w:topLinePunct/>
        <w:spacing w:line="336" w:lineRule="auto"/>
        <w:ind w:firstLine="420" w:firstLineChars="200"/>
        <w:rPr>
          <w:rFonts w:ascii="宋体" w:hAnsi="宋体" w:cs="宋体"/>
          <w:szCs w:val="21"/>
          <w:highlight w:val="none"/>
        </w:rPr>
      </w:pPr>
      <w:r>
        <w:rPr>
          <w:rFonts w:hint="eastAsia" w:ascii="宋体" w:hAnsi="宋体" w:cs="宋体"/>
          <w:szCs w:val="21"/>
          <w:highlight w:val="none"/>
        </w:rPr>
        <w:t>联系地址：广州市白云区广园中路238号</w:t>
      </w:r>
    </w:p>
    <w:p w14:paraId="4A155F99">
      <w:pPr>
        <w:spacing w:line="336" w:lineRule="auto"/>
        <w:rPr>
          <w:rFonts w:ascii="宋体" w:hAnsi="宋体" w:cs="宋体"/>
          <w:szCs w:val="21"/>
          <w:highlight w:val="none"/>
        </w:rPr>
      </w:pPr>
      <w:r>
        <w:rPr>
          <w:rFonts w:hint="eastAsia" w:ascii="宋体" w:hAnsi="宋体" w:cs="宋体"/>
          <w:szCs w:val="21"/>
          <w:highlight w:val="none"/>
        </w:rPr>
        <w:t>　　　　　　　　　　　　　　　　　　　　　　　　　</w:t>
      </w:r>
      <w:bookmarkStart w:id="380" w:name="_Toc221949952"/>
      <w:r>
        <w:rPr>
          <w:rFonts w:hint="eastAsia" w:ascii="宋体" w:hAnsi="宋体" w:cs="宋体"/>
          <w:szCs w:val="21"/>
          <w:highlight w:val="none"/>
        </w:rPr>
        <w:t>年    月    日</w:t>
      </w:r>
      <w:bookmarkEnd w:id="380"/>
    </w:p>
    <w:p w14:paraId="6EC4247E">
      <w:pPr>
        <w:spacing w:line="336" w:lineRule="auto"/>
        <w:rPr>
          <w:rFonts w:hint="eastAsia" w:ascii="宋体" w:hAnsi="宋体" w:cs="宋体"/>
          <w:sz w:val="20"/>
          <w:szCs w:val="20"/>
          <w:highlight w:val="none"/>
        </w:rPr>
      </w:pPr>
    </w:p>
    <w:p w14:paraId="3AC42ED6">
      <w:pPr>
        <w:spacing w:line="336" w:lineRule="auto"/>
        <w:rPr>
          <w:rFonts w:hint="eastAsia" w:ascii="宋体" w:hAnsi="宋体" w:cs="宋体"/>
          <w:sz w:val="20"/>
          <w:szCs w:val="20"/>
          <w:highlight w:val="none"/>
        </w:rPr>
      </w:pPr>
    </w:p>
    <w:p w14:paraId="1B798CEC">
      <w:pPr>
        <w:spacing w:line="336" w:lineRule="auto"/>
        <w:ind w:left="900" w:hanging="900" w:hangingChars="450"/>
        <w:rPr>
          <w:rFonts w:ascii="宋体" w:hAnsi="宋体" w:cs="宋体"/>
          <w:sz w:val="20"/>
          <w:szCs w:val="20"/>
          <w:highlight w:val="none"/>
        </w:rPr>
      </w:pPr>
      <w:r>
        <w:rPr>
          <w:rFonts w:hint="eastAsia" w:ascii="宋体" w:hAnsi="宋体" w:cs="宋体"/>
          <w:sz w:val="20"/>
          <w:szCs w:val="20"/>
          <w:highlight w:val="none"/>
        </w:rPr>
        <w:t>备注：</w:t>
      </w:r>
      <w:r>
        <w:rPr>
          <w:rFonts w:hint="eastAsia" w:cs="宋体"/>
          <w:sz w:val="20"/>
          <w:szCs w:val="20"/>
          <w:highlight w:val="none"/>
        </w:rPr>
        <w:t>1</w:t>
      </w:r>
      <w:r>
        <w:rPr>
          <w:rFonts w:hint="eastAsia" w:ascii="宋体" w:hAnsi="宋体" w:cs="宋体"/>
          <w:sz w:val="20"/>
          <w:szCs w:val="20"/>
          <w:highlight w:val="none"/>
        </w:rPr>
        <w:t>. 投标人拟派的项目负责人（建造师）（下同）不得同时担任两个及以上建设工程项目的项目负责人（项目负责人）。存在下列情形之一的，视为未担任其他在建工程项目的项目负责人：（</w:t>
      </w:r>
      <w:r>
        <w:rPr>
          <w:rFonts w:hint="eastAsia" w:cs="宋体"/>
          <w:sz w:val="20"/>
          <w:szCs w:val="20"/>
          <w:highlight w:val="none"/>
        </w:rPr>
        <w:t>1</w:t>
      </w:r>
      <w:r>
        <w:rPr>
          <w:rFonts w:hint="eastAsia" w:ascii="宋体" w:hAnsi="宋体" w:cs="宋体"/>
          <w:sz w:val="20"/>
          <w:szCs w:val="20"/>
          <w:highlight w:val="none"/>
        </w:rPr>
        <w:t>）同一工程相邻分段发包或分期施工的;（</w:t>
      </w:r>
      <w:r>
        <w:rPr>
          <w:rFonts w:hint="eastAsia" w:cs="宋体"/>
          <w:sz w:val="20"/>
          <w:szCs w:val="20"/>
          <w:highlight w:val="none"/>
        </w:rPr>
        <w:t>2</w:t>
      </w:r>
      <w:r>
        <w:rPr>
          <w:rFonts w:hint="eastAsia" w:ascii="宋体" w:hAnsi="宋体" w:cs="宋体"/>
          <w:sz w:val="20"/>
          <w:szCs w:val="20"/>
          <w:highlight w:val="none"/>
        </w:rPr>
        <w:t>）合同约定的工程验收合格的；（</w:t>
      </w:r>
      <w:r>
        <w:rPr>
          <w:rFonts w:hint="eastAsia" w:cs="宋体"/>
          <w:sz w:val="20"/>
          <w:szCs w:val="20"/>
          <w:highlight w:val="none"/>
        </w:rPr>
        <w:t>3</w:t>
      </w:r>
      <w:r>
        <w:rPr>
          <w:rFonts w:hint="eastAsia" w:ascii="宋体" w:hAnsi="宋体" w:cs="宋体"/>
          <w:sz w:val="20"/>
          <w:szCs w:val="20"/>
          <w:highlight w:val="none"/>
        </w:rPr>
        <w:t>）因非承包方原因致使工程项目停工超过</w:t>
      </w:r>
      <w:r>
        <w:rPr>
          <w:rFonts w:hint="eastAsia" w:cs="宋体"/>
          <w:sz w:val="20"/>
          <w:szCs w:val="20"/>
          <w:highlight w:val="none"/>
        </w:rPr>
        <w:t>120</w:t>
      </w:r>
      <w:r>
        <w:rPr>
          <w:rFonts w:hint="eastAsia" w:ascii="宋体" w:hAnsi="宋体" w:cs="宋体"/>
          <w:sz w:val="20"/>
          <w:szCs w:val="20"/>
          <w:highlight w:val="none"/>
        </w:rPr>
        <w:t>天（含），经建设单位同意的。</w:t>
      </w:r>
    </w:p>
    <w:p w14:paraId="7012888E">
      <w:pPr>
        <w:spacing w:line="336" w:lineRule="auto"/>
        <w:ind w:left="930" w:leftChars="300" w:hanging="300" w:hangingChars="150"/>
        <w:rPr>
          <w:rFonts w:hint="eastAsia"/>
          <w:highlight w:val="none"/>
        </w:rPr>
      </w:pPr>
      <w:r>
        <w:rPr>
          <w:rFonts w:hint="eastAsia" w:cs="宋体"/>
          <w:sz w:val="20"/>
          <w:szCs w:val="20"/>
          <w:highlight w:val="none"/>
        </w:rPr>
        <w:t>2</w:t>
      </w:r>
      <w:r>
        <w:rPr>
          <w:rFonts w:hint="eastAsia" w:ascii="宋体" w:hAnsi="宋体" w:cs="宋体"/>
          <w:sz w:val="20"/>
          <w:szCs w:val="20"/>
          <w:highlight w:val="none"/>
        </w:rPr>
        <w:t>. “在所投标段免费下载招标文件”是指投标人拟参加某标段投标的，应按规定下载该标段的招标文件。投标人的下载活动“电子交易平台”将予以记录，并可在“下载情况查询”中查看，该记录作为投标人是否下载该标段招标文件的依据。</w:t>
      </w:r>
      <w:bookmarkEnd w:id="1"/>
      <w:bookmarkEnd w:id="2"/>
      <w:bookmarkEnd w:id="3"/>
      <w:bookmarkEnd w:id="4"/>
      <w:bookmarkEnd w:id="5"/>
      <w:bookmarkEnd w:id="6"/>
      <w:bookmarkEnd w:id="7"/>
      <w:bookmarkEnd w:id="8"/>
      <w:bookmarkEnd w:id="9"/>
    </w:p>
    <w:sectPr>
      <w:footerReference r:id="rId4" w:type="default"/>
      <w:footerReference r:id="rId5" w:type="even"/>
      <w:pgSz w:w="11906" w:h="16838"/>
      <w:pgMar w:top="2098" w:right="1446" w:bottom="1984" w:left="1446" w:header="851" w:footer="1446"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6190C">
    <w:pPr>
      <w:pStyle w:val="14"/>
      <w:jc w:val="center"/>
    </w:pPr>
  </w:p>
  <w:p w14:paraId="0D308F7D">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6B2B2">
    <w:pPr>
      <w:pStyle w:val="1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741C8">
                          <w:pPr>
                            <w:pStyle w:val="1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6B741C8">
                    <w:pPr>
                      <w:pStyle w:val="1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56DEA">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Fonts w:ascii="Times New Roman" w:hAnsi="Times New Roman"/>
      </w:rPr>
      <w:t>24</w:t>
    </w:r>
    <w:r>
      <w:fldChar w:fldCharType="end"/>
    </w:r>
  </w:p>
  <w:p w14:paraId="2CF69754">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30CE4"/>
    <w:multiLevelType w:val="singleLevel"/>
    <w:tmpl w:val="FBE30CE4"/>
    <w:lvl w:ilvl="0" w:tentative="0">
      <w:start w:val="9"/>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yY2Y5Y2UxZjkwY2NiYzg1MTM4ZmQzOTFhYWJhY2IifQ=="/>
    <w:docVar w:name="KSO_WPS_MARK_KEY" w:val="8c213cd5-58e9-47ee-b71b-c99fd61ab990"/>
  </w:docVars>
  <w:rsids>
    <w:rsidRoot w:val="00172A27"/>
    <w:rsid w:val="00172A27"/>
    <w:rsid w:val="00192755"/>
    <w:rsid w:val="001C247B"/>
    <w:rsid w:val="0023497A"/>
    <w:rsid w:val="00426B71"/>
    <w:rsid w:val="004C300E"/>
    <w:rsid w:val="006A79C6"/>
    <w:rsid w:val="00847DE1"/>
    <w:rsid w:val="008617FF"/>
    <w:rsid w:val="009764F5"/>
    <w:rsid w:val="00980BFF"/>
    <w:rsid w:val="00D0337D"/>
    <w:rsid w:val="00DA3E33"/>
    <w:rsid w:val="00ED21C5"/>
    <w:rsid w:val="016904FA"/>
    <w:rsid w:val="017716F4"/>
    <w:rsid w:val="01BA528A"/>
    <w:rsid w:val="01C52716"/>
    <w:rsid w:val="01CA5F1D"/>
    <w:rsid w:val="02230AF2"/>
    <w:rsid w:val="022830E4"/>
    <w:rsid w:val="02683895"/>
    <w:rsid w:val="029D33DC"/>
    <w:rsid w:val="02C31095"/>
    <w:rsid w:val="03260241"/>
    <w:rsid w:val="033248DF"/>
    <w:rsid w:val="034C45ED"/>
    <w:rsid w:val="03AF18D1"/>
    <w:rsid w:val="03B46C2F"/>
    <w:rsid w:val="041D0537"/>
    <w:rsid w:val="0477734B"/>
    <w:rsid w:val="048D4117"/>
    <w:rsid w:val="04A31AD1"/>
    <w:rsid w:val="04A70542"/>
    <w:rsid w:val="04A81553"/>
    <w:rsid w:val="04AE722E"/>
    <w:rsid w:val="04C174DB"/>
    <w:rsid w:val="04E716C3"/>
    <w:rsid w:val="04EF4E36"/>
    <w:rsid w:val="05164A25"/>
    <w:rsid w:val="05453FE3"/>
    <w:rsid w:val="057E1C87"/>
    <w:rsid w:val="0583671B"/>
    <w:rsid w:val="05C328E8"/>
    <w:rsid w:val="05FD39CC"/>
    <w:rsid w:val="0631401F"/>
    <w:rsid w:val="065C286C"/>
    <w:rsid w:val="0684696A"/>
    <w:rsid w:val="06A55DD7"/>
    <w:rsid w:val="06C673A5"/>
    <w:rsid w:val="06E723F8"/>
    <w:rsid w:val="07A5520D"/>
    <w:rsid w:val="07D92C60"/>
    <w:rsid w:val="08393E73"/>
    <w:rsid w:val="088B72CA"/>
    <w:rsid w:val="08BB0570"/>
    <w:rsid w:val="08EF3D5E"/>
    <w:rsid w:val="08FB4715"/>
    <w:rsid w:val="09F922B8"/>
    <w:rsid w:val="0A1270CD"/>
    <w:rsid w:val="0A766CF7"/>
    <w:rsid w:val="0B0E540E"/>
    <w:rsid w:val="0B863E3A"/>
    <w:rsid w:val="0B8F20D5"/>
    <w:rsid w:val="0BCB2D68"/>
    <w:rsid w:val="0C0C04BB"/>
    <w:rsid w:val="0C5C0E42"/>
    <w:rsid w:val="0C67162D"/>
    <w:rsid w:val="0C8768B4"/>
    <w:rsid w:val="0CEE7D86"/>
    <w:rsid w:val="0D02557F"/>
    <w:rsid w:val="0D100AE1"/>
    <w:rsid w:val="0D415BDD"/>
    <w:rsid w:val="0D625687"/>
    <w:rsid w:val="0D7D1A33"/>
    <w:rsid w:val="0DB6133E"/>
    <w:rsid w:val="0DE01A63"/>
    <w:rsid w:val="0DFA5B87"/>
    <w:rsid w:val="0E046881"/>
    <w:rsid w:val="0E1B13CE"/>
    <w:rsid w:val="0EB977F0"/>
    <w:rsid w:val="0EBA4906"/>
    <w:rsid w:val="0F36419E"/>
    <w:rsid w:val="0F704240"/>
    <w:rsid w:val="0F762D63"/>
    <w:rsid w:val="0FA84832"/>
    <w:rsid w:val="10A71E43"/>
    <w:rsid w:val="10DC4A70"/>
    <w:rsid w:val="11157E34"/>
    <w:rsid w:val="11403B5A"/>
    <w:rsid w:val="11517434"/>
    <w:rsid w:val="116A2D8F"/>
    <w:rsid w:val="118557CD"/>
    <w:rsid w:val="11B80C55"/>
    <w:rsid w:val="11C04407"/>
    <w:rsid w:val="11E338E1"/>
    <w:rsid w:val="11ED6F4D"/>
    <w:rsid w:val="120E12B5"/>
    <w:rsid w:val="123C49C0"/>
    <w:rsid w:val="129A34E5"/>
    <w:rsid w:val="12AD3208"/>
    <w:rsid w:val="12BB001E"/>
    <w:rsid w:val="12C3110E"/>
    <w:rsid w:val="12E7256C"/>
    <w:rsid w:val="12EA3113"/>
    <w:rsid w:val="12ED4198"/>
    <w:rsid w:val="12F01C1A"/>
    <w:rsid w:val="132C4AE6"/>
    <w:rsid w:val="136F4921"/>
    <w:rsid w:val="13883F55"/>
    <w:rsid w:val="138861F8"/>
    <w:rsid w:val="13B41253"/>
    <w:rsid w:val="13DA0234"/>
    <w:rsid w:val="13F7615B"/>
    <w:rsid w:val="14677A73"/>
    <w:rsid w:val="146D1F67"/>
    <w:rsid w:val="14AC513B"/>
    <w:rsid w:val="152E7E8B"/>
    <w:rsid w:val="15BF5C2B"/>
    <w:rsid w:val="15C33C2B"/>
    <w:rsid w:val="15C9656A"/>
    <w:rsid w:val="15D965DB"/>
    <w:rsid w:val="16CF5EA6"/>
    <w:rsid w:val="173637C3"/>
    <w:rsid w:val="17557BE2"/>
    <w:rsid w:val="1756574D"/>
    <w:rsid w:val="175B488E"/>
    <w:rsid w:val="175D178A"/>
    <w:rsid w:val="17C06A90"/>
    <w:rsid w:val="17DF183C"/>
    <w:rsid w:val="184B770B"/>
    <w:rsid w:val="188B45D1"/>
    <w:rsid w:val="18BA4890"/>
    <w:rsid w:val="18D23988"/>
    <w:rsid w:val="19683303"/>
    <w:rsid w:val="198E5581"/>
    <w:rsid w:val="19AF0A4A"/>
    <w:rsid w:val="19C21347"/>
    <w:rsid w:val="19D11E91"/>
    <w:rsid w:val="19E24781"/>
    <w:rsid w:val="19EA7915"/>
    <w:rsid w:val="19F44434"/>
    <w:rsid w:val="1A4E60FF"/>
    <w:rsid w:val="1A613215"/>
    <w:rsid w:val="1A951111"/>
    <w:rsid w:val="1AC00093"/>
    <w:rsid w:val="1AC437A4"/>
    <w:rsid w:val="1B0D6EF9"/>
    <w:rsid w:val="1B1B02DD"/>
    <w:rsid w:val="1B5E0744"/>
    <w:rsid w:val="1B8B308F"/>
    <w:rsid w:val="1BB9592E"/>
    <w:rsid w:val="1BC36D29"/>
    <w:rsid w:val="1BDE2432"/>
    <w:rsid w:val="1BE063BC"/>
    <w:rsid w:val="1C1B528D"/>
    <w:rsid w:val="1C59415A"/>
    <w:rsid w:val="1CAA782F"/>
    <w:rsid w:val="1CBC27F3"/>
    <w:rsid w:val="1CBF2152"/>
    <w:rsid w:val="1CCC570F"/>
    <w:rsid w:val="1CF75960"/>
    <w:rsid w:val="1D141A36"/>
    <w:rsid w:val="1D7D0CD2"/>
    <w:rsid w:val="1D972D03"/>
    <w:rsid w:val="1DBB0E8E"/>
    <w:rsid w:val="1DD86B70"/>
    <w:rsid w:val="1E195BB5"/>
    <w:rsid w:val="1E236A34"/>
    <w:rsid w:val="1E2D1660"/>
    <w:rsid w:val="1E71779F"/>
    <w:rsid w:val="1E7F6837"/>
    <w:rsid w:val="1E84031A"/>
    <w:rsid w:val="1E843120"/>
    <w:rsid w:val="1E9673A1"/>
    <w:rsid w:val="1EC72E85"/>
    <w:rsid w:val="1EE71A21"/>
    <w:rsid w:val="1F0827F2"/>
    <w:rsid w:val="1F3452D6"/>
    <w:rsid w:val="1F6E2142"/>
    <w:rsid w:val="1F9544D3"/>
    <w:rsid w:val="1FA35DEC"/>
    <w:rsid w:val="1FCE45BD"/>
    <w:rsid w:val="20580C17"/>
    <w:rsid w:val="20737BFA"/>
    <w:rsid w:val="20DA1B23"/>
    <w:rsid w:val="20EF05C9"/>
    <w:rsid w:val="210352D4"/>
    <w:rsid w:val="21552463"/>
    <w:rsid w:val="21604585"/>
    <w:rsid w:val="21C35049"/>
    <w:rsid w:val="21C377A6"/>
    <w:rsid w:val="21DB2524"/>
    <w:rsid w:val="21F84D61"/>
    <w:rsid w:val="225A65A3"/>
    <w:rsid w:val="228C57DF"/>
    <w:rsid w:val="22C16090"/>
    <w:rsid w:val="230277F9"/>
    <w:rsid w:val="23562FB2"/>
    <w:rsid w:val="2388446E"/>
    <w:rsid w:val="24077A99"/>
    <w:rsid w:val="2412759C"/>
    <w:rsid w:val="2484156D"/>
    <w:rsid w:val="24B85237"/>
    <w:rsid w:val="24EB2A8F"/>
    <w:rsid w:val="251A293E"/>
    <w:rsid w:val="25221E3E"/>
    <w:rsid w:val="258A5F10"/>
    <w:rsid w:val="25A6212F"/>
    <w:rsid w:val="25B212BD"/>
    <w:rsid w:val="25F602DD"/>
    <w:rsid w:val="26641C22"/>
    <w:rsid w:val="266E746B"/>
    <w:rsid w:val="26AC4595"/>
    <w:rsid w:val="26ED00D6"/>
    <w:rsid w:val="270D6265"/>
    <w:rsid w:val="273870AC"/>
    <w:rsid w:val="27881F6C"/>
    <w:rsid w:val="279309F0"/>
    <w:rsid w:val="27CB4EEA"/>
    <w:rsid w:val="27D52B4D"/>
    <w:rsid w:val="27F51DBA"/>
    <w:rsid w:val="27F8174D"/>
    <w:rsid w:val="27FA798C"/>
    <w:rsid w:val="28015C6A"/>
    <w:rsid w:val="28277120"/>
    <w:rsid w:val="2868347B"/>
    <w:rsid w:val="287F4144"/>
    <w:rsid w:val="28951DB4"/>
    <w:rsid w:val="289B14DC"/>
    <w:rsid w:val="28F50C40"/>
    <w:rsid w:val="28FF8C3E"/>
    <w:rsid w:val="29282EA6"/>
    <w:rsid w:val="29652BFF"/>
    <w:rsid w:val="29AA0009"/>
    <w:rsid w:val="29D30566"/>
    <w:rsid w:val="2A60701A"/>
    <w:rsid w:val="2A7677B3"/>
    <w:rsid w:val="2AC6025F"/>
    <w:rsid w:val="2B0B029A"/>
    <w:rsid w:val="2B0E47CE"/>
    <w:rsid w:val="2B1D67DB"/>
    <w:rsid w:val="2B2B6040"/>
    <w:rsid w:val="2B492F95"/>
    <w:rsid w:val="2B7B2D90"/>
    <w:rsid w:val="2B7D5CE8"/>
    <w:rsid w:val="2B807273"/>
    <w:rsid w:val="2BD17810"/>
    <w:rsid w:val="2C1B5BCF"/>
    <w:rsid w:val="2C220880"/>
    <w:rsid w:val="2C237961"/>
    <w:rsid w:val="2C8D4FB3"/>
    <w:rsid w:val="2CE642BB"/>
    <w:rsid w:val="2CF45854"/>
    <w:rsid w:val="2D1F06B1"/>
    <w:rsid w:val="2D2A4109"/>
    <w:rsid w:val="2E2824E6"/>
    <w:rsid w:val="2E302DEA"/>
    <w:rsid w:val="2E555FE9"/>
    <w:rsid w:val="2EB83212"/>
    <w:rsid w:val="2EC1468C"/>
    <w:rsid w:val="2EEE3876"/>
    <w:rsid w:val="2F0A0C8E"/>
    <w:rsid w:val="2F1A5A56"/>
    <w:rsid w:val="2F1B2B61"/>
    <w:rsid w:val="2F4D4820"/>
    <w:rsid w:val="2F63610E"/>
    <w:rsid w:val="2F6A2D7D"/>
    <w:rsid w:val="2F6B16C3"/>
    <w:rsid w:val="2FA23C5C"/>
    <w:rsid w:val="2FC72074"/>
    <w:rsid w:val="2FF90BD0"/>
    <w:rsid w:val="2FF92B02"/>
    <w:rsid w:val="300D74F0"/>
    <w:rsid w:val="30C25A2F"/>
    <w:rsid w:val="30E84AFF"/>
    <w:rsid w:val="30FC431F"/>
    <w:rsid w:val="310224D9"/>
    <w:rsid w:val="31537BB5"/>
    <w:rsid w:val="31FB58A6"/>
    <w:rsid w:val="32467354"/>
    <w:rsid w:val="32610823"/>
    <w:rsid w:val="328525BE"/>
    <w:rsid w:val="32A0055C"/>
    <w:rsid w:val="32A7158A"/>
    <w:rsid w:val="33464A70"/>
    <w:rsid w:val="338D38EE"/>
    <w:rsid w:val="33E9123C"/>
    <w:rsid w:val="34533564"/>
    <w:rsid w:val="345D7C37"/>
    <w:rsid w:val="34706476"/>
    <w:rsid w:val="34D64FA6"/>
    <w:rsid w:val="35364B2E"/>
    <w:rsid w:val="35521C81"/>
    <w:rsid w:val="35E63852"/>
    <w:rsid w:val="360627EA"/>
    <w:rsid w:val="366A3954"/>
    <w:rsid w:val="36741B52"/>
    <w:rsid w:val="367D0F7F"/>
    <w:rsid w:val="36BC6012"/>
    <w:rsid w:val="36D25A24"/>
    <w:rsid w:val="37164F30"/>
    <w:rsid w:val="37553354"/>
    <w:rsid w:val="376C6090"/>
    <w:rsid w:val="379E0B19"/>
    <w:rsid w:val="37AD13F0"/>
    <w:rsid w:val="37B41185"/>
    <w:rsid w:val="37F05781"/>
    <w:rsid w:val="37F53BFB"/>
    <w:rsid w:val="380F4B5F"/>
    <w:rsid w:val="3828704D"/>
    <w:rsid w:val="38573C0E"/>
    <w:rsid w:val="3875059D"/>
    <w:rsid w:val="38795776"/>
    <w:rsid w:val="39292CF8"/>
    <w:rsid w:val="39537FB0"/>
    <w:rsid w:val="397A5AB9"/>
    <w:rsid w:val="399A1A1B"/>
    <w:rsid w:val="3A7D23E5"/>
    <w:rsid w:val="3AB502B9"/>
    <w:rsid w:val="3AF56EF0"/>
    <w:rsid w:val="3B450B56"/>
    <w:rsid w:val="3B7CFA2F"/>
    <w:rsid w:val="3B841CCA"/>
    <w:rsid w:val="3BC520F7"/>
    <w:rsid w:val="3BE07517"/>
    <w:rsid w:val="3BF34C61"/>
    <w:rsid w:val="3C061B78"/>
    <w:rsid w:val="3C347559"/>
    <w:rsid w:val="3C642299"/>
    <w:rsid w:val="3C753EBD"/>
    <w:rsid w:val="3CB56E7C"/>
    <w:rsid w:val="3CF5789E"/>
    <w:rsid w:val="3CFE3FD9"/>
    <w:rsid w:val="3D377D8A"/>
    <w:rsid w:val="3D5D5666"/>
    <w:rsid w:val="3D652B23"/>
    <w:rsid w:val="3DD7776F"/>
    <w:rsid w:val="3DEFCDEB"/>
    <w:rsid w:val="3DF02C97"/>
    <w:rsid w:val="3E3E1C48"/>
    <w:rsid w:val="3E3E4857"/>
    <w:rsid w:val="3E740419"/>
    <w:rsid w:val="3E8E3879"/>
    <w:rsid w:val="3EB23547"/>
    <w:rsid w:val="3F1119BB"/>
    <w:rsid w:val="3F161F71"/>
    <w:rsid w:val="3F255D10"/>
    <w:rsid w:val="3F3B3785"/>
    <w:rsid w:val="3F4A1B2F"/>
    <w:rsid w:val="3F5D5AE0"/>
    <w:rsid w:val="3F7F1678"/>
    <w:rsid w:val="3F976CF2"/>
    <w:rsid w:val="3FB56C6D"/>
    <w:rsid w:val="3FBD91A5"/>
    <w:rsid w:val="3FDF29E1"/>
    <w:rsid w:val="403917BD"/>
    <w:rsid w:val="4055002F"/>
    <w:rsid w:val="40A24EE0"/>
    <w:rsid w:val="40A610D2"/>
    <w:rsid w:val="40A869C3"/>
    <w:rsid w:val="40E6539B"/>
    <w:rsid w:val="41681144"/>
    <w:rsid w:val="41766BA2"/>
    <w:rsid w:val="419751D9"/>
    <w:rsid w:val="41C43E62"/>
    <w:rsid w:val="41E8453E"/>
    <w:rsid w:val="41ED19E4"/>
    <w:rsid w:val="42451376"/>
    <w:rsid w:val="425A03C6"/>
    <w:rsid w:val="42D9273C"/>
    <w:rsid w:val="42E10839"/>
    <w:rsid w:val="42FB6DBC"/>
    <w:rsid w:val="430975C8"/>
    <w:rsid w:val="43244818"/>
    <w:rsid w:val="43587C51"/>
    <w:rsid w:val="43E8388F"/>
    <w:rsid w:val="43F6747D"/>
    <w:rsid w:val="4400590E"/>
    <w:rsid w:val="442F6FA8"/>
    <w:rsid w:val="444B6F3A"/>
    <w:rsid w:val="4497554F"/>
    <w:rsid w:val="449974D6"/>
    <w:rsid w:val="44C60AEC"/>
    <w:rsid w:val="44FF3FDA"/>
    <w:rsid w:val="45055BEA"/>
    <w:rsid w:val="451B1F4F"/>
    <w:rsid w:val="451F1453"/>
    <w:rsid w:val="458A60D0"/>
    <w:rsid w:val="46036001"/>
    <w:rsid w:val="461A71B3"/>
    <w:rsid w:val="46397634"/>
    <w:rsid w:val="46466676"/>
    <w:rsid w:val="466E1F57"/>
    <w:rsid w:val="46A460B4"/>
    <w:rsid w:val="46BA47D7"/>
    <w:rsid w:val="46CC2D7F"/>
    <w:rsid w:val="46D324F5"/>
    <w:rsid w:val="474014BD"/>
    <w:rsid w:val="474D77F3"/>
    <w:rsid w:val="476D241D"/>
    <w:rsid w:val="47732C87"/>
    <w:rsid w:val="47D26D9C"/>
    <w:rsid w:val="48400AFB"/>
    <w:rsid w:val="48561F5C"/>
    <w:rsid w:val="489F3FFC"/>
    <w:rsid w:val="48A51EAE"/>
    <w:rsid w:val="48CA7C9D"/>
    <w:rsid w:val="48F70541"/>
    <w:rsid w:val="49676BEC"/>
    <w:rsid w:val="49686565"/>
    <w:rsid w:val="496B3195"/>
    <w:rsid w:val="4A0E5E62"/>
    <w:rsid w:val="4A1277D9"/>
    <w:rsid w:val="4A1B2BD1"/>
    <w:rsid w:val="4A5058F8"/>
    <w:rsid w:val="4A5F6E80"/>
    <w:rsid w:val="4A63098A"/>
    <w:rsid w:val="4ADD23A3"/>
    <w:rsid w:val="4AE02806"/>
    <w:rsid w:val="4AFF7D5D"/>
    <w:rsid w:val="4B371D20"/>
    <w:rsid w:val="4B5913DF"/>
    <w:rsid w:val="4B606EE5"/>
    <w:rsid w:val="4B9B6666"/>
    <w:rsid w:val="4BFF4505"/>
    <w:rsid w:val="4C25342A"/>
    <w:rsid w:val="4C32568A"/>
    <w:rsid w:val="4C554C45"/>
    <w:rsid w:val="4C58667F"/>
    <w:rsid w:val="4C983FC5"/>
    <w:rsid w:val="4CD76580"/>
    <w:rsid w:val="4CFA2728"/>
    <w:rsid w:val="4D8B1D7C"/>
    <w:rsid w:val="4E255D2C"/>
    <w:rsid w:val="4F006555"/>
    <w:rsid w:val="4F0A3ABE"/>
    <w:rsid w:val="4F2E0C11"/>
    <w:rsid w:val="4F675E6D"/>
    <w:rsid w:val="4F811CEE"/>
    <w:rsid w:val="4F8E0429"/>
    <w:rsid w:val="50272823"/>
    <w:rsid w:val="505C1C7B"/>
    <w:rsid w:val="508F4DC0"/>
    <w:rsid w:val="5098349E"/>
    <w:rsid w:val="50A43B0C"/>
    <w:rsid w:val="50B31D37"/>
    <w:rsid w:val="50BC5B0F"/>
    <w:rsid w:val="50C17863"/>
    <w:rsid w:val="50CB0E9B"/>
    <w:rsid w:val="50E20972"/>
    <w:rsid w:val="510E7D84"/>
    <w:rsid w:val="51511949"/>
    <w:rsid w:val="51B94BFE"/>
    <w:rsid w:val="51CC5275"/>
    <w:rsid w:val="51D70EF0"/>
    <w:rsid w:val="51DC2B68"/>
    <w:rsid w:val="51FED7AB"/>
    <w:rsid w:val="52A531D0"/>
    <w:rsid w:val="52AC6487"/>
    <w:rsid w:val="53004672"/>
    <w:rsid w:val="5311062D"/>
    <w:rsid w:val="531666D6"/>
    <w:rsid w:val="53E96D15"/>
    <w:rsid w:val="53F86724"/>
    <w:rsid w:val="543C4225"/>
    <w:rsid w:val="54547A6F"/>
    <w:rsid w:val="54720EDE"/>
    <w:rsid w:val="54791977"/>
    <w:rsid w:val="54AB5BF1"/>
    <w:rsid w:val="54B81A07"/>
    <w:rsid w:val="55045B77"/>
    <w:rsid w:val="554619BD"/>
    <w:rsid w:val="55D54465"/>
    <w:rsid w:val="55D938A0"/>
    <w:rsid w:val="55DC09CA"/>
    <w:rsid w:val="55FA3344"/>
    <w:rsid w:val="5609445F"/>
    <w:rsid w:val="568832FC"/>
    <w:rsid w:val="568A0030"/>
    <w:rsid w:val="56A96530"/>
    <w:rsid w:val="56D15A6E"/>
    <w:rsid w:val="56E2109B"/>
    <w:rsid w:val="57140D07"/>
    <w:rsid w:val="57340B8F"/>
    <w:rsid w:val="57560A79"/>
    <w:rsid w:val="577D711E"/>
    <w:rsid w:val="57833AC4"/>
    <w:rsid w:val="57CA34A1"/>
    <w:rsid w:val="58133FA8"/>
    <w:rsid w:val="58242D3F"/>
    <w:rsid w:val="583225CE"/>
    <w:rsid w:val="58397D2F"/>
    <w:rsid w:val="583B08FD"/>
    <w:rsid w:val="586025AF"/>
    <w:rsid w:val="58780B02"/>
    <w:rsid w:val="589D40A3"/>
    <w:rsid w:val="58AE4AF2"/>
    <w:rsid w:val="58B636C1"/>
    <w:rsid w:val="58E30CBE"/>
    <w:rsid w:val="591E6307"/>
    <w:rsid w:val="59D80266"/>
    <w:rsid w:val="5A366C08"/>
    <w:rsid w:val="5AA747C7"/>
    <w:rsid w:val="5ADB0961"/>
    <w:rsid w:val="5B0B165F"/>
    <w:rsid w:val="5B0C6BFA"/>
    <w:rsid w:val="5C1B7EE5"/>
    <w:rsid w:val="5C22435F"/>
    <w:rsid w:val="5CA70254"/>
    <w:rsid w:val="5CB36BF9"/>
    <w:rsid w:val="5CCF5F01"/>
    <w:rsid w:val="5D0D6309"/>
    <w:rsid w:val="5D101AA7"/>
    <w:rsid w:val="5D3E4715"/>
    <w:rsid w:val="5D6B3425"/>
    <w:rsid w:val="5D9D6CB3"/>
    <w:rsid w:val="5DDC7655"/>
    <w:rsid w:val="5E167DBD"/>
    <w:rsid w:val="5E2B51B5"/>
    <w:rsid w:val="5E60690D"/>
    <w:rsid w:val="5ED24C9B"/>
    <w:rsid w:val="5EEC4411"/>
    <w:rsid w:val="5EFA7CCD"/>
    <w:rsid w:val="5FA23A48"/>
    <w:rsid w:val="5FA24513"/>
    <w:rsid w:val="6017749F"/>
    <w:rsid w:val="606F72DB"/>
    <w:rsid w:val="608858C6"/>
    <w:rsid w:val="60E127A8"/>
    <w:rsid w:val="615A69F8"/>
    <w:rsid w:val="617C1CB0"/>
    <w:rsid w:val="6203474B"/>
    <w:rsid w:val="62D842D6"/>
    <w:rsid w:val="62F7218E"/>
    <w:rsid w:val="62FC3200"/>
    <w:rsid w:val="63114D17"/>
    <w:rsid w:val="639257BA"/>
    <w:rsid w:val="64A67C7F"/>
    <w:rsid w:val="64DC7109"/>
    <w:rsid w:val="65024D2A"/>
    <w:rsid w:val="65101BA2"/>
    <w:rsid w:val="652D5FC3"/>
    <w:rsid w:val="65735178"/>
    <w:rsid w:val="65E557F1"/>
    <w:rsid w:val="66073390"/>
    <w:rsid w:val="660B26D0"/>
    <w:rsid w:val="66311F06"/>
    <w:rsid w:val="663A5C95"/>
    <w:rsid w:val="669B3865"/>
    <w:rsid w:val="669F17D2"/>
    <w:rsid w:val="66B56E12"/>
    <w:rsid w:val="67145A4D"/>
    <w:rsid w:val="671D18B0"/>
    <w:rsid w:val="672EA9ED"/>
    <w:rsid w:val="676B42A5"/>
    <w:rsid w:val="67B007D0"/>
    <w:rsid w:val="67B0620F"/>
    <w:rsid w:val="67BF5061"/>
    <w:rsid w:val="67ED7271"/>
    <w:rsid w:val="683B6DE1"/>
    <w:rsid w:val="687B36E7"/>
    <w:rsid w:val="68A269B4"/>
    <w:rsid w:val="68D22DEE"/>
    <w:rsid w:val="68DF11D4"/>
    <w:rsid w:val="69015A74"/>
    <w:rsid w:val="69647B29"/>
    <w:rsid w:val="699A1D68"/>
    <w:rsid w:val="69BB3AAD"/>
    <w:rsid w:val="69DB1217"/>
    <w:rsid w:val="69FF08FF"/>
    <w:rsid w:val="6A01502E"/>
    <w:rsid w:val="6A0779D8"/>
    <w:rsid w:val="6A153145"/>
    <w:rsid w:val="6A2616E7"/>
    <w:rsid w:val="6A61700D"/>
    <w:rsid w:val="6AA54025"/>
    <w:rsid w:val="6AD45637"/>
    <w:rsid w:val="6AE43843"/>
    <w:rsid w:val="6AE628E8"/>
    <w:rsid w:val="6AEC6501"/>
    <w:rsid w:val="6B434BD5"/>
    <w:rsid w:val="6B633598"/>
    <w:rsid w:val="6B7718F2"/>
    <w:rsid w:val="6C1F4A28"/>
    <w:rsid w:val="6C223A49"/>
    <w:rsid w:val="6C263442"/>
    <w:rsid w:val="6C6E20D3"/>
    <w:rsid w:val="6CA4054A"/>
    <w:rsid w:val="6CB247D7"/>
    <w:rsid w:val="6CCE613F"/>
    <w:rsid w:val="6CE6276D"/>
    <w:rsid w:val="6CEF3F26"/>
    <w:rsid w:val="6D072C9C"/>
    <w:rsid w:val="6D223A8A"/>
    <w:rsid w:val="6D2531FB"/>
    <w:rsid w:val="6D521F1F"/>
    <w:rsid w:val="6D851EEC"/>
    <w:rsid w:val="6DC92D8B"/>
    <w:rsid w:val="6E0E3C8F"/>
    <w:rsid w:val="6E873A42"/>
    <w:rsid w:val="6E8C4E15"/>
    <w:rsid w:val="6EA52F6B"/>
    <w:rsid w:val="6ED00795"/>
    <w:rsid w:val="6EF74EAA"/>
    <w:rsid w:val="6EFE5B70"/>
    <w:rsid w:val="6F0B1E9B"/>
    <w:rsid w:val="6F245233"/>
    <w:rsid w:val="6F3256D1"/>
    <w:rsid w:val="6F532BB1"/>
    <w:rsid w:val="6F7630D2"/>
    <w:rsid w:val="6F90417E"/>
    <w:rsid w:val="6F9258DA"/>
    <w:rsid w:val="6F9C20BD"/>
    <w:rsid w:val="6FB66D39"/>
    <w:rsid w:val="702E3400"/>
    <w:rsid w:val="704B508B"/>
    <w:rsid w:val="7076624B"/>
    <w:rsid w:val="708131AD"/>
    <w:rsid w:val="709562AC"/>
    <w:rsid w:val="70D05DE9"/>
    <w:rsid w:val="70DD3E07"/>
    <w:rsid w:val="70F7553D"/>
    <w:rsid w:val="70FC02C3"/>
    <w:rsid w:val="70FC779A"/>
    <w:rsid w:val="7159552E"/>
    <w:rsid w:val="71734CC6"/>
    <w:rsid w:val="71EF489D"/>
    <w:rsid w:val="721668E6"/>
    <w:rsid w:val="72206DE1"/>
    <w:rsid w:val="72270896"/>
    <w:rsid w:val="723A4149"/>
    <w:rsid w:val="727F55C1"/>
    <w:rsid w:val="72855F71"/>
    <w:rsid w:val="72A17B5D"/>
    <w:rsid w:val="72B73B84"/>
    <w:rsid w:val="72CB749C"/>
    <w:rsid w:val="72CD6775"/>
    <w:rsid w:val="72D405E0"/>
    <w:rsid w:val="72E13E1B"/>
    <w:rsid w:val="732E7AA3"/>
    <w:rsid w:val="733540F3"/>
    <w:rsid w:val="73563420"/>
    <w:rsid w:val="73926314"/>
    <w:rsid w:val="73C71D9B"/>
    <w:rsid w:val="748A7DE8"/>
    <w:rsid w:val="749B3DA3"/>
    <w:rsid w:val="74D379E1"/>
    <w:rsid w:val="74E94704"/>
    <w:rsid w:val="75041C95"/>
    <w:rsid w:val="752C5223"/>
    <w:rsid w:val="75464731"/>
    <w:rsid w:val="757DE146"/>
    <w:rsid w:val="759727BC"/>
    <w:rsid w:val="75C25ED6"/>
    <w:rsid w:val="75EFC646"/>
    <w:rsid w:val="762C1090"/>
    <w:rsid w:val="76455A1A"/>
    <w:rsid w:val="766A7ED1"/>
    <w:rsid w:val="769179AA"/>
    <w:rsid w:val="76985584"/>
    <w:rsid w:val="769F325B"/>
    <w:rsid w:val="76A51580"/>
    <w:rsid w:val="76C03AD6"/>
    <w:rsid w:val="76F1414E"/>
    <w:rsid w:val="7719023C"/>
    <w:rsid w:val="777D1E86"/>
    <w:rsid w:val="77C9104E"/>
    <w:rsid w:val="77D11031"/>
    <w:rsid w:val="77E1549F"/>
    <w:rsid w:val="77EF0B18"/>
    <w:rsid w:val="786F5C73"/>
    <w:rsid w:val="78951193"/>
    <w:rsid w:val="789E7942"/>
    <w:rsid w:val="78CA10FB"/>
    <w:rsid w:val="78D6619A"/>
    <w:rsid w:val="79135E20"/>
    <w:rsid w:val="793967F5"/>
    <w:rsid w:val="7963752C"/>
    <w:rsid w:val="798153CC"/>
    <w:rsid w:val="79BC6C95"/>
    <w:rsid w:val="79C00BB7"/>
    <w:rsid w:val="79C454A1"/>
    <w:rsid w:val="79FF945A"/>
    <w:rsid w:val="7A2C12AF"/>
    <w:rsid w:val="7A6A20B4"/>
    <w:rsid w:val="7A7B2E7E"/>
    <w:rsid w:val="7A7C15F3"/>
    <w:rsid w:val="7A923C0B"/>
    <w:rsid w:val="7AC661DC"/>
    <w:rsid w:val="7AFD42F9"/>
    <w:rsid w:val="7B212CD8"/>
    <w:rsid w:val="7B9B803D"/>
    <w:rsid w:val="7BA72FC2"/>
    <w:rsid w:val="7BBA0112"/>
    <w:rsid w:val="7BBB2A72"/>
    <w:rsid w:val="7BCC34E5"/>
    <w:rsid w:val="7BF723CD"/>
    <w:rsid w:val="7C090879"/>
    <w:rsid w:val="7C556E26"/>
    <w:rsid w:val="7C6B0CD6"/>
    <w:rsid w:val="7CB15915"/>
    <w:rsid w:val="7CB24D98"/>
    <w:rsid w:val="7CEF1407"/>
    <w:rsid w:val="7D00352C"/>
    <w:rsid w:val="7D5423C8"/>
    <w:rsid w:val="7D602561"/>
    <w:rsid w:val="7E167D92"/>
    <w:rsid w:val="7E171E3C"/>
    <w:rsid w:val="7E1914E0"/>
    <w:rsid w:val="7E4158E9"/>
    <w:rsid w:val="7E5F0273"/>
    <w:rsid w:val="7E677E64"/>
    <w:rsid w:val="7EAE6ED0"/>
    <w:rsid w:val="7EB503F0"/>
    <w:rsid w:val="7EC47165"/>
    <w:rsid w:val="7EE57794"/>
    <w:rsid w:val="7EFE1AFE"/>
    <w:rsid w:val="7F0B2B16"/>
    <w:rsid w:val="7F7D58EC"/>
    <w:rsid w:val="7FA00746"/>
    <w:rsid w:val="7FB7048A"/>
    <w:rsid w:val="7FC335E9"/>
    <w:rsid w:val="7FC95C68"/>
    <w:rsid w:val="7FFD8351"/>
    <w:rsid w:val="7FFF78DC"/>
    <w:rsid w:val="96DE3BE2"/>
    <w:rsid w:val="96F63A20"/>
    <w:rsid w:val="9D4B5CFF"/>
    <w:rsid w:val="A7CD446F"/>
    <w:rsid w:val="BDFF3740"/>
    <w:rsid w:val="BEFF113C"/>
    <w:rsid w:val="BF7EF6BB"/>
    <w:rsid w:val="BFFE64DC"/>
    <w:rsid w:val="CCF9FE58"/>
    <w:rsid w:val="D5EFE6CB"/>
    <w:rsid w:val="D7F92033"/>
    <w:rsid w:val="DCFB06EB"/>
    <w:rsid w:val="DDBCE7D3"/>
    <w:rsid w:val="DDFE86F2"/>
    <w:rsid w:val="DE370ACC"/>
    <w:rsid w:val="DFEFA670"/>
    <w:rsid w:val="E15E4190"/>
    <w:rsid w:val="E69C0268"/>
    <w:rsid w:val="E9F71EFB"/>
    <w:rsid w:val="EDAEF2D5"/>
    <w:rsid w:val="EFF9FCF9"/>
    <w:rsid w:val="EFFC0B61"/>
    <w:rsid w:val="EFFD3760"/>
    <w:rsid w:val="F3FBF0BC"/>
    <w:rsid w:val="F4B50E80"/>
    <w:rsid w:val="F7BE7CC7"/>
    <w:rsid w:val="F9FB130D"/>
    <w:rsid w:val="FBDF572B"/>
    <w:rsid w:val="FBFD5B9A"/>
    <w:rsid w:val="FEFCDA4D"/>
    <w:rsid w:val="FF3B4BDD"/>
    <w:rsid w:val="FFCF29B1"/>
    <w:rsid w:val="FFFC6958"/>
    <w:rsid w:val="FFFF7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link w:val="36"/>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autoRedefine/>
    <w:qFormat/>
    <w:uiPriority w:val="0"/>
    <w:pPr>
      <w:keepNext/>
      <w:keepLines/>
      <w:spacing w:before="120" w:after="120"/>
      <w:outlineLvl w:val="2"/>
    </w:pPr>
    <w:rPr>
      <w:rFonts w:ascii="宋体" w:hAnsi="宋体"/>
      <w:b/>
      <w:bCs/>
      <w:color w:val="FF0000"/>
      <w:sz w:val="24"/>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autoRedefine/>
    <w:qFormat/>
    <w:uiPriority w:val="0"/>
    <w:pPr>
      <w:keepNext/>
      <w:keepLines/>
      <w:spacing w:before="280" w:after="290" w:line="372" w:lineRule="auto"/>
      <w:outlineLvl w:val="4"/>
    </w:pPr>
    <w:rPr>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unhideWhenUsed/>
    <w:qFormat/>
    <w:uiPriority w:val="0"/>
    <w:pPr>
      <w:ind w:firstLine="420" w:firstLineChars="200"/>
    </w:pPr>
  </w:style>
  <w:style w:type="paragraph" w:styleId="8">
    <w:name w:val="annotation text"/>
    <w:basedOn w:val="1"/>
    <w:autoRedefine/>
    <w:qFormat/>
    <w:uiPriority w:val="0"/>
    <w:pPr>
      <w:jc w:val="left"/>
    </w:pPr>
  </w:style>
  <w:style w:type="paragraph" w:styleId="9">
    <w:name w:val="Body Text 3"/>
    <w:basedOn w:val="1"/>
    <w:autoRedefine/>
    <w:qFormat/>
    <w:uiPriority w:val="0"/>
    <w:rPr>
      <w:rFonts w:ascii="宋体"/>
      <w:sz w:val="24"/>
      <w:szCs w:val="20"/>
    </w:rPr>
  </w:style>
  <w:style w:type="paragraph" w:styleId="10">
    <w:name w:val="Body Text"/>
    <w:basedOn w:val="1"/>
    <w:next w:val="1"/>
    <w:autoRedefine/>
    <w:qFormat/>
    <w:uiPriority w:val="0"/>
    <w:pPr>
      <w:spacing w:after="120"/>
    </w:pPr>
  </w:style>
  <w:style w:type="paragraph" w:styleId="11">
    <w:name w:val="Body Text Indent"/>
    <w:basedOn w:val="1"/>
    <w:autoRedefine/>
    <w:qFormat/>
    <w:uiPriority w:val="0"/>
    <w:pPr>
      <w:spacing w:after="120"/>
      <w:ind w:left="420" w:leftChars="200"/>
    </w:pPr>
  </w:style>
  <w:style w:type="paragraph" w:styleId="12">
    <w:name w:val="toc 3"/>
    <w:basedOn w:val="1"/>
    <w:next w:val="1"/>
    <w:autoRedefine/>
    <w:qFormat/>
    <w:uiPriority w:val="0"/>
    <w:pPr>
      <w:ind w:left="840" w:leftChars="400"/>
    </w:pPr>
  </w:style>
  <w:style w:type="paragraph" w:styleId="13">
    <w:name w:val="Balloon Text"/>
    <w:basedOn w:val="1"/>
    <w:link w:val="43"/>
    <w:autoRedefine/>
    <w:qFormat/>
    <w:uiPriority w:val="0"/>
    <w:rPr>
      <w:sz w:val="18"/>
      <w:szCs w:val="18"/>
    </w:rPr>
  </w:style>
  <w:style w:type="paragraph" w:styleId="14">
    <w:name w:val="footer"/>
    <w:basedOn w:val="1"/>
    <w:autoRedefine/>
    <w:qFormat/>
    <w:uiPriority w:val="99"/>
    <w:pPr>
      <w:tabs>
        <w:tab w:val="center" w:pos="4153"/>
        <w:tab w:val="right" w:pos="8306"/>
      </w:tabs>
      <w:snapToGrid w:val="0"/>
      <w:jc w:val="left"/>
    </w:pPr>
    <w:rPr>
      <w:sz w:val="18"/>
      <w:szCs w:val="18"/>
    </w:rPr>
  </w:style>
  <w:style w:type="paragraph" w:styleId="15">
    <w:name w:val="header"/>
    <w:basedOn w:val="1"/>
    <w:link w:val="42"/>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spacing w:before="120" w:after="120"/>
      <w:jc w:val="left"/>
    </w:pPr>
    <w:rPr>
      <w:b/>
      <w:bCs/>
      <w:caps/>
      <w:sz w:val="20"/>
      <w:szCs w:val="20"/>
    </w:rPr>
  </w:style>
  <w:style w:type="paragraph" w:styleId="17">
    <w:name w:val="footnote text"/>
    <w:basedOn w:val="1"/>
    <w:autoRedefine/>
    <w:qFormat/>
    <w:uiPriority w:val="0"/>
    <w:pPr>
      <w:snapToGrid w:val="0"/>
      <w:jc w:val="left"/>
    </w:pPr>
    <w:rPr>
      <w:sz w:val="18"/>
    </w:rPr>
  </w:style>
  <w:style w:type="paragraph" w:styleId="18">
    <w:name w:val="toc 2"/>
    <w:basedOn w:val="1"/>
    <w:next w:val="19"/>
    <w:autoRedefine/>
    <w:qFormat/>
    <w:uiPriority w:val="39"/>
    <w:pPr>
      <w:ind w:left="210"/>
      <w:jc w:val="left"/>
    </w:pPr>
    <w:rPr>
      <w:smallCaps/>
      <w:kern w:val="0"/>
      <w:sz w:val="20"/>
      <w:szCs w:val="20"/>
    </w:rPr>
  </w:style>
  <w:style w:type="paragraph" w:customStyle="1" w:styleId="19">
    <w:name w:val="样式 标题 2 + Times New Roman 四号 非加粗 段前: 5 磅 段后: 0 磅 行距: 固定值 20..."/>
    <w:basedOn w:val="4"/>
    <w:link w:val="35"/>
    <w:autoRedefine/>
    <w:qFormat/>
    <w:uiPriority w:val="0"/>
    <w:pPr>
      <w:spacing w:before="100" w:after="0" w:line="400" w:lineRule="exact"/>
    </w:pPr>
    <w:rPr>
      <w:rFonts w:ascii="Times New Roman" w:hAnsi="Times New Roman" w:eastAsia="宋体"/>
      <w:kern w:val="0"/>
      <w:sz w:val="28"/>
      <w:szCs w:val="20"/>
    </w:r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Body Text First Indent"/>
    <w:basedOn w:val="10"/>
    <w:autoRedefine/>
    <w:qFormat/>
    <w:uiPriority w:val="0"/>
    <w:pPr>
      <w:ind w:firstLine="420"/>
    </w:pPr>
    <w:rPr>
      <w:rFonts w:eastAsia="楷体_GB2312"/>
    </w:rPr>
  </w:style>
  <w:style w:type="paragraph" w:styleId="22">
    <w:name w:val="Body Text First Indent 2"/>
    <w:basedOn w:val="11"/>
    <w:autoRedefine/>
    <w:qFormat/>
    <w:uiPriority w:val="0"/>
    <w:pPr>
      <w:ind w:firstLine="420"/>
    </w:pPr>
  </w:style>
  <w:style w:type="character" w:styleId="25">
    <w:name w:val="page number"/>
    <w:autoRedefine/>
    <w:qFormat/>
    <w:uiPriority w:val="0"/>
    <w:rPr>
      <w:rFonts w:ascii="Arial" w:hAnsi="Arial" w:eastAsia="黑体"/>
      <w:kern w:val="2"/>
      <w:sz w:val="21"/>
      <w:szCs w:val="21"/>
      <w:lang w:val="en-US" w:eastAsia="zh-CN" w:bidi="ar-SA"/>
    </w:rPr>
  </w:style>
  <w:style w:type="character" w:styleId="26">
    <w:name w:val="Emphasis"/>
    <w:basedOn w:val="24"/>
    <w:autoRedefine/>
    <w:qFormat/>
    <w:uiPriority w:val="0"/>
    <w:rPr>
      <w:i/>
    </w:rPr>
  </w:style>
  <w:style w:type="character" w:styleId="27">
    <w:name w:val="Hyperlink"/>
    <w:autoRedefine/>
    <w:qFormat/>
    <w:uiPriority w:val="99"/>
    <w:rPr>
      <w:rFonts w:ascii="Arial" w:hAnsi="Arial" w:eastAsia="黑体"/>
      <w:color w:val="0000FF"/>
      <w:kern w:val="2"/>
      <w:sz w:val="21"/>
      <w:szCs w:val="21"/>
      <w:u w:val="single"/>
      <w:lang w:val="en-US" w:eastAsia="zh-CN" w:bidi="ar-SA"/>
    </w:rPr>
  </w:style>
  <w:style w:type="character" w:styleId="28">
    <w:name w:val="annotation reference"/>
    <w:basedOn w:val="24"/>
    <w:autoRedefine/>
    <w:qFormat/>
    <w:uiPriority w:val="0"/>
    <w:rPr>
      <w:sz w:val="21"/>
      <w:szCs w:val="21"/>
    </w:rPr>
  </w:style>
  <w:style w:type="character" w:styleId="29">
    <w:name w:val="footnote reference"/>
    <w:basedOn w:val="24"/>
    <w:autoRedefine/>
    <w:qFormat/>
    <w:uiPriority w:val="0"/>
    <w:rPr>
      <w:vertAlign w:val="superscript"/>
    </w:rPr>
  </w:style>
  <w:style w:type="paragraph" w:customStyle="1" w:styleId="30">
    <w:name w:val="PlainText"/>
    <w:basedOn w:val="1"/>
    <w:autoRedefine/>
    <w:qFormat/>
    <w:uiPriority w:val="0"/>
    <w:rPr>
      <w:rFonts w:ascii="宋体" w:hAnsi="Courier New"/>
      <w:kern w:val="0"/>
      <w:sz w:val="20"/>
      <w:szCs w:val="20"/>
    </w:rPr>
  </w:style>
  <w:style w:type="paragraph" w:customStyle="1" w:styleId="31">
    <w:name w:val="样式20"/>
    <w:basedOn w:val="1"/>
    <w:next w:val="1"/>
    <w:autoRedefine/>
    <w:qFormat/>
    <w:uiPriority w:val="0"/>
    <w:pPr>
      <w:spacing w:line="460" w:lineRule="exact"/>
      <w:ind w:firstLine="900" w:firstLineChars="300"/>
      <w:outlineLvl w:val="0"/>
    </w:pPr>
    <w:rPr>
      <w:rFonts w:eastAsia="黑体"/>
      <w:sz w:val="30"/>
      <w:szCs w:val="30"/>
      <w:u w:val="single"/>
    </w:rPr>
  </w:style>
  <w:style w:type="paragraph" w:customStyle="1" w:styleId="32">
    <w:name w:val="样式 标题 1 + 黑体 三号 非加粗 居中 段前: 6 磅 段后: 6 磅 行距: 固定值 20 磅"/>
    <w:basedOn w:val="3"/>
    <w:autoRedefine/>
    <w:qFormat/>
    <w:uiPriority w:val="0"/>
    <w:pPr>
      <w:spacing w:before="120" w:after="120" w:line="400" w:lineRule="exact"/>
    </w:pPr>
    <w:rPr>
      <w:rFonts w:ascii="黑体" w:hAnsi="黑体" w:eastAsia="黑体"/>
      <w:kern w:val="0"/>
      <w:sz w:val="32"/>
      <w:szCs w:val="20"/>
    </w:rPr>
  </w:style>
  <w:style w:type="paragraph" w:customStyle="1" w:styleId="33">
    <w:name w:val="样式 标题 3 + (中文) 黑体 小四 非加粗 段前: 7.8 磅 段后: 0 磅 行距: 固定值 20 磅"/>
    <w:basedOn w:val="5"/>
    <w:link w:val="37"/>
    <w:autoRedefine/>
    <w:qFormat/>
    <w:uiPriority w:val="0"/>
    <w:pPr>
      <w:spacing w:before="0" w:after="0" w:line="400" w:lineRule="exact"/>
    </w:pPr>
    <w:rPr>
      <w:rFonts w:ascii="Times New Roman" w:hAnsi="Times New Roman" w:eastAsia="黑体"/>
      <w:color w:val="000000"/>
      <w:kern w:val="0"/>
      <w:sz w:val="20"/>
      <w:szCs w:val="20"/>
    </w:rPr>
  </w:style>
  <w:style w:type="paragraph" w:customStyle="1" w:styleId="3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5">
    <w:name w:val="样式 标题 2 + Times New Roman 四号 非加粗 段前: 5 磅 段后: 0 磅 行距: 固定值 20... Char"/>
    <w:link w:val="19"/>
    <w:autoRedefine/>
    <w:qFormat/>
    <w:uiPriority w:val="0"/>
    <w:rPr>
      <w:rFonts w:ascii="Times New Roman" w:hAnsi="Times New Roman" w:eastAsia="宋体"/>
      <w:kern w:val="0"/>
      <w:sz w:val="28"/>
      <w:szCs w:val="20"/>
    </w:rPr>
  </w:style>
  <w:style w:type="character" w:customStyle="1" w:styleId="36">
    <w:name w:val="标题 2 字符"/>
    <w:link w:val="4"/>
    <w:autoRedefine/>
    <w:qFormat/>
    <w:uiPriority w:val="0"/>
    <w:rPr>
      <w:rFonts w:ascii="Arial" w:hAnsi="Arial" w:eastAsia="黑体"/>
      <w:b/>
      <w:bCs/>
      <w:sz w:val="32"/>
      <w:szCs w:val="32"/>
    </w:rPr>
  </w:style>
  <w:style w:type="character" w:customStyle="1" w:styleId="37">
    <w:name w:val="样式 标题 3 + (中文) 黑体 小四 非加粗 段前: 7.8 磅 段后: 0 磅 行距: 固定值 20 磅 Char"/>
    <w:link w:val="33"/>
    <w:autoRedefine/>
    <w:qFormat/>
    <w:uiPriority w:val="0"/>
    <w:rPr>
      <w:rFonts w:ascii="Times New Roman" w:hAnsi="Times New Roman" w:eastAsia="黑体"/>
      <w:color w:val="000000"/>
      <w:kern w:val="0"/>
      <w:sz w:val="20"/>
      <w:szCs w:val="20"/>
    </w:rPr>
  </w:style>
  <w:style w:type="character" w:customStyle="1" w:styleId="38">
    <w:name w:val="标题 3 字符"/>
    <w:link w:val="5"/>
    <w:autoRedefine/>
    <w:qFormat/>
    <w:uiPriority w:val="0"/>
    <w:rPr>
      <w:rFonts w:ascii="宋体" w:hAnsi="宋体"/>
      <w:b/>
      <w:bCs/>
      <w:color w:val="FF0000"/>
      <w:sz w:val="24"/>
    </w:rPr>
  </w:style>
  <w:style w:type="paragraph" w:customStyle="1" w:styleId="39">
    <w:name w:val="xl31"/>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40">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table" w:customStyle="1" w:styleId="41">
    <w:name w:val="Table Normal"/>
    <w:autoRedefine/>
    <w:semiHidden/>
    <w:unhideWhenUsed/>
    <w:qFormat/>
    <w:uiPriority w:val="0"/>
    <w:tblPr>
      <w:tblCellMar>
        <w:top w:w="0" w:type="dxa"/>
        <w:left w:w="0" w:type="dxa"/>
        <w:bottom w:w="0" w:type="dxa"/>
        <w:right w:w="0" w:type="dxa"/>
      </w:tblCellMar>
    </w:tblPr>
  </w:style>
  <w:style w:type="character" w:customStyle="1" w:styleId="42">
    <w:name w:val="页眉 字符"/>
    <w:basedOn w:val="24"/>
    <w:link w:val="15"/>
    <w:autoRedefine/>
    <w:qFormat/>
    <w:uiPriority w:val="0"/>
    <w:rPr>
      <w:kern w:val="2"/>
      <w:sz w:val="18"/>
      <w:szCs w:val="18"/>
    </w:rPr>
  </w:style>
  <w:style w:type="character" w:customStyle="1" w:styleId="43">
    <w:name w:val="批注框文本 字符"/>
    <w:basedOn w:val="24"/>
    <w:link w:val="13"/>
    <w:autoRedefine/>
    <w:qFormat/>
    <w:uiPriority w:val="0"/>
    <w:rPr>
      <w:kern w:val="2"/>
      <w:sz w:val="18"/>
      <w:szCs w:val="18"/>
    </w:rPr>
  </w:style>
  <w:style w:type="paragraph" w:customStyle="1" w:styleId="44">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5">
    <w:name w:val="Table Text"/>
    <w:basedOn w:val="1"/>
    <w:autoRedefine/>
    <w:semiHidden/>
    <w:qFormat/>
    <w:uiPriority w:val="0"/>
    <w:rPr>
      <w:rFonts w:ascii="宋体" w:hAnsi="宋体" w:cs="宋体"/>
      <w:sz w:val="20"/>
      <w:szCs w:val="20"/>
      <w:lang w:eastAsia="en-US"/>
    </w:rPr>
  </w:style>
  <w:style w:type="paragraph" w:customStyle="1" w:styleId="4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Asus</Company>
  <Pages>7</Pages>
  <Words>4228</Words>
  <Characters>4552</Characters>
  <Lines>30</Lines>
  <Paragraphs>8</Paragraphs>
  <TotalTime>3</TotalTime>
  <ScaleCrop>false</ScaleCrop>
  <LinksUpToDate>false</LinksUpToDate>
  <CharactersWithSpaces>4757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2024-03-07T14:18:00Z</dcterms:created>
  <dc:creator>孙长江</dc:creator>
  <cp:lastModifiedBy>administrator</cp:lastModifiedBy>
  <cp:lastPrinted>2024-03-07T14:16:00Z</cp:lastPrinted>
  <dcterms:modified xsi:type="dcterms:W3CDTF">2025-08-29T02:33:27Z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61B860B673144C34BB25C2C003C4A605_13</vt:lpwstr>
  </property>
  <property fmtid="{D5CDD505-2E9C-101B-9397-08002B2CF9AE}" pid="4" name="KSOTemplateDocerSaveRecord">
    <vt:lpwstr>eyJoZGlkIjoiMGFhNjdjYjgxYzg5NjhmMzM0ZGE3ZWI3MDcxYWIzMjYiLCJ1c2VySWQiOiIyNjI1MDM3MjgifQ==</vt:lpwstr>
  </property>
</Properties>
</file>