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1790B">
      <w:pPr>
        <w:widowControl/>
        <w:jc w:val="left"/>
        <w:rPr>
          <w:rFonts w:hint="eastAsia" w:ascii="宋体" w:hAnsi="宋体"/>
          <w:color w:val="auto"/>
          <w:szCs w:val="21"/>
          <w:highlight w:val="none"/>
        </w:rPr>
      </w:pPr>
    </w:p>
    <w:p w14:paraId="580DB13C">
      <w:pPr>
        <w:pStyle w:val="31"/>
        <w:snapToGrid w:val="0"/>
        <w:spacing w:line="360" w:lineRule="auto"/>
        <w:ind w:right="25" w:rightChars="12"/>
        <w:jc w:val="both"/>
        <w:rPr>
          <w:rFonts w:cs="宋体"/>
          <w:b/>
          <w:color w:val="auto"/>
          <w:sz w:val="48"/>
          <w:szCs w:val="48"/>
          <w:highlight w:val="none"/>
          <w:u w:val="none"/>
        </w:rPr>
      </w:pPr>
    </w:p>
    <w:p w14:paraId="566B01B7">
      <w:pPr>
        <w:pStyle w:val="31"/>
        <w:snapToGrid w:val="0"/>
        <w:spacing w:line="360" w:lineRule="auto"/>
        <w:ind w:right="25" w:rightChars="12"/>
        <w:jc w:val="center"/>
        <w:rPr>
          <w:rFonts w:cs="宋体"/>
          <w:b/>
          <w:color w:val="auto"/>
          <w:sz w:val="48"/>
          <w:szCs w:val="48"/>
          <w:highlight w:val="none"/>
          <w:u w:val="none"/>
        </w:rPr>
      </w:pPr>
      <w:r>
        <w:rPr>
          <w:rFonts w:hint="eastAsia" w:cs="宋体"/>
          <w:b/>
          <w:color w:val="auto"/>
          <w:sz w:val="48"/>
          <w:szCs w:val="48"/>
          <w:highlight w:val="none"/>
          <w:u w:val="none"/>
          <w:lang w:eastAsia="zh-CN"/>
        </w:rPr>
        <w:t>知识城凤凰五路东延线二期（东部快速-区界）市政道路及配套工程施工总承包</w:t>
      </w:r>
    </w:p>
    <w:p w14:paraId="24F80F9D">
      <w:pPr>
        <w:snapToGrid w:val="0"/>
        <w:spacing w:line="360" w:lineRule="auto"/>
        <w:jc w:val="both"/>
        <w:rPr>
          <w:rFonts w:ascii="宋体" w:hAnsi="宋体" w:cs="宋体"/>
          <w:color w:val="auto"/>
          <w:sz w:val="32"/>
          <w:szCs w:val="32"/>
          <w:highlight w:val="none"/>
          <w:u w:val="single"/>
        </w:rPr>
      </w:pPr>
    </w:p>
    <w:p w14:paraId="653DBBC6">
      <w:pPr>
        <w:pStyle w:val="19"/>
        <w:snapToGrid w:val="0"/>
        <w:spacing w:line="360" w:lineRule="auto"/>
        <w:rPr>
          <w:rFonts w:hAnsi="宋体" w:cs="宋体"/>
          <w:color w:val="auto"/>
          <w:sz w:val="20"/>
          <w:szCs w:val="18"/>
          <w:highlight w:val="none"/>
        </w:rPr>
      </w:pPr>
    </w:p>
    <w:p w14:paraId="74B3A494">
      <w:pPr>
        <w:pStyle w:val="19"/>
        <w:snapToGrid w:val="0"/>
        <w:spacing w:line="360" w:lineRule="auto"/>
        <w:rPr>
          <w:rFonts w:hAnsi="宋体" w:cs="宋体"/>
          <w:color w:val="auto"/>
          <w:sz w:val="32"/>
          <w:szCs w:val="32"/>
          <w:highlight w:val="none"/>
          <w:u w:val="single"/>
        </w:rPr>
      </w:pPr>
    </w:p>
    <w:p w14:paraId="5A668D20">
      <w:pPr>
        <w:pStyle w:val="19"/>
        <w:snapToGrid w:val="0"/>
        <w:spacing w:line="360" w:lineRule="auto"/>
        <w:rPr>
          <w:rFonts w:hAnsi="宋体" w:cs="宋体"/>
          <w:color w:val="auto"/>
          <w:sz w:val="32"/>
          <w:szCs w:val="32"/>
          <w:highlight w:val="none"/>
          <w:u w:val="single"/>
        </w:rPr>
      </w:pPr>
    </w:p>
    <w:p w14:paraId="651D96F6">
      <w:pPr>
        <w:pStyle w:val="19"/>
        <w:snapToGrid w:val="0"/>
        <w:spacing w:line="360" w:lineRule="auto"/>
        <w:rPr>
          <w:rFonts w:hAnsi="宋体" w:cs="宋体"/>
          <w:color w:val="auto"/>
          <w:sz w:val="32"/>
          <w:szCs w:val="32"/>
          <w:highlight w:val="none"/>
          <w:u w:val="single"/>
        </w:rPr>
      </w:pPr>
    </w:p>
    <w:p w14:paraId="7F7BE232">
      <w:pPr>
        <w:snapToGrid w:val="0"/>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96"/>
          <w:szCs w:val="96"/>
          <w:highlight w:val="none"/>
        </w:rPr>
        <w:t>招标文件</w:t>
      </w:r>
      <w:bookmarkStart w:id="0" w:name="_Toc2272545"/>
      <w:bookmarkStart w:id="1" w:name="_Toc21525489"/>
    </w:p>
    <w:p w14:paraId="4B1A339D">
      <w:pPr>
        <w:snapToGrid w:val="0"/>
        <w:spacing w:line="360" w:lineRule="auto"/>
        <w:jc w:val="both"/>
        <w:rPr>
          <w:rFonts w:ascii="宋体" w:hAnsi="宋体" w:eastAsia="宋体" w:cs="宋体"/>
          <w:color w:val="auto"/>
          <w:sz w:val="28"/>
          <w:szCs w:val="28"/>
          <w:highlight w:val="none"/>
          <w:u w:val="single"/>
        </w:rPr>
      </w:pPr>
    </w:p>
    <w:p w14:paraId="56DC8F8F">
      <w:pPr>
        <w:pStyle w:val="19"/>
        <w:snapToGrid w:val="0"/>
        <w:spacing w:line="360" w:lineRule="auto"/>
        <w:rPr>
          <w:rFonts w:hAnsi="宋体" w:cs="宋体"/>
          <w:color w:val="auto"/>
          <w:sz w:val="28"/>
          <w:szCs w:val="28"/>
          <w:highlight w:val="none"/>
          <w:u w:val="single"/>
        </w:rPr>
      </w:pPr>
    </w:p>
    <w:p w14:paraId="4172AD85">
      <w:pPr>
        <w:snapToGrid w:val="0"/>
        <w:spacing w:line="360" w:lineRule="auto"/>
        <w:jc w:val="both"/>
        <w:rPr>
          <w:rFonts w:ascii="宋体" w:hAnsi="宋体" w:eastAsia="宋体" w:cs="宋体"/>
          <w:color w:val="auto"/>
          <w:sz w:val="28"/>
          <w:szCs w:val="28"/>
          <w:highlight w:val="none"/>
          <w:u w:val="single"/>
        </w:rPr>
      </w:pPr>
    </w:p>
    <w:p w14:paraId="4D58FBFB">
      <w:pPr>
        <w:snapToGrid w:val="0"/>
        <w:spacing w:line="360" w:lineRule="auto"/>
        <w:jc w:val="both"/>
        <w:rPr>
          <w:rFonts w:ascii="宋体" w:hAnsi="宋体" w:eastAsia="宋体" w:cs="宋体"/>
          <w:color w:val="auto"/>
          <w:sz w:val="28"/>
          <w:szCs w:val="28"/>
          <w:highlight w:val="none"/>
          <w:u w:val="single"/>
        </w:rPr>
      </w:pPr>
    </w:p>
    <w:p w14:paraId="69AB32E5">
      <w:pPr>
        <w:snapToGrid w:val="0"/>
        <w:spacing w:line="360" w:lineRule="auto"/>
        <w:jc w:val="both"/>
        <w:rPr>
          <w:rFonts w:ascii="宋体" w:hAnsi="宋体" w:eastAsia="宋体" w:cs="宋体"/>
          <w:color w:val="auto"/>
          <w:sz w:val="28"/>
          <w:szCs w:val="28"/>
          <w:highlight w:val="none"/>
          <w:u w:val="single"/>
        </w:rPr>
      </w:pPr>
    </w:p>
    <w:p w14:paraId="5E53416B">
      <w:pPr>
        <w:snapToGrid w:val="0"/>
        <w:spacing w:line="360" w:lineRule="auto"/>
        <w:jc w:val="both"/>
        <w:rPr>
          <w:rFonts w:ascii="宋体" w:hAnsi="宋体" w:eastAsia="宋体" w:cs="宋体"/>
          <w:color w:val="auto"/>
          <w:sz w:val="28"/>
          <w:szCs w:val="28"/>
          <w:highlight w:val="none"/>
          <w:u w:val="single"/>
        </w:rPr>
      </w:pPr>
    </w:p>
    <w:p w14:paraId="3ED1BA85">
      <w:pPr>
        <w:snapToGrid w:val="0"/>
        <w:spacing w:line="360" w:lineRule="auto"/>
        <w:ind w:firstLine="641" w:firstLineChars="213"/>
        <w:rPr>
          <w:rFonts w:hint="eastAsia" w:ascii="宋体" w:hAnsi="宋体" w:eastAsia="宋体" w:cs="宋体"/>
          <w:b/>
          <w:bCs/>
          <w:color w:val="auto"/>
          <w:spacing w:val="-2"/>
          <w:sz w:val="30"/>
          <w:szCs w:val="30"/>
          <w:highlight w:val="none"/>
          <w:lang w:eastAsia="zh-CN"/>
        </w:rPr>
      </w:pPr>
      <w:r>
        <w:rPr>
          <w:rFonts w:hint="eastAsia" w:ascii="宋体" w:hAnsi="宋体" w:cs="宋体"/>
          <w:b/>
          <w:bCs/>
          <w:color w:val="auto"/>
          <w:sz w:val="30"/>
          <w:szCs w:val="30"/>
          <w:highlight w:val="none"/>
        </w:rPr>
        <w:t>招标单位：</w:t>
      </w:r>
      <w:r>
        <w:rPr>
          <w:rFonts w:hint="eastAsia" w:ascii="宋体" w:hAnsi="宋体" w:cs="宋体"/>
          <w:b/>
          <w:bCs/>
          <w:color w:val="auto"/>
          <w:spacing w:val="-2"/>
          <w:sz w:val="30"/>
          <w:szCs w:val="30"/>
          <w:highlight w:val="none"/>
          <w:u w:val="single"/>
          <w:lang w:eastAsia="zh-CN"/>
        </w:rPr>
        <w:t>中新广州知识城财政投资建设项目管理中心</w:t>
      </w:r>
    </w:p>
    <w:p w14:paraId="5267C0D5">
      <w:pPr>
        <w:snapToGrid w:val="0"/>
        <w:spacing w:line="360" w:lineRule="auto"/>
        <w:ind w:firstLine="641" w:firstLineChars="213"/>
        <w:rPr>
          <w:rFonts w:hint="eastAsia" w:ascii="宋体" w:hAnsi="宋体" w:cs="宋体"/>
          <w:b/>
          <w:bCs/>
          <w:color w:val="auto"/>
          <w:sz w:val="30"/>
          <w:szCs w:val="30"/>
          <w:highlight w:val="none"/>
          <w:u w:val="single"/>
          <w:lang w:eastAsia="zh-CN"/>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lang w:eastAsia="zh-CN"/>
        </w:rPr>
        <w:t>广州筑正工程建设管理有限公司</w:t>
      </w:r>
    </w:p>
    <w:p w14:paraId="52990870">
      <w:pPr>
        <w:ind w:firstLine="602" w:firstLineChars="200"/>
        <w:rPr>
          <w:rFonts w:ascii="宋体" w:hAnsi="宋体" w:eastAsia="宋体"/>
          <w:b/>
          <w:bCs/>
          <w:color w:val="auto"/>
          <w:sz w:val="28"/>
          <w:szCs w:val="28"/>
          <w:highlight w:val="none"/>
        </w:rPr>
      </w:pPr>
      <w:r>
        <w:rPr>
          <w:rFonts w:hint="eastAsia" w:ascii="宋体" w:hAnsi="宋体" w:cs="宋体"/>
          <w:b/>
          <w:bCs/>
          <w:color w:val="auto"/>
          <w:sz w:val="30"/>
          <w:szCs w:val="30"/>
          <w:highlight w:val="none"/>
        </w:rPr>
        <w:t>日期：</w:t>
      </w:r>
      <w:r>
        <w:rPr>
          <w:rFonts w:hint="eastAsia" w:ascii="宋体" w:hAnsi="宋体" w:cs="宋体"/>
          <w:b/>
          <w:bCs/>
          <w:color w:val="auto"/>
          <w:sz w:val="30"/>
          <w:szCs w:val="30"/>
          <w:highlight w:val="none"/>
          <w:u w:val="none"/>
        </w:rPr>
        <w:t>202</w:t>
      </w:r>
      <w:r>
        <w:rPr>
          <w:rFonts w:hint="eastAsia" w:ascii="宋体" w:hAnsi="宋体" w:cs="宋体"/>
          <w:b/>
          <w:bCs/>
          <w:color w:val="auto"/>
          <w:sz w:val="30"/>
          <w:szCs w:val="30"/>
          <w:highlight w:val="none"/>
          <w:u w:val="none"/>
          <w:lang w:val="en-US" w:eastAsia="zh-CN"/>
        </w:rPr>
        <w:t>5</w:t>
      </w:r>
      <w:r>
        <w:rPr>
          <w:rFonts w:hint="eastAsia" w:ascii="宋体" w:hAnsi="宋体" w:cs="宋体"/>
          <w:b/>
          <w:bCs/>
          <w:color w:val="auto"/>
          <w:sz w:val="30"/>
          <w:szCs w:val="30"/>
          <w:highlight w:val="none"/>
          <w:u w:val="none"/>
        </w:rPr>
        <w:t>年</w:t>
      </w:r>
      <w:r>
        <w:rPr>
          <w:rFonts w:hint="eastAsia" w:ascii="宋体" w:hAnsi="宋体" w:cs="宋体"/>
          <w:b/>
          <w:bCs/>
          <w:color w:val="auto"/>
          <w:sz w:val="30"/>
          <w:szCs w:val="30"/>
          <w:highlight w:val="none"/>
          <w:u w:val="none"/>
          <w:lang w:val="en-US" w:eastAsia="zh-CN"/>
        </w:rPr>
        <w:t>8</w:t>
      </w:r>
      <w:r>
        <w:rPr>
          <w:rFonts w:hint="eastAsia" w:ascii="宋体" w:hAnsi="宋体" w:cs="宋体"/>
          <w:b/>
          <w:bCs/>
          <w:color w:val="auto"/>
          <w:sz w:val="30"/>
          <w:szCs w:val="30"/>
          <w:highlight w:val="none"/>
          <w:u w:val="none"/>
        </w:rPr>
        <w:t>月</w:t>
      </w:r>
      <w:r>
        <w:rPr>
          <w:rFonts w:ascii="宋体" w:hAnsi="宋体" w:eastAsia="宋体"/>
          <w:b/>
          <w:bCs/>
          <w:color w:val="auto"/>
          <w:sz w:val="28"/>
          <w:szCs w:val="28"/>
          <w:highlight w:val="none"/>
        </w:rPr>
        <w:br w:type="page"/>
      </w:r>
    </w:p>
    <w:p w14:paraId="45B7651F">
      <w:pPr>
        <w:spacing w:before="0" w:after="0" w:line="240" w:lineRule="auto"/>
        <w:ind w:left="0" w:leftChars="0" w:right="0" w:rightChars="0" w:firstLine="0" w:firstLineChars="0"/>
        <w:jc w:val="center"/>
        <w:rPr>
          <w:color w:val="auto"/>
          <w:highlight w:val="none"/>
        </w:rPr>
      </w:pPr>
      <w:r>
        <w:rPr>
          <w:rFonts w:ascii="宋体" w:hAnsi="宋体" w:eastAsia="宋体"/>
          <w:b/>
          <w:bCs/>
          <w:color w:val="auto"/>
          <w:sz w:val="32"/>
          <w:szCs w:val="32"/>
          <w:highlight w:val="none"/>
        </w:rPr>
        <w:t>目</w:t>
      </w:r>
      <w:r>
        <w:rPr>
          <w:rFonts w:hint="eastAsia" w:ascii="宋体" w:hAnsi="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68C1D2F9">
      <w:pPr>
        <w:pStyle w:val="30"/>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14:paraId="49462015">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23563B">
      <w:pPr>
        <w:pStyle w:val="30"/>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一、投标须知前附表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5B90C8">
      <w:pPr>
        <w:pStyle w:val="30"/>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二、投标须知修改表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8BA413">
      <w:pPr>
        <w:pStyle w:val="30"/>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三、投标须知通用条款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4E4FB3">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00B27C">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169EDB">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0727B8">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28C5CA">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（五）开标、评标、定标及合同签定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A5C73B">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A6DEEF">
      <w:pPr>
        <w:pStyle w:val="30"/>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一、开标、评标及定标办法修改表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D112C3">
      <w:pPr>
        <w:pStyle w:val="30"/>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_Toc29349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二、开标、评标及定标办法通用条款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C73064">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150F65">
      <w:pPr>
        <w:pStyle w:val="18"/>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_Toc21970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lang w:eastAsia="zh-CN"/>
        </w:rPr>
        <w:t>（二）</w:t>
      </w:r>
      <w:r>
        <w:rPr>
          <w:rFonts w:hint="eastAsia" w:ascii="宋体" w:hAnsi="宋体" w:eastAsia="宋体" w:cs="宋体"/>
          <w:bCs/>
          <w:color w:val="auto"/>
          <w:szCs w:val="28"/>
          <w:highlight w:val="none"/>
        </w:rPr>
        <w:t>开标评标办法程序和细则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0E5D53">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合同条款</w:t>
      </w:r>
      <w:r>
        <w:rPr>
          <w:rFonts w:hint="eastAsia" w:ascii="宋体" w:hAnsi="宋体" w:eastAsia="宋体" w:cs="宋体"/>
          <w:color w:val="auto"/>
          <w:highlight w:val="none"/>
          <w:lang w:eastAsia="zh-CN"/>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C01DCC">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CE6A70">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_Toc20938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技术条件（工程建设标准）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156268">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图纸及勘察资料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6A8F9E">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_Toc25551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1837ED">
      <w:pPr>
        <w:pStyle w:val="26"/>
        <w:tabs>
          <w:tab w:val="right" w:leader="dot" w:pos="9070"/>
          <w:tab w:val="clear" w:pos="906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第八章  最高投标限价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671EB2">
      <w:pPr>
        <w:pStyle w:val="2"/>
        <w:rPr>
          <w:rFonts w:hint="eastAsia"/>
          <w:color w:val="auto"/>
          <w:highlight w:val="none"/>
        </w:rPr>
      </w:pPr>
      <w:r>
        <w:rPr>
          <w:rFonts w:hint="eastAsia"/>
          <w:color w:val="auto"/>
          <w:highlight w:val="none"/>
        </w:rPr>
        <w:fldChar w:fldCharType="end"/>
      </w:r>
      <w:bookmarkStart w:id="2" w:name="_Toc20110"/>
      <w:bookmarkStart w:id="3" w:name="_Toc31735"/>
    </w:p>
    <w:p w14:paraId="3C85D826">
      <w:pPr>
        <w:keepNext w:val="0"/>
        <w:keepLines w:val="0"/>
        <w:bidi w:val="0"/>
        <w:spacing w:before="0" w:after="0"/>
        <w:jc w:val="both"/>
        <w:outlineLvl w:val="9"/>
        <w:rPr>
          <w:rFonts w:hint="eastAsia"/>
          <w:color w:val="auto"/>
          <w:highlight w:val="none"/>
        </w:rPr>
      </w:pPr>
      <w:r>
        <w:rPr>
          <w:rFonts w:hint="eastAsia"/>
          <w:color w:val="auto"/>
          <w:highlight w:val="none"/>
        </w:rPr>
        <w:br w:type="page"/>
      </w:r>
    </w:p>
    <w:p w14:paraId="7C463949">
      <w:pPr>
        <w:pStyle w:val="2"/>
        <w:bidi w:val="0"/>
        <w:jc w:val="center"/>
        <w:rPr>
          <w:b/>
          <w:bCs/>
          <w:color w:val="auto"/>
          <w:highlight w:val="none"/>
        </w:rPr>
      </w:pPr>
      <w:bookmarkStart w:id="4" w:name="_Toc18746"/>
      <w:r>
        <w:rPr>
          <w:rFonts w:hint="eastAsia"/>
          <w:b/>
          <w:bCs/>
          <w:color w:val="auto"/>
          <w:highlight w:val="none"/>
        </w:rPr>
        <w:t>第一章</w:t>
      </w:r>
      <w:r>
        <w:rPr>
          <w:b/>
          <w:bCs/>
          <w:color w:val="auto"/>
          <w:highlight w:val="none"/>
        </w:rPr>
        <w:t xml:space="preserve">  </w:t>
      </w:r>
      <w:r>
        <w:rPr>
          <w:rFonts w:hint="eastAsia"/>
          <w:b/>
          <w:bCs/>
          <w:color w:val="auto"/>
          <w:highlight w:val="none"/>
        </w:rPr>
        <w:t>投标须知</w:t>
      </w:r>
      <w:bookmarkEnd w:id="0"/>
      <w:bookmarkEnd w:id="1"/>
      <w:bookmarkEnd w:id="2"/>
      <w:bookmarkEnd w:id="3"/>
      <w:bookmarkEnd w:id="4"/>
    </w:p>
    <w:p w14:paraId="0747D499">
      <w:pPr>
        <w:pStyle w:val="4"/>
        <w:bidi w:val="0"/>
        <w:rPr>
          <w:color w:val="auto"/>
          <w:highlight w:val="none"/>
        </w:rPr>
      </w:pPr>
      <w:bookmarkStart w:id="5" w:name="_Toc21525490"/>
      <w:bookmarkStart w:id="6" w:name="_Toc823"/>
      <w:bookmarkStart w:id="7" w:name="_Toc2272546"/>
      <w:bookmarkStart w:id="8" w:name="_Toc28976"/>
      <w:bookmarkStart w:id="9" w:name="_Toc7462"/>
      <w:r>
        <w:rPr>
          <w:rFonts w:hint="eastAsia"/>
          <w:color w:val="auto"/>
          <w:highlight w:val="none"/>
        </w:rPr>
        <w:t>一、投标须知前附表</w:t>
      </w:r>
      <w:bookmarkEnd w:id="5"/>
      <w:bookmarkEnd w:id="6"/>
      <w:bookmarkEnd w:id="7"/>
      <w:bookmarkEnd w:id="8"/>
      <w:bookmarkEnd w:id="9"/>
    </w:p>
    <w:p w14:paraId="35453ACD">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r>
        <w:rPr>
          <w:rFonts w:hint="eastAsia" w:ascii="宋体" w:hAnsi="宋体"/>
          <w:b/>
          <w:color w:val="auto"/>
          <w:sz w:val="24"/>
          <w:szCs w:val="24"/>
          <w:highlight w:val="none"/>
          <w:lang w:eastAsia="zh-CN"/>
        </w:rPr>
        <w:t>GZJTZB202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lang w:eastAsia="zh-CN"/>
        </w:rPr>
        <w:t>-3</w:t>
      </w:r>
      <w:r>
        <w:rPr>
          <w:rFonts w:hint="eastAsia" w:ascii="宋体" w:hAnsi="宋体"/>
          <w:b/>
          <w:color w:val="auto"/>
          <w:sz w:val="24"/>
          <w:szCs w:val="24"/>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7842B0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jc w:val="center"/>
        </w:trPr>
        <w:tc>
          <w:tcPr>
            <w:tcW w:w="702" w:type="dxa"/>
            <w:tcBorders>
              <w:top w:val="double" w:color="auto" w:sz="4" w:space="0"/>
              <w:left w:val="double" w:color="auto" w:sz="4" w:space="0"/>
              <w:bottom w:val="single" w:color="auto" w:sz="4" w:space="0"/>
              <w:right w:val="single" w:color="auto" w:sz="4" w:space="0"/>
            </w:tcBorders>
            <w:vAlign w:val="center"/>
          </w:tcPr>
          <w:p w14:paraId="43142EF5">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0969E202">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0260A9A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65E7155C">
            <w:pPr>
              <w:pStyle w:val="20"/>
              <w:ind w:firstLine="45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说明与要求</w:t>
            </w:r>
          </w:p>
        </w:tc>
      </w:tr>
      <w:tr w14:paraId="340DB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E94D5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7327A8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2D8C5D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7240B4F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招标人（即发包人）：</w:t>
            </w:r>
            <w:r>
              <w:rPr>
                <w:rFonts w:hint="eastAsia" w:ascii="宋体" w:hAnsi="宋体" w:cs="宋体"/>
                <w:color w:val="auto"/>
                <w:szCs w:val="21"/>
                <w:highlight w:val="none"/>
                <w:u w:val="single"/>
                <w:lang w:eastAsia="zh-CN"/>
              </w:rPr>
              <w:t>中新广州知识城财政投资建设项目管理中心</w:t>
            </w:r>
          </w:p>
          <w:p w14:paraId="6212FD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r>
              <w:rPr>
                <w:rFonts w:hint="eastAsia" w:ascii="宋体" w:hAnsi="宋体" w:cs="宋体"/>
                <w:color w:val="auto"/>
                <w:szCs w:val="21"/>
                <w:highlight w:val="none"/>
                <w:u w:val="single"/>
                <w:lang w:eastAsia="zh-CN"/>
              </w:rPr>
              <w:t>广州筑正工程建设管理有限公司</w:t>
            </w:r>
          </w:p>
          <w:p w14:paraId="7D400D2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设计单位：</w:t>
            </w:r>
            <w:r>
              <w:rPr>
                <w:rFonts w:hint="eastAsia" w:ascii="宋体" w:hAnsi="宋体" w:eastAsia="宋体" w:cs="宋体"/>
                <w:color w:val="auto"/>
                <w:szCs w:val="21"/>
                <w:highlight w:val="none"/>
                <w:u w:val="single"/>
              </w:rPr>
              <w:t>广州市设计院集团有限公司</w:t>
            </w:r>
            <w:r>
              <w:rPr>
                <w:rFonts w:hint="eastAsia" w:ascii="宋体" w:hAnsi="宋体" w:cs="宋体"/>
                <w:color w:val="auto"/>
                <w:szCs w:val="21"/>
                <w:highlight w:val="none"/>
                <w:u w:val="single"/>
                <w:lang w:eastAsia="zh-CN"/>
              </w:rPr>
              <w:t>、</w:t>
            </w:r>
          </w:p>
          <w:p w14:paraId="4B135ADC">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cs="宋体"/>
                <w:color w:val="auto"/>
                <w:szCs w:val="21"/>
                <w:highlight w:val="none"/>
                <w:u w:val="single"/>
                <w:lang w:val="en-US" w:eastAsia="zh-CN"/>
              </w:rPr>
              <w:t>广州宏达工程顾问集团有限公司</w:t>
            </w:r>
          </w:p>
          <w:p w14:paraId="446D5537">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检测机构：</w:t>
            </w:r>
            <w:r>
              <w:rPr>
                <w:rFonts w:hint="eastAsia" w:ascii="宋体" w:hAnsi="宋体" w:cs="宋体"/>
                <w:color w:val="auto"/>
                <w:szCs w:val="21"/>
                <w:highlight w:val="none"/>
                <w:u w:val="single"/>
                <w:lang w:val="en-US" w:eastAsia="zh-CN"/>
              </w:rPr>
              <w:t>/</w:t>
            </w:r>
          </w:p>
        </w:tc>
      </w:tr>
      <w:tr w14:paraId="4EAA80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A2D89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4A92F9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3DE4E1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7D031257">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工程名称：</w:t>
            </w:r>
            <w:r>
              <w:rPr>
                <w:rFonts w:hint="eastAsia" w:ascii="宋体" w:hAnsi="宋体" w:cs="宋体"/>
                <w:color w:val="auto"/>
                <w:szCs w:val="21"/>
                <w:highlight w:val="none"/>
                <w:u w:val="single"/>
                <w:lang w:eastAsia="zh-CN"/>
              </w:rPr>
              <w:t>知识城凤凰五路东延线二期（东部快速-区界）市政道路及配套工程</w:t>
            </w:r>
          </w:p>
          <w:p w14:paraId="75ECAE12">
            <w:pPr>
              <w:pStyle w:val="1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招标项目名称：</w:t>
            </w:r>
            <w:r>
              <w:rPr>
                <w:rFonts w:hint="eastAsia" w:hAnsi="宋体" w:cs="宋体"/>
                <w:color w:val="auto"/>
                <w:szCs w:val="21"/>
                <w:highlight w:val="none"/>
                <w:u w:val="single"/>
                <w:lang w:eastAsia="zh-CN"/>
              </w:rPr>
              <w:t>知识城凤凰五路东延线二期（东部快速-区界）市政道路及配套工程施工总承包</w:t>
            </w:r>
          </w:p>
        </w:tc>
      </w:tr>
      <w:tr w14:paraId="42D8E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26C43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4E48EB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FCF0D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330C719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广州市</w:t>
            </w:r>
            <w:r>
              <w:rPr>
                <w:rFonts w:hint="eastAsia" w:ascii="宋体" w:hAnsi="宋体" w:eastAsia="宋体" w:cs="宋体"/>
                <w:color w:val="auto"/>
                <w:szCs w:val="21"/>
                <w:highlight w:val="none"/>
                <w:u w:val="single"/>
                <w:lang w:val="en-US" w:eastAsia="zh-CN"/>
              </w:rPr>
              <w:t>黄埔</w:t>
            </w:r>
            <w:r>
              <w:rPr>
                <w:rFonts w:hint="eastAsia" w:ascii="宋体" w:hAnsi="宋体" w:eastAsia="宋体" w:cs="宋体"/>
                <w:color w:val="auto"/>
                <w:szCs w:val="21"/>
                <w:highlight w:val="none"/>
                <w:u w:val="single"/>
              </w:rPr>
              <w:t>区</w:t>
            </w:r>
          </w:p>
        </w:tc>
      </w:tr>
      <w:tr w14:paraId="2944E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E782A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554308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438FD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49459FE7">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详见本工程招标公告，具体以工程量清单及图纸为准。</w:t>
            </w:r>
          </w:p>
        </w:tc>
      </w:tr>
      <w:tr w14:paraId="011E8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69490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38F90F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03447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040A3E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包工、包料、包工期、包质量、包安全、包文明施工、包验收、包保修。综合单价包干；措施项目费（除施工围蔽费用外）包干，施工围蔽清单综合单价包干，工程量按实计量。</w:t>
            </w:r>
          </w:p>
        </w:tc>
      </w:tr>
      <w:tr w14:paraId="6CC0C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EDAB85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6FCF7A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0399B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54437DD2">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工程质量达到国家或行业质量检验评定的合格标准。</w:t>
            </w:r>
          </w:p>
          <w:p w14:paraId="4DF96074">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注：本工程正式签署合同时，质量标准按中标人投标文件承诺质量标准。</w:t>
            </w:r>
          </w:p>
        </w:tc>
      </w:tr>
      <w:tr w14:paraId="2271B2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77B28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45234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CD23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31251965">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详见本工程招标公告，具体以工程量清单及图纸为准。</w:t>
            </w:r>
          </w:p>
        </w:tc>
      </w:tr>
      <w:tr w14:paraId="4B2CD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16C9F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657F54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6E61D0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78BAFFEA">
            <w:pPr>
              <w:rPr>
                <w:rFonts w:hint="eastAsia" w:ascii="宋体" w:hAnsi="宋体" w:eastAsia="宋体" w:cs="宋体"/>
                <w:color w:val="auto"/>
                <w:szCs w:val="21"/>
                <w:highlight w:val="none"/>
              </w:rPr>
            </w:pPr>
            <w:r>
              <w:rPr>
                <w:rFonts w:hint="eastAsia" w:ascii="宋体" w:hAnsi="宋体" w:cs="宋体"/>
                <w:color w:val="auto"/>
                <w:szCs w:val="21"/>
                <w:highlight w:val="none"/>
                <w:u w:val="single"/>
                <w:lang w:val="en-US" w:eastAsia="zh-CN"/>
              </w:rPr>
              <w:t>暂定开工日期为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日，施工总期：</w:t>
            </w:r>
            <w:r>
              <w:rPr>
                <w:rFonts w:hint="eastAsia" w:ascii="宋体" w:hAnsi="宋体" w:cs="宋体"/>
                <w:color w:val="auto"/>
                <w:szCs w:val="21"/>
                <w:highlight w:val="none"/>
                <w:u w:val="single"/>
                <w:lang w:val="en-US" w:eastAsia="zh-CN"/>
              </w:rPr>
              <w:t>730</w:t>
            </w:r>
            <w:r>
              <w:rPr>
                <w:rFonts w:hint="eastAsia" w:ascii="宋体" w:hAnsi="宋体" w:eastAsia="宋体" w:cs="宋体"/>
                <w:color w:val="auto"/>
                <w:szCs w:val="21"/>
                <w:highlight w:val="none"/>
              </w:rPr>
              <w:t>日历天。</w:t>
            </w:r>
          </w:p>
          <w:p w14:paraId="014BDA94">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注：本工程正式签署合同时，施工工期按中标投标文件承诺工期。</w:t>
            </w:r>
          </w:p>
        </w:tc>
      </w:tr>
      <w:tr w14:paraId="17D34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04E78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48C59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14:paraId="355650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5F520C48">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区财政资金</w:t>
            </w:r>
          </w:p>
        </w:tc>
      </w:tr>
      <w:tr w14:paraId="71AD4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ABB94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3AEC5C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14:paraId="6B7DF5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5323DF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1566D9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87FE0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672BF26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w:t>
            </w:r>
          </w:p>
        </w:tc>
        <w:tc>
          <w:tcPr>
            <w:tcW w:w="1733" w:type="dxa"/>
            <w:tcBorders>
              <w:top w:val="single" w:color="auto" w:sz="4" w:space="0"/>
              <w:left w:val="single" w:color="auto" w:sz="4" w:space="0"/>
              <w:bottom w:val="single" w:color="auto" w:sz="4" w:space="0"/>
              <w:right w:val="single" w:color="auto" w:sz="4" w:space="0"/>
            </w:tcBorders>
            <w:vAlign w:val="center"/>
          </w:tcPr>
          <w:p w14:paraId="56B39D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7C0043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65A36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9D2B53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3372028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14:paraId="32AE567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7FFC275D">
            <w:pPr>
              <w:pStyle w:val="20"/>
              <w:rPr>
                <w:rFonts w:hint="eastAsia" w:ascii="宋体" w:hAnsi="宋体" w:eastAsia="宋体" w:cs="宋体"/>
                <w:color w:val="auto"/>
                <w:szCs w:val="21"/>
                <w:highlight w:val="none"/>
              </w:rPr>
            </w:pPr>
            <w:bookmarkStart w:id="10" w:name="EBdfd7e3fe86a241738f1c1d356c309534"/>
            <w:r>
              <w:rPr>
                <w:rFonts w:hint="eastAsia" w:ascii="宋体" w:hAnsi="宋体" w:eastAsia="宋体" w:cs="宋体"/>
                <w:color w:val="auto"/>
                <w:kern w:val="2"/>
                <w:sz w:val="21"/>
                <w:szCs w:val="21"/>
                <w:highlight w:val="none"/>
                <w:u w:val="single"/>
              </w:rPr>
              <w:t>自行踏勘，投标人不进行踏勘的，视为已熟知现场条件，自行承担相关风险。</w:t>
            </w:r>
            <w:bookmarkEnd w:id="10"/>
          </w:p>
        </w:tc>
      </w:tr>
      <w:tr w14:paraId="1B7E1C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414715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319901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14:paraId="73DEDC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2FA09A95">
            <w:pPr>
              <w:shd w:val="clear" w:color="auto" w:fill="auto"/>
              <w:spacing w:line="276" w:lineRule="auto"/>
              <w:rPr>
                <w:rFonts w:ascii="宋体" w:hAnsi="宋体"/>
                <w:color w:val="auto"/>
                <w:szCs w:val="21"/>
                <w:highlight w:val="none"/>
              </w:rPr>
            </w:pPr>
            <w:r>
              <w:rPr>
                <w:rFonts w:hint="eastAsia" w:ascii="宋体" w:hAnsi="宋体"/>
                <w:color w:val="auto"/>
                <w:szCs w:val="21"/>
                <w:highlight w:val="none"/>
              </w:rPr>
              <w:t>疑问提交时间：</w:t>
            </w:r>
            <w:r>
              <w:rPr>
                <w:rFonts w:hint="default" w:ascii="宋体" w:hAnsi="宋体"/>
                <w:color w:val="auto"/>
                <w:szCs w:val="21"/>
                <w:highlight w:val="none"/>
                <w:u w:val="single"/>
                <w:lang w:val="en-US"/>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p>
          <w:p w14:paraId="2FE9617B">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p>
          <w:p w14:paraId="431A56E5">
            <w:pPr>
              <w:rPr>
                <w:rFonts w:hint="eastAsia" w:ascii="宋体" w:hAnsi="宋体" w:eastAsia="宋体" w:cs="宋体"/>
                <w:color w:val="auto"/>
                <w:sz w:val="21"/>
                <w:szCs w:val="21"/>
                <w:highlight w:val="none"/>
                <w:lang w:val="en-US" w:eastAsia="zh-CN" w:bidi="ar-SA"/>
              </w:rPr>
            </w:pPr>
            <w:r>
              <w:rPr>
                <w:rFonts w:hint="eastAsia" w:ascii="宋体" w:hAnsi="宋体"/>
                <w:color w:val="auto"/>
                <w:szCs w:val="21"/>
                <w:highlight w:val="none"/>
              </w:rPr>
              <w:t>具体要求：按照交易平台关于全流程电子化项目的相关指南进行操作，详见：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广州交易集团有限公司（广州公共资源交易中心）最新指引。提问一律不得署名。</w:t>
            </w:r>
          </w:p>
        </w:tc>
      </w:tr>
      <w:tr w14:paraId="19F9C9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C1BC3B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774EEB1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297323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7D936900">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工程量清单计价，按国家、省有关计价规范执行。纳入年度审计项目计划的政府投资项目，审计机关出具的审计结果应当作为该政府投资项目价款结算的依据（适用于纳入年度审计项目计划的项目）。</w:t>
            </w:r>
          </w:p>
        </w:tc>
      </w:tr>
      <w:tr w14:paraId="33EF56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1C9A1E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6568C4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5644E9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4AEA1797">
            <w:pPr>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rPr>
              <w:t>日历天。（从投标截止之日计起）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6D466B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1078ED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6599B1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6E264F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039E802A">
            <w:pPr>
              <w:pStyle w:val="1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方式一：本项目不收投标保证金。</w:t>
            </w:r>
          </w:p>
        </w:tc>
      </w:tr>
      <w:tr w14:paraId="26BF5E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0B5A5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14:paraId="639D0D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41DD33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1D26F71F">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（北京时间）。</w:t>
            </w:r>
          </w:p>
        </w:tc>
      </w:tr>
      <w:tr w14:paraId="247C6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2795A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021936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5BD0F9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0151D12F">
            <w:pPr>
              <w:widowControl/>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（技术标和经济标同时开标）</w:t>
            </w:r>
          </w:p>
          <w:p w14:paraId="7F989345">
            <w:pPr>
              <w:widowControl/>
              <w:numPr>
                <w:ilvl w:val="0"/>
                <w:numId w:val="3"/>
              </w:numPr>
              <w:jc w:val="left"/>
              <w:rPr>
                <w:rFonts w:hint="eastAsia" w:ascii="宋体" w:hAnsi="宋体" w:eastAsia="宋体" w:cs="宋体"/>
                <w:b w:val="0"/>
                <w:bCs w:val="0"/>
                <w:color w:val="auto"/>
                <w:kern w:val="0"/>
                <w:szCs w:val="21"/>
                <w:highlight w:val="none"/>
              </w:rPr>
            </w:pPr>
            <w:r>
              <w:rPr>
                <w:rFonts w:hint="eastAsia" w:ascii="宋体" w:hAnsi="宋体" w:eastAsia="宋体" w:cs="宋体"/>
                <w:bCs/>
                <w:color w:val="auto"/>
                <w:kern w:val="0"/>
                <w:szCs w:val="21"/>
                <w:highlight w:val="none"/>
              </w:rPr>
              <w:t>开标开始时间：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分</w:t>
            </w:r>
            <w:r>
              <w:rPr>
                <w:rFonts w:hint="eastAsia" w:ascii="宋体" w:hAnsi="宋体" w:eastAsia="宋体" w:cs="宋体"/>
                <w:bCs/>
                <w:color w:val="auto"/>
                <w:kern w:val="0"/>
                <w:szCs w:val="21"/>
                <w:highlight w:val="none"/>
              </w:rPr>
              <w:t>（与投标截止时间为同一时间），地点：</w:t>
            </w:r>
            <w:r>
              <w:rPr>
                <w:rFonts w:hint="eastAsia" w:ascii="宋体" w:hAnsi="宋体" w:eastAsia="宋体" w:cs="宋体"/>
                <w:bCs/>
                <w:color w:val="auto"/>
                <w:kern w:val="0"/>
                <w:szCs w:val="21"/>
                <w:highlight w:val="none"/>
                <w:u w:val="single"/>
              </w:rPr>
              <w:t>广州交易集团有限公司（广州公共资源交易中心）黄埔交易部指定开标室</w:t>
            </w:r>
            <w:r>
              <w:rPr>
                <w:rFonts w:hint="eastAsia" w:ascii="宋体" w:hAnsi="宋体" w:eastAsia="宋体" w:cs="宋体"/>
                <w:bCs/>
                <w:color w:val="auto"/>
                <w:kern w:val="0"/>
                <w:szCs w:val="21"/>
                <w:highlight w:val="none"/>
              </w:rPr>
              <w:t>。</w:t>
            </w:r>
            <w:r>
              <w:rPr>
                <w:rFonts w:hint="eastAsia" w:ascii="宋体" w:hAnsi="宋体" w:eastAsia="宋体" w:cs="宋体"/>
                <w:b w:val="0"/>
                <w:bCs w:val="0"/>
                <w:color w:val="auto"/>
                <w:kern w:val="0"/>
                <w:szCs w:val="21"/>
                <w:highlight w:val="none"/>
              </w:rPr>
              <w:t>投标人也可选择参加在线开标，具体按照交易平台相关指南进行操作。详见：</w:t>
            </w:r>
            <w:r>
              <w:rPr>
                <w:rFonts w:hint="eastAsia" w:ascii="宋体" w:hAnsi="宋体" w:eastAsia="宋体" w:cs="宋体"/>
                <w:color w:val="auto"/>
                <w:kern w:val="0"/>
                <w:szCs w:val="21"/>
                <w:highlight w:val="none"/>
                <w:u w:val="single"/>
              </w:rPr>
              <w:t>广州交易集团有限公司（广州公共资源交易中心）网站最新指引</w:t>
            </w:r>
            <w:r>
              <w:rPr>
                <w:rFonts w:hint="eastAsia" w:ascii="宋体" w:hAnsi="宋体" w:eastAsia="宋体" w:cs="宋体"/>
                <w:b w:val="0"/>
                <w:bCs w:val="0"/>
                <w:color w:val="auto"/>
                <w:kern w:val="0"/>
                <w:szCs w:val="21"/>
                <w:highlight w:val="none"/>
              </w:rPr>
              <w:t>。</w:t>
            </w:r>
          </w:p>
          <w:p w14:paraId="15AF73B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2、递交投标文件备用光盘时间：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u w:val="single"/>
              </w:rPr>
              <w:t xml:space="preserve">至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u w:val="single"/>
              </w:rPr>
              <w:t>；递交地点：</w:t>
            </w:r>
            <w:r>
              <w:rPr>
                <w:rFonts w:hint="eastAsia" w:ascii="宋体" w:hAnsi="宋体" w:eastAsia="宋体" w:cs="宋体"/>
                <w:bCs/>
                <w:color w:val="auto"/>
                <w:kern w:val="0"/>
                <w:szCs w:val="21"/>
                <w:highlight w:val="none"/>
                <w:u w:val="single"/>
              </w:rPr>
              <w:t>广州交易集团有限公司（广州公共资源交易中心）黄埔交易部指定开标室</w:t>
            </w:r>
            <w:r>
              <w:rPr>
                <w:rFonts w:hint="eastAsia" w:ascii="宋体" w:hAnsi="宋体" w:eastAsia="宋体" w:cs="宋体"/>
                <w:color w:val="auto"/>
                <w:szCs w:val="21"/>
                <w:highlight w:val="none"/>
              </w:rPr>
              <w:t>。(建议安排在投标文件截止时间前15分钟至投标文件截止时间）</w:t>
            </w:r>
          </w:p>
          <w:p w14:paraId="3A78039D">
            <w:pPr>
              <w:widowControl/>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u w:val="single"/>
              </w:rPr>
              <w:t>上述时间及地点是否有改变，请密切留意补充公告（如有）和招标澄清答疑纪要（如有）的相关信息。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tc>
      </w:tr>
      <w:tr w14:paraId="1054CD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EEFB49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981" w:type="dxa"/>
            <w:tcBorders>
              <w:top w:val="single" w:color="auto" w:sz="4" w:space="0"/>
              <w:left w:val="single" w:color="auto" w:sz="4" w:space="0"/>
              <w:bottom w:val="single" w:color="auto" w:sz="4" w:space="0"/>
              <w:right w:val="single" w:color="auto" w:sz="4" w:space="0"/>
            </w:tcBorders>
            <w:vAlign w:val="center"/>
          </w:tcPr>
          <w:p w14:paraId="6A1A9A7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1733" w:type="dxa"/>
            <w:tcBorders>
              <w:top w:val="single" w:color="auto" w:sz="4" w:space="0"/>
              <w:left w:val="single" w:color="auto" w:sz="4" w:space="0"/>
              <w:bottom w:val="single" w:color="auto" w:sz="4" w:space="0"/>
              <w:right w:val="single" w:color="auto" w:sz="4" w:space="0"/>
            </w:tcBorders>
            <w:vAlign w:val="center"/>
          </w:tcPr>
          <w:p w14:paraId="74048291">
            <w:pPr>
              <w:spacing w:line="24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2D09B937">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投标人总得分=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（技术分×</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%（技术分权重）＋经济分×</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rPr>
              <w:t>%（经济分权重）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rPr>
              <w:t>＋信用评价得分×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信用评价分数权重</w:t>
            </w:r>
            <w:r>
              <w:rPr>
                <w:rFonts w:hint="eastAsia" w:ascii="宋体" w:hAnsi="宋体" w:cs="宋体"/>
                <w:color w:val="auto"/>
                <w:sz w:val="21"/>
                <w:szCs w:val="21"/>
                <w:highlight w:val="none"/>
                <w:lang w:eastAsia="zh-CN"/>
              </w:rPr>
              <w:t>）</w:t>
            </w:r>
          </w:p>
          <w:p w14:paraId="25D1FF97">
            <w:pPr>
              <w:spacing w:line="24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（1）确定投标报价低于成本警示价的投标人的排序：</w:t>
            </w:r>
          </w:p>
          <w:p w14:paraId="4ADD82F2">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①对于投标报价低于成本警示价的投标人</w:t>
            </w:r>
            <w:r>
              <w:rPr>
                <w:rFonts w:hint="eastAsia" w:ascii="宋体" w:hAnsi="宋体" w:eastAsia="宋体" w:cs="宋体"/>
                <w:color w:val="auto"/>
                <w:sz w:val="21"/>
                <w:szCs w:val="21"/>
                <w:highlight w:val="none"/>
                <w:lang w:val="en-US" w:eastAsia="zh-CN"/>
              </w:rPr>
              <w:t>，不参加经济标的</w:t>
            </w:r>
            <w:r>
              <w:rPr>
                <w:rFonts w:hint="eastAsia" w:ascii="宋体" w:hAnsi="宋体" w:eastAsia="宋体" w:cs="宋体"/>
                <w:color w:val="auto"/>
                <w:szCs w:val="21"/>
                <w:highlight w:val="none"/>
              </w:rPr>
              <w:t>详细评审</w:t>
            </w:r>
            <w:r>
              <w:rPr>
                <w:rFonts w:hint="eastAsia" w:ascii="宋体" w:hAnsi="宋体" w:eastAsia="宋体" w:cs="宋体"/>
                <w:color w:val="auto"/>
                <w:sz w:val="21"/>
                <w:szCs w:val="21"/>
                <w:highlight w:val="none"/>
                <w:lang w:val="en-US" w:eastAsia="zh-CN"/>
              </w:rPr>
              <w:t>，但需参加技术标的详细评审</w:t>
            </w:r>
            <w:r>
              <w:rPr>
                <w:rFonts w:hint="eastAsia" w:ascii="宋体" w:hAnsi="宋体" w:eastAsia="宋体" w:cs="宋体"/>
                <w:color w:val="auto"/>
                <w:szCs w:val="21"/>
                <w:highlight w:val="none"/>
              </w:rPr>
              <w:t>并排序</w:t>
            </w:r>
            <w:r>
              <w:rPr>
                <w:rFonts w:hint="eastAsia" w:ascii="宋体" w:hAnsi="宋体" w:eastAsia="宋体" w:cs="宋体"/>
                <w:color w:val="auto"/>
                <w:sz w:val="21"/>
                <w:szCs w:val="21"/>
                <w:highlight w:val="none"/>
                <w:lang w:val="en-US" w:eastAsia="zh-CN"/>
              </w:rPr>
              <w:t>、经济标有效性审查。</w:t>
            </w:r>
          </w:p>
          <w:p w14:paraId="0A06ABD5">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②投标报价低于成本警示价的投标人，</w:t>
            </w:r>
            <w:r>
              <w:rPr>
                <w:rFonts w:hint="eastAsia" w:ascii="宋体" w:hAnsi="宋体" w:eastAsia="宋体" w:cs="宋体"/>
                <w:color w:val="auto"/>
                <w:szCs w:val="21"/>
                <w:highlight w:val="none"/>
              </w:rPr>
              <w:t>按照“总得分=</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rPr>
              <w:t>%（技术得分权重）</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信用评价得分×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信用评价分数权重</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的公式，计算各有效投标文件的总得分，并按照总得分从高到低排序。总得分相同的投标文件，以投标总报价较低的排前；总得分与报价均相同的投标文件，以技术分较高的排前；如仍存在相同情况，则对具有相同情况的投标人，由评标委员会采用记名投票方式，确定</w:t>
            </w:r>
            <w:r>
              <w:rPr>
                <w:rFonts w:hint="eastAsia" w:ascii="宋体" w:hAnsi="宋体" w:eastAsia="宋体" w:cs="宋体"/>
                <w:color w:val="auto"/>
                <w:szCs w:val="21"/>
                <w:highlight w:val="none"/>
                <w:lang w:val="en-US" w:eastAsia="zh-CN"/>
              </w:rPr>
              <w:t>投标报价</w:t>
            </w:r>
            <w:r>
              <w:rPr>
                <w:rFonts w:hint="eastAsia" w:ascii="宋体" w:hAnsi="宋体" w:eastAsia="宋体" w:cs="宋体"/>
                <w:color w:val="auto"/>
                <w:szCs w:val="21"/>
                <w:highlight w:val="none"/>
              </w:rPr>
              <w:t>低</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rPr>
              <w:t>成本警示价</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投标人排序。</w:t>
            </w:r>
          </w:p>
          <w:p w14:paraId="1EEBFB8F">
            <w:pPr>
              <w:numPr>
                <w:ilvl w:val="0"/>
                <w:numId w:val="0"/>
              </w:numPr>
              <w:spacing w:line="24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Cs w:val="21"/>
                <w:highlight w:val="none"/>
                <w:lang w:val="en-US" w:eastAsia="zh-CN"/>
              </w:rPr>
              <w:t>确定投标报价</w:t>
            </w:r>
            <w:r>
              <w:rPr>
                <w:rFonts w:hint="eastAsia" w:ascii="宋体" w:hAnsi="宋体" w:eastAsia="宋体" w:cs="宋体"/>
                <w:b/>
                <w:bCs/>
                <w:color w:val="auto"/>
                <w:szCs w:val="21"/>
                <w:highlight w:val="none"/>
              </w:rPr>
              <w:t>不低于成本</w:t>
            </w:r>
            <w:r>
              <w:rPr>
                <w:rFonts w:hint="eastAsia" w:ascii="宋体" w:hAnsi="宋体" w:eastAsia="宋体" w:cs="宋体"/>
                <w:b/>
                <w:bCs/>
                <w:color w:val="auto"/>
                <w:szCs w:val="21"/>
                <w:highlight w:val="none"/>
                <w:lang w:eastAsia="zh-CN"/>
              </w:rPr>
              <w:t>警示</w:t>
            </w:r>
            <w:r>
              <w:rPr>
                <w:rFonts w:hint="eastAsia" w:ascii="宋体" w:hAnsi="宋体" w:eastAsia="宋体" w:cs="宋体"/>
                <w:b/>
                <w:bCs/>
                <w:color w:val="auto"/>
                <w:szCs w:val="21"/>
                <w:highlight w:val="none"/>
              </w:rPr>
              <w:t>价的投标人</w:t>
            </w:r>
            <w:r>
              <w:rPr>
                <w:rFonts w:hint="eastAsia" w:ascii="宋体" w:hAnsi="宋体" w:eastAsia="宋体" w:cs="宋体"/>
                <w:b/>
                <w:bCs/>
                <w:color w:val="auto"/>
                <w:szCs w:val="21"/>
                <w:highlight w:val="none"/>
                <w:lang w:val="en-US" w:eastAsia="zh-CN"/>
              </w:rPr>
              <w:t>排序：</w:t>
            </w:r>
          </w:p>
          <w:p w14:paraId="51B3ABAF">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对于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报价不低于成本警示价的投标人，需要参加技术标、经济标的详细评审并排序。按照“总得分=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技术分×技术分权重（20%）+经济分×经济分权重（80%）</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80%+</w:t>
            </w:r>
            <w:r>
              <w:rPr>
                <w:rFonts w:hint="eastAsia"/>
                <w:color w:val="auto"/>
                <w:highlight w:val="none"/>
              </w:rPr>
              <w:t>企业信用评价</w:t>
            </w:r>
            <w:r>
              <w:rPr>
                <w:rFonts w:hint="eastAsia"/>
                <w:color w:val="auto"/>
                <w:highlight w:val="none"/>
                <w:lang w:val="en-US" w:eastAsia="zh-CN"/>
              </w:rPr>
              <w:t>得</w:t>
            </w:r>
            <w:r>
              <w:rPr>
                <w:rFonts w:hint="eastAsia"/>
                <w:color w:val="auto"/>
                <w:highlight w:val="none"/>
              </w:rPr>
              <w:t>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”的公式，计算各有效投标文件的总得分，并按照总得分从高到低排序。总得分相同的投标文件，以投标总报价较低的排前；总得分与</w:t>
            </w:r>
            <w:r>
              <w:rPr>
                <w:rFonts w:hint="eastAsia"/>
                <w:color w:val="auto"/>
                <w:highlight w:val="none"/>
              </w:rPr>
              <w:t>投标总报价</w:t>
            </w:r>
            <w:r>
              <w:rPr>
                <w:rFonts w:hint="eastAsia" w:ascii="宋体" w:hAnsi="宋体" w:eastAsia="宋体" w:cs="宋体"/>
                <w:color w:val="auto"/>
                <w:szCs w:val="21"/>
                <w:highlight w:val="none"/>
              </w:rPr>
              <w:t>均相同的投标文件，以技术分较高的排前；</w:t>
            </w:r>
            <w:r>
              <w:rPr>
                <w:rFonts w:hint="eastAsia"/>
                <w:color w:val="auto"/>
                <w:highlight w:val="none"/>
              </w:rPr>
              <w:t>总得分、投标总报价与技术分均相同，以企业信用评价</w:t>
            </w:r>
            <w:r>
              <w:rPr>
                <w:rFonts w:hint="eastAsia"/>
                <w:color w:val="auto"/>
                <w:highlight w:val="none"/>
                <w:lang w:val="en-US" w:eastAsia="zh-CN"/>
              </w:rPr>
              <w:t>得</w:t>
            </w:r>
            <w:r>
              <w:rPr>
                <w:rFonts w:hint="eastAsia"/>
                <w:color w:val="auto"/>
                <w:highlight w:val="none"/>
              </w:rPr>
              <w:t>分较高的排前；</w:t>
            </w:r>
            <w:r>
              <w:rPr>
                <w:rFonts w:hint="eastAsia" w:ascii="宋体" w:hAnsi="宋体" w:eastAsia="宋体" w:cs="宋体"/>
                <w:color w:val="auto"/>
                <w:szCs w:val="21"/>
                <w:highlight w:val="none"/>
              </w:rPr>
              <w:t>如仍存在相同情况，则对具有相同情况的投标人，由评标委员会采用记名投票方式，确定</w:t>
            </w:r>
            <w:r>
              <w:rPr>
                <w:rFonts w:hint="eastAsia" w:ascii="宋体" w:hAnsi="宋体" w:eastAsia="宋体" w:cs="宋体"/>
                <w:color w:val="auto"/>
                <w:szCs w:val="21"/>
                <w:highlight w:val="none"/>
                <w:lang w:val="en-US" w:eastAsia="zh-CN"/>
              </w:rPr>
              <w:t>投标报价不</w:t>
            </w:r>
            <w:r>
              <w:rPr>
                <w:rFonts w:hint="eastAsia" w:ascii="宋体" w:hAnsi="宋体" w:eastAsia="宋体" w:cs="宋体"/>
                <w:color w:val="auto"/>
                <w:szCs w:val="21"/>
                <w:highlight w:val="none"/>
              </w:rPr>
              <w:t>低</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rPr>
              <w:t>成本警示价</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投标人排序。</w:t>
            </w:r>
          </w:p>
          <w:p w14:paraId="2E683570">
            <w:pPr>
              <w:ind w:firstLineChars="0"/>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non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14:paraId="2F996A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A9B5FC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0209DCE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733" w:type="dxa"/>
            <w:tcBorders>
              <w:top w:val="single" w:color="auto" w:sz="4" w:space="0"/>
              <w:left w:val="single" w:color="auto" w:sz="4" w:space="0"/>
              <w:bottom w:val="single" w:color="auto" w:sz="4" w:space="0"/>
              <w:right w:val="single" w:color="auto" w:sz="4" w:space="0"/>
            </w:tcBorders>
            <w:vAlign w:val="center"/>
          </w:tcPr>
          <w:p w14:paraId="2C4C9E6F">
            <w:pPr>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lang w:eastAsia="zh-CN"/>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65A1E45B">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采用评定分离定标办法</w:t>
            </w:r>
          </w:p>
          <w:p w14:paraId="2A0494D9">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评标采用“有限数量制”推荐合格中标候选人。推荐</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-7名合格中标候选人，投标报价低于成本警示价的投标人及投标报价不低于成本警示价的投标人推荐方式如下：</w:t>
            </w:r>
          </w:p>
          <w:p w14:paraId="5AAB6977">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投标报价低于成本警示价的投标人推荐方式：</w:t>
            </w:r>
          </w:p>
          <w:p w14:paraId="665EC864">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①</w:t>
            </w:r>
            <w:r>
              <w:rPr>
                <w:rFonts w:hint="eastAsia" w:ascii="宋体" w:hAnsi="宋体" w:eastAsia="宋体" w:cs="宋体"/>
                <w:color w:val="auto"/>
                <w:sz w:val="21"/>
                <w:szCs w:val="21"/>
                <w:highlight w:val="none"/>
                <w:u w:val="single"/>
              </w:rPr>
              <w:t>投标报价低于成本警示价的有效投标人，均推荐为合格中标候选人进入定标阶段（适用于通过经济标有效性审查且投标报价低于成本警示价的有效投标人家数在[1,2]家的）。</w:t>
            </w:r>
          </w:p>
          <w:p w14:paraId="24C08E88">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②</w:t>
            </w:r>
            <w:r>
              <w:rPr>
                <w:rFonts w:hint="eastAsia" w:ascii="宋体" w:hAnsi="宋体" w:eastAsia="宋体" w:cs="宋体"/>
                <w:color w:val="auto"/>
                <w:sz w:val="21"/>
                <w:szCs w:val="21"/>
                <w:highlight w:val="none"/>
                <w:u w:val="single"/>
              </w:rPr>
              <w:t>投标报价低于成本警示价的有效投标人，推荐前2名为合格中标候选人进入定标阶段（适用于通过经济标有效性审查且投标报价低于成本警示价的有效投标人家数在大于2家的）。</w:t>
            </w:r>
          </w:p>
          <w:p w14:paraId="1B8AFC06">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投标报价不低于成本警示价的投标人推荐方式：</w:t>
            </w:r>
          </w:p>
          <w:p w14:paraId="041E231A">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①投标报价不低于成本警示价的有效投标人，均推荐为合格中标候选人进入定标阶段（适用于通过经济标有效性审查且报价不低于成本警示价的有效投标人家数在小于等于5家的）</w:t>
            </w:r>
            <w:r>
              <w:rPr>
                <w:rFonts w:hint="eastAsia" w:ascii="宋体" w:hAnsi="宋体" w:eastAsia="宋体" w:cs="宋体"/>
                <w:color w:val="auto"/>
                <w:sz w:val="21"/>
                <w:szCs w:val="21"/>
                <w:highlight w:val="none"/>
                <w:u w:val="single"/>
              </w:rPr>
              <w:t>。</w:t>
            </w:r>
          </w:p>
          <w:p w14:paraId="13E9F180">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②</w:t>
            </w:r>
            <w:r>
              <w:rPr>
                <w:rFonts w:hint="eastAsia" w:ascii="宋体" w:hAnsi="宋体" w:eastAsia="宋体" w:cs="宋体"/>
                <w:color w:val="auto"/>
                <w:sz w:val="21"/>
                <w:szCs w:val="21"/>
                <w:highlight w:val="none"/>
                <w:u w:val="single"/>
              </w:rPr>
              <w:t>投标报价不低于成本警示价的投标人，推荐前5名为合格中标候选人进入定标阶段（适用于通过经济标有效性审查且报价不低于成本警示价的有效投标人家数在大于5家的）。</w:t>
            </w:r>
          </w:p>
          <w:p w14:paraId="4FBDBACE">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当合格中标候选人小于3名时，招标人应重新招标。</w:t>
            </w:r>
          </w:p>
          <w:p w14:paraId="40E082FF">
            <w:pPr>
              <w:spacing w:line="24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如联合体投标的，以主办方为准。</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w:t>
            </w:r>
          </w:p>
          <w:p w14:paraId="4A6CC7D1">
            <w:pPr>
              <w:spacing w:line="240" w:lineRule="auto"/>
              <w:rPr>
                <w:rFonts w:hint="eastAsia" w:ascii="宋体" w:hAnsi="宋体" w:eastAsia="宋体" w:cs="宋体"/>
                <w:b w:val="0"/>
                <w:bCs/>
                <w:color w:val="auto"/>
                <w:sz w:val="21"/>
                <w:szCs w:val="21"/>
                <w:highlight w:val="none"/>
                <w:u w:val="single"/>
                <w:lang w:eastAsia="zh-CN"/>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.定标采用评分法，定标委员会从评标委员会推荐的合格中标候选人中，依据评分法选出得分最高的候选人，确定为中标人。</w:t>
            </w:r>
            <w:r>
              <w:rPr>
                <w:rFonts w:hint="eastAsia" w:ascii="宋体" w:hAnsi="宋体" w:eastAsia="宋体" w:cs="宋体"/>
                <w:b w:val="0"/>
                <w:bCs/>
                <w:color w:val="auto"/>
                <w:sz w:val="21"/>
                <w:szCs w:val="21"/>
                <w:highlight w:val="none"/>
                <w:u w:val="single"/>
              </w:rPr>
              <w:t>定标采用“方案因素+价格因素评定法”，总得分（100分）=方案因素得分（100分）×方案因素权重（70%）+价格因素得分（100分）×价格因素权重（30%）</w:t>
            </w:r>
            <w:r>
              <w:rPr>
                <w:rFonts w:hint="eastAsia" w:ascii="宋体" w:hAnsi="宋体" w:eastAsia="宋体" w:cs="宋体"/>
                <w:b w:val="0"/>
                <w:bCs/>
                <w:color w:val="auto"/>
                <w:sz w:val="21"/>
                <w:szCs w:val="21"/>
                <w:highlight w:val="none"/>
                <w:u w:val="single"/>
                <w:lang w:eastAsia="zh-CN"/>
              </w:rPr>
              <w:t>。</w:t>
            </w:r>
          </w:p>
          <w:p w14:paraId="32730476">
            <w:pPr>
              <w:spacing w:line="240" w:lineRule="auto"/>
              <w:rPr>
                <w:rFonts w:hint="eastAsia" w:ascii="宋体" w:hAnsi="宋体" w:eastAsia="宋体" w:cs="宋体"/>
                <w:b w:val="0"/>
                <w:bCs/>
                <w:color w:val="auto"/>
                <w:sz w:val="21"/>
                <w:szCs w:val="21"/>
                <w:highlight w:val="none"/>
                <w:u w:val="single"/>
                <w:lang w:eastAsia="zh-CN"/>
              </w:rPr>
            </w:pPr>
          </w:p>
          <w:p w14:paraId="1071E68A">
            <w:pPr>
              <w:rPr>
                <w:rFonts w:ascii="宋体" w:hAnsi="宋体" w:eastAsia="宋体" w:cs="宋体"/>
                <w:bCs/>
                <w:color w:val="auto"/>
                <w:szCs w:val="21"/>
                <w:highlight w:val="none"/>
                <w:u w:val="single"/>
              </w:rPr>
            </w:pPr>
            <w:r>
              <w:rPr>
                <w:rFonts w:hint="eastAsia" w:ascii="宋体" w:hAnsi="宋体" w:eastAsia="宋体" w:cs="宋体"/>
                <w:b/>
                <w:bCs w:val="0"/>
                <w:color w:val="auto"/>
                <w:sz w:val="21"/>
                <w:szCs w:val="21"/>
                <w:highlight w:val="none"/>
                <w:u w:val="single"/>
              </w:rPr>
              <w:t>定标因素为：</w:t>
            </w:r>
            <w:r>
              <w:rPr>
                <w:rFonts w:hint="eastAsia" w:ascii="宋体" w:hAnsi="宋体" w:eastAsia="宋体" w:cs="宋体"/>
                <w:bCs/>
                <w:color w:val="auto"/>
                <w:szCs w:val="21"/>
                <w:highlight w:val="none"/>
                <w:u w:val="single"/>
              </w:rPr>
              <w:t>（1）方案因素：对合格中标候选人</w:t>
            </w:r>
            <w:r>
              <w:rPr>
                <w:rFonts w:hint="eastAsia" w:ascii="宋体" w:hAnsi="宋体" w:eastAsia="宋体" w:cs="宋体"/>
                <w:bCs/>
                <w:color w:val="auto"/>
                <w:szCs w:val="21"/>
                <w:highlight w:val="none"/>
                <w:u w:val="single"/>
                <w:lang w:val="en-US" w:eastAsia="zh-CN"/>
              </w:rPr>
              <w:t>定标</w:t>
            </w:r>
            <w:r>
              <w:rPr>
                <w:rFonts w:hint="eastAsia" w:ascii="宋体" w:hAnsi="宋体" w:eastAsia="宋体" w:cs="宋体"/>
                <w:bCs/>
                <w:color w:val="auto"/>
                <w:szCs w:val="21"/>
                <w:highlight w:val="none"/>
                <w:u w:val="single"/>
              </w:rPr>
              <w:t>方案进行评审：①团队配置</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②施工管理措施</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③成本控制措施、④资金管理措施。</w:t>
            </w:r>
            <w:r>
              <w:rPr>
                <w:rFonts w:hint="eastAsia" w:ascii="宋体" w:hAnsi="宋体" w:eastAsia="宋体" w:cs="宋体"/>
                <w:bCs/>
                <w:color w:val="auto"/>
                <w:szCs w:val="21"/>
                <w:highlight w:val="none"/>
                <w:u w:val="single"/>
              </w:rPr>
              <w:t>（2）价格因素：定标委员会对</w:t>
            </w:r>
            <w:r>
              <w:rPr>
                <w:rFonts w:hint="eastAsia" w:ascii="宋体" w:hAnsi="宋体" w:cs="宋体"/>
                <w:bCs/>
                <w:color w:val="auto"/>
                <w:szCs w:val="21"/>
                <w:highlight w:val="none"/>
                <w:u w:val="single"/>
                <w:lang w:eastAsia="zh-CN"/>
              </w:rPr>
              <w:t>合格中标候选人</w:t>
            </w:r>
            <w:r>
              <w:rPr>
                <w:rFonts w:hint="eastAsia" w:ascii="宋体" w:hAnsi="宋体" w:eastAsia="宋体" w:cs="宋体"/>
                <w:bCs/>
                <w:color w:val="auto"/>
                <w:szCs w:val="21"/>
                <w:highlight w:val="none"/>
                <w:u w:val="single"/>
              </w:rPr>
              <w:t>投标报价进行打分，</w:t>
            </w:r>
            <w:r>
              <w:rPr>
                <w:rFonts w:hint="eastAsia" w:ascii="宋体" w:hAnsi="宋体" w:eastAsia="宋体" w:cs="宋体"/>
                <w:b w:val="0"/>
                <w:bCs w:val="0"/>
                <w:color w:val="auto"/>
                <w:szCs w:val="21"/>
                <w:highlight w:val="none"/>
                <w:u w:val="single"/>
              </w:rPr>
              <w:t>以合格中标候选人中投标报价高于成本警示价的最低投标报价为定标基准价（如合格中标候选人的投标报价均等于成本警示价的，则以成本警示价为定标基准价）</w:t>
            </w:r>
            <w:r>
              <w:rPr>
                <w:rFonts w:hint="eastAsia" w:ascii="宋体" w:hAnsi="宋体" w:eastAsia="宋体" w:cs="宋体"/>
                <w:b w:val="0"/>
                <w:bCs w:val="0"/>
                <w:color w:val="auto"/>
                <w:highlight w:val="none"/>
                <w:u w:val="single"/>
              </w:rPr>
              <w:t>，</w:t>
            </w:r>
            <w:r>
              <w:rPr>
                <w:rFonts w:hint="eastAsia" w:ascii="宋体" w:hAnsi="宋体" w:eastAsia="宋体" w:cs="宋体"/>
                <w:b w:val="0"/>
                <w:bCs w:val="0"/>
                <w:color w:val="auto"/>
                <w:szCs w:val="21"/>
                <w:highlight w:val="none"/>
                <w:u w:val="single"/>
              </w:rPr>
              <w:t>投标报价等于定标基准价时得100分</w:t>
            </w:r>
            <w:r>
              <w:rPr>
                <w:rFonts w:hint="eastAsia" w:ascii="宋体" w:hAnsi="宋体" w:eastAsia="宋体" w:cs="宋体"/>
                <w:color w:val="auto"/>
                <w:highlight w:val="none"/>
              </w:rPr>
              <w:t>。</w:t>
            </w:r>
            <w:r>
              <w:rPr>
                <w:rFonts w:hint="eastAsia" w:ascii="宋体" w:hAnsi="宋体" w:eastAsia="宋体" w:cs="宋体"/>
                <w:bCs/>
                <w:color w:val="auto"/>
                <w:szCs w:val="21"/>
                <w:highlight w:val="none"/>
                <w:u w:val="single"/>
              </w:rPr>
              <w:t>投标报价比定标基准价每高1%扣1.5分；每低1%扣1.0分，扣至0分为止。分数出现小数点时，保留小数点后二位，第三位小数四舍五入。</w:t>
            </w:r>
          </w:p>
          <w:p w14:paraId="3180DABD">
            <w:pPr>
              <w:spacing w:line="240" w:lineRule="auto"/>
              <w:ind w:firstLineChars="0"/>
              <w:rPr>
                <w:rFonts w:hint="eastAsia" w:ascii="宋体" w:hAnsi="宋体" w:eastAsia="宋体" w:cs="宋体"/>
                <w:color w:val="auto"/>
                <w:szCs w:val="21"/>
                <w:highlight w:val="none"/>
                <w:u w:val="none"/>
              </w:rPr>
            </w:pPr>
            <w:r>
              <w:rPr>
                <w:rFonts w:hint="eastAsia" w:ascii="宋体" w:hAnsi="宋体" w:eastAsia="宋体" w:cs="宋体"/>
                <w:b w:val="0"/>
                <w:bCs/>
                <w:color w:val="auto"/>
                <w:sz w:val="21"/>
                <w:szCs w:val="21"/>
                <w:highlight w:val="none"/>
                <w:u w:val="single"/>
              </w:rPr>
              <w:t>注：若合格中标候选人总得分相同且影响定标排序的，以方案因素得分高的排前；若方案因素得分仍相同的，以</w:t>
            </w:r>
            <w:r>
              <w:rPr>
                <w:rFonts w:hint="eastAsia" w:ascii="宋体" w:hAnsi="宋体" w:cs="宋体"/>
                <w:b w:val="0"/>
                <w:bCs/>
                <w:color w:val="auto"/>
                <w:sz w:val="21"/>
                <w:szCs w:val="21"/>
                <w:highlight w:val="none"/>
                <w:u w:val="single"/>
                <w:lang w:val="en-US" w:eastAsia="zh-CN"/>
              </w:rPr>
              <w:t>投标报价低</w:t>
            </w:r>
            <w:r>
              <w:rPr>
                <w:rFonts w:hint="eastAsia" w:ascii="宋体" w:hAnsi="宋体" w:eastAsia="宋体" w:cs="宋体"/>
                <w:b w:val="0"/>
                <w:bCs/>
                <w:color w:val="auto"/>
                <w:sz w:val="21"/>
                <w:szCs w:val="21"/>
                <w:highlight w:val="none"/>
                <w:u w:val="single"/>
              </w:rPr>
              <w:t>的排前，若投标报价仍相同的，由定标委员会投票确定排序。</w:t>
            </w:r>
          </w:p>
        </w:tc>
      </w:tr>
      <w:tr w14:paraId="29CC2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C7B66D9">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17C888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1FD61F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13A57BE1">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是否要求投标人提交履约担保：</w:t>
            </w:r>
          </w:p>
          <w:p w14:paraId="329C2719">
            <w:pPr>
              <w:pStyle w:val="19"/>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□不要求</w:t>
            </w:r>
          </w:p>
          <w:p w14:paraId="27BAA3E7">
            <w:pPr>
              <w:pStyle w:val="19"/>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w:t>
            </w:r>
          </w:p>
          <w:p w14:paraId="402A0F3B">
            <w:pPr>
              <w:pStyle w:val="19"/>
              <w:spacing w:line="24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履约保证金的金额：</w:t>
            </w:r>
            <w:r>
              <w:rPr>
                <w:rFonts w:hint="eastAsia" w:ascii="宋体" w:hAnsi="宋体" w:eastAsia="宋体" w:cs="宋体"/>
                <w:color w:val="auto"/>
                <w:sz w:val="21"/>
                <w:szCs w:val="21"/>
                <w:highlight w:val="none"/>
                <w:u w:val="single"/>
                <w:lang w:val="en-US" w:eastAsia="zh-CN"/>
              </w:rPr>
              <w:t xml:space="preserve">      </w:t>
            </w:r>
          </w:p>
          <w:p w14:paraId="50E09AF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方式一：中标人提供的履约保证金为中标价款的</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w:t>
            </w:r>
          </w:p>
          <w:p w14:paraId="792420B7">
            <w:pPr>
              <w:pStyle w:val="36"/>
              <w:spacing w:after="0"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方式二：中标人提供的履约保函的保证额为中标价款与最高投标限价之间的差额，且不</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rPr>
              <w:t>中标价款的10%。</w:t>
            </w:r>
          </w:p>
          <w:p w14:paraId="2F16E87C">
            <w:pPr>
              <w:widowControl/>
              <w:spacing w:line="24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 w:val="21"/>
                <w:szCs w:val="21"/>
                <w:highlight w:val="none"/>
                <w:lang w:eastAsia="zh-CN"/>
              </w:rPr>
              <w:t>履约保证金的形式：</w:t>
            </w:r>
            <w:r>
              <w:rPr>
                <w:rFonts w:hint="eastAsia" w:ascii="宋体" w:hAnsi="宋体" w:eastAsia="宋体" w:cs="宋体"/>
                <w:color w:val="auto"/>
                <w:kern w:val="2"/>
                <w:sz w:val="21"/>
                <w:szCs w:val="21"/>
                <w:highlight w:val="none"/>
                <w:u w:val="single"/>
                <w:lang w:val="en-US" w:eastAsia="zh-CN" w:bidi="ar-SA"/>
              </w:rPr>
              <w:t>按《关于规范招投标领域工程建设保证金收取有关工作的通知》（粤发改法规函〔2022〕1178号）执行合同约定。</w:t>
            </w:r>
          </w:p>
        </w:tc>
      </w:tr>
      <w:tr w14:paraId="67B64B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11C9E5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373BD7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3AEC52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专业</w:t>
            </w:r>
            <w:r>
              <w:rPr>
                <w:rFonts w:hint="eastAsia" w:ascii="宋体" w:hAnsi="宋体" w:eastAsia="宋体" w:cs="宋体"/>
                <w:color w:val="auto"/>
                <w:szCs w:val="21"/>
                <w:highlight w:val="none"/>
                <w:lang w:eastAsia="zh-CN"/>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2AB0296A">
            <w:pPr>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□不允许；</w:t>
            </w:r>
          </w:p>
          <w:p w14:paraId="39EA7D46">
            <w:pPr>
              <w:spacing w:line="240" w:lineRule="auto"/>
              <w:rPr>
                <w:rFonts w:hint="eastAsia" w:ascii="宋体" w:hAnsi="宋体" w:eastAsia="宋体" w:cs="宋体"/>
                <w:color w:val="auto"/>
                <w:kern w:val="0"/>
                <w:sz w:val="21"/>
                <w:szCs w:val="21"/>
                <w:highlight w:val="none"/>
                <w:u w:val="single"/>
                <w:lang w:val="zh-CN"/>
              </w:rPr>
            </w:pPr>
            <w:r>
              <w:rPr>
                <w:rFonts w:hint="eastAsia" w:ascii="宋体" w:hAnsi="宋体" w:eastAsia="宋体" w:cs="宋体"/>
                <w:color w:val="auto"/>
                <w:kern w:val="0"/>
                <w:sz w:val="21"/>
                <w:szCs w:val="21"/>
                <w:highlight w:val="none"/>
                <w:lang w:val="zh-CN"/>
              </w:rPr>
              <w:t>☑允许：分包内容要求：</w:t>
            </w:r>
            <w:r>
              <w:rPr>
                <w:rFonts w:hint="eastAsia" w:ascii="宋体" w:hAnsi="宋体" w:eastAsia="宋体" w:cs="宋体"/>
                <w:color w:val="auto"/>
                <w:kern w:val="0"/>
                <w:sz w:val="21"/>
                <w:szCs w:val="21"/>
                <w:highlight w:val="none"/>
                <w:u w:val="single"/>
                <w:lang w:val="zh-CN"/>
              </w:rPr>
              <w:t>允许非主体、非关键性工程进行分包,</w:t>
            </w:r>
          </w:p>
          <w:p w14:paraId="2A4E1D5F">
            <w:pPr>
              <w:spacing w:line="240" w:lineRule="auto"/>
              <w:rPr>
                <w:rFonts w:hint="eastAsia" w:ascii="宋体" w:hAnsi="宋体" w:eastAsia="宋体" w:cs="宋体"/>
                <w:color w:val="auto"/>
                <w:kern w:val="0"/>
                <w:sz w:val="21"/>
                <w:szCs w:val="21"/>
                <w:highlight w:val="none"/>
                <w:u w:val="single"/>
                <w:lang w:val="zh-CN"/>
              </w:rPr>
            </w:pPr>
            <w:r>
              <w:rPr>
                <w:rFonts w:hint="eastAsia" w:ascii="宋体" w:hAnsi="宋体" w:eastAsia="宋体" w:cs="宋体"/>
                <w:color w:val="auto"/>
                <w:kern w:val="0"/>
                <w:sz w:val="21"/>
                <w:szCs w:val="21"/>
                <w:highlight w:val="none"/>
                <w:u w:val="single"/>
                <w:lang w:val="zh-CN"/>
              </w:rPr>
              <w:t>经监理工程师及发包人同意后可依法分包。</w:t>
            </w:r>
          </w:p>
          <w:p w14:paraId="18C92170">
            <w:pPr>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分包金额要求：</w:t>
            </w:r>
            <w:r>
              <w:rPr>
                <w:rFonts w:hint="eastAsia" w:ascii="宋体" w:hAnsi="宋体" w:eastAsia="宋体" w:cs="宋体"/>
                <w:color w:val="auto"/>
                <w:kern w:val="0"/>
                <w:sz w:val="21"/>
                <w:szCs w:val="21"/>
                <w:highlight w:val="none"/>
                <w:u w:val="single"/>
                <w:lang w:val="zh-CN"/>
              </w:rPr>
              <w:t>详见施工合同。</w:t>
            </w:r>
          </w:p>
          <w:p w14:paraId="5805C7BF">
            <w:pPr>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对分包人的资质要求：</w:t>
            </w:r>
            <w:r>
              <w:rPr>
                <w:rFonts w:hint="eastAsia" w:ascii="宋体" w:hAnsi="宋体" w:eastAsia="宋体" w:cs="宋体"/>
                <w:color w:val="auto"/>
                <w:kern w:val="0"/>
                <w:sz w:val="21"/>
                <w:szCs w:val="21"/>
                <w:highlight w:val="none"/>
                <w:u w:val="single"/>
                <w:lang w:val="zh-CN"/>
              </w:rPr>
              <w:t>对于非主体、非关键性工程，需经发包人审核批准后依法分包给具有相应资质和能力的专业单位实施（详见施工合同）。</w:t>
            </w:r>
          </w:p>
          <w:p w14:paraId="0304CFAA">
            <w:pPr>
              <w:pStyle w:val="36"/>
              <w:spacing w:after="0" w:line="240" w:lineRule="auto"/>
              <w:ind w:firstLine="0" w:firstLineChars="0"/>
              <w:rPr>
                <w:rFonts w:hint="eastAsia" w:ascii="宋体" w:hAnsi="宋体" w:eastAsia="宋体" w:cs="宋体"/>
                <w:color w:val="auto"/>
                <w:kern w:val="0"/>
                <w:sz w:val="21"/>
                <w:szCs w:val="21"/>
                <w:highlight w:val="none"/>
                <w:u w:val="single"/>
                <w:lang w:val="zh-CN"/>
              </w:rPr>
            </w:pPr>
            <w:r>
              <w:rPr>
                <w:rFonts w:hint="eastAsia" w:ascii="宋体" w:hAnsi="宋体" w:eastAsia="宋体" w:cs="宋体"/>
                <w:color w:val="auto"/>
                <w:kern w:val="0"/>
                <w:sz w:val="21"/>
                <w:szCs w:val="21"/>
                <w:highlight w:val="none"/>
                <w:lang w:val="zh-CN"/>
              </w:rPr>
              <w:t xml:space="preserve">        对分包人的其他要求：</w:t>
            </w:r>
            <w:r>
              <w:rPr>
                <w:rFonts w:hint="eastAsia" w:ascii="宋体" w:hAnsi="宋体" w:eastAsia="宋体" w:cs="宋体"/>
                <w:color w:val="auto"/>
                <w:kern w:val="0"/>
                <w:sz w:val="21"/>
                <w:szCs w:val="21"/>
                <w:highlight w:val="none"/>
                <w:u w:val="single"/>
                <w:lang w:val="zh-CN"/>
              </w:rPr>
              <w:t>详见施工合同约定。</w:t>
            </w:r>
          </w:p>
          <w:p w14:paraId="142C44CC">
            <w:pPr>
              <w:pStyle w:val="36"/>
              <w:spacing w:after="0" w:line="24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b/>
                <w:bCs/>
                <w:color w:val="auto"/>
                <w:sz w:val="21"/>
                <w:szCs w:val="21"/>
                <w:highlight w:val="none"/>
                <w:u w:val="single"/>
                <w:lang w:val="zh-CN" w:eastAsia="zh-CN"/>
              </w:rPr>
              <w:t>注：（</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val="zh-CN" w:eastAsia="zh-CN"/>
              </w:rPr>
              <w:t>）大中型企业向一家或者多家小微企业分包的（分包承诺小微企业的合同份额占到合同总金额30%（含）以上），在采用其原报价进行评分的基础上增加其价格得分的2%作为其价格分（经济分），若原报价已满分，仍可突破满分上限继续享受加分优惠，以实际计算结果作为最终价格分（经济分）。（</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zh-CN" w:eastAsia="zh-CN"/>
              </w:rPr>
              <w:t>）规定享受扶持政策获得</w:t>
            </w:r>
            <w:r>
              <w:rPr>
                <w:rFonts w:hint="eastAsia" w:ascii="宋体" w:hAnsi="宋体" w:eastAsia="宋体" w:cs="宋体"/>
                <w:b/>
                <w:bCs/>
                <w:color w:val="auto"/>
                <w:sz w:val="21"/>
                <w:szCs w:val="21"/>
                <w:highlight w:val="none"/>
                <w:u w:val="single"/>
                <w:lang w:val="en-US" w:eastAsia="zh-CN"/>
              </w:rPr>
              <w:t>承包</w:t>
            </w:r>
            <w:r>
              <w:rPr>
                <w:rFonts w:hint="eastAsia" w:ascii="宋体" w:hAnsi="宋体" w:eastAsia="宋体" w:cs="宋体"/>
                <w:b/>
                <w:bCs/>
                <w:color w:val="auto"/>
                <w:sz w:val="21"/>
                <w:szCs w:val="21"/>
                <w:highlight w:val="none"/>
                <w:u w:val="single"/>
                <w:lang w:val="zh-CN" w:eastAsia="zh-CN"/>
              </w:rPr>
              <w:t>合同的，小微企业不得将合同分包给大中型企业，中型企业不得将合同分包给大型企业。</w:t>
            </w:r>
          </w:p>
        </w:tc>
      </w:tr>
      <w:tr w14:paraId="6FADB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81828F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6489607A">
            <w:pPr>
              <w:jc w:val="center"/>
              <w:rPr>
                <w:rFonts w:hint="eastAsia" w:ascii="宋体" w:hAnsi="宋体" w:eastAsia="宋体" w:cs="宋体"/>
                <w:color w:val="auto"/>
                <w:szCs w:val="21"/>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vAlign w:val="center"/>
          </w:tcPr>
          <w:p w14:paraId="052333A5">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36704D60">
            <w:pPr>
              <w:pStyle w:val="36"/>
              <w:spacing w:after="0"/>
              <w:ind w:firstLine="0" w:firstLineChars="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本项目</w:t>
            </w:r>
            <w:r>
              <w:rPr>
                <w:rFonts w:hint="eastAsia" w:ascii="宋体" w:hAnsi="宋体" w:eastAsia="宋体" w:cs="宋体"/>
                <w:bCs/>
                <w:color w:val="auto"/>
                <w:kern w:val="0"/>
                <w:szCs w:val="21"/>
                <w:highlight w:val="none"/>
              </w:rPr>
              <w:t>最高</w:t>
            </w:r>
            <w:r>
              <w:rPr>
                <w:rFonts w:hint="eastAsia" w:ascii="宋体" w:hAnsi="宋体" w:eastAsia="宋体" w:cs="宋体"/>
                <w:color w:val="auto"/>
                <w:szCs w:val="21"/>
                <w:highlight w:val="none"/>
              </w:rPr>
              <w:t>投标限价为人民币</w:t>
            </w:r>
            <w:r>
              <w:rPr>
                <w:rFonts w:hint="eastAsia" w:ascii="宋体" w:hAnsi="宋体" w:cs="宋体"/>
                <w:color w:val="auto"/>
                <w:szCs w:val="21"/>
                <w:highlight w:val="none"/>
                <w:u w:val="single"/>
                <w:lang w:val="en-US" w:eastAsia="zh-CN"/>
              </w:rPr>
              <w:t xml:space="preserve"> 20359340.85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u w:val="single"/>
                <w:lang w:eastAsia="zh-CN"/>
              </w:rPr>
              <w:t>详见招标人最终发出的《最高投标限价公布函》，投标总报价超过最高投标限价的投标文件将被拒绝。</w:t>
            </w:r>
          </w:p>
        </w:tc>
      </w:tr>
      <w:tr w14:paraId="73FD1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DF4FD99">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7CAB7883">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113DE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4513739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本项目绿色施工安全防护措施费为</w:t>
            </w:r>
            <w:r>
              <w:rPr>
                <w:rFonts w:hint="eastAsia" w:ascii="宋体" w:hAnsi="宋体" w:cs="宋体"/>
                <w:color w:val="auto"/>
                <w:szCs w:val="21"/>
                <w:highlight w:val="none"/>
                <w:u w:val="single"/>
                <w:lang w:val="en-US" w:eastAsia="zh-CN"/>
              </w:rPr>
              <w:t xml:space="preserve"> 685419.23 </w:t>
            </w:r>
            <w:r>
              <w:rPr>
                <w:rFonts w:hint="eastAsia" w:ascii="宋体" w:hAnsi="宋体" w:eastAsia="宋体" w:cs="宋体"/>
                <w:color w:val="auto"/>
                <w:szCs w:val="21"/>
                <w:highlight w:val="none"/>
              </w:rPr>
              <w:t>元（扬尘污染防治费用、使用封闭式外脚手架金属防护网费用和绿色施工围蔽费用等纳入绿色施工安全防护措施费），暂列金额为</w:t>
            </w:r>
            <w:r>
              <w:rPr>
                <w:rFonts w:hint="eastAsia" w:ascii="宋体" w:hAnsi="宋体" w:cs="宋体"/>
                <w:color w:val="auto"/>
                <w:szCs w:val="21"/>
                <w:highlight w:val="none"/>
                <w:u w:val="single"/>
                <w:lang w:val="en-US" w:eastAsia="zh-CN"/>
              </w:rPr>
              <w:t xml:space="preserve"> 1241671.81 </w:t>
            </w:r>
            <w:r>
              <w:rPr>
                <w:rFonts w:hint="eastAsia" w:ascii="宋体" w:hAnsi="宋体" w:eastAsia="宋体" w:cs="宋体"/>
                <w:color w:val="auto"/>
                <w:szCs w:val="21"/>
                <w:highlight w:val="none"/>
              </w:rPr>
              <w:t>元，暂估价为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元。（未按招标文件规定的金额填写的，由评标委员会按照招</w:t>
            </w:r>
            <w:bookmarkStart w:id="116" w:name="_GoBack"/>
            <w:bookmarkEnd w:id="116"/>
            <w:r>
              <w:rPr>
                <w:rFonts w:hint="eastAsia" w:ascii="宋体" w:hAnsi="宋体" w:eastAsia="宋体" w:cs="宋体"/>
                <w:color w:val="auto"/>
                <w:szCs w:val="21"/>
                <w:highlight w:val="none"/>
              </w:rPr>
              <w:t>标文件规定的金额进行修正）</w:t>
            </w:r>
          </w:p>
        </w:tc>
      </w:tr>
      <w:tr w14:paraId="1F558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C08CAB7">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67013035">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AFBF234">
            <w:pPr>
              <w:pStyle w:val="36"/>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3D1ED7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按照《建设工程质量管理条例》和《工程质量保修书》规定。</w:t>
            </w:r>
          </w:p>
        </w:tc>
      </w:tr>
      <w:tr w14:paraId="7C731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91B2C90">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00B219B8">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FE704D2">
            <w:pPr>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0C42DB31">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计算评标参考价的等分点值X</w:t>
            </w:r>
            <w:r>
              <w:rPr>
                <w:rFonts w:hint="eastAsia" w:ascii="宋体" w:hAnsi="宋体" w:eastAsia="宋体" w:cs="宋体"/>
                <w:strike/>
                <w:color w:val="auto"/>
                <w:szCs w:val="21"/>
                <w:highlight w:val="none"/>
                <w:u w:val="single"/>
              </w:rPr>
              <w:t>采用广州交易集团有限公司（广州公共资源交易中心）交易平台在线系统</w:t>
            </w:r>
            <w:r>
              <w:rPr>
                <w:rFonts w:hint="eastAsia" w:ascii="宋体" w:hAnsi="宋体" w:eastAsia="宋体" w:cs="宋体"/>
                <w:strike/>
                <w:color w:val="auto"/>
                <w:szCs w:val="21"/>
                <w:highlight w:val="none"/>
              </w:rPr>
              <w:t>在开标</w:t>
            </w:r>
            <w:r>
              <w:rPr>
                <w:rFonts w:hint="eastAsia" w:ascii="宋体" w:hAnsi="宋体" w:eastAsia="宋体" w:cs="宋体"/>
                <w:strike/>
                <w:color w:val="auto"/>
                <w:szCs w:val="21"/>
                <w:highlight w:val="none"/>
                <w:lang w:eastAsia="zh-CN"/>
              </w:rPr>
              <w:t>时</w:t>
            </w:r>
            <w:r>
              <w:rPr>
                <w:rFonts w:hint="eastAsia" w:ascii="宋体" w:hAnsi="宋体" w:eastAsia="宋体" w:cs="宋体"/>
                <w:strike/>
                <w:color w:val="auto"/>
                <w:szCs w:val="21"/>
                <w:highlight w:val="none"/>
              </w:rPr>
              <w:t>从[0,100] 的整数中随机抽取。</w:t>
            </w:r>
          </w:p>
        </w:tc>
      </w:tr>
      <w:tr w14:paraId="565FC3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7C6BB10">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42A954F8">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35EF10D">
            <w:pPr>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1E4238EA">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fldChar w:fldCharType="begin"/>
            </w:r>
            <w:r>
              <w:rPr>
                <w:rFonts w:hint="eastAsia" w:ascii="宋体" w:hAnsi="宋体" w:eastAsia="宋体" w:cs="宋体"/>
                <w:strike/>
                <w:color w:val="auto"/>
                <w:szCs w:val="21"/>
                <w:highlight w:val="none"/>
              </w:rPr>
              <w:instrText xml:space="preserve"> = 1 \* GB3 </w:instrText>
            </w:r>
            <w:r>
              <w:rPr>
                <w:rFonts w:hint="eastAsia" w:ascii="宋体" w:hAnsi="宋体" w:eastAsia="宋体" w:cs="宋体"/>
                <w:strike/>
                <w:color w:val="auto"/>
                <w:szCs w:val="21"/>
                <w:highlight w:val="none"/>
              </w:rPr>
              <w:fldChar w:fldCharType="separate"/>
            </w:r>
            <w:r>
              <w:rPr>
                <w:rFonts w:hint="eastAsia" w:ascii="宋体" w:hAnsi="宋体" w:eastAsia="宋体" w:cs="宋体"/>
                <w:strike/>
                <w:color w:val="auto"/>
                <w:szCs w:val="21"/>
                <w:highlight w:val="none"/>
              </w:rPr>
              <w:t>①</w:t>
            </w:r>
            <w:r>
              <w:rPr>
                <w:rFonts w:hint="eastAsia" w:ascii="宋体" w:hAnsi="宋体" w:eastAsia="宋体" w:cs="宋体"/>
                <w:strike/>
                <w:color w:val="auto"/>
                <w:szCs w:val="21"/>
                <w:highlight w:val="none"/>
              </w:rPr>
              <w:fldChar w:fldCharType="end"/>
            </w:r>
            <w:r>
              <w:rPr>
                <w:rFonts w:hint="eastAsia" w:ascii="宋体" w:hAnsi="宋体" w:eastAsia="宋体" w:cs="宋体"/>
                <w:strike/>
                <w:color w:val="auto"/>
                <w:szCs w:val="21"/>
                <w:highlight w:val="none"/>
              </w:rPr>
              <w:t>通过技术有效性审查的投标人均进入第二阶段（适用于通过技术有效性审查家数在[3,</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]中的）。</w:t>
            </w:r>
          </w:p>
          <w:p w14:paraId="669272C4">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fldChar w:fldCharType="begin"/>
            </w:r>
            <w:r>
              <w:rPr>
                <w:rFonts w:hint="eastAsia" w:ascii="宋体" w:hAnsi="宋体" w:eastAsia="宋体" w:cs="宋体"/>
                <w:strike/>
                <w:color w:val="auto"/>
                <w:szCs w:val="21"/>
                <w:highlight w:val="none"/>
              </w:rPr>
              <w:instrText xml:space="preserve"> = 2 \* GB3 </w:instrText>
            </w:r>
            <w:r>
              <w:rPr>
                <w:rFonts w:hint="eastAsia" w:ascii="宋体" w:hAnsi="宋体" w:eastAsia="宋体" w:cs="宋体"/>
                <w:strike/>
                <w:color w:val="auto"/>
                <w:szCs w:val="21"/>
                <w:highlight w:val="none"/>
              </w:rPr>
              <w:fldChar w:fldCharType="separate"/>
            </w:r>
            <w:r>
              <w:rPr>
                <w:rFonts w:hint="eastAsia" w:ascii="宋体" w:hAnsi="宋体" w:eastAsia="宋体" w:cs="宋体"/>
                <w:strike/>
                <w:color w:val="auto"/>
                <w:szCs w:val="21"/>
                <w:highlight w:val="none"/>
              </w:rPr>
              <w:t>②</w:t>
            </w:r>
            <w:r>
              <w:rPr>
                <w:rFonts w:hint="eastAsia" w:ascii="宋体" w:hAnsi="宋体" w:eastAsia="宋体" w:cs="宋体"/>
                <w:strike/>
                <w:color w:val="auto"/>
                <w:szCs w:val="21"/>
                <w:highlight w:val="none"/>
              </w:rPr>
              <w:fldChar w:fldCharType="end"/>
            </w:r>
            <w:r>
              <w:rPr>
                <w:rFonts w:hint="eastAsia" w:ascii="宋体" w:hAnsi="宋体" w:eastAsia="宋体" w:cs="宋体"/>
                <w:strike/>
                <w:color w:val="auto"/>
                <w:szCs w:val="21"/>
                <w:highlight w:val="none"/>
              </w:rPr>
              <w:t>将第一阶段得分由高至低排序，前</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名投标人进入第二阶段评审（适用于通过技术有效性审查家数大于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家的，招标人可根据工程具体情况，确定不少于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家进入第二阶段）。</w:t>
            </w:r>
          </w:p>
        </w:tc>
      </w:tr>
      <w:tr w14:paraId="345FF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5A68B7B">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4579B370">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34F2DE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工程成本警戒价</w:t>
            </w:r>
          </w:p>
        </w:tc>
        <w:tc>
          <w:tcPr>
            <w:tcW w:w="5934" w:type="dxa"/>
            <w:tcBorders>
              <w:top w:val="single" w:color="auto" w:sz="4" w:space="0"/>
              <w:left w:val="single" w:color="auto" w:sz="4" w:space="0"/>
              <w:bottom w:val="single" w:color="auto" w:sz="4" w:space="0"/>
              <w:right w:val="double" w:color="auto" w:sz="4" w:space="0"/>
            </w:tcBorders>
            <w:vAlign w:val="center"/>
          </w:tcPr>
          <w:p w14:paraId="1AE24A63">
            <w:pPr>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工程成本警戒价</w:t>
            </w:r>
            <w:r>
              <w:rPr>
                <w:rFonts w:hint="eastAsia" w:ascii="宋体" w:hAnsi="宋体" w:eastAsia="宋体" w:cs="宋体"/>
                <w:color w:val="auto"/>
                <w:szCs w:val="21"/>
                <w:highlight w:val="none"/>
              </w:rPr>
              <w:t>为</w:t>
            </w:r>
            <w:r>
              <w:rPr>
                <w:rFonts w:hint="eastAsia" w:ascii="宋体" w:hAnsi="宋体" w:cs="宋体"/>
                <w:color w:val="auto"/>
                <w:szCs w:val="21"/>
                <w:highlight w:val="none"/>
                <w:u w:val="single"/>
                <w:lang w:val="en-US" w:eastAsia="zh-CN"/>
              </w:rPr>
              <w:t xml:space="preserve"> 17305439.72 </w:t>
            </w:r>
            <w:r>
              <w:rPr>
                <w:rFonts w:hint="eastAsia" w:ascii="宋体" w:hAnsi="宋体" w:eastAsia="宋体" w:cs="宋体"/>
                <w:color w:val="auto"/>
                <w:szCs w:val="21"/>
                <w:highlight w:val="none"/>
              </w:rPr>
              <w:t>元。对低于该</w:t>
            </w:r>
            <w:r>
              <w:rPr>
                <w:rFonts w:hint="eastAsia" w:ascii="宋体" w:hAnsi="宋体" w:cs="宋体"/>
                <w:color w:val="auto"/>
                <w:szCs w:val="21"/>
                <w:highlight w:val="none"/>
                <w:lang w:eastAsia="zh-CN"/>
              </w:rPr>
              <w:t>警戒价</w:t>
            </w:r>
            <w:r>
              <w:rPr>
                <w:rFonts w:hint="eastAsia" w:ascii="宋体" w:hAnsi="宋体" w:eastAsia="宋体" w:cs="宋体"/>
                <w:color w:val="auto"/>
                <w:szCs w:val="21"/>
                <w:highlight w:val="none"/>
              </w:rPr>
              <w:t>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w:t>
            </w:r>
            <w:r>
              <w:rPr>
                <w:rFonts w:hint="eastAsia" w:ascii="宋体" w:hAnsi="宋体" w:cs="宋体"/>
                <w:color w:val="auto"/>
                <w:szCs w:val="21"/>
                <w:highlight w:val="none"/>
                <w:lang w:eastAsia="zh-CN"/>
              </w:rPr>
              <w:t>警戒价</w:t>
            </w:r>
            <w:r>
              <w:rPr>
                <w:rFonts w:hint="eastAsia" w:ascii="宋体" w:hAnsi="宋体" w:eastAsia="宋体" w:cs="宋体"/>
                <w:color w:val="auto"/>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5EFB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40BC6F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586787A9">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C10649C">
            <w:pPr>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09EF5BA9">
            <w:pPr>
              <w:rPr>
                <w:rFonts w:hint="eastAsia" w:ascii="宋体" w:hAnsi="宋体" w:eastAsia="宋体" w:cs="宋体"/>
                <w:strike/>
                <w:color w:val="auto"/>
                <w:szCs w:val="21"/>
                <w:highlight w:val="none"/>
              </w:rPr>
            </w:pPr>
            <w:r>
              <w:rPr>
                <w:rFonts w:hint="eastAsia" w:ascii="宋体" w:hAnsi="宋体"/>
                <w:strike/>
                <w:color w:val="auto"/>
                <w:szCs w:val="21"/>
                <w:highlight w:val="none"/>
              </w:rPr>
              <w:t>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r>
              <w:rPr>
                <w:rFonts w:hint="eastAsia" w:ascii="宋体" w:hAnsi="宋体"/>
                <w:strike/>
                <w:color w:val="auto"/>
                <w:szCs w:val="21"/>
                <w:highlight w:val="none"/>
                <w:lang w:eastAsia="zh-CN"/>
              </w:rPr>
              <w:t>信用评价</w:t>
            </w:r>
            <w:r>
              <w:rPr>
                <w:rFonts w:hint="eastAsia" w:ascii="宋体" w:hAnsi="宋体"/>
                <w:strike/>
                <w:color w:val="auto"/>
                <w:szCs w:val="21"/>
                <w:highlight w:val="none"/>
              </w:rPr>
              <w:t>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tc>
      </w:tr>
      <w:tr w14:paraId="04B14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02" w:type="dxa"/>
            <w:vMerge w:val="restart"/>
            <w:tcBorders>
              <w:top w:val="single" w:color="auto" w:sz="4" w:space="0"/>
              <w:left w:val="double" w:color="auto" w:sz="4" w:space="0"/>
              <w:right w:val="single" w:color="auto" w:sz="4" w:space="0"/>
            </w:tcBorders>
            <w:vAlign w:val="center"/>
          </w:tcPr>
          <w:p w14:paraId="4188F20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981" w:type="dxa"/>
            <w:vMerge w:val="restart"/>
            <w:tcBorders>
              <w:top w:val="single" w:color="auto" w:sz="4" w:space="0"/>
              <w:left w:val="single" w:color="auto" w:sz="4" w:space="0"/>
              <w:right w:val="single" w:color="auto" w:sz="4" w:space="0"/>
            </w:tcBorders>
            <w:vAlign w:val="center"/>
          </w:tcPr>
          <w:p w14:paraId="0BDC6558">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0FEF22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596A9362">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p w14:paraId="2791471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若评标时已发布新规定的，按新规执行。</w:t>
            </w:r>
          </w:p>
        </w:tc>
      </w:tr>
      <w:tr w14:paraId="20C23E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vMerge w:val="continue"/>
            <w:tcBorders>
              <w:left w:val="double" w:color="auto" w:sz="4" w:space="0"/>
              <w:right w:val="single" w:color="auto" w:sz="4" w:space="0"/>
            </w:tcBorders>
            <w:vAlign w:val="center"/>
          </w:tcPr>
          <w:p w14:paraId="1F46D609">
            <w:pPr>
              <w:jc w:val="center"/>
              <w:rPr>
                <w:rFonts w:hint="eastAsia" w:ascii="宋体" w:hAnsi="宋体" w:eastAsia="宋体" w:cs="宋体"/>
                <w:color w:val="auto"/>
                <w:szCs w:val="21"/>
                <w:highlight w:val="none"/>
                <w:lang w:val="en-US" w:eastAsia="zh-CN"/>
              </w:rPr>
            </w:pPr>
          </w:p>
        </w:tc>
        <w:tc>
          <w:tcPr>
            <w:tcW w:w="981" w:type="dxa"/>
            <w:vMerge w:val="continue"/>
            <w:tcBorders>
              <w:left w:val="single" w:color="auto" w:sz="4" w:space="0"/>
              <w:right w:val="single" w:color="auto" w:sz="4" w:space="0"/>
            </w:tcBorders>
            <w:vAlign w:val="center"/>
          </w:tcPr>
          <w:p w14:paraId="5856DC3E">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9BAC8A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rPr>
              <w:t>定标委员会人数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5CCBA7A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rPr>
              <w:t>定标委员会由招标人依法组建，成员数量为5人。</w:t>
            </w:r>
          </w:p>
        </w:tc>
      </w:tr>
      <w:tr w14:paraId="7C5EAD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vMerge w:val="continue"/>
            <w:tcBorders>
              <w:left w:val="double" w:color="auto" w:sz="4" w:space="0"/>
              <w:bottom w:val="single" w:color="auto" w:sz="4" w:space="0"/>
              <w:right w:val="single" w:color="auto" w:sz="4" w:space="0"/>
            </w:tcBorders>
            <w:vAlign w:val="center"/>
          </w:tcPr>
          <w:p w14:paraId="4DBC658B">
            <w:pPr>
              <w:jc w:val="center"/>
              <w:rPr>
                <w:rFonts w:hint="eastAsia" w:ascii="宋体" w:hAnsi="宋体" w:eastAsia="宋体" w:cs="宋体"/>
                <w:color w:val="auto"/>
                <w:szCs w:val="21"/>
                <w:highlight w:val="none"/>
                <w:lang w:val="en-US" w:eastAsia="zh-CN"/>
              </w:rPr>
            </w:pPr>
          </w:p>
        </w:tc>
        <w:tc>
          <w:tcPr>
            <w:tcW w:w="981" w:type="dxa"/>
            <w:vMerge w:val="continue"/>
            <w:tcBorders>
              <w:left w:val="single" w:color="auto" w:sz="4" w:space="0"/>
              <w:bottom w:val="single" w:color="auto" w:sz="4" w:space="0"/>
              <w:right w:val="single" w:color="auto" w:sz="4" w:space="0"/>
            </w:tcBorders>
            <w:vAlign w:val="center"/>
          </w:tcPr>
          <w:p w14:paraId="3AB4E3B6">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C5CF73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rPr>
              <w:t>监督小组人数</w:t>
            </w:r>
          </w:p>
        </w:tc>
        <w:tc>
          <w:tcPr>
            <w:tcW w:w="5934" w:type="dxa"/>
            <w:tcBorders>
              <w:top w:val="single" w:color="auto" w:sz="4" w:space="0"/>
              <w:left w:val="single" w:color="auto" w:sz="4" w:space="0"/>
              <w:bottom w:val="single" w:color="auto" w:sz="4" w:space="0"/>
              <w:right w:val="double" w:color="auto" w:sz="4" w:space="0"/>
            </w:tcBorders>
            <w:vAlign w:val="center"/>
          </w:tcPr>
          <w:p w14:paraId="29042B7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rPr>
              <w:t>定标监督小组</w:t>
            </w:r>
            <w:r>
              <w:rPr>
                <w:rFonts w:hint="eastAsia" w:ascii="宋体" w:hAnsi="宋体" w:cs="宋体"/>
                <w:color w:val="auto"/>
                <w:szCs w:val="21"/>
                <w:highlight w:val="none"/>
                <w:u w:val="single"/>
                <w:lang w:eastAsia="zh-CN"/>
              </w:rPr>
              <w:t>由招标人组建，人数为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人。</w:t>
            </w:r>
          </w:p>
        </w:tc>
      </w:tr>
      <w:tr w14:paraId="4FFC4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FC94D48">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0577AFAD">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86F6461">
            <w:pPr>
              <w:jc w:val="cente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u w:val="single"/>
              </w:rPr>
              <w:t>企业</w:t>
            </w:r>
            <w:r>
              <w:rPr>
                <w:rFonts w:hint="eastAsia" w:ascii="宋体" w:hAnsi="宋体" w:eastAsia="宋体" w:cs="宋体"/>
                <w:strike w:val="0"/>
                <w:color w:val="auto"/>
                <w:szCs w:val="21"/>
                <w:highlight w:val="none"/>
                <w:u w:val="single"/>
                <w:lang w:eastAsia="zh-CN"/>
              </w:rPr>
              <w:t>信用评价</w:t>
            </w:r>
            <w:r>
              <w:rPr>
                <w:rFonts w:hint="eastAsia" w:ascii="宋体" w:hAnsi="宋体" w:eastAsia="宋体" w:cs="宋体"/>
                <w:strike w:val="0"/>
                <w:color w:val="auto"/>
                <w:szCs w:val="21"/>
                <w:highlight w:val="none"/>
                <w:u w:val="single"/>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6AFF3C16">
            <w:pPr>
              <w:pStyle w:val="8"/>
              <w:spacing w:line="240" w:lineRule="auto"/>
              <w:ind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w:t>
            </w:r>
            <w:r>
              <w:rPr>
                <w:rFonts w:hint="eastAsia" w:ascii="宋体" w:hAnsi="宋体" w:eastAsia="宋体" w:cs="宋体"/>
                <w:color w:val="auto"/>
                <w:sz w:val="21"/>
                <w:szCs w:val="21"/>
                <w:highlight w:val="none"/>
              </w:rPr>
              <w:t>企业信用评价</w:t>
            </w:r>
            <w:r>
              <w:rPr>
                <w:rFonts w:hint="eastAsia" w:ascii="宋体" w:hAnsi="宋体" w:eastAsia="宋体" w:cs="宋体"/>
                <w:color w:val="auto"/>
                <w:sz w:val="21"/>
                <w:szCs w:val="21"/>
                <w:highlight w:val="none"/>
                <w:lang w:val="en-US" w:eastAsia="zh-CN"/>
              </w:rPr>
              <w:t>得分，以“广州交易集团有限公司门户网站-信用信息-广州公共资源交易信用平台3.0-城市道路-施工”开标当天查询的信用分为准，如为联合体投标，只计算主办方信用分。</w:t>
            </w:r>
          </w:p>
          <w:p w14:paraId="079B80E1">
            <w:pPr>
              <w:pStyle w:val="8"/>
              <w:spacing w:line="240" w:lineRule="auto"/>
              <w:ind w:firstLine="0" w:firstLineChars="0"/>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注：如未获广州公共资源交易信用平台3.0城市道路-施工信用分的,则该投标人信用分为开标当天城市道路-施工信用基准分，信用基准分以广州公共资源交易信用信息评分相关规定为准。</w:t>
            </w:r>
          </w:p>
        </w:tc>
      </w:tr>
      <w:tr w14:paraId="36E003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A7EFD9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6A150FD3">
            <w:pPr>
              <w:ind w:firstLine="458"/>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7D39F94">
            <w:pPr>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030C4EA8">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35420FB7">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方法一：将进入第二阶段投标人的投标报价由低至高进行排序。报价相同的投标文件，以技术分较高的排前；报价与技术得分均相同的投标文件，以</w:t>
            </w:r>
            <w:r>
              <w:rPr>
                <w:rFonts w:hint="eastAsia" w:ascii="宋体" w:hAnsi="宋体" w:eastAsia="宋体" w:cs="宋体"/>
                <w:strike/>
                <w:color w:val="auto"/>
                <w:szCs w:val="21"/>
                <w:highlight w:val="none"/>
                <w:lang w:eastAsia="zh-CN"/>
              </w:rPr>
              <w:t>信用评价</w:t>
            </w:r>
            <w:r>
              <w:rPr>
                <w:rFonts w:hint="eastAsia" w:ascii="宋体" w:hAnsi="宋体" w:eastAsia="宋体" w:cs="宋体"/>
                <w:strike/>
                <w:color w:val="auto"/>
                <w:szCs w:val="21"/>
                <w:highlight w:val="none"/>
              </w:rPr>
              <w:t>分数高的排前；如仍存在相同情况，则对具有相同情况的投标人，由评标委员会采用</w:t>
            </w:r>
            <w:r>
              <w:rPr>
                <w:rFonts w:hint="eastAsia" w:ascii="宋体" w:hAnsi="宋体" w:eastAsia="宋体" w:cs="宋体"/>
                <w:strike/>
                <w:color w:val="auto"/>
                <w:szCs w:val="21"/>
                <w:highlight w:val="none"/>
                <w:lang w:eastAsia="zh-CN"/>
              </w:rPr>
              <w:t>记名投票</w:t>
            </w:r>
            <w:r>
              <w:rPr>
                <w:rFonts w:hint="eastAsia" w:ascii="宋体" w:hAnsi="宋体" w:eastAsia="宋体" w:cs="宋体"/>
                <w:strike/>
                <w:color w:val="auto"/>
                <w:szCs w:val="21"/>
                <w:highlight w:val="none"/>
              </w:rPr>
              <w:t xml:space="preserve">方式，确定投标人的排序。 </w:t>
            </w:r>
          </w:p>
          <w:p w14:paraId="512C7F26">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方法二：将进入第二阶段投标人的投标报价按大于或小于等于</w:t>
            </w:r>
            <w:r>
              <w:rPr>
                <w:rFonts w:hint="eastAsia" w:ascii="宋体" w:hAnsi="宋体" w:cs="宋体"/>
                <w:strike/>
                <w:color w:val="auto"/>
                <w:szCs w:val="21"/>
                <w:highlight w:val="none"/>
                <w:lang w:eastAsia="zh-CN"/>
              </w:rPr>
              <w:t>工程成本警戒价</w:t>
            </w:r>
            <w:r>
              <w:rPr>
                <w:rFonts w:hint="eastAsia" w:ascii="宋体" w:hAnsi="宋体" w:eastAsia="宋体" w:cs="宋体"/>
                <w:strike/>
                <w:color w:val="auto"/>
                <w:szCs w:val="21"/>
                <w:highlight w:val="none"/>
              </w:rPr>
              <w:t>的标准分为2组。首先，对于小于或等于</w:t>
            </w:r>
            <w:r>
              <w:rPr>
                <w:rFonts w:hint="eastAsia" w:ascii="宋体" w:hAnsi="宋体" w:cs="宋体"/>
                <w:strike/>
                <w:color w:val="auto"/>
                <w:szCs w:val="21"/>
                <w:highlight w:val="none"/>
                <w:lang w:eastAsia="zh-CN"/>
              </w:rPr>
              <w:t>工程成本警戒价</w:t>
            </w:r>
            <w:r>
              <w:rPr>
                <w:rFonts w:hint="eastAsia" w:ascii="宋体" w:hAnsi="宋体" w:eastAsia="宋体" w:cs="宋体"/>
                <w:strike/>
                <w:color w:val="auto"/>
                <w:szCs w:val="21"/>
                <w:highlight w:val="none"/>
              </w:rPr>
              <w:t>的，评标委员会从序号1开始随机确定投标人的排序，若仅有1名投标报价小于等于</w:t>
            </w:r>
            <w:r>
              <w:rPr>
                <w:rFonts w:hint="eastAsia" w:ascii="宋体" w:hAnsi="宋体" w:cs="宋体"/>
                <w:strike/>
                <w:color w:val="auto"/>
                <w:szCs w:val="21"/>
                <w:highlight w:val="none"/>
                <w:lang w:eastAsia="zh-CN"/>
              </w:rPr>
              <w:t>工程成本警戒价</w:t>
            </w:r>
            <w:r>
              <w:rPr>
                <w:rFonts w:hint="eastAsia" w:ascii="宋体" w:hAnsi="宋体" w:eastAsia="宋体" w:cs="宋体"/>
                <w:strike/>
                <w:color w:val="auto"/>
                <w:szCs w:val="21"/>
                <w:highlight w:val="none"/>
              </w:rPr>
              <w:t>的，该投标人为第1名；其次，对于大于</w:t>
            </w:r>
            <w:r>
              <w:rPr>
                <w:rFonts w:hint="eastAsia" w:ascii="宋体" w:hAnsi="宋体" w:cs="宋体"/>
                <w:strike/>
                <w:color w:val="auto"/>
                <w:szCs w:val="21"/>
                <w:highlight w:val="none"/>
                <w:lang w:eastAsia="zh-CN"/>
              </w:rPr>
              <w:t>工程成本警戒价</w:t>
            </w:r>
            <w:r>
              <w:rPr>
                <w:rFonts w:hint="eastAsia" w:ascii="宋体" w:hAnsi="宋体" w:eastAsia="宋体" w:cs="宋体"/>
                <w:strike/>
                <w:color w:val="auto"/>
                <w:szCs w:val="21"/>
                <w:highlight w:val="none"/>
              </w:rPr>
              <w:t>的投标报价由低至高进行排序，序号接上一组。</w:t>
            </w:r>
          </w:p>
          <w:p w14:paraId="54B43EF5">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方法三： （由招标人自行确定） </w:t>
            </w:r>
          </w:p>
        </w:tc>
      </w:tr>
      <w:tr w14:paraId="0256C2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0F5B9A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32B2590D">
            <w:pPr>
              <w:ind w:firstLine="458"/>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3F5B2F2">
            <w:pPr>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70A2CFAB">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4E791A04">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w:t>
            </w:r>
            <w:r>
              <w:rPr>
                <w:rFonts w:hint="eastAsia" w:ascii="宋体" w:hAnsi="宋体" w:eastAsia="宋体" w:cs="宋体"/>
                <w:strike/>
                <w:color w:val="auto"/>
                <w:szCs w:val="21"/>
                <w:highlight w:val="none"/>
                <w:lang w:eastAsia="zh-CN"/>
              </w:rPr>
              <w:t>企业信用评价得</w:t>
            </w:r>
            <w:r>
              <w:rPr>
                <w:rFonts w:hint="eastAsia" w:ascii="宋体" w:hAnsi="宋体" w:eastAsia="宋体" w:cs="宋体"/>
                <w:strike/>
                <w:color w:val="auto"/>
                <w:szCs w:val="21"/>
                <w:highlight w:val="none"/>
              </w:rPr>
              <w:t>分高的排前</w:t>
            </w:r>
            <w:r>
              <w:rPr>
                <w:rFonts w:hint="eastAsia" w:ascii="宋体" w:hAnsi="宋体" w:eastAsia="宋体" w:cs="宋体"/>
                <w:strike/>
                <w:color w:val="auto"/>
                <w:szCs w:val="21"/>
                <w:highlight w:val="none"/>
                <w:lang w:eastAsia="zh-CN"/>
              </w:rPr>
              <w:t>（如设置了企业信用评价得分项）</w:t>
            </w:r>
            <w:r>
              <w:rPr>
                <w:rFonts w:hint="eastAsia" w:ascii="宋体" w:hAnsi="宋体" w:eastAsia="宋体" w:cs="宋体"/>
                <w:strike/>
                <w:color w:val="auto"/>
                <w:szCs w:val="21"/>
                <w:highlight w:val="none"/>
              </w:rPr>
              <w:t>；如仍存在相同情况，则对具有相同情况的投标人，由评标委员会采用</w:t>
            </w:r>
            <w:r>
              <w:rPr>
                <w:rFonts w:hint="eastAsia" w:ascii="宋体" w:hAnsi="宋体" w:eastAsia="宋体" w:cs="宋体"/>
                <w:strike/>
                <w:color w:val="auto"/>
                <w:szCs w:val="21"/>
                <w:highlight w:val="none"/>
                <w:lang w:eastAsia="zh-CN"/>
              </w:rPr>
              <w:t>记名投票</w:t>
            </w:r>
            <w:r>
              <w:rPr>
                <w:rFonts w:hint="eastAsia" w:ascii="宋体" w:hAnsi="宋体" w:eastAsia="宋体" w:cs="宋体"/>
                <w:strike/>
                <w:color w:val="auto"/>
                <w:szCs w:val="21"/>
                <w:highlight w:val="none"/>
              </w:rPr>
              <w:t>方式，确定投标人的排序。</w:t>
            </w:r>
          </w:p>
          <w:p w14:paraId="34E5C4A1">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方法二：经济分相同的投标文件，由评标委员会采用</w:t>
            </w:r>
            <w:r>
              <w:rPr>
                <w:rFonts w:hint="eastAsia" w:ascii="宋体" w:hAnsi="宋体" w:eastAsia="宋体" w:cs="宋体"/>
                <w:strike/>
                <w:color w:val="auto"/>
                <w:szCs w:val="21"/>
                <w:highlight w:val="none"/>
                <w:lang w:eastAsia="zh-CN"/>
              </w:rPr>
              <w:t>投票</w:t>
            </w:r>
            <w:r>
              <w:rPr>
                <w:rFonts w:hint="eastAsia" w:ascii="宋体" w:hAnsi="宋体" w:eastAsia="宋体" w:cs="宋体"/>
                <w:strike/>
                <w:color w:val="auto"/>
                <w:szCs w:val="21"/>
                <w:highlight w:val="none"/>
              </w:rPr>
              <w:t>方式，确定投标人的排序。</w:t>
            </w:r>
          </w:p>
          <w:p w14:paraId="070F3E02">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方法三：  （由招标人自行确定） </w:t>
            </w:r>
          </w:p>
        </w:tc>
      </w:tr>
      <w:tr w14:paraId="18396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9105B8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53570D5C">
            <w:pPr>
              <w:ind w:firstLine="458"/>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17A0BE6">
            <w:pPr>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5EDB03F5">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1B24FE59">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方法一：评标委员会按照“总分=</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较高的排前；总得分、报价与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均相同的投标文件，以</w:t>
            </w:r>
            <w:r>
              <w:rPr>
                <w:rFonts w:hint="eastAsia" w:ascii="宋体" w:hAnsi="宋体" w:eastAsia="宋体" w:cs="宋体"/>
                <w:strike/>
                <w:color w:val="auto"/>
                <w:szCs w:val="21"/>
                <w:highlight w:val="none"/>
                <w:lang w:eastAsia="zh-CN"/>
              </w:rPr>
              <w:t>企业信用评价得分</w:t>
            </w:r>
            <w:r>
              <w:rPr>
                <w:rFonts w:hint="eastAsia" w:ascii="宋体" w:hAnsi="宋体" w:eastAsia="宋体" w:cs="宋体"/>
                <w:strike/>
                <w:color w:val="auto"/>
                <w:szCs w:val="21"/>
                <w:highlight w:val="none"/>
              </w:rPr>
              <w:t>高的排前</w:t>
            </w:r>
            <w:r>
              <w:rPr>
                <w:rFonts w:hint="eastAsia" w:ascii="宋体" w:hAnsi="宋体" w:eastAsia="宋体" w:cs="宋体"/>
                <w:strike/>
                <w:color w:val="auto"/>
                <w:szCs w:val="21"/>
                <w:highlight w:val="none"/>
                <w:lang w:eastAsia="zh-CN"/>
              </w:rPr>
              <w:t>（如设置了企业信用评价得分项）</w:t>
            </w:r>
            <w:r>
              <w:rPr>
                <w:rFonts w:hint="eastAsia" w:ascii="宋体" w:hAnsi="宋体" w:eastAsia="宋体" w:cs="宋体"/>
                <w:strike/>
                <w:color w:val="auto"/>
                <w:szCs w:val="21"/>
                <w:highlight w:val="none"/>
              </w:rPr>
              <w:t>；如仍存在相同情况，则对具有相同情况的投标人，由评标委员会采用</w:t>
            </w:r>
            <w:r>
              <w:rPr>
                <w:rFonts w:hint="eastAsia" w:ascii="宋体" w:hAnsi="宋体" w:eastAsia="宋体" w:cs="宋体"/>
                <w:strike/>
                <w:color w:val="auto"/>
                <w:szCs w:val="21"/>
                <w:highlight w:val="none"/>
                <w:lang w:eastAsia="zh-CN"/>
              </w:rPr>
              <w:t>投票</w:t>
            </w:r>
            <w:r>
              <w:rPr>
                <w:rFonts w:hint="eastAsia" w:ascii="宋体" w:hAnsi="宋体" w:eastAsia="宋体" w:cs="宋体"/>
                <w:strike/>
                <w:color w:val="auto"/>
                <w:szCs w:val="21"/>
                <w:highlight w:val="none"/>
              </w:rPr>
              <w:t>方式，确定投标人的排序。</w:t>
            </w:r>
          </w:p>
          <w:p w14:paraId="6DC5B588">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方法二：  （由招标人自行确定） </w:t>
            </w:r>
          </w:p>
        </w:tc>
      </w:tr>
      <w:tr w14:paraId="471B62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DEA84D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384E2D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1733" w:type="dxa"/>
            <w:tcBorders>
              <w:top w:val="single" w:color="auto" w:sz="4" w:space="0"/>
              <w:left w:val="single" w:color="auto" w:sz="4" w:space="0"/>
              <w:bottom w:val="single" w:color="auto" w:sz="4" w:space="0"/>
              <w:right w:val="single" w:color="auto" w:sz="4" w:space="0"/>
            </w:tcBorders>
            <w:vAlign w:val="center"/>
          </w:tcPr>
          <w:p w14:paraId="15463D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66DCBAB1">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详见招标文件及相关合同条款。</w:t>
            </w:r>
          </w:p>
        </w:tc>
      </w:tr>
      <w:tr w14:paraId="4F3233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18925A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3B57DA99">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11E0A1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4F182989">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A85B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89233B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4B379A54">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B5CF09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574784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1、按照交易平台关于全流程电子化项目的相关指南进行操作。详见：</w:t>
            </w:r>
            <w:r>
              <w:rPr>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3C146B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2、提交投标文件光盘备用</w:t>
            </w:r>
          </w:p>
          <w:p w14:paraId="33A9DB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677C0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3、补救方案</w:t>
            </w:r>
          </w:p>
          <w:p w14:paraId="114FDA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279310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BB2441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66E33C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114AAC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rPr>
              <w:t>除发生上述情况外，开标评标均以投标人通过广州交易集团有限公司（广州公共资源交易中心）交易平台网上递交的电子投标文件为准。</w:t>
            </w:r>
          </w:p>
        </w:tc>
      </w:tr>
      <w:tr w14:paraId="011D3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2BAC26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14:paraId="79471FD9">
            <w:pPr>
              <w:jc w:val="center"/>
              <w:rPr>
                <w:rFonts w:hint="eastAsia" w:ascii="宋体" w:hAnsi="宋体" w:eastAsia="宋体" w:cs="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3280823">
            <w:pPr>
              <w:jc w:val="center"/>
              <w:rPr>
                <w:rFonts w:hint="eastAsia" w:ascii="宋体" w:hAnsi="宋体" w:eastAsia="宋体" w:cs="宋体"/>
                <w:strike/>
                <w:color w:val="auto"/>
                <w:szCs w:val="21"/>
                <w:highlight w:val="none"/>
              </w:rPr>
            </w:pPr>
            <w:r>
              <w:rPr>
                <w:rFonts w:hint="eastAsia" w:ascii="宋体" w:hAnsi="宋体" w:eastAsia="宋体" w:cs="宋体"/>
                <w:strike w:val="0"/>
                <w:color w:val="auto"/>
                <w:szCs w:val="21"/>
                <w:highlight w:val="none"/>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2F72FF22">
            <w:pPr>
              <w:rPr>
                <w:rFonts w:hint="eastAsia" w:ascii="宋体" w:hAnsi="宋体" w:eastAsia="宋体" w:cs="宋体"/>
                <w:strike/>
                <w:color w:val="auto"/>
                <w:szCs w:val="21"/>
                <w:highlight w:val="none"/>
              </w:rPr>
            </w:pPr>
            <w:r>
              <w:rPr>
                <w:rFonts w:hint="eastAsia" w:ascii="宋体" w:hAnsi="宋体" w:cs="宋体"/>
                <w:color w:val="auto"/>
                <w:szCs w:val="21"/>
                <w:highlight w:val="none"/>
                <w:u w:val="single"/>
              </w:rPr>
              <w:t>具体要求</w:t>
            </w:r>
            <w:r>
              <w:rPr>
                <w:rFonts w:hint="eastAsia" w:ascii="宋体" w:hAnsi="宋体" w:cs="宋体"/>
                <w:color w:val="auto"/>
                <w:szCs w:val="21"/>
                <w:highlight w:val="none"/>
                <w:u w:val="single"/>
                <w:lang w:eastAsia="zh-CN"/>
              </w:rPr>
              <w:t>：</w:t>
            </w:r>
            <w:r>
              <w:rPr>
                <w:rFonts w:hint="eastAsia" w:ascii="宋体" w:hAnsi="宋体" w:cs="宋体"/>
                <w:b/>
                <w:color w:val="auto"/>
                <w:szCs w:val="21"/>
                <w:highlight w:val="none"/>
                <w:u w:val="single"/>
              </w:rPr>
              <w:t>如政府部门有“百千万工程”相关要求，中标人须无条件配合。</w:t>
            </w:r>
          </w:p>
        </w:tc>
      </w:tr>
      <w:tr w14:paraId="4190CB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ABB8B97">
            <w:pPr>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14:paraId="1DB56F0D">
            <w:pPr>
              <w:jc w:val="center"/>
              <w:rPr>
                <w:rFonts w:hint="eastAsia" w:ascii="宋体" w:hAnsi="宋体" w:eastAsia="宋体" w:cs="宋体"/>
                <w:color w:val="auto"/>
                <w:szCs w:val="21"/>
                <w:highlight w:val="none"/>
                <w:u w:val="single"/>
              </w:rPr>
            </w:pPr>
          </w:p>
        </w:tc>
        <w:tc>
          <w:tcPr>
            <w:tcW w:w="1733" w:type="dxa"/>
            <w:tcBorders>
              <w:top w:val="single" w:color="auto" w:sz="4" w:space="0"/>
              <w:left w:val="single" w:color="auto" w:sz="4" w:space="0"/>
              <w:bottom w:val="single" w:color="auto" w:sz="4" w:space="0"/>
              <w:right w:val="single" w:color="auto" w:sz="4" w:space="0"/>
            </w:tcBorders>
            <w:vAlign w:val="center"/>
          </w:tcPr>
          <w:p w14:paraId="0E17CB0B">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招标人拒绝接收投标文件备用光盘的情况</w:t>
            </w:r>
          </w:p>
        </w:tc>
        <w:tc>
          <w:tcPr>
            <w:tcW w:w="5934" w:type="dxa"/>
            <w:tcBorders>
              <w:top w:val="single" w:color="auto" w:sz="4" w:space="0"/>
              <w:left w:val="single" w:color="auto" w:sz="4" w:space="0"/>
              <w:bottom w:val="single" w:color="auto" w:sz="4" w:space="0"/>
              <w:right w:val="double" w:color="auto" w:sz="4" w:space="0"/>
            </w:tcBorders>
            <w:vAlign w:val="center"/>
          </w:tcPr>
          <w:p w14:paraId="73084E5F">
            <w:pPr>
              <w:keepNext/>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1、在投标截止期后逾期或未在指定地点递交投标文件备用光盘的；</w:t>
            </w:r>
          </w:p>
          <w:p w14:paraId="0AAF9F54">
            <w:pPr>
              <w:keepNext/>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2、投标文件备用光盘未按招标文件要求密封或未在密封处盖章的；</w:t>
            </w:r>
          </w:p>
          <w:p w14:paraId="75B27EC9">
            <w:pPr>
              <w:keepNext/>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3、投标人代表未凭法定代表人证明书（原件）、授权委托书原件（仅限于非法定代表人）、本人身份证原件</w:t>
            </w:r>
            <w:r>
              <w:rPr>
                <w:rFonts w:hint="eastAsia" w:ascii="宋体" w:hAnsi="宋体" w:cs="宋体"/>
                <w:color w:val="auto"/>
                <w:szCs w:val="21"/>
                <w:highlight w:val="none"/>
                <w:u w:val="single"/>
                <w:lang w:val="en-US" w:eastAsia="zh-CN"/>
              </w:rPr>
              <w:t>及</w:t>
            </w:r>
            <w:r>
              <w:rPr>
                <w:rFonts w:hint="eastAsia" w:ascii="宋体" w:hAnsi="宋体" w:eastAsia="宋体" w:cs="宋体"/>
                <w:color w:val="auto"/>
                <w:szCs w:val="21"/>
                <w:highlight w:val="none"/>
                <w:u w:val="single"/>
              </w:rPr>
              <w:t>离投标截止时间最近的至少1个月（2025年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eastAsia="zh-CN"/>
              </w:rPr>
              <w:t>或</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月）在本单位缴纳的社保证明文件递交投标文件备用光盘的。</w:t>
            </w:r>
          </w:p>
        </w:tc>
      </w:tr>
      <w:tr w14:paraId="14D8FA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E417679">
            <w:pPr>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14:paraId="393B1658">
            <w:pPr>
              <w:jc w:val="center"/>
              <w:rPr>
                <w:rFonts w:hint="eastAsia" w:ascii="宋体" w:hAnsi="宋体" w:eastAsia="宋体" w:cs="宋体"/>
                <w:color w:val="auto"/>
                <w:szCs w:val="21"/>
                <w:highlight w:val="none"/>
                <w:u w:val="single"/>
              </w:rPr>
            </w:pPr>
          </w:p>
        </w:tc>
        <w:tc>
          <w:tcPr>
            <w:tcW w:w="1733" w:type="dxa"/>
            <w:tcBorders>
              <w:top w:val="single" w:color="auto" w:sz="4" w:space="0"/>
              <w:left w:val="single" w:color="auto" w:sz="4" w:space="0"/>
              <w:bottom w:val="single" w:color="auto" w:sz="4" w:space="0"/>
              <w:right w:val="single" w:color="auto" w:sz="4" w:space="0"/>
            </w:tcBorders>
            <w:vAlign w:val="center"/>
          </w:tcPr>
          <w:p w14:paraId="727C7EE9">
            <w:pPr>
              <w:spacing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single"/>
              </w:rPr>
              <w:t>中标单位提交投标文件要求</w:t>
            </w:r>
          </w:p>
        </w:tc>
        <w:tc>
          <w:tcPr>
            <w:tcW w:w="5934" w:type="dxa"/>
            <w:tcBorders>
              <w:top w:val="single" w:color="auto" w:sz="4" w:space="0"/>
              <w:left w:val="single" w:color="auto" w:sz="4" w:space="0"/>
              <w:bottom w:val="single" w:color="auto" w:sz="4" w:space="0"/>
              <w:right w:val="double" w:color="auto" w:sz="4" w:space="0"/>
            </w:tcBorders>
            <w:vAlign w:val="center"/>
          </w:tcPr>
          <w:p w14:paraId="31933F40">
            <w:pPr>
              <w:keepNext/>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r>
              <w:rPr>
                <w:rFonts w:hint="eastAsia" w:ascii="宋体" w:hAnsi="宋体" w:cs="宋体"/>
                <w:color w:val="auto"/>
                <w:szCs w:val="21"/>
                <w:highlight w:val="none"/>
                <w:u w:val="single"/>
                <w:lang w:eastAsia="zh-CN"/>
              </w:rPr>
              <w:t>、无密码、无病毒</w:t>
            </w:r>
            <w:r>
              <w:rPr>
                <w:rFonts w:hint="eastAsia" w:ascii="宋体" w:hAnsi="宋体" w:eastAsia="宋体" w:cs="宋体"/>
                <w:color w:val="auto"/>
                <w:szCs w:val="21"/>
                <w:highlight w:val="none"/>
                <w:u w:val="single"/>
              </w:rPr>
              <w:t>）。</w:t>
            </w:r>
          </w:p>
        </w:tc>
      </w:tr>
      <w:tr w14:paraId="0DF51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E64B7A6">
            <w:pPr>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41</w:t>
            </w:r>
          </w:p>
        </w:tc>
        <w:tc>
          <w:tcPr>
            <w:tcW w:w="981" w:type="dxa"/>
            <w:tcBorders>
              <w:top w:val="single" w:color="auto" w:sz="4" w:space="0"/>
              <w:left w:val="single" w:color="auto" w:sz="4" w:space="0"/>
              <w:bottom w:val="single" w:color="auto" w:sz="4" w:space="0"/>
              <w:right w:val="single" w:color="auto" w:sz="4" w:space="0"/>
            </w:tcBorders>
            <w:vAlign w:val="center"/>
          </w:tcPr>
          <w:p w14:paraId="15A60ECB">
            <w:pPr>
              <w:jc w:val="center"/>
              <w:rPr>
                <w:rFonts w:hint="eastAsia" w:ascii="宋体" w:hAnsi="宋体" w:eastAsia="宋体" w:cs="宋体"/>
                <w:color w:val="auto"/>
                <w:szCs w:val="21"/>
                <w:highlight w:val="none"/>
                <w:u w:val="single"/>
              </w:rPr>
            </w:pPr>
          </w:p>
        </w:tc>
        <w:tc>
          <w:tcPr>
            <w:tcW w:w="1733" w:type="dxa"/>
            <w:tcBorders>
              <w:top w:val="single" w:color="auto" w:sz="4" w:space="0"/>
              <w:left w:val="single" w:color="auto" w:sz="4" w:space="0"/>
              <w:bottom w:val="single" w:color="auto" w:sz="4" w:space="0"/>
              <w:right w:val="single" w:color="auto" w:sz="4" w:space="0"/>
            </w:tcBorders>
            <w:vAlign w:val="center"/>
          </w:tcPr>
          <w:p w14:paraId="5D604D4F">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安全生产责任保险</w:t>
            </w:r>
          </w:p>
        </w:tc>
        <w:tc>
          <w:tcPr>
            <w:tcW w:w="5934" w:type="dxa"/>
            <w:tcBorders>
              <w:top w:val="single" w:color="auto" w:sz="4" w:space="0"/>
              <w:left w:val="single" w:color="auto" w:sz="4" w:space="0"/>
              <w:bottom w:val="single" w:color="auto" w:sz="4" w:space="0"/>
              <w:right w:val="double" w:color="auto" w:sz="4" w:space="0"/>
            </w:tcBorders>
            <w:vAlign w:val="center"/>
          </w:tcPr>
          <w:p w14:paraId="0BFAA211">
            <w:pPr>
              <w:keepNext/>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584CF4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AA5AE45">
            <w:pPr>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42</w:t>
            </w:r>
          </w:p>
        </w:tc>
        <w:tc>
          <w:tcPr>
            <w:tcW w:w="981" w:type="dxa"/>
            <w:tcBorders>
              <w:top w:val="single" w:color="auto" w:sz="4" w:space="0"/>
              <w:left w:val="single" w:color="auto" w:sz="4" w:space="0"/>
              <w:bottom w:val="single" w:color="auto" w:sz="4" w:space="0"/>
              <w:right w:val="single" w:color="auto" w:sz="4" w:space="0"/>
            </w:tcBorders>
            <w:vAlign w:val="center"/>
          </w:tcPr>
          <w:p w14:paraId="3F6A03B7">
            <w:pPr>
              <w:jc w:val="center"/>
              <w:rPr>
                <w:rFonts w:hint="eastAsia" w:ascii="宋体" w:hAnsi="宋体" w:eastAsia="宋体" w:cs="宋体"/>
                <w:color w:val="auto"/>
                <w:szCs w:val="21"/>
                <w:highlight w:val="none"/>
                <w:u w:val="single"/>
              </w:rPr>
            </w:pPr>
          </w:p>
        </w:tc>
        <w:tc>
          <w:tcPr>
            <w:tcW w:w="1733" w:type="dxa"/>
            <w:tcBorders>
              <w:top w:val="single" w:color="auto" w:sz="4" w:space="0"/>
              <w:left w:val="single" w:color="auto" w:sz="4" w:space="0"/>
              <w:bottom w:val="single" w:color="auto" w:sz="4" w:space="0"/>
              <w:right w:val="single" w:color="auto" w:sz="4" w:space="0"/>
            </w:tcBorders>
            <w:vAlign w:val="center"/>
          </w:tcPr>
          <w:p w14:paraId="33D9646C">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绿色发展理念</w:t>
            </w:r>
          </w:p>
        </w:tc>
        <w:tc>
          <w:tcPr>
            <w:tcW w:w="5934" w:type="dxa"/>
            <w:tcBorders>
              <w:top w:val="single" w:color="auto" w:sz="4" w:space="0"/>
              <w:left w:val="single" w:color="auto" w:sz="4" w:space="0"/>
              <w:bottom w:val="single" w:color="auto" w:sz="4" w:space="0"/>
              <w:right w:val="double" w:color="auto" w:sz="4" w:space="0"/>
            </w:tcBorders>
            <w:vAlign w:val="center"/>
          </w:tcPr>
          <w:p w14:paraId="3F13F14B">
            <w:pPr>
              <w:keepNext/>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4D558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DB8548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43</w:t>
            </w:r>
          </w:p>
        </w:tc>
        <w:tc>
          <w:tcPr>
            <w:tcW w:w="981" w:type="dxa"/>
            <w:tcBorders>
              <w:top w:val="single" w:color="auto" w:sz="4" w:space="0"/>
              <w:left w:val="single" w:color="auto" w:sz="4" w:space="0"/>
              <w:bottom w:val="single" w:color="auto" w:sz="4" w:space="0"/>
              <w:right w:val="single" w:color="auto" w:sz="4" w:space="0"/>
            </w:tcBorders>
            <w:vAlign w:val="center"/>
          </w:tcPr>
          <w:p w14:paraId="4BD7287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u w:val="single"/>
              </w:rPr>
            </w:pPr>
          </w:p>
        </w:tc>
        <w:tc>
          <w:tcPr>
            <w:tcW w:w="1733" w:type="dxa"/>
            <w:tcBorders>
              <w:top w:val="single" w:color="auto" w:sz="4" w:space="0"/>
              <w:left w:val="single" w:color="auto" w:sz="4" w:space="0"/>
              <w:bottom w:val="single" w:color="auto" w:sz="4" w:space="0"/>
              <w:right w:val="single" w:color="auto" w:sz="4" w:space="0"/>
            </w:tcBorders>
            <w:vAlign w:val="center"/>
          </w:tcPr>
          <w:p w14:paraId="2DEC9DE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u w:val="single"/>
              </w:rPr>
            </w:pPr>
            <w:r>
              <w:rPr>
                <w:rFonts w:hint="eastAsia" w:ascii="宋体" w:hAnsi="宋体" w:cs="宋体"/>
                <w:b w:val="0"/>
                <w:bCs w:val="0"/>
                <w:color w:val="auto"/>
                <w:kern w:val="0"/>
                <w:sz w:val="21"/>
                <w:szCs w:val="21"/>
                <w:highlight w:val="none"/>
                <w:u w:val="single"/>
              </w:rPr>
              <w:t>是否授权评标委员会确定中标人</w:t>
            </w:r>
          </w:p>
        </w:tc>
        <w:tc>
          <w:tcPr>
            <w:tcW w:w="5934" w:type="dxa"/>
            <w:tcBorders>
              <w:top w:val="single" w:color="auto" w:sz="4" w:space="0"/>
              <w:left w:val="single" w:color="auto" w:sz="4" w:space="0"/>
              <w:bottom w:val="single" w:color="auto" w:sz="4" w:space="0"/>
              <w:right w:val="double" w:color="auto" w:sz="4" w:space="0"/>
            </w:tcBorders>
            <w:vAlign w:val="center"/>
          </w:tcPr>
          <w:p w14:paraId="0A05116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rPr>
            </w:pPr>
            <w:r>
              <w:rPr>
                <w:rFonts w:hint="eastAsia" w:ascii="宋体" w:hAnsi="宋体" w:cs="宋体"/>
                <w:b w:val="0"/>
                <w:bCs/>
                <w:color w:val="auto"/>
                <w:sz w:val="21"/>
                <w:szCs w:val="21"/>
                <w:highlight w:val="none"/>
                <w:u w:val="single"/>
              </w:rPr>
              <w:t>否</w:t>
            </w:r>
          </w:p>
        </w:tc>
      </w:tr>
      <w:tr w14:paraId="18E90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53C0028">
            <w:pPr>
              <w:spacing w:line="240" w:lineRule="auto"/>
              <w:rPr>
                <w:rFonts w:hint="eastAsia" w:ascii="宋体" w:hAnsi="宋体" w:cs="宋体"/>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44</w:t>
            </w:r>
          </w:p>
        </w:tc>
        <w:tc>
          <w:tcPr>
            <w:tcW w:w="981" w:type="dxa"/>
            <w:tcBorders>
              <w:top w:val="single" w:color="auto" w:sz="4" w:space="0"/>
              <w:left w:val="single" w:color="auto" w:sz="4" w:space="0"/>
              <w:bottom w:val="single" w:color="auto" w:sz="4" w:space="0"/>
              <w:right w:val="single" w:color="auto" w:sz="4" w:space="0"/>
            </w:tcBorders>
            <w:vAlign w:val="center"/>
          </w:tcPr>
          <w:p w14:paraId="4DF8B474">
            <w:pPr>
              <w:spacing w:line="240" w:lineRule="auto"/>
              <w:jc w:val="center"/>
              <w:rPr>
                <w:rFonts w:hint="eastAsia" w:ascii="宋体" w:hAnsi="宋体" w:eastAsia="宋体" w:cs="宋体"/>
                <w:color w:val="auto"/>
                <w:szCs w:val="21"/>
                <w:highlight w:val="none"/>
                <w:u w:val="single"/>
              </w:rPr>
            </w:pPr>
          </w:p>
        </w:tc>
        <w:tc>
          <w:tcPr>
            <w:tcW w:w="1733" w:type="dxa"/>
            <w:tcBorders>
              <w:top w:val="single" w:color="auto" w:sz="4" w:space="0"/>
              <w:left w:val="single" w:color="auto" w:sz="4" w:space="0"/>
              <w:bottom w:val="single" w:color="auto" w:sz="4" w:space="0"/>
              <w:right w:val="single" w:color="auto" w:sz="4" w:space="0"/>
            </w:tcBorders>
            <w:vAlign w:val="center"/>
          </w:tcPr>
          <w:p w14:paraId="201D20CF">
            <w:pPr>
              <w:spacing w:line="240" w:lineRule="auto"/>
              <w:jc w:val="center"/>
              <w:rPr>
                <w:rFonts w:hint="eastAsia" w:ascii="宋体" w:hAnsi="宋体" w:cs="宋体"/>
                <w:b w:val="0"/>
                <w:bCs w:val="0"/>
                <w:color w:val="auto"/>
                <w:kern w:val="0"/>
                <w:sz w:val="21"/>
                <w:szCs w:val="21"/>
                <w:highlight w:val="none"/>
                <w:u w:val="single"/>
              </w:rPr>
            </w:pPr>
            <w:r>
              <w:rPr>
                <w:rFonts w:hint="eastAsia" w:ascii="宋体" w:hAnsi="宋体" w:eastAsia="宋体" w:cs="宋体"/>
                <w:color w:val="auto"/>
                <w:sz w:val="21"/>
                <w:szCs w:val="21"/>
                <w:highlight w:val="none"/>
                <w:u w:val="single"/>
              </w:rPr>
              <w:t>经济标评审优惠政策</w:t>
            </w:r>
          </w:p>
        </w:tc>
        <w:tc>
          <w:tcPr>
            <w:tcW w:w="5934" w:type="dxa"/>
            <w:tcBorders>
              <w:top w:val="single" w:color="auto" w:sz="4" w:space="0"/>
              <w:left w:val="single" w:color="auto" w:sz="4" w:space="0"/>
              <w:bottom w:val="single" w:color="auto" w:sz="4" w:space="0"/>
              <w:right w:val="double" w:color="auto" w:sz="4" w:space="0"/>
            </w:tcBorders>
            <w:vAlign w:val="center"/>
          </w:tcPr>
          <w:p w14:paraId="4CFC47C3">
            <w:pPr>
              <w:shd w:val="clear" w:color="auto" w:fill="auto"/>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1.根据《广东省政府采购促进中小企业发展实施细则(试行)》要求，对符合《政府采购促进中小企业发展管理办法》的投标人，给予相应的价格评审优惠。</w:t>
            </w:r>
          </w:p>
          <w:p w14:paraId="11B762FA">
            <w:pPr>
              <w:shd w:val="clear" w:color="auto" w:fill="auto"/>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2.本招标项目评标计算价格分时</w:t>
            </w:r>
            <w:r>
              <w:rPr>
                <w:rFonts w:hint="eastAsia" w:ascii="宋体" w:hAnsi="宋体" w:eastAsia="宋体" w:cs="宋体"/>
                <w:b/>
                <w:bCs/>
                <w:color w:val="auto"/>
                <w:sz w:val="21"/>
                <w:szCs w:val="21"/>
                <w:highlight w:val="none"/>
                <w:u w:val="single"/>
                <w:lang w:val="en-US" w:eastAsia="zh-CN"/>
              </w:rPr>
              <w:t>（投标报价低于成本警示价的投标单位除外）</w:t>
            </w:r>
            <w:r>
              <w:rPr>
                <w:rFonts w:hint="eastAsia" w:ascii="宋体" w:hAnsi="宋体" w:eastAsia="宋体" w:cs="宋体"/>
                <w:color w:val="auto"/>
                <w:szCs w:val="21"/>
                <w:highlight w:val="none"/>
                <w:u w:val="single"/>
              </w:rPr>
              <w:t>，对小微企业投标的，在采用原报价进行评分的基础上增加其价格得分的5%作为其价格分</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对大中型企业与小微企业组成联合体或者允许大中型企业向一家或者多家小微企业分包(联合协议或者分包意向协议约定小微企业的合同份额占到合同总金额30%</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含</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以上)的，在采用原报价进行评分的基础上增加其价格得分的2%作为其价格分。若原报价己满分，仍可突破满分上限继续享受加分优惠，以实际计算结果作为最终价格分。</w:t>
            </w:r>
          </w:p>
          <w:p w14:paraId="52A8D817">
            <w:pPr>
              <w:shd w:val="clear" w:color="auto" w:fill="auto"/>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339C655F">
            <w:pPr>
              <w:shd w:val="clear" w:color="auto" w:fill="auto"/>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4,小微企业划分标准按照《工业和信息化部 国家统计局 国家发展和改革委员会 财政部关于印发中小企业划型标准规定的通知》(工信部联企业(2011)300号)执行。本招标项目属于建筑业，营业收入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14:paraId="56A26F42">
            <w:pPr>
              <w:shd w:val="clear" w:color="auto" w:fill="auto"/>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48A8A3D6">
            <w:pPr>
              <w:shd w:val="clear" w:color="auto" w:fill="auto"/>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(2)组成联合体或者接受分包合同的小微企业与联合体内其他企业、分包企业之间存在直接控股、管理关系的，不享受价格评分优惠。</w:t>
            </w:r>
          </w:p>
          <w:p w14:paraId="205297EF">
            <w:pPr>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(3)公示期间如有异议、投诉的，被异议、投诉单位需提供注册登记所在地的县级以上人民政府中小企业主管部门认定</w:t>
            </w:r>
            <w:r>
              <w:rPr>
                <w:rFonts w:hint="eastAsia" w:ascii="宋体" w:hAnsi="宋体" w:eastAsia="宋体" w:cs="宋体"/>
                <w:color w:val="auto"/>
                <w:szCs w:val="21"/>
                <w:highlight w:val="none"/>
                <w:u w:val="single"/>
                <w:lang w:val="en-US" w:eastAsia="zh-CN"/>
              </w:rPr>
              <w:t>材料及联系方式</w:t>
            </w:r>
            <w:r>
              <w:rPr>
                <w:rFonts w:hint="eastAsia" w:ascii="宋体" w:hAnsi="宋体" w:eastAsia="宋体" w:cs="宋体"/>
                <w:color w:val="auto"/>
                <w:szCs w:val="21"/>
                <w:highlight w:val="none"/>
                <w:u w:val="single"/>
              </w:rPr>
              <w:t>。</w:t>
            </w:r>
          </w:p>
          <w:p w14:paraId="7C497473">
            <w:pPr>
              <w:spacing w:line="240" w:lineRule="auto"/>
              <w:rPr>
                <w:rFonts w:hint="eastAsia" w:ascii="宋体" w:hAnsi="宋体" w:cs="宋体"/>
                <w:b w:val="0"/>
                <w:bCs/>
                <w:color w:val="auto"/>
                <w:sz w:val="21"/>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b/>
                <w:bCs/>
                <w:color w:val="auto"/>
                <w:szCs w:val="21"/>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r>
              <w:rPr>
                <w:rFonts w:hint="eastAsia" w:ascii="宋体" w:hAnsi="宋体" w:eastAsia="宋体" w:cs="宋体"/>
                <w:color w:val="auto"/>
                <w:szCs w:val="21"/>
                <w:highlight w:val="none"/>
                <w:u w:val="single"/>
                <w:lang w:eastAsia="zh-CN"/>
              </w:rPr>
              <w:t>）</w:t>
            </w:r>
          </w:p>
        </w:tc>
      </w:tr>
      <w:tr w14:paraId="621EF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double" w:color="auto" w:sz="4" w:space="0"/>
              <w:right w:val="single" w:color="auto" w:sz="4" w:space="0"/>
            </w:tcBorders>
            <w:shd w:val="clear" w:color="auto" w:fill="auto"/>
            <w:vAlign w:val="center"/>
          </w:tcPr>
          <w:p w14:paraId="26915717">
            <w:pPr>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5</w:t>
            </w:r>
          </w:p>
        </w:tc>
        <w:tc>
          <w:tcPr>
            <w:tcW w:w="981" w:type="dxa"/>
            <w:tcBorders>
              <w:top w:val="single" w:color="auto" w:sz="4" w:space="0"/>
              <w:left w:val="single" w:color="auto" w:sz="4" w:space="0"/>
              <w:bottom w:val="double" w:color="auto" w:sz="4" w:space="0"/>
              <w:right w:val="single" w:color="auto" w:sz="4" w:space="0"/>
            </w:tcBorders>
            <w:shd w:val="clear" w:color="auto" w:fill="auto"/>
            <w:vAlign w:val="center"/>
          </w:tcPr>
          <w:p w14:paraId="54C8FBB0">
            <w:pPr>
              <w:spacing w:line="276" w:lineRule="auto"/>
              <w:rPr>
                <w:rFonts w:hint="eastAsia" w:ascii="宋体" w:hAnsi="宋体" w:eastAsia="宋体" w:cs="宋体"/>
                <w:color w:val="auto"/>
                <w:kern w:val="2"/>
                <w:sz w:val="21"/>
                <w:szCs w:val="21"/>
                <w:highlight w:val="none"/>
                <w:u w:val="single"/>
                <w:lang w:val="en-US" w:eastAsia="zh-CN" w:bidi="ar-SA"/>
              </w:rPr>
            </w:pPr>
          </w:p>
        </w:tc>
        <w:tc>
          <w:tcPr>
            <w:tcW w:w="1733" w:type="dxa"/>
            <w:tcBorders>
              <w:top w:val="single" w:color="auto" w:sz="4" w:space="0"/>
              <w:left w:val="single" w:color="auto" w:sz="4" w:space="0"/>
              <w:bottom w:val="double" w:color="auto" w:sz="4" w:space="0"/>
              <w:right w:val="single" w:color="auto" w:sz="4" w:space="0"/>
            </w:tcBorders>
            <w:shd w:val="clear" w:color="auto" w:fill="auto"/>
            <w:vAlign w:val="center"/>
          </w:tcPr>
          <w:p w14:paraId="2F391E4A">
            <w:pPr>
              <w:spacing w:line="276" w:lineRule="auto"/>
              <w:jc w:val="cente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olor w:val="auto"/>
                <w:szCs w:val="21"/>
                <w:highlight w:val="none"/>
                <w:u w:val="single"/>
              </w:rPr>
              <w:t>项目负责人管理</w:t>
            </w:r>
          </w:p>
        </w:tc>
        <w:tc>
          <w:tcPr>
            <w:tcW w:w="5934" w:type="dxa"/>
            <w:tcBorders>
              <w:top w:val="single" w:color="auto" w:sz="4" w:space="0"/>
              <w:left w:val="single" w:color="auto" w:sz="4" w:space="0"/>
              <w:bottom w:val="double" w:color="auto" w:sz="4" w:space="0"/>
              <w:right w:val="double" w:color="auto" w:sz="4" w:space="0"/>
            </w:tcBorders>
            <w:shd w:val="clear" w:color="auto" w:fill="auto"/>
            <w:vAlign w:val="center"/>
          </w:tcPr>
          <w:p w14:paraId="11AFF198">
            <w:pPr>
              <w:spacing w:line="276" w:lineRule="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olor w:val="auto"/>
                <w:szCs w:val="21"/>
                <w:highlight w:val="none"/>
                <w:u w:val="single"/>
              </w:rPr>
              <w:t>本工程的项</w:t>
            </w:r>
            <w:r>
              <w:rPr>
                <w:rFonts w:hint="eastAsia" w:ascii="宋体" w:hAnsi="宋体" w:eastAsia="宋体" w:cs="Times New Roman"/>
                <w:color w:val="auto"/>
                <w:szCs w:val="21"/>
                <w:highlight w:val="none"/>
                <w:u w:val="single"/>
              </w:rPr>
              <w:t>目负责人管理执行《广州市住房和城乡建设局关于加强建筑工程项目负责人管理的通知》（穗建规字〔2025〕9 号</w:t>
            </w:r>
            <w:r>
              <w:rPr>
                <w:rFonts w:hint="eastAsia" w:ascii="宋体" w:hAnsi="宋体" w:eastAsia="宋体"/>
                <w:color w:val="auto"/>
                <w:szCs w:val="21"/>
                <w:highlight w:val="none"/>
                <w:u w:val="single"/>
              </w:rPr>
              <w:t>）相关规定。</w:t>
            </w:r>
          </w:p>
        </w:tc>
      </w:tr>
    </w:tbl>
    <w:p w14:paraId="61231921">
      <w:pPr>
        <w:pStyle w:val="4"/>
        <w:rPr>
          <w:color w:val="auto"/>
          <w:highlight w:val="none"/>
        </w:rPr>
      </w:pPr>
      <w:r>
        <w:rPr>
          <w:color w:val="auto"/>
          <w:highlight w:val="none"/>
        </w:rPr>
        <w:br w:type="page"/>
      </w:r>
      <w:bookmarkStart w:id="11" w:name="_Toc25354"/>
      <w:bookmarkStart w:id="12" w:name="_Toc21525491"/>
      <w:bookmarkStart w:id="13" w:name="_Toc2272547"/>
      <w:bookmarkStart w:id="14" w:name="_Toc28760"/>
      <w:bookmarkStart w:id="15" w:name="_Toc132"/>
      <w:r>
        <w:rPr>
          <w:rStyle w:val="62"/>
          <w:rFonts w:hint="eastAsia"/>
          <w:b/>
          <w:color w:val="auto"/>
          <w:highlight w:val="none"/>
        </w:rPr>
        <w:t>二、投标须知修改表</w:t>
      </w:r>
      <w:bookmarkEnd w:id="11"/>
      <w:bookmarkEnd w:id="12"/>
      <w:bookmarkEnd w:id="13"/>
      <w:bookmarkEnd w:id="14"/>
      <w:bookmarkEnd w:id="15"/>
    </w:p>
    <w:p w14:paraId="27FAE374">
      <w:pPr>
        <w:pStyle w:val="36"/>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p>
    <w:p w14:paraId="48FF6B6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rPr>
        <w:t xml:space="preserve">             修改类型：增加</w:t>
      </w:r>
    </w:p>
    <w:p w14:paraId="2753789B">
      <w:pPr>
        <w:pBdr>
          <w:bottom w:val="single" w:color="auto" w:sz="6" w:space="1"/>
        </w:pBd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 w:val="21"/>
          <w:szCs w:val="21"/>
          <w:highlight w:val="none"/>
          <w:u w:val="single"/>
        </w:rPr>
        <w:t>2.5根据《建设工程质量检测管理办法》（建设部令第141号）第十二条规定，建设工程质量、安全检测业务应由建设单位依法委托，不列入本次招标范围。招标文件中与此条不一致的，以此条为准。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eastAsia="宋体" w:cs="宋体"/>
          <w:b/>
          <w:bCs/>
          <w:color w:val="auto"/>
          <w:kern w:val="0"/>
          <w:sz w:val="21"/>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0716A42D">
      <w:pPr>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5.1</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修改</w:t>
      </w:r>
    </w:p>
    <w:p w14:paraId="35F25B5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 w:val="21"/>
          <w:szCs w:val="21"/>
          <w:highlight w:val="none"/>
        </w:rPr>
        <w:t>5.1投标人应按本投标须知前附表第1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项所述时间和要求</w:t>
      </w:r>
      <w:r>
        <w:rPr>
          <w:rFonts w:hint="eastAsia" w:ascii="宋体" w:hAnsi="宋体" w:eastAsia="宋体" w:cs="宋体"/>
          <w:bCs/>
          <w:color w:val="auto"/>
          <w:sz w:val="21"/>
          <w:szCs w:val="21"/>
          <w:highlight w:val="none"/>
          <w:lang w:eastAsia="zh-CN"/>
        </w:rPr>
        <w:t>自行</w:t>
      </w:r>
      <w:r>
        <w:rPr>
          <w:rFonts w:hint="eastAsia" w:ascii="宋体" w:hAnsi="宋体" w:eastAsia="宋体" w:cs="宋体"/>
          <w:bCs/>
          <w:color w:val="auto"/>
          <w:sz w:val="21"/>
          <w:szCs w:val="21"/>
          <w:highlight w:val="none"/>
        </w:rPr>
        <w:t>对工程现场及周围环境进行踏勘，</w:t>
      </w:r>
      <w:r>
        <w:rPr>
          <w:rFonts w:hint="eastAsia" w:ascii="宋体" w:hAnsi="宋体" w:eastAsia="宋体" w:cs="宋体"/>
          <w:color w:val="auto"/>
          <w:sz w:val="21"/>
          <w:szCs w:val="21"/>
          <w:highlight w:val="none"/>
        </w:rPr>
        <w:t>投标人应充分重视和仔细地进行这种考察，</w:t>
      </w:r>
      <w:r>
        <w:rPr>
          <w:rFonts w:hint="eastAsia" w:ascii="宋体" w:hAnsi="宋体" w:eastAsia="宋体" w:cs="宋体"/>
          <w:bCs/>
          <w:color w:val="auto"/>
          <w:sz w:val="21"/>
          <w:szCs w:val="21"/>
          <w:highlight w:val="none"/>
        </w:rPr>
        <w:t>以便投标人获取</w:t>
      </w:r>
      <w:r>
        <w:rPr>
          <w:rFonts w:hint="eastAsia" w:ascii="宋体" w:hAnsi="宋体" w:eastAsia="宋体" w:cs="宋体"/>
          <w:color w:val="auto"/>
          <w:sz w:val="21"/>
          <w:szCs w:val="21"/>
          <w:highlight w:val="none"/>
        </w:rPr>
        <w:t>那些须投标人自己负责的</w:t>
      </w:r>
      <w:r>
        <w:rPr>
          <w:rFonts w:hint="eastAsia" w:ascii="宋体" w:hAnsi="宋体" w:eastAsia="宋体" w:cs="宋体"/>
          <w:bCs/>
          <w:color w:val="auto"/>
          <w:sz w:val="21"/>
          <w:szCs w:val="21"/>
          <w:highlight w:val="none"/>
        </w:rPr>
        <w:t>有关编制投标文件和签署合同所涉及现场所有的资料。</w:t>
      </w:r>
      <w:r>
        <w:rPr>
          <w:rFonts w:hint="eastAsia" w:ascii="宋体" w:hAnsi="宋体" w:eastAsia="宋体" w:cs="宋体"/>
          <w:color w:val="auto"/>
          <w:sz w:val="21"/>
          <w:szCs w:val="21"/>
          <w:highlight w:val="none"/>
        </w:rPr>
        <w:t>一旦中标，这种考察即被认为其结果已在中标文件中得到充分反映。</w:t>
      </w:r>
    </w:p>
    <w:p w14:paraId="00020A56">
      <w:pPr>
        <w:pBdr>
          <w:bottom w:val="single" w:color="auto" w:sz="6" w:space="1"/>
        </w:pBd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 w:val="21"/>
          <w:szCs w:val="21"/>
          <w:highlight w:val="none"/>
        </w:rPr>
        <w:t>5.1投标人应按本投标须知前附表第1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项所述时间和要求</w:t>
      </w:r>
      <w:r>
        <w:rPr>
          <w:rFonts w:hint="eastAsia" w:ascii="宋体" w:hAnsi="宋体" w:eastAsia="宋体" w:cs="宋体"/>
          <w:bCs/>
          <w:color w:val="auto"/>
          <w:sz w:val="21"/>
          <w:szCs w:val="21"/>
          <w:highlight w:val="none"/>
          <w:lang w:eastAsia="zh-CN"/>
        </w:rPr>
        <w:t>自行</w:t>
      </w:r>
      <w:r>
        <w:rPr>
          <w:rFonts w:hint="eastAsia" w:ascii="宋体" w:hAnsi="宋体" w:eastAsia="宋体" w:cs="宋体"/>
          <w:bCs/>
          <w:color w:val="auto"/>
          <w:sz w:val="21"/>
          <w:szCs w:val="21"/>
          <w:highlight w:val="none"/>
        </w:rPr>
        <w:t>对工程现场及周围环境进行踏勘，</w:t>
      </w:r>
      <w:r>
        <w:rPr>
          <w:rFonts w:hint="eastAsia" w:ascii="宋体" w:hAnsi="宋体" w:eastAsia="宋体" w:cs="宋体"/>
          <w:color w:val="auto"/>
          <w:sz w:val="21"/>
          <w:szCs w:val="21"/>
          <w:highlight w:val="none"/>
        </w:rPr>
        <w:t>投标人应充分重视和仔细地进行这种考察，</w:t>
      </w:r>
      <w:r>
        <w:rPr>
          <w:rFonts w:hint="eastAsia" w:ascii="宋体" w:hAnsi="宋体" w:eastAsia="宋体" w:cs="宋体"/>
          <w:bCs/>
          <w:color w:val="auto"/>
          <w:sz w:val="21"/>
          <w:szCs w:val="21"/>
          <w:highlight w:val="none"/>
        </w:rPr>
        <w:t>以便投标人获取</w:t>
      </w:r>
      <w:r>
        <w:rPr>
          <w:rFonts w:hint="eastAsia" w:ascii="宋体" w:hAnsi="宋体" w:eastAsia="宋体" w:cs="宋体"/>
          <w:color w:val="auto"/>
          <w:sz w:val="21"/>
          <w:szCs w:val="21"/>
          <w:highlight w:val="none"/>
        </w:rPr>
        <w:t>那些须投标人自己负责的</w:t>
      </w:r>
      <w:r>
        <w:rPr>
          <w:rFonts w:hint="eastAsia" w:ascii="宋体" w:hAnsi="宋体" w:eastAsia="宋体" w:cs="宋体"/>
          <w:bCs/>
          <w:color w:val="auto"/>
          <w:sz w:val="21"/>
          <w:szCs w:val="21"/>
          <w:highlight w:val="none"/>
        </w:rPr>
        <w:t>有关编制投标文件和签署合同所涉及现场所有的资料</w:t>
      </w:r>
      <w:r>
        <w:rPr>
          <w:rFonts w:hint="eastAsia" w:ascii="宋体" w:hAnsi="宋体" w:eastAsia="宋体" w:cs="宋体"/>
          <w:b/>
          <w:bCs/>
          <w:color w:val="auto"/>
          <w:szCs w:val="21"/>
          <w:highlight w:val="none"/>
          <w:u w:val="single"/>
        </w:rPr>
        <w:t>，投标人不进行踏勘的，视为已熟知现场条件，自行承担相关风险</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一旦中标，这种考察即被认为其结果已在中标文件中得到充分反映。</w:t>
      </w:r>
      <w:r>
        <w:rPr>
          <w:rFonts w:hint="eastAsia" w:ascii="宋体" w:hAnsi="宋体" w:eastAsia="宋体" w:cs="宋体"/>
          <w:b/>
          <w:bCs/>
          <w:color w:val="auto"/>
          <w:szCs w:val="21"/>
          <w:highlight w:val="none"/>
          <w:u w:val="single"/>
        </w:rPr>
        <w:t>招标人不受理因投标人缺乏对现场条件的了解或掌握而提出的任何索赔。考察现场的费用由投标人自己承担。</w:t>
      </w:r>
    </w:p>
    <w:p w14:paraId="20CB013F">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8.1</w:t>
      </w:r>
      <w:r>
        <w:rPr>
          <w:rFonts w:hint="eastAsia" w:ascii="宋体" w:hAnsi="宋体" w:eastAsia="宋体" w:cs="宋体"/>
          <w:b/>
          <w:color w:val="auto"/>
          <w:szCs w:val="21"/>
          <w:highlight w:val="none"/>
        </w:rPr>
        <w:t xml:space="preserve">             修改类型：修改</w:t>
      </w:r>
    </w:p>
    <w:p w14:paraId="4A6A327A">
      <w:pPr>
        <w:pStyle w:val="36"/>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8.1投标人若对招标文件（包括招标图纸）中有疑问，可以书面形式通过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交易平台提交给招标人或招标代理人，提交形式见本须知前附表第</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项。</w:t>
      </w:r>
    </w:p>
    <w:p w14:paraId="69848BF5">
      <w:pPr>
        <w:pBdr>
          <w:bottom w:val="single" w:color="auto" w:sz="6" w:space="1"/>
        </w:pBd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lang w:val="en-US" w:eastAsia="zh-CN"/>
        </w:rPr>
        <w:t>8.1</w:t>
      </w:r>
      <w:r>
        <w:rPr>
          <w:rFonts w:hint="eastAsia" w:ascii="宋体" w:hAnsi="宋体" w:eastAsia="宋体" w:cs="宋体"/>
          <w:b/>
          <w:bCs w:val="0"/>
          <w:color w:val="auto"/>
          <w:sz w:val="21"/>
          <w:szCs w:val="21"/>
          <w:highlight w:val="none"/>
          <w:u w:val="single"/>
        </w:rPr>
        <w:t>投标人若对招标文件（包括招标图纸、清单、最高投标限价）中有疑问，采用网上答疑方式进行，详见本须知前附表第1</w:t>
      </w:r>
      <w:r>
        <w:rPr>
          <w:rFonts w:hint="eastAsia" w:ascii="宋体" w:hAnsi="宋体" w:eastAsia="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rPr>
        <w:t>项。招标人或招标代理人将于本须知前附表第1</w:t>
      </w:r>
      <w:r>
        <w:rPr>
          <w:rFonts w:hint="eastAsia" w:ascii="宋体" w:hAnsi="宋体" w:eastAsia="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rPr>
        <w:t>项指定的地点（交易平台）和时间对疑问进行答复</w:t>
      </w:r>
      <w:r>
        <w:rPr>
          <w:rFonts w:hint="eastAsia" w:ascii="宋体" w:hAnsi="宋体" w:cs="宋体"/>
          <w:b/>
          <w:bCs w:val="0"/>
          <w:color w:val="auto"/>
          <w:sz w:val="21"/>
          <w:szCs w:val="21"/>
          <w:highlight w:val="none"/>
          <w:u w:val="single"/>
          <w:lang w:eastAsia="zh-CN"/>
        </w:rPr>
        <w:t>。</w:t>
      </w:r>
    </w:p>
    <w:p w14:paraId="5F94F319">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8.2</w:t>
      </w:r>
      <w:r>
        <w:rPr>
          <w:rFonts w:hint="eastAsia" w:ascii="宋体" w:hAnsi="宋体" w:eastAsia="宋体" w:cs="宋体"/>
          <w:b/>
          <w:color w:val="auto"/>
          <w:szCs w:val="21"/>
          <w:highlight w:val="none"/>
        </w:rPr>
        <w:t xml:space="preserve">             修改类型：修改</w:t>
      </w:r>
    </w:p>
    <w:p w14:paraId="2DEE3E0F">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8.2招标答疑会会议纪要将在提交投标文件截止时间15日前在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w:t>
      </w:r>
    </w:p>
    <w:p w14:paraId="5D842DEC">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8.2招标答疑会会议纪要将在提交投标文件截止时间15日前在</w:t>
      </w:r>
      <w:r>
        <w:rPr>
          <w:rFonts w:hint="eastAsia" w:ascii="宋体" w:hAnsi="宋体" w:eastAsia="宋体" w:cs="宋体"/>
          <w:b/>
          <w:bCs/>
          <w:color w:val="auto"/>
          <w:sz w:val="21"/>
          <w:szCs w:val="21"/>
          <w:highlight w:val="none"/>
          <w:u w:val="single"/>
        </w:rPr>
        <w:t>广州交易集团有限公司（广州公共资源交易中心）网站“项目查询(日程安排、答疑纪要)”</w:t>
      </w:r>
      <w:r>
        <w:rPr>
          <w:rFonts w:hint="eastAsia" w:ascii="宋体" w:hAnsi="宋体" w:eastAsia="宋体" w:cs="宋体"/>
          <w:color w:val="auto"/>
          <w:sz w:val="21"/>
          <w:szCs w:val="21"/>
          <w:highlight w:val="none"/>
        </w:rPr>
        <w:t>专区公开发布。答疑纪要一经在</w:t>
      </w:r>
      <w:r>
        <w:rPr>
          <w:rFonts w:hint="eastAsia" w:ascii="宋体" w:hAnsi="宋体" w:eastAsia="宋体" w:cs="宋体"/>
          <w:b/>
          <w:bCs/>
          <w:color w:val="auto"/>
          <w:sz w:val="21"/>
          <w:szCs w:val="21"/>
          <w:highlight w:val="none"/>
          <w:u w:val="single"/>
        </w:rPr>
        <w:t>广州交易集团有限公司（广州公共资源交易中心）网站</w:t>
      </w:r>
      <w:r>
        <w:rPr>
          <w:rFonts w:hint="eastAsia" w:ascii="宋体" w:hAnsi="宋体" w:eastAsia="宋体" w:cs="宋体"/>
          <w:color w:val="auto"/>
          <w:sz w:val="21"/>
          <w:szCs w:val="21"/>
          <w:highlight w:val="none"/>
        </w:rPr>
        <w:t>发布，视作已发放给所有投标人。</w:t>
      </w:r>
    </w:p>
    <w:p w14:paraId="39C2F37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8.4</w:t>
      </w:r>
      <w:r>
        <w:rPr>
          <w:rFonts w:hint="eastAsia" w:ascii="宋体" w:hAnsi="宋体" w:eastAsia="宋体" w:cs="宋体"/>
          <w:b/>
          <w:color w:val="auto"/>
          <w:szCs w:val="21"/>
          <w:highlight w:val="none"/>
        </w:rPr>
        <w:t xml:space="preserve">             修改类型：修改</w:t>
      </w:r>
    </w:p>
    <w:p w14:paraId="064B1F23">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8.4若招标答疑会会议纪要与招标文件有矛盾，以答疑会议纪要最后发出的书面形式的文件为准。</w:t>
      </w:r>
    </w:p>
    <w:p w14:paraId="12D0F03E">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8.4</w:t>
      </w:r>
      <w:r>
        <w:rPr>
          <w:rFonts w:hint="eastAsia" w:ascii="宋体" w:hAnsi="宋体" w:eastAsia="宋体" w:cs="宋体"/>
          <w:color w:val="auto"/>
          <w:sz w:val="21"/>
          <w:szCs w:val="21"/>
          <w:highlight w:val="none"/>
          <w:u w:val="single"/>
        </w:rPr>
        <w:t>若</w:t>
      </w:r>
      <w:r>
        <w:rPr>
          <w:rFonts w:hint="eastAsia" w:ascii="宋体" w:hAnsi="宋体" w:eastAsia="宋体" w:cs="宋体"/>
          <w:b/>
          <w:bCs/>
          <w:color w:val="auto"/>
          <w:sz w:val="21"/>
          <w:szCs w:val="21"/>
          <w:highlight w:val="none"/>
          <w:u w:val="single"/>
        </w:rPr>
        <w:t>招标答疑纪要</w:t>
      </w:r>
      <w:r>
        <w:rPr>
          <w:rFonts w:hint="eastAsia" w:ascii="宋体" w:hAnsi="宋体" w:eastAsia="宋体" w:cs="宋体"/>
          <w:color w:val="auto"/>
          <w:sz w:val="21"/>
          <w:szCs w:val="21"/>
          <w:highlight w:val="none"/>
          <w:u w:val="single"/>
        </w:rPr>
        <w:t>与招标文件有矛盾，以</w:t>
      </w:r>
      <w:r>
        <w:rPr>
          <w:rFonts w:hint="eastAsia" w:ascii="宋体" w:hAnsi="宋体" w:eastAsia="宋体" w:cs="宋体"/>
          <w:b/>
          <w:bCs/>
          <w:color w:val="auto"/>
          <w:sz w:val="21"/>
          <w:szCs w:val="21"/>
          <w:highlight w:val="none"/>
          <w:u w:val="single"/>
        </w:rPr>
        <w:t>广州交易集团有限公司（广州公共资源交易中心）网站最后发布的答疑纪要为准</w:t>
      </w:r>
      <w:r>
        <w:rPr>
          <w:rFonts w:hint="eastAsia" w:ascii="宋体" w:hAnsi="宋体" w:eastAsia="宋体" w:cs="宋体"/>
          <w:b/>
          <w:bCs/>
          <w:color w:val="auto"/>
          <w:sz w:val="21"/>
          <w:szCs w:val="21"/>
          <w:highlight w:val="none"/>
        </w:rPr>
        <w:t>。</w:t>
      </w:r>
    </w:p>
    <w:p w14:paraId="5C1C815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条款号：9.2             修改类型：修改</w:t>
      </w:r>
    </w:p>
    <w:p w14:paraId="40BF5BD4">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9.2招标文件的澄清或修改将在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交易平台上网发布时间作为送达时间。</w:t>
      </w:r>
    </w:p>
    <w:p w14:paraId="4D1B279A">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9.2招标文件的澄清或修改将在</w:t>
      </w:r>
      <w:r>
        <w:rPr>
          <w:rFonts w:hint="eastAsia" w:ascii="宋体" w:hAnsi="宋体" w:eastAsia="宋体" w:cs="宋体"/>
          <w:b/>
          <w:bCs/>
          <w:color w:val="auto"/>
          <w:szCs w:val="21"/>
          <w:highlight w:val="none"/>
          <w:u w:val="single"/>
        </w:rPr>
        <w:t>广州交易集团有限公司（广州公共资源交易中心）交易平台“项目查询(日程安排、答疑纪要)</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专区公开发布。答疑纪要一经在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交易平台上网发布时间作为送达时间</w:t>
      </w:r>
      <w:r>
        <w:rPr>
          <w:rFonts w:hint="eastAsia" w:ascii="宋体" w:hAnsi="宋体" w:eastAsia="宋体" w:cs="宋体"/>
          <w:color w:val="auto"/>
          <w:sz w:val="21"/>
          <w:szCs w:val="21"/>
          <w:highlight w:val="none"/>
          <w:lang w:eastAsia="zh-CN"/>
        </w:rPr>
        <w:t>。</w:t>
      </w:r>
    </w:p>
    <w:p w14:paraId="597C332F">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条款号：9.4             修改类型：修改</w:t>
      </w:r>
    </w:p>
    <w:p w14:paraId="2528403B">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9.4招标文件的澄清或修改均以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网站</w:t>
      </w:r>
      <w:r>
        <w:rPr>
          <w:rFonts w:hint="eastAsia" w:ascii="宋体" w:hAnsi="宋体" w:eastAsia="宋体" w:cs="宋体"/>
          <w:color w:val="auto"/>
          <w:sz w:val="21"/>
          <w:szCs w:val="21"/>
          <w:highlight w:val="none"/>
        </w:rPr>
        <w:t>发布的内容为准。当招标文件的澄清、修改、补充等在同一内容的表述不一致时，以最后发出的书面形式的文件为准。</w:t>
      </w:r>
    </w:p>
    <w:p w14:paraId="0D53447D">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9.4招标文件的澄清或修改均以</w:t>
      </w:r>
      <w:r>
        <w:rPr>
          <w:rFonts w:hint="eastAsia" w:ascii="宋体" w:hAnsi="宋体" w:eastAsia="宋体" w:cs="宋体"/>
          <w:b/>
          <w:bCs/>
          <w:color w:val="auto"/>
          <w:szCs w:val="21"/>
          <w:highlight w:val="none"/>
          <w:u w:val="single"/>
        </w:rPr>
        <w:t>广州交易集团有限公司（广州公共资源交易中心）网上答疑公布</w:t>
      </w:r>
      <w:r>
        <w:rPr>
          <w:rFonts w:hint="eastAsia" w:ascii="宋体" w:hAnsi="宋体" w:eastAsia="宋体" w:cs="宋体"/>
          <w:color w:val="auto"/>
          <w:sz w:val="21"/>
          <w:szCs w:val="21"/>
          <w:highlight w:val="none"/>
        </w:rPr>
        <w:t>的内容为准。当招标文件的澄清、修改、补充等在同一内容的表述不一致时，以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u w:val="single"/>
        </w:rPr>
        <w:t>网站</w:t>
      </w:r>
      <w:r>
        <w:rPr>
          <w:rFonts w:hint="eastAsia" w:ascii="宋体" w:hAnsi="宋体" w:eastAsia="宋体" w:cs="宋体"/>
          <w:color w:val="auto"/>
          <w:sz w:val="21"/>
          <w:szCs w:val="21"/>
          <w:highlight w:val="none"/>
        </w:rPr>
        <w:t>最后发出的书面形式的文件为准。</w:t>
      </w:r>
    </w:p>
    <w:p w14:paraId="553A35F4">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cs="宋体"/>
          <w:b/>
          <w:color w:val="auto"/>
          <w:szCs w:val="21"/>
          <w:highlight w:val="none"/>
          <w:lang w:val="en-US" w:eastAsia="zh-CN"/>
        </w:rPr>
        <w:t>11.1</w:t>
      </w:r>
      <w:r>
        <w:rPr>
          <w:rFonts w:hint="eastAsia" w:ascii="宋体" w:hAnsi="宋体" w:eastAsia="宋体" w:cs="宋体"/>
          <w:b/>
          <w:color w:val="auto"/>
          <w:szCs w:val="21"/>
          <w:highlight w:val="none"/>
        </w:rPr>
        <w:t xml:space="preserve">             修改类型：修改</w:t>
      </w:r>
    </w:p>
    <w:p w14:paraId="0C0D63A9">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11.1 投标文件由技术部分（含资格审查文件）和经济部分二部分投标文件组成。</w:t>
      </w:r>
    </w:p>
    <w:p w14:paraId="3C066E03">
      <w:pPr>
        <w:pStyle w:val="36"/>
        <w:pBdr>
          <w:bottom w:val="single" w:color="auto" w:sz="4" w:space="0"/>
        </w:pBdr>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11.1 投标文件由技术部分（含资格审查文件）</w:t>
      </w:r>
      <w:r>
        <w:rPr>
          <w:rFonts w:hint="eastAsia" w:ascii="宋体" w:hAnsi="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经济部分</w:t>
      </w:r>
      <w:r>
        <w:rPr>
          <w:rFonts w:hint="eastAsia" w:ascii="宋体" w:hAnsi="宋体" w:cs="宋体"/>
          <w:b/>
          <w:bCs/>
          <w:color w:val="auto"/>
          <w:sz w:val="21"/>
          <w:szCs w:val="21"/>
          <w:highlight w:val="none"/>
          <w:u w:val="single"/>
          <w:lang w:val="en-US" w:eastAsia="zh-CN"/>
        </w:rPr>
        <w:t>和定标文件三</w:t>
      </w:r>
      <w:r>
        <w:rPr>
          <w:rFonts w:hint="eastAsia" w:ascii="宋体" w:hAnsi="宋体" w:eastAsia="宋体" w:cs="宋体"/>
          <w:b/>
          <w:bCs/>
          <w:color w:val="auto"/>
          <w:sz w:val="21"/>
          <w:szCs w:val="21"/>
          <w:highlight w:val="none"/>
          <w:u w:val="single"/>
        </w:rPr>
        <w:t>部分</w:t>
      </w:r>
      <w:r>
        <w:rPr>
          <w:rFonts w:hint="eastAsia" w:ascii="宋体" w:hAnsi="宋体" w:eastAsia="宋体" w:cs="宋体"/>
          <w:color w:val="auto"/>
          <w:sz w:val="21"/>
          <w:szCs w:val="21"/>
          <w:highlight w:val="none"/>
        </w:rPr>
        <w:t>投标文件组成。</w:t>
      </w:r>
    </w:p>
    <w:p w14:paraId="11118476">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w:t>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14:paraId="2A4D69D9">
      <w:pPr>
        <w:pStyle w:val="36"/>
        <w:spacing w:after="0" w:line="360" w:lineRule="auto"/>
        <w:ind w:firstLine="422" w:firstLineChars="200"/>
        <w:rPr>
          <w:rFonts w:ascii="宋体"/>
          <w:b/>
          <w:color w:val="auto"/>
          <w:sz w:val="21"/>
          <w:szCs w:val="21"/>
          <w:highlight w:val="none"/>
          <w:u w:val="single"/>
        </w:rPr>
      </w:pPr>
      <w:r>
        <w:rPr>
          <w:rFonts w:hint="eastAsia" w:ascii="宋体" w:hAnsi="宋体" w:eastAsia="宋体" w:cs="宋体"/>
          <w:b/>
          <w:color w:val="auto"/>
          <w:szCs w:val="21"/>
          <w:highlight w:val="none"/>
        </w:rPr>
        <w:t>原文：</w:t>
      </w:r>
    </w:p>
    <w:p w14:paraId="736ED778">
      <w:pPr>
        <w:spacing w:line="360" w:lineRule="auto"/>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11.2投标文件</w:t>
      </w:r>
      <w:r>
        <w:rPr>
          <w:rFonts w:hint="eastAsia" w:ascii="宋体" w:hAnsi="宋体" w:eastAsia="宋体" w:cs="宋体"/>
          <w:bCs/>
          <w:color w:val="auto"/>
          <w:sz w:val="21"/>
          <w:szCs w:val="21"/>
          <w:highlight w:val="none"/>
          <w:u w:val="none"/>
          <w:lang w:eastAsia="zh-CN"/>
        </w:rPr>
        <w:t>技术标</w:t>
      </w:r>
      <w:r>
        <w:rPr>
          <w:rFonts w:hint="eastAsia" w:ascii="宋体" w:hAnsi="宋体" w:eastAsia="宋体" w:cs="宋体"/>
          <w:bCs/>
          <w:color w:val="auto"/>
          <w:sz w:val="21"/>
          <w:szCs w:val="21"/>
          <w:highlight w:val="none"/>
          <w:u w:val="none"/>
        </w:rPr>
        <w:t>部分主要包括下列内容:</w:t>
      </w:r>
    </w:p>
    <w:p w14:paraId="27F9EC28">
      <w:pPr>
        <w:pStyle w:val="19"/>
        <w:spacing w:line="360" w:lineRule="auto"/>
        <w:ind w:firstLine="480"/>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11.2.1资格审查文件</w:t>
      </w:r>
    </w:p>
    <w:p w14:paraId="53F03AE2">
      <w:pPr>
        <w:numPr>
          <w:ilvl w:val="0"/>
          <w:numId w:val="4"/>
        </w:numPr>
        <w:spacing w:line="360" w:lineRule="auto"/>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投标人声明</w:t>
      </w:r>
      <w:r>
        <w:rPr>
          <w:rFonts w:hint="eastAsia" w:ascii="宋体" w:hAnsi="宋体" w:eastAsia="宋体" w:cs="宋体"/>
          <w:bCs/>
          <w:color w:val="auto"/>
          <w:sz w:val="21"/>
          <w:szCs w:val="21"/>
          <w:highlight w:val="none"/>
          <w:u w:val="none"/>
          <w:lang w:val="en-US" w:eastAsia="zh-CN"/>
        </w:rPr>
        <w:t>；</w:t>
      </w:r>
    </w:p>
    <w:p w14:paraId="0D77EEF8">
      <w:pPr>
        <w:spacing w:line="360" w:lineRule="auto"/>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（2）法定代表人证明书、法定代表人签字或盖章的本投标文件授权委托证明书</w:t>
      </w:r>
      <w:r>
        <w:rPr>
          <w:rFonts w:hint="eastAsia" w:ascii="宋体" w:hAnsi="宋体" w:eastAsia="宋体" w:cs="宋体"/>
          <w:bCs/>
          <w:color w:val="auto"/>
          <w:sz w:val="21"/>
          <w:szCs w:val="21"/>
          <w:highlight w:val="none"/>
          <w:u w:val="none"/>
          <w:lang w:eastAsia="zh-CN"/>
        </w:rPr>
        <w:t>；</w:t>
      </w:r>
    </w:p>
    <w:p w14:paraId="39CB0520">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（3）企业营业执照</w:t>
      </w:r>
      <w:r>
        <w:rPr>
          <w:rFonts w:hint="eastAsia" w:ascii="宋体" w:hAnsi="宋体" w:eastAsia="宋体" w:cs="宋体"/>
          <w:bCs/>
          <w:color w:val="auto"/>
          <w:sz w:val="21"/>
          <w:szCs w:val="21"/>
          <w:highlight w:val="none"/>
          <w:u w:val="none"/>
          <w:lang w:eastAsia="zh-CN"/>
        </w:rPr>
        <w:t>；</w:t>
      </w:r>
    </w:p>
    <w:p w14:paraId="6E51B85F">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（4）企业资质证书</w:t>
      </w:r>
      <w:r>
        <w:rPr>
          <w:rFonts w:hint="eastAsia" w:ascii="宋体" w:hAnsi="宋体" w:eastAsia="宋体" w:cs="宋体"/>
          <w:bCs/>
          <w:color w:val="auto"/>
          <w:sz w:val="21"/>
          <w:szCs w:val="21"/>
          <w:highlight w:val="none"/>
          <w:u w:val="none"/>
          <w:lang w:eastAsia="zh-CN"/>
        </w:rPr>
        <w:t>；</w:t>
      </w:r>
    </w:p>
    <w:p w14:paraId="444E1DC8">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（5）建筑施工企业安全生产许可证</w:t>
      </w:r>
      <w:r>
        <w:rPr>
          <w:rFonts w:hint="eastAsia" w:ascii="宋体" w:hAnsi="宋体" w:eastAsia="宋体" w:cs="宋体"/>
          <w:bCs/>
          <w:color w:val="auto"/>
          <w:sz w:val="21"/>
          <w:szCs w:val="21"/>
          <w:highlight w:val="none"/>
          <w:u w:val="none"/>
          <w:lang w:eastAsia="zh-CN"/>
        </w:rPr>
        <w:t>；</w:t>
      </w:r>
    </w:p>
    <w:p w14:paraId="49A8C765">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（6）项目负责人（按网上投标登记时选择拟投标的项目负责人</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u w:val="none"/>
        </w:rPr>
        <w:t>投标人须在广州市交通建设项目企业信息库建立企业信用信息档案，拟担任本工程项目负责人须是本企业信息档案中的在册人员</w:t>
      </w: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eastAsia="zh-CN"/>
        </w:rPr>
        <w:t>；</w:t>
      </w:r>
    </w:p>
    <w:p w14:paraId="5B91E4D2">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（7）专职安全员（按网上投标登记时选择拟投标的专职安全员</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u w:val="none"/>
        </w:rPr>
        <w:t>投标人须在广州市交通建设项目企业信息库建立企业信用信息档案，拟担任本工程专职安全员须是本企业信息档案中的在册人员</w:t>
      </w: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eastAsia="zh-CN"/>
        </w:rPr>
        <w:t>；</w:t>
      </w:r>
    </w:p>
    <w:p w14:paraId="70EB2C4C">
      <w:pPr>
        <w:spacing w:line="360" w:lineRule="auto"/>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（8）拟委派项目负责人的建造师注册证书（取自</w:t>
      </w:r>
      <w:r>
        <w:rPr>
          <w:rFonts w:hint="eastAsia" w:ascii="宋体" w:hAnsi="宋体" w:eastAsia="宋体" w:cs="宋体"/>
          <w:color w:val="auto"/>
          <w:sz w:val="21"/>
          <w:szCs w:val="21"/>
          <w:highlight w:val="none"/>
          <w:u w:val="none"/>
        </w:rPr>
        <w:t>广州市交通建设项目企业信息库</w:t>
      </w:r>
      <w:r>
        <w:rPr>
          <w:rFonts w:hint="eastAsia" w:ascii="宋体" w:hAnsi="宋体" w:eastAsia="宋体" w:cs="宋体"/>
          <w:bCs/>
          <w:color w:val="auto"/>
          <w:sz w:val="21"/>
          <w:szCs w:val="21"/>
          <w:highlight w:val="none"/>
          <w:u w:val="none"/>
        </w:rPr>
        <w:t>内上传件）</w:t>
      </w:r>
      <w:r>
        <w:rPr>
          <w:rFonts w:hint="eastAsia" w:ascii="宋体" w:hAnsi="宋体" w:eastAsia="宋体" w:cs="宋体"/>
          <w:bCs/>
          <w:color w:val="auto"/>
          <w:sz w:val="21"/>
          <w:szCs w:val="21"/>
          <w:highlight w:val="none"/>
          <w:u w:val="none"/>
          <w:lang w:eastAsia="zh-CN"/>
        </w:rPr>
        <w:t>；</w:t>
      </w:r>
    </w:p>
    <w:p w14:paraId="4EFA29CA">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rPr>
        <w:t>）项目负责人安全生产考核合格证明或在有效期内的安全考核合格证书（B类）或建筑施工企业项目负责人安全生产考核合格证书</w:t>
      </w:r>
      <w:r>
        <w:rPr>
          <w:rFonts w:hint="eastAsia" w:ascii="宋体" w:hAnsi="宋体" w:eastAsia="宋体" w:cs="宋体"/>
          <w:bCs/>
          <w:color w:val="auto"/>
          <w:sz w:val="21"/>
          <w:szCs w:val="21"/>
          <w:highlight w:val="none"/>
          <w:u w:val="none"/>
          <w:lang w:eastAsia="zh-CN"/>
        </w:rPr>
        <w:t>；</w:t>
      </w:r>
    </w:p>
    <w:p w14:paraId="174A8CAE">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val="en-US" w:eastAsia="zh-CN"/>
        </w:rPr>
        <w:t>10</w:t>
      </w:r>
      <w:r>
        <w:rPr>
          <w:rFonts w:hint="eastAsia" w:ascii="宋体" w:hAnsi="宋体" w:eastAsia="宋体" w:cs="宋体"/>
          <w:bCs/>
          <w:color w:val="auto"/>
          <w:sz w:val="21"/>
          <w:szCs w:val="21"/>
          <w:highlight w:val="none"/>
          <w:u w:val="none"/>
        </w:rPr>
        <w:t>）专职安全员须具有在有效期内的安全考核合格证书（C类）或建筑施工企业专职安全生产管理人员安全生产考核合格证书（C3）</w:t>
      </w:r>
      <w:r>
        <w:rPr>
          <w:rFonts w:hint="eastAsia" w:ascii="宋体" w:hAnsi="宋体" w:eastAsia="宋体" w:cs="宋体"/>
          <w:bCs/>
          <w:color w:val="auto"/>
          <w:sz w:val="21"/>
          <w:szCs w:val="21"/>
          <w:highlight w:val="none"/>
          <w:u w:val="none"/>
          <w:lang w:eastAsia="zh-CN"/>
        </w:rPr>
        <w:t>；</w:t>
      </w:r>
    </w:p>
    <w:p w14:paraId="23A5B187">
      <w:pPr>
        <w:spacing w:line="360" w:lineRule="auto"/>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val="en-US" w:eastAsia="zh-CN"/>
        </w:rPr>
        <w:t>11</w:t>
      </w:r>
      <w:r>
        <w:rPr>
          <w:rFonts w:hint="eastAsia" w:ascii="宋体" w:hAnsi="宋体" w:eastAsia="宋体" w:cs="宋体"/>
          <w:bCs/>
          <w:color w:val="auto"/>
          <w:sz w:val="21"/>
          <w:szCs w:val="21"/>
          <w:highlight w:val="none"/>
          <w:u w:val="none"/>
        </w:rPr>
        <w:t>）用于资格审查的业绩（设置业绩要求时选择此项，</w:t>
      </w:r>
      <w:r>
        <w:rPr>
          <w:rFonts w:hint="eastAsia" w:ascii="宋体" w:hAnsi="宋体" w:eastAsia="宋体" w:cs="宋体"/>
          <w:color w:val="auto"/>
          <w:sz w:val="21"/>
          <w:szCs w:val="21"/>
          <w:highlight w:val="none"/>
          <w:u w:val="none"/>
        </w:rPr>
        <w:t>具体格式由招标人自定</w:t>
      </w:r>
      <w:r>
        <w:rPr>
          <w:rFonts w:hint="eastAsia" w:ascii="宋体" w:hAnsi="宋体" w:eastAsia="宋体" w:cs="宋体"/>
          <w:bCs/>
          <w:color w:val="auto"/>
          <w:sz w:val="21"/>
          <w:szCs w:val="21"/>
          <w:highlight w:val="none"/>
          <w:u w:val="none"/>
        </w:rPr>
        <w:t>）</w:t>
      </w:r>
    </w:p>
    <w:p w14:paraId="07400A58">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val="en-US" w:eastAsia="zh-CN"/>
        </w:rPr>
        <w:t>12</w:t>
      </w:r>
      <w:r>
        <w:rPr>
          <w:rFonts w:hint="eastAsia" w:ascii="宋体" w:hAnsi="宋体" w:eastAsia="宋体" w:cs="宋体"/>
          <w:bCs/>
          <w:color w:val="auto"/>
          <w:sz w:val="21"/>
          <w:szCs w:val="21"/>
          <w:highlight w:val="none"/>
          <w:u w:val="none"/>
        </w:rPr>
        <w:t>）列明主办单位的联合体工作协议（采用联合体投标时需递交，</w:t>
      </w:r>
      <w:r>
        <w:rPr>
          <w:rFonts w:hint="eastAsia" w:ascii="宋体" w:hAnsi="宋体" w:eastAsia="宋体" w:cs="宋体"/>
          <w:color w:val="auto"/>
          <w:sz w:val="21"/>
          <w:szCs w:val="21"/>
          <w:highlight w:val="none"/>
          <w:u w:val="none"/>
        </w:rPr>
        <w:t>联合体工作协议应明确约定各方拟承担的工作和责任</w:t>
      </w: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eastAsia="zh-CN"/>
        </w:rPr>
        <w:t>；</w:t>
      </w:r>
    </w:p>
    <w:p w14:paraId="1E1F97EF">
      <w:pPr>
        <w:spacing w:line="360" w:lineRule="auto"/>
        <w:ind w:firstLine="420" w:firstLineChars="200"/>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13）投标人认为应提交的其他资料</w:t>
      </w:r>
      <w:r>
        <w:rPr>
          <w:rFonts w:hint="eastAsia" w:ascii="宋体" w:hAnsi="宋体" w:eastAsia="宋体" w:cs="宋体"/>
          <w:bCs/>
          <w:color w:val="auto"/>
          <w:sz w:val="21"/>
          <w:szCs w:val="21"/>
          <w:highlight w:val="none"/>
          <w:u w:val="none"/>
          <w:lang w:eastAsia="zh-CN"/>
        </w:rPr>
        <w:t>。</w:t>
      </w:r>
    </w:p>
    <w:p w14:paraId="5B5C0162">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技术投标文件主要包括下列内容：</w:t>
      </w:r>
    </w:p>
    <w:p w14:paraId="7A278EB0">
      <w:pPr>
        <w:numPr>
          <w:ilvl w:val="0"/>
          <w:numId w:val="0"/>
        </w:num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Cs/>
          <w:color w:val="auto"/>
          <w:sz w:val="21"/>
          <w:szCs w:val="21"/>
          <w:highlight w:val="none"/>
          <w:u w:val="none"/>
          <w:lang w:eastAsia="zh-CN"/>
        </w:rPr>
        <w:t>《广州建设工程施工招标投标书》；</w:t>
      </w:r>
    </w:p>
    <w:p w14:paraId="014C59BC">
      <w:pPr>
        <w:numPr>
          <w:ilvl w:val="0"/>
          <w:numId w:val="0"/>
        </w:num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u w:val="none"/>
        </w:rPr>
        <w:t>项目管理机构配备：</w:t>
      </w:r>
    </w:p>
    <w:p w14:paraId="3A680D18">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①投标人应列出该项目工程的施工组织机构构成和画出机构框架图及其负责人；</w:t>
      </w:r>
    </w:p>
    <w:p w14:paraId="627C3000">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②投标人应详细列出该施工组织机构中主要成员的名单、简历资料、职务职称和在本项目中拟担任的职务等资料，并附上有关证明材料扫描件；</w:t>
      </w:r>
    </w:p>
    <w:p w14:paraId="09D59049">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③其他辅助说明资料。</w:t>
      </w:r>
    </w:p>
    <w:p w14:paraId="7D269C4E">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）施工组织设计或施工方案</w:t>
      </w:r>
      <w:r>
        <w:rPr>
          <w:rFonts w:hint="eastAsia" w:ascii="宋体" w:hAnsi="宋体" w:eastAsia="宋体" w:cs="宋体"/>
          <w:color w:val="auto"/>
          <w:sz w:val="21"/>
          <w:szCs w:val="21"/>
          <w:highlight w:val="none"/>
          <w:u w:val="none"/>
          <w:lang w:eastAsia="zh-CN"/>
        </w:rPr>
        <w:t>；</w:t>
      </w:r>
    </w:p>
    <w:p w14:paraId="0F94D3E2">
      <w:pPr>
        <w:pStyle w:val="8"/>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注：建议招标人在招标文件中提出</w:t>
      </w:r>
      <w:r>
        <w:rPr>
          <w:rFonts w:hint="eastAsia" w:ascii="宋体" w:hAnsi="宋体" w:eastAsia="宋体" w:cs="宋体"/>
          <w:bCs w:val="0"/>
          <w:color w:val="auto"/>
          <w:kern w:val="2"/>
          <w:sz w:val="21"/>
          <w:szCs w:val="21"/>
          <w:highlight w:val="none"/>
          <w:u w:val="none"/>
        </w:rPr>
        <w:t>篇幅上限</w:t>
      </w:r>
      <w:r>
        <w:rPr>
          <w:rFonts w:hint="eastAsia" w:ascii="宋体" w:hAnsi="宋体" w:eastAsia="宋体" w:cs="宋体"/>
          <w:bCs w:val="0"/>
          <w:color w:val="auto"/>
          <w:kern w:val="2"/>
          <w:sz w:val="21"/>
          <w:szCs w:val="21"/>
          <w:highlight w:val="none"/>
          <w:u w:val="none"/>
          <w:lang w:eastAsia="zh-CN"/>
        </w:rPr>
        <w:t>，国家及地方现有工法规范已有的内容</w:t>
      </w:r>
      <w:r>
        <w:rPr>
          <w:rFonts w:hint="eastAsia" w:ascii="宋体" w:hAnsi="宋体" w:eastAsia="宋体" w:cs="宋体"/>
          <w:bCs w:val="0"/>
          <w:color w:val="auto"/>
          <w:kern w:val="2"/>
          <w:sz w:val="21"/>
          <w:szCs w:val="21"/>
          <w:highlight w:val="none"/>
          <w:u w:val="none"/>
          <w:lang w:val="en-US" w:eastAsia="zh-CN"/>
        </w:rPr>
        <w:t>无需重复提交</w:t>
      </w:r>
      <w:r>
        <w:rPr>
          <w:rFonts w:hint="eastAsia" w:ascii="宋体" w:hAnsi="宋体" w:eastAsia="宋体" w:cs="宋体"/>
          <w:bCs w:val="0"/>
          <w:color w:val="auto"/>
          <w:kern w:val="2"/>
          <w:sz w:val="21"/>
          <w:szCs w:val="21"/>
          <w:highlight w:val="none"/>
          <w:u w:val="none"/>
        </w:rPr>
        <w:t>。</w:t>
      </w:r>
    </w:p>
    <w:p w14:paraId="73713C8E">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4）（选择性条款）</w:t>
      </w:r>
      <w:r>
        <w:rPr>
          <w:rFonts w:hint="eastAsia" w:ascii="宋体" w:hAnsi="宋体" w:eastAsia="宋体" w:cs="宋体"/>
          <w:color w:val="auto"/>
          <w:sz w:val="21"/>
          <w:szCs w:val="21"/>
          <w:highlight w:val="none"/>
          <w:u w:val="none"/>
        </w:rPr>
        <w:t>有余泥渣土产生的项目</w:t>
      </w:r>
      <w:r>
        <w:rPr>
          <w:rFonts w:hint="eastAsia" w:ascii="宋体" w:hAnsi="宋体" w:eastAsia="宋体" w:cs="宋体"/>
          <w:color w:val="auto"/>
          <w:sz w:val="21"/>
          <w:szCs w:val="21"/>
          <w:highlight w:val="none"/>
          <w:u w:val="none"/>
          <w:lang w:eastAsia="zh-CN"/>
        </w:rPr>
        <w:t>可要求提供</w:t>
      </w:r>
      <w:r>
        <w:rPr>
          <w:rFonts w:hint="eastAsia" w:ascii="宋体" w:hAnsi="宋体" w:eastAsia="宋体" w:cs="宋体"/>
          <w:color w:val="auto"/>
          <w:sz w:val="21"/>
          <w:szCs w:val="21"/>
          <w:highlight w:val="none"/>
          <w:u w:val="none"/>
        </w:rPr>
        <w:t>余泥渣土运输与排放方案</w:t>
      </w:r>
      <w:r>
        <w:rPr>
          <w:rFonts w:hint="eastAsia" w:ascii="宋体" w:hAnsi="宋体" w:eastAsia="宋体" w:cs="宋体"/>
          <w:color w:val="auto"/>
          <w:sz w:val="21"/>
          <w:szCs w:val="21"/>
          <w:highlight w:val="none"/>
          <w:u w:val="none"/>
          <w:lang w:eastAsia="zh-CN"/>
        </w:rPr>
        <w:t>；</w:t>
      </w:r>
    </w:p>
    <w:p w14:paraId="4D2DE9BC">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（选择性条款）</w:t>
      </w:r>
      <w:r>
        <w:rPr>
          <w:rFonts w:hint="eastAsia" w:ascii="宋体" w:hAnsi="宋体" w:eastAsia="宋体" w:cs="宋体"/>
          <w:color w:val="auto"/>
          <w:sz w:val="21"/>
          <w:szCs w:val="21"/>
          <w:highlight w:val="none"/>
          <w:u w:val="none"/>
        </w:rPr>
        <w:t>投标人可使用适合本工程的机械设备</w:t>
      </w:r>
      <w:r>
        <w:rPr>
          <w:rFonts w:hint="eastAsia" w:ascii="宋体" w:hAnsi="宋体" w:eastAsia="宋体" w:cs="宋体"/>
          <w:color w:val="auto"/>
          <w:sz w:val="21"/>
          <w:szCs w:val="21"/>
          <w:highlight w:val="none"/>
          <w:u w:val="none"/>
          <w:lang w:eastAsia="zh-CN"/>
        </w:rPr>
        <w:t>；</w:t>
      </w:r>
    </w:p>
    <w:p w14:paraId="745F6A81">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（选择性条款）</w:t>
      </w:r>
      <w:r>
        <w:rPr>
          <w:rFonts w:hint="eastAsia" w:ascii="宋体" w:hAnsi="宋体" w:eastAsia="宋体" w:cs="宋体"/>
          <w:color w:val="auto"/>
          <w:sz w:val="21"/>
          <w:szCs w:val="21"/>
          <w:highlight w:val="none"/>
          <w:u w:val="none"/>
        </w:rPr>
        <w:t>类似工程业绩材料</w:t>
      </w:r>
      <w:r>
        <w:rPr>
          <w:rFonts w:hint="eastAsia" w:ascii="宋体" w:hAnsi="宋体" w:eastAsia="宋体" w:cs="宋体"/>
          <w:color w:val="auto"/>
          <w:sz w:val="21"/>
          <w:szCs w:val="21"/>
          <w:highlight w:val="none"/>
          <w:u w:val="none"/>
          <w:lang w:eastAsia="zh-CN"/>
        </w:rPr>
        <w:t>；</w:t>
      </w:r>
    </w:p>
    <w:p w14:paraId="1B74EB91">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）按本招标文件规定提交的其它所有技术资料</w:t>
      </w:r>
      <w:r>
        <w:rPr>
          <w:rFonts w:hint="eastAsia" w:ascii="宋体" w:hAnsi="宋体" w:eastAsia="宋体" w:cs="宋体"/>
          <w:color w:val="auto"/>
          <w:sz w:val="21"/>
          <w:szCs w:val="21"/>
          <w:highlight w:val="none"/>
          <w:u w:val="none"/>
          <w:lang w:eastAsia="zh-CN"/>
        </w:rPr>
        <w:t>；</w:t>
      </w:r>
    </w:p>
    <w:p w14:paraId="5B8EEA73">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）按照招标文件要求填写的《参与编制技术标投标文件人员名单》。</w:t>
      </w:r>
    </w:p>
    <w:p w14:paraId="05CDD5E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p>
    <w:p w14:paraId="3A121818">
      <w:pPr>
        <w:spacing w:line="360" w:lineRule="auto"/>
        <w:ind w:firstLine="420"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Cs/>
          <w:color w:val="auto"/>
          <w:sz w:val="21"/>
          <w:szCs w:val="21"/>
          <w:highlight w:val="none"/>
          <w:u w:val="single"/>
        </w:rPr>
        <w:t>11.2</w:t>
      </w:r>
      <w:r>
        <w:rPr>
          <w:rFonts w:hint="eastAsia" w:ascii="宋体" w:hAnsi="宋体" w:eastAsia="宋体" w:cs="宋体"/>
          <w:b/>
          <w:bCs w:val="0"/>
          <w:color w:val="auto"/>
          <w:sz w:val="21"/>
          <w:szCs w:val="21"/>
          <w:highlight w:val="none"/>
          <w:u w:val="single"/>
        </w:rPr>
        <w:t>投标文件</w:t>
      </w:r>
      <w:r>
        <w:rPr>
          <w:rFonts w:hint="eastAsia" w:ascii="宋体" w:hAnsi="宋体" w:eastAsia="宋体" w:cs="宋体"/>
          <w:b/>
          <w:bCs w:val="0"/>
          <w:color w:val="auto"/>
          <w:sz w:val="21"/>
          <w:szCs w:val="21"/>
          <w:highlight w:val="none"/>
          <w:u w:val="single"/>
          <w:lang w:eastAsia="zh-CN"/>
        </w:rPr>
        <w:t>技术标</w:t>
      </w:r>
      <w:r>
        <w:rPr>
          <w:rFonts w:hint="eastAsia" w:ascii="宋体" w:hAnsi="宋体" w:eastAsia="宋体" w:cs="宋体"/>
          <w:b/>
          <w:bCs w:val="0"/>
          <w:color w:val="auto"/>
          <w:sz w:val="21"/>
          <w:szCs w:val="21"/>
          <w:highlight w:val="none"/>
          <w:u w:val="single"/>
        </w:rPr>
        <w:t>部分（含资格审查文件）主要包括下列内容</w:t>
      </w:r>
      <w:r>
        <w:rPr>
          <w:rFonts w:hint="eastAsia" w:ascii="宋体" w:hAnsi="宋体" w:eastAsia="宋体" w:cs="宋体"/>
          <w:b/>
          <w:color w:val="auto"/>
          <w:szCs w:val="21"/>
          <w:highlight w:val="none"/>
          <w:u w:val="single"/>
        </w:rPr>
        <w:t>（除注明原件外，均为扫描件（网页截图）即可）</w:t>
      </w:r>
      <w:r>
        <w:rPr>
          <w:rFonts w:hint="eastAsia" w:ascii="宋体" w:hAnsi="宋体" w:eastAsia="宋体" w:cs="宋体"/>
          <w:b/>
          <w:bCs w:val="0"/>
          <w:color w:val="auto"/>
          <w:sz w:val="21"/>
          <w:szCs w:val="21"/>
          <w:highlight w:val="none"/>
          <w:u w:val="single"/>
        </w:rPr>
        <w:t>:</w:t>
      </w:r>
    </w:p>
    <w:p w14:paraId="4427AE1D">
      <w:pPr>
        <w:pStyle w:val="19"/>
        <w:spacing w:line="360" w:lineRule="auto"/>
        <w:ind w:firstLine="48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z w:val="21"/>
          <w:szCs w:val="21"/>
          <w:highlight w:val="none"/>
          <w:u w:val="single"/>
          <w:lang w:val="en-US" w:eastAsia="zh-CN"/>
        </w:rPr>
        <w:t>11.2.1资格审查文件</w:t>
      </w:r>
    </w:p>
    <w:p w14:paraId="02BD3E67">
      <w:pPr>
        <w:numPr>
          <w:ilvl w:val="0"/>
          <w:numId w:val="5"/>
        </w:numPr>
        <w:spacing w:line="360" w:lineRule="auto"/>
        <w:ind w:firstLine="420"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Cs/>
          <w:color w:val="auto"/>
          <w:kern w:val="2"/>
          <w:sz w:val="21"/>
          <w:szCs w:val="21"/>
          <w:highlight w:val="none"/>
          <w:u w:val="single"/>
          <w:lang w:val="en-US" w:eastAsia="zh-CN" w:bidi="ar-SA"/>
        </w:rPr>
        <w:t>《投标人声明</w:t>
      </w:r>
      <w:r>
        <w:rPr>
          <w:rFonts w:hint="eastAsia" w:ascii="宋体" w:hAnsi="宋体" w:eastAsia="宋体" w:cs="宋体"/>
          <w:b/>
          <w:bCs w:val="0"/>
          <w:color w:val="auto"/>
          <w:kern w:val="2"/>
          <w:sz w:val="21"/>
          <w:szCs w:val="21"/>
          <w:highlight w:val="none"/>
          <w:u w:val="single"/>
          <w:lang w:val="en-US" w:eastAsia="zh-CN" w:bidi="ar-SA"/>
        </w:rPr>
        <w:t>（适用于独立投标或联合体主办方）</w:t>
      </w:r>
      <w:r>
        <w:rPr>
          <w:rFonts w:hint="eastAsia" w:ascii="宋体" w:hAnsi="宋体" w:eastAsia="宋体" w:cs="宋体"/>
          <w:bCs/>
          <w:color w:val="auto"/>
          <w:kern w:val="2"/>
          <w:sz w:val="21"/>
          <w:szCs w:val="21"/>
          <w:highlight w:val="none"/>
          <w:u w:val="single"/>
          <w:lang w:val="en-US" w:eastAsia="zh-CN" w:bidi="ar-SA"/>
        </w:rPr>
        <w:t>》及《投标人声明</w:t>
      </w:r>
      <w:r>
        <w:rPr>
          <w:rFonts w:hint="eastAsia" w:ascii="宋体" w:hAnsi="宋体" w:eastAsia="宋体" w:cs="宋体"/>
          <w:b/>
          <w:bCs w:val="0"/>
          <w:color w:val="auto"/>
          <w:kern w:val="2"/>
          <w:sz w:val="21"/>
          <w:szCs w:val="21"/>
          <w:highlight w:val="none"/>
          <w:u w:val="single"/>
          <w:lang w:val="en-US" w:eastAsia="zh-CN" w:bidi="ar-SA"/>
        </w:rPr>
        <w:t>（适用于联合体成员方）</w:t>
      </w:r>
      <w:r>
        <w:rPr>
          <w:rFonts w:hint="eastAsia" w:ascii="宋体" w:hAnsi="宋体" w:eastAsia="宋体" w:cs="宋体"/>
          <w:bCs/>
          <w:color w:val="auto"/>
          <w:kern w:val="2"/>
          <w:sz w:val="21"/>
          <w:szCs w:val="21"/>
          <w:highlight w:val="none"/>
          <w:u w:val="single"/>
          <w:lang w:val="en-US" w:eastAsia="zh-CN" w:bidi="ar-SA"/>
        </w:rPr>
        <w:t>》（若为联合体投标，成员方需提供《投标人声明</w:t>
      </w:r>
      <w:r>
        <w:rPr>
          <w:rFonts w:hint="eastAsia" w:ascii="宋体" w:hAnsi="宋体" w:eastAsia="宋体" w:cs="宋体"/>
          <w:b/>
          <w:bCs w:val="0"/>
          <w:color w:val="auto"/>
          <w:kern w:val="2"/>
          <w:sz w:val="21"/>
          <w:szCs w:val="21"/>
          <w:highlight w:val="none"/>
          <w:u w:val="single"/>
          <w:lang w:val="en-US" w:eastAsia="zh-CN" w:bidi="ar-SA"/>
        </w:rPr>
        <w:t>（适用于联合体成员方）</w:t>
      </w:r>
      <w:r>
        <w:rPr>
          <w:rFonts w:hint="eastAsia" w:ascii="宋体" w:hAnsi="宋体" w:eastAsia="宋体" w:cs="宋体"/>
          <w:bCs/>
          <w:color w:val="auto"/>
          <w:kern w:val="2"/>
          <w:sz w:val="21"/>
          <w:szCs w:val="21"/>
          <w:highlight w:val="none"/>
          <w:u w:val="single"/>
          <w:lang w:val="en-US" w:eastAsia="zh-CN" w:bidi="ar-SA"/>
        </w:rPr>
        <w:t>》；若为独立投标人，无需提供《投标人声明</w:t>
      </w:r>
      <w:r>
        <w:rPr>
          <w:rFonts w:hint="eastAsia" w:ascii="宋体" w:hAnsi="宋体" w:eastAsia="宋体" w:cs="宋体"/>
          <w:b/>
          <w:bCs w:val="0"/>
          <w:color w:val="auto"/>
          <w:kern w:val="2"/>
          <w:sz w:val="21"/>
          <w:szCs w:val="21"/>
          <w:highlight w:val="none"/>
          <w:u w:val="single"/>
          <w:lang w:val="en-US" w:eastAsia="zh-CN" w:bidi="ar-SA"/>
        </w:rPr>
        <w:t>（适用于联合体成员方）</w:t>
      </w:r>
      <w:r>
        <w:rPr>
          <w:rFonts w:hint="eastAsia" w:ascii="宋体" w:hAnsi="宋体" w:eastAsia="宋体" w:cs="宋体"/>
          <w:bCs/>
          <w:color w:val="auto"/>
          <w:kern w:val="2"/>
          <w:sz w:val="21"/>
          <w:szCs w:val="21"/>
          <w:highlight w:val="none"/>
          <w:u w:val="single"/>
          <w:lang w:val="en-US" w:eastAsia="zh-CN" w:bidi="ar-SA"/>
        </w:rPr>
        <w:t>》）扫描件（须按招标公告附件内容及格式要求编制）</w:t>
      </w:r>
      <w:r>
        <w:rPr>
          <w:rFonts w:hint="eastAsia" w:ascii="宋体" w:hAnsi="宋体" w:eastAsia="宋体" w:cs="宋体"/>
          <w:b/>
          <w:bCs w:val="0"/>
          <w:color w:val="auto"/>
          <w:sz w:val="21"/>
          <w:szCs w:val="21"/>
          <w:highlight w:val="none"/>
          <w:u w:val="single"/>
          <w:lang w:val="en-US" w:eastAsia="zh-CN"/>
        </w:rPr>
        <w:t>；</w:t>
      </w:r>
    </w:p>
    <w:p w14:paraId="09676B4A">
      <w:pPr>
        <w:spacing w:line="360" w:lineRule="auto"/>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u w:val="single"/>
        </w:rPr>
        <w:t>（2）</w:t>
      </w:r>
      <w:r>
        <w:rPr>
          <w:rFonts w:hint="eastAsia" w:ascii="宋体" w:hAnsi="宋体" w:eastAsia="宋体" w:cs="宋体"/>
          <w:bCs/>
          <w:color w:val="auto"/>
          <w:sz w:val="21"/>
          <w:szCs w:val="21"/>
          <w:highlight w:val="none"/>
          <w:u w:val="single"/>
        </w:rPr>
        <w:t>法定代表人证明书及有效的法定代表人身份证正反面扫描件、法定代表人签字或盖章的本投标文件授权委托证明书扫描件</w:t>
      </w:r>
      <w:r>
        <w:rPr>
          <w:rFonts w:hint="eastAsia" w:ascii="宋体" w:hAnsi="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有效的被授权人身份证正反面扫描件</w:t>
      </w:r>
      <w:r>
        <w:rPr>
          <w:rFonts w:hint="eastAsia" w:ascii="宋体" w:hAnsi="宋体" w:cs="宋体"/>
          <w:bCs/>
          <w:color w:val="auto"/>
          <w:sz w:val="21"/>
          <w:szCs w:val="21"/>
          <w:highlight w:val="none"/>
          <w:u w:val="single"/>
          <w:lang w:val="en-US" w:eastAsia="zh-CN"/>
        </w:rPr>
        <w:t>及</w:t>
      </w:r>
      <w:r>
        <w:rPr>
          <w:rFonts w:hint="eastAsia" w:ascii="宋体" w:hAnsi="宋体" w:cs="宋体"/>
          <w:color w:val="auto"/>
          <w:sz w:val="21"/>
          <w:szCs w:val="21"/>
          <w:highlight w:val="none"/>
          <w:u w:val="single"/>
          <w:lang w:val="en-US" w:eastAsia="zh-CN"/>
        </w:rPr>
        <w:t>被授权人</w:t>
      </w:r>
      <w:r>
        <w:rPr>
          <w:rFonts w:hint="eastAsia" w:ascii="宋体" w:hAnsi="宋体"/>
          <w:color w:val="auto"/>
          <w:szCs w:val="21"/>
          <w:highlight w:val="none"/>
          <w:u w:val="single"/>
          <w:lang w:val="en-US" w:eastAsia="zh-CN"/>
        </w:rPr>
        <w:t>2025年07月或08月有效</w:t>
      </w:r>
      <w:r>
        <w:rPr>
          <w:rFonts w:hint="eastAsia" w:ascii="宋体" w:hAnsi="宋体"/>
          <w:color w:val="auto"/>
          <w:szCs w:val="21"/>
          <w:highlight w:val="none"/>
          <w:u w:val="single"/>
        </w:rPr>
        <w:t>社保证明材料</w:t>
      </w:r>
      <w:r>
        <w:rPr>
          <w:rFonts w:hint="eastAsia" w:ascii="宋体" w:hAnsi="宋体"/>
          <w:color w:val="auto"/>
          <w:szCs w:val="21"/>
          <w:highlight w:val="none"/>
          <w:u w:val="single"/>
          <w:lang w:val="en-US" w:eastAsia="zh-CN"/>
        </w:rPr>
        <w:t>扫描件</w:t>
      </w:r>
      <w:r>
        <w:rPr>
          <w:rFonts w:hint="eastAsia" w:ascii="宋体" w:hAnsi="宋体" w:eastAsia="宋体" w:cs="宋体"/>
          <w:bCs/>
          <w:color w:val="auto"/>
          <w:sz w:val="21"/>
          <w:szCs w:val="21"/>
          <w:highlight w:val="none"/>
          <w:u w:val="single"/>
        </w:rPr>
        <w:t>；（</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eastAsia="宋体" w:cs="宋体"/>
          <w:b w:val="0"/>
          <w:bCs/>
          <w:color w:val="auto"/>
          <w:sz w:val="21"/>
          <w:szCs w:val="21"/>
          <w:highlight w:val="none"/>
          <w:u w:val="single"/>
        </w:rPr>
        <w:t>）</w:t>
      </w:r>
      <w:r>
        <w:rPr>
          <w:rFonts w:hint="eastAsia" w:ascii="宋体" w:hAnsi="宋体" w:eastAsia="宋体" w:cs="宋体"/>
          <w:b/>
          <w:bCs w:val="0"/>
          <w:color w:val="auto"/>
          <w:szCs w:val="21"/>
          <w:highlight w:val="none"/>
          <w:u w:val="single"/>
          <w:lang w:eastAsia="zh-CN"/>
        </w:rPr>
        <w:t>；</w:t>
      </w:r>
    </w:p>
    <w:p w14:paraId="1A97F714">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（3）</w:t>
      </w:r>
      <w:r>
        <w:rPr>
          <w:rFonts w:hint="eastAsia" w:ascii="宋体" w:hAnsi="宋体" w:eastAsia="宋体" w:cs="宋体"/>
          <w:bCs/>
          <w:color w:val="auto"/>
          <w:sz w:val="21"/>
          <w:szCs w:val="21"/>
          <w:highlight w:val="none"/>
          <w:u w:val="single"/>
        </w:rPr>
        <w:t>企业营业执照扫描件或电子证照</w:t>
      </w:r>
      <w:r>
        <w:rPr>
          <w:rFonts w:hint="eastAsia" w:ascii="宋体" w:hAnsi="宋体" w:eastAsia="宋体" w:cs="宋体"/>
          <w:b/>
          <w:bCs w:val="0"/>
          <w:color w:val="auto"/>
          <w:sz w:val="21"/>
          <w:szCs w:val="21"/>
          <w:highlight w:val="none"/>
          <w:u w:val="single"/>
        </w:rPr>
        <w:t>（若为联合体投标，由联合体各方提供）</w:t>
      </w:r>
      <w:r>
        <w:rPr>
          <w:rFonts w:hint="eastAsia" w:ascii="宋体" w:hAnsi="宋体" w:eastAsia="宋体" w:cs="宋体"/>
          <w:b/>
          <w:bCs w:val="0"/>
          <w:color w:val="auto"/>
          <w:sz w:val="21"/>
          <w:szCs w:val="21"/>
          <w:highlight w:val="none"/>
          <w:u w:val="single"/>
          <w:lang w:eastAsia="zh-CN"/>
        </w:rPr>
        <w:t>；</w:t>
      </w:r>
    </w:p>
    <w:p w14:paraId="4BA8EB01">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（4）</w:t>
      </w:r>
      <w:r>
        <w:rPr>
          <w:rFonts w:hint="eastAsia" w:ascii="宋体" w:hAnsi="宋体" w:eastAsia="宋体" w:cs="宋体"/>
          <w:bCs/>
          <w:color w:val="auto"/>
          <w:sz w:val="21"/>
          <w:szCs w:val="21"/>
          <w:highlight w:val="none"/>
          <w:u w:val="single"/>
        </w:rPr>
        <w:t>企业资质证书扫描件或电子证照</w:t>
      </w:r>
      <w:r>
        <w:rPr>
          <w:rFonts w:hint="eastAsia" w:ascii="宋体" w:hAnsi="宋体" w:eastAsia="宋体" w:cs="宋体"/>
          <w:b/>
          <w:bCs w:val="0"/>
          <w:color w:val="auto"/>
          <w:sz w:val="21"/>
          <w:szCs w:val="21"/>
          <w:highlight w:val="none"/>
          <w:u w:val="single"/>
        </w:rPr>
        <w:t>（若为联合体投标，由联合体各方提供）或办理了资质延期的证明资料（如有，须符合招标公告第九条第4款注①的规定）</w:t>
      </w:r>
      <w:r>
        <w:rPr>
          <w:rFonts w:hint="eastAsia" w:ascii="宋体" w:hAnsi="宋体" w:eastAsia="宋体" w:cs="宋体"/>
          <w:b/>
          <w:bCs w:val="0"/>
          <w:color w:val="auto"/>
          <w:szCs w:val="21"/>
          <w:highlight w:val="none"/>
          <w:u w:val="single"/>
        </w:rPr>
        <w:t>；</w:t>
      </w:r>
    </w:p>
    <w:p w14:paraId="4E3B21F3">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（5）</w:t>
      </w:r>
      <w:r>
        <w:rPr>
          <w:rFonts w:hint="eastAsia" w:ascii="宋体" w:hAnsi="宋体" w:eastAsia="宋体" w:cs="宋体"/>
          <w:bCs/>
          <w:color w:val="auto"/>
          <w:sz w:val="21"/>
          <w:szCs w:val="21"/>
          <w:highlight w:val="none"/>
          <w:u w:val="single"/>
        </w:rPr>
        <w:t>建筑施工企业安全生产许可证扫描件或电子证照</w:t>
      </w:r>
      <w:r>
        <w:rPr>
          <w:rFonts w:hint="eastAsia" w:ascii="宋体" w:hAnsi="宋体" w:eastAsia="宋体" w:cs="宋体"/>
          <w:b/>
          <w:bCs w:val="0"/>
          <w:color w:val="auto"/>
          <w:sz w:val="21"/>
          <w:szCs w:val="21"/>
          <w:highlight w:val="none"/>
          <w:u w:val="single"/>
        </w:rPr>
        <w:t>（若为联合体投标，由联合体各方提供）</w:t>
      </w:r>
      <w:r>
        <w:rPr>
          <w:rFonts w:hint="eastAsia" w:ascii="宋体" w:hAnsi="宋体" w:eastAsia="宋体" w:cs="宋体"/>
          <w:b/>
          <w:bCs w:val="0"/>
          <w:color w:val="auto"/>
          <w:sz w:val="21"/>
          <w:szCs w:val="21"/>
          <w:highlight w:val="none"/>
          <w:u w:val="single"/>
          <w:lang w:eastAsia="zh-CN"/>
        </w:rPr>
        <w:t>；</w:t>
      </w:r>
    </w:p>
    <w:p w14:paraId="3BC5E7DD">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（6）</w:t>
      </w:r>
      <w:r>
        <w:rPr>
          <w:rFonts w:hint="eastAsia" w:ascii="宋体" w:hAnsi="宋体" w:eastAsia="宋体" w:cs="宋体"/>
          <w:bCs/>
          <w:color w:val="auto"/>
          <w:sz w:val="21"/>
          <w:szCs w:val="21"/>
          <w:highlight w:val="none"/>
          <w:u w:val="single"/>
        </w:rPr>
        <w:t>项目负责人</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eastAsia="宋体" w:cs="宋体"/>
          <w:bCs/>
          <w:color w:val="auto"/>
          <w:sz w:val="21"/>
          <w:szCs w:val="21"/>
          <w:highlight w:val="none"/>
          <w:u w:val="single"/>
        </w:rPr>
        <w:t>（按网上投标登记时选择拟投入本项目的项目负责人）</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投标人须在广州交易集团有限公司（广州公共资源交易中心）办理企业信息登记，拟担任本工程项目负责人须是本企业信息登记信息中的在册人员</w:t>
      </w:r>
      <w:r>
        <w:rPr>
          <w:rFonts w:hint="eastAsia" w:ascii="宋体" w:hAnsi="宋体" w:eastAsia="宋体" w:cs="宋体"/>
          <w:bCs/>
          <w:color w:val="auto"/>
          <w:sz w:val="21"/>
          <w:szCs w:val="21"/>
          <w:highlight w:val="none"/>
          <w:u w:val="single"/>
        </w:rPr>
        <w:t>）</w:t>
      </w:r>
      <w:r>
        <w:rPr>
          <w:rFonts w:hint="eastAsia" w:ascii="宋体" w:hAnsi="宋体" w:eastAsia="宋体" w:cs="宋体"/>
          <w:b/>
          <w:bCs w:val="0"/>
          <w:color w:val="auto"/>
          <w:sz w:val="21"/>
          <w:szCs w:val="21"/>
          <w:highlight w:val="none"/>
          <w:u w:val="single"/>
          <w:lang w:eastAsia="zh-CN"/>
        </w:rPr>
        <w:t>；</w:t>
      </w:r>
    </w:p>
    <w:p w14:paraId="263DF3B5">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（7）</w:t>
      </w:r>
      <w:r>
        <w:rPr>
          <w:rFonts w:hint="eastAsia" w:ascii="宋体" w:hAnsi="宋体" w:eastAsia="宋体" w:cs="宋体"/>
          <w:bCs/>
          <w:color w:val="auto"/>
          <w:sz w:val="21"/>
          <w:szCs w:val="21"/>
          <w:highlight w:val="none"/>
          <w:u w:val="single"/>
        </w:rPr>
        <w:t>专职安全员</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eastAsia="宋体" w:cs="宋体"/>
          <w:bCs/>
          <w:color w:val="auto"/>
          <w:sz w:val="21"/>
          <w:szCs w:val="21"/>
          <w:highlight w:val="none"/>
          <w:u w:val="single"/>
        </w:rPr>
        <w:t>（按网上投标登记时选择拟投标的专职安全员</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投标人须在广州交易集团有限公司（广州公共资源交易中心）办理企业信息登记，拟担任本工程专职安全员须是本企业信息登记信息中的在册人员</w:t>
      </w:r>
      <w:r>
        <w:rPr>
          <w:rFonts w:hint="eastAsia" w:ascii="宋体" w:hAnsi="宋体" w:eastAsia="宋体" w:cs="宋体"/>
          <w:bCs/>
          <w:color w:val="auto"/>
          <w:sz w:val="21"/>
          <w:szCs w:val="21"/>
          <w:highlight w:val="none"/>
          <w:u w:val="single"/>
        </w:rPr>
        <w:t>）</w:t>
      </w:r>
      <w:r>
        <w:rPr>
          <w:rFonts w:hint="eastAsia" w:ascii="宋体" w:hAnsi="宋体" w:eastAsia="宋体" w:cs="宋体"/>
          <w:b/>
          <w:bCs w:val="0"/>
          <w:color w:val="auto"/>
          <w:sz w:val="21"/>
          <w:szCs w:val="21"/>
          <w:highlight w:val="none"/>
          <w:u w:val="single"/>
          <w:lang w:eastAsia="zh-CN"/>
        </w:rPr>
        <w:t>；</w:t>
      </w:r>
    </w:p>
    <w:p w14:paraId="76A0E593">
      <w:pPr>
        <w:spacing w:line="360" w:lineRule="auto"/>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u w:val="single"/>
        </w:rPr>
        <w:t>（8）</w:t>
      </w:r>
      <w:r>
        <w:rPr>
          <w:rFonts w:hint="eastAsia" w:ascii="宋体" w:hAnsi="宋体" w:eastAsia="宋体" w:cs="宋体"/>
          <w:bCs/>
          <w:color w:val="auto"/>
          <w:sz w:val="21"/>
          <w:szCs w:val="21"/>
          <w:highlight w:val="none"/>
          <w:u w:val="single"/>
        </w:rPr>
        <w:t>拟委派项目负责人的建造师注册证书（取自</w:t>
      </w:r>
      <w:r>
        <w:rPr>
          <w:rFonts w:hint="eastAsia" w:ascii="宋体" w:hAnsi="宋体" w:eastAsia="宋体" w:cs="宋体"/>
          <w:color w:val="auto"/>
          <w:sz w:val="21"/>
          <w:szCs w:val="21"/>
          <w:highlight w:val="none"/>
          <w:u w:val="single"/>
        </w:rPr>
        <w:t>广州交易集团有限公司（广州公共资源交易中心）信息库</w:t>
      </w:r>
      <w:r>
        <w:rPr>
          <w:rFonts w:hint="eastAsia" w:ascii="宋体" w:hAnsi="宋体" w:eastAsia="宋体" w:cs="宋体"/>
          <w:bCs/>
          <w:color w:val="auto"/>
          <w:sz w:val="21"/>
          <w:szCs w:val="21"/>
          <w:highlight w:val="none"/>
          <w:u w:val="single"/>
        </w:rPr>
        <w:t>内上传件）</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eastAsia="宋体" w:cs="宋体"/>
          <w:b/>
          <w:bCs w:val="0"/>
          <w:color w:val="auto"/>
          <w:sz w:val="21"/>
          <w:szCs w:val="21"/>
          <w:highlight w:val="none"/>
          <w:u w:val="single"/>
          <w:lang w:eastAsia="zh-CN"/>
        </w:rPr>
        <w:t>；</w:t>
      </w:r>
      <w:r>
        <w:rPr>
          <w:rFonts w:hint="eastAsia" w:ascii="宋体" w:hAnsi="宋体" w:eastAsia="宋体" w:cs="宋体"/>
          <w:b/>
          <w:bCs w:val="0"/>
          <w:color w:val="auto"/>
          <w:sz w:val="21"/>
          <w:szCs w:val="21"/>
          <w:highlight w:val="none"/>
          <w:u w:val="single"/>
        </w:rPr>
        <w:t xml:space="preserve"> </w:t>
      </w:r>
    </w:p>
    <w:p w14:paraId="39034544">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9</w:t>
      </w:r>
      <w:r>
        <w:rPr>
          <w:rFonts w:hint="eastAsia" w:ascii="宋体" w:hAnsi="宋体" w:eastAsia="宋体" w:cs="宋体"/>
          <w:b/>
          <w:bCs w:val="0"/>
          <w:color w:val="auto"/>
          <w:sz w:val="21"/>
          <w:szCs w:val="21"/>
          <w:highlight w:val="none"/>
          <w:u w:val="single"/>
        </w:rPr>
        <w:t>）</w:t>
      </w:r>
      <w:r>
        <w:rPr>
          <w:rFonts w:hint="eastAsia" w:ascii="宋体" w:hAnsi="宋体" w:eastAsia="宋体" w:cs="宋体"/>
          <w:bCs/>
          <w:color w:val="auto"/>
          <w:sz w:val="21"/>
          <w:szCs w:val="21"/>
          <w:highlight w:val="none"/>
          <w:u w:val="single"/>
        </w:rPr>
        <w:t>项目负责人安全生产考核合格证明或在有效期内的安全考核合格证书（B类）或建筑施工企业项目负责人安全生产考核合格证书扫描件或电子证书</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eastAsia="宋体" w:cs="宋体"/>
          <w:b/>
          <w:bCs w:val="0"/>
          <w:color w:val="auto"/>
          <w:sz w:val="21"/>
          <w:szCs w:val="21"/>
          <w:highlight w:val="none"/>
          <w:u w:val="single"/>
          <w:lang w:eastAsia="zh-CN"/>
        </w:rPr>
        <w:t>；</w:t>
      </w:r>
    </w:p>
    <w:p w14:paraId="7031A84F">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10</w:t>
      </w:r>
      <w:r>
        <w:rPr>
          <w:rFonts w:hint="eastAsia" w:ascii="宋体" w:hAnsi="宋体" w:eastAsia="宋体" w:cs="宋体"/>
          <w:b/>
          <w:bCs w:val="0"/>
          <w:color w:val="auto"/>
          <w:sz w:val="21"/>
          <w:szCs w:val="21"/>
          <w:highlight w:val="none"/>
          <w:u w:val="single"/>
        </w:rPr>
        <w:t>）</w:t>
      </w:r>
      <w:r>
        <w:rPr>
          <w:rFonts w:hint="eastAsia" w:ascii="宋体" w:hAnsi="宋体" w:eastAsia="宋体" w:cs="宋体"/>
          <w:bCs/>
          <w:color w:val="auto"/>
          <w:sz w:val="21"/>
          <w:szCs w:val="21"/>
          <w:highlight w:val="none"/>
          <w:u w:val="single"/>
        </w:rPr>
        <w:t>专职安全员须具有在有效期内的安全考核合格证书（C类）或建筑施工企业专职安全生产管理人员安全生产考核合格证书（C3）扫描件或电子证书</w:t>
      </w:r>
      <w:r>
        <w:rPr>
          <w:rFonts w:hint="eastAsia" w:ascii="宋体" w:hAnsi="宋体" w:eastAsia="宋体" w:cs="宋体"/>
          <w:b/>
          <w:bCs w:val="0"/>
          <w:color w:val="auto"/>
          <w:sz w:val="21"/>
          <w:szCs w:val="21"/>
          <w:highlight w:val="none"/>
          <w:u w:val="single"/>
        </w:rPr>
        <w:t>（若为联合体投标，由联合体主办方提供）</w:t>
      </w:r>
      <w:r>
        <w:rPr>
          <w:rFonts w:hint="eastAsia" w:ascii="宋体" w:hAnsi="宋体" w:eastAsia="宋体" w:cs="宋体"/>
          <w:b/>
          <w:bCs w:val="0"/>
          <w:color w:val="auto"/>
          <w:sz w:val="21"/>
          <w:szCs w:val="21"/>
          <w:highlight w:val="none"/>
          <w:u w:val="single"/>
          <w:lang w:eastAsia="zh-CN"/>
        </w:rPr>
        <w:t>；</w:t>
      </w:r>
    </w:p>
    <w:p w14:paraId="6DEB7564">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1</w:t>
      </w:r>
      <w:r>
        <w:rPr>
          <w:rFonts w:hint="eastAsia" w:ascii="宋体" w:hAnsi="宋体" w:eastAsia="宋体" w:cs="宋体"/>
          <w:b/>
          <w:bCs w:val="0"/>
          <w:color w:val="auto"/>
          <w:sz w:val="21"/>
          <w:szCs w:val="21"/>
          <w:highlight w:val="none"/>
          <w:u w:val="single"/>
        </w:rPr>
        <w:t>）</w:t>
      </w:r>
      <w:r>
        <w:rPr>
          <w:rFonts w:hint="eastAsia" w:ascii="宋体" w:hAnsi="宋体" w:eastAsia="宋体" w:cs="宋体"/>
          <w:bCs/>
          <w:color w:val="auto"/>
          <w:sz w:val="21"/>
          <w:szCs w:val="21"/>
          <w:highlight w:val="none"/>
          <w:u w:val="single"/>
        </w:rPr>
        <w:t>列明主办单位的联合体工作协议</w:t>
      </w:r>
      <w:r>
        <w:rPr>
          <w:rFonts w:hint="eastAsia" w:ascii="宋体" w:hAnsi="宋体" w:eastAsia="宋体" w:cs="宋体"/>
          <w:b/>
          <w:bCs w:val="0"/>
          <w:color w:val="auto"/>
          <w:sz w:val="21"/>
          <w:szCs w:val="21"/>
          <w:highlight w:val="none"/>
          <w:u w:val="single"/>
        </w:rPr>
        <w:t>（采用联合体投标时需递交，须明确联合体主办方，并按招标公告附件</w:t>
      </w:r>
      <w:r>
        <w:rPr>
          <w:rFonts w:hint="eastAsia" w:ascii="宋体" w:hAnsi="宋体" w:eastAsia="宋体" w:cs="宋体"/>
          <w:b/>
          <w:bCs w:val="0"/>
          <w:color w:val="auto"/>
          <w:sz w:val="21"/>
          <w:szCs w:val="21"/>
          <w:highlight w:val="none"/>
          <w:u w:val="single"/>
          <w:lang w:val="en-US" w:eastAsia="zh-CN"/>
        </w:rPr>
        <w:t>二</w:t>
      </w:r>
      <w:r>
        <w:rPr>
          <w:rFonts w:hint="eastAsia" w:ascii="宋体" w:hAnsi="宋体" w:eastAsia="宋体" w:cs="宋体"/>
          <w:b/>
          <w:bCs w:val="0"/>
          <w:color w:val="auto"/>
          <w:sz w:val="21"/>
          <w:szCs w:val="21"/>
          <w:highlight w:val="none"/>
          <w:u w:val="single"/>
        </w:rPr>
        <w:t>签订联合体工作协议。联合体工作协议应明确约定各方拟承担的工作和责任）</w:t>
      </w:r>
      <w:r>
        <w:rPr>
          <w:rFonts w:hint="eastAsia" w:ascii="宋体" w:hAnsi="宋体" w:eastAsia="宋体" w:cs="宋体"/>
          <w:b/>
          <w:bCs w:val="0"/>
          <w:color w:val="auto"/>
          <w:sz w:val="21"/>
          <w:szCs w:val="21"/>
          <w:highlight w:val="none"/>
          <w:u w:val="single"/>
          <w:lang w:eastAsia="zh-CN"/>
        </w:rPr>
        <w:t>；</w:t>
      </w:r>
    </w:p>
    <w:p w14:paraId="72C72E2F">
      <w:pPr>
        <w:spacing w:line="360" w:lineRule="auto"/>
        <w:ind w:firstLineChars="200"/>
        <w:rPr>
          <w:rFonts w:hint="eastAsia" w:ascii="宋体" w:hAnsi="宋体" w:cs="宋体"/>
          <w:b/>
          <w:bCs w:val="0"/>
          <w:color w:val="auto"/>
          <w:szCs w:val="21"/>
          <w:highlight w:val="none"/>
          <w:u w:val="single"/>
          <w:lang w:eastAsia="zh-CN"/>
        </w:rPr>
      </w:pPr>
      <w:r>
        <w:rPr>
          <w:rFonts w:hint="eastAsia" w:ascii="宋体" w:hAnsi="宋体" w:cs="宋体"/>
          <w:b/>
          <w:bCs w:val="0"/>
          <w:color w:val="auto"/>
          <w:szCs w:val="21"/>
          <w:highlight w:val="none"/>
          <w:u w:val="single"/>
          <w:lang w:eastAsia="zh-CN"/>
        </w:rPr>
        <w:t>（12）</w:t>
      </w:r>
      <w:r>
        <w:rPr>
          <w:rFonts w:hint="eastAsia" w:ascii="宋体" w:hAnsi="宋体" w:eastAsia="宋体" w:cs="宋体"/>
          <w:b/>
          <w:bCs w:val="0"/>
          <w:color w:val="auto"/>
          <w:szCs w:val="21"/>
          <w:highlight w:val="none"/>
          <w:u w:val="single"/>
        </w:rPr>
        <w:t>投标人（</w:t>
      </w:r>
      <w:r>
        <w:rPr>
          <w:rFonts w:hint="eastAsia" w:ascii="宋体" w:hAnsi="宋体" w:eastAsia="宋体" w:cs="宋体"/>
          <w:b/>
          <w:bCs w:val="0"/>
          <w:color w:val="auto"/>
          <w:sz w:val="21"/>
          <w:szCs w:val="21"/>
          <w:highlight w:val="none"/>
          <w:u w:val="single"/>
        </w:rPr>
        <w:t>若为联合体投标，由联合</w:t>
      </w:r>
      <w:r>
        <w:rPr>
          <w:rFonts w:hint="eastAsia" w:ascii="宋体" w:hAnsi="宋体" w:eastAsia="宋体" w:cs="宋体"/>
          <w:b/>
          <w:bCs w:val="0"/>
          <w:color w:val="auto"/>
          <w:sz w:val="21"/>
          <w:szCs w:val="21"/>
          <w:highlight w:val="none"/>
          <w:u w:val="single"/>
          <w:lang w:val="en-US" w:eastAsia="zh-CN"/>
        </w:rPr>
        <w:t>体各方</w:t>
      </w:r>
      <w:r>
        <w:rPr>
          <w:rFonts w:hint="eastAsia" w:ascii="宋体" w:hAnsi="宋体" w:eastAsia="宋体" w:cs="宋体"/>
          <w:b/>
          <w:bCs w:val="0"/>
          <w:color w:val="auto"/>
          <w:sz w:val="21"/>
          <w:szCs w:val="21"/>
          <w:highlight w:val="none"/>
          <w:u w:val="single"/>
        </w:rPr>
        <w:t>提供</w:t>
      </w:r>
      <w:r>
        <w:rPr>
          <w:rFonts w:hint="eastAsia" w:ascii="宋体" w:hAnsi="宋体" w:eastAsia="宋体" w:cs="宋体"/>
          <w:b/>
          <w:bCs w:val="0"/>
          <w:color w:val="auto"/>
          <w:szCs w:val="21"/>
          <w:highlight w:val="none"/>
          <w:u w:val="single"/>
        </w:rPr>
        <w:t>）须在广州交易集团有限公司（广州公共资源交易中心）办理企业信息登记及拟担任本工程项目负责人、专职安全员须是本企业（联合体主办方）信息登记信息中的在册人员；投标人无需提供证明材料</w:t>
      </w:r>
      <w:r>
        <w:rPr>
          <w:rFonts w:hint="eastAsia" w:ascii="宋体" w:hAnsi="宋体" w:cs="宋体"/>
          <w:b/>
          <w:bCs w:val="0"/>
          <w:color w:val="auto"/>
          <w:szCs w:val="21"/>
          <w:highlight w:val="none"/>
          <w:u w:val="single"/>
          <w:lang w:eastAsia="zh-CN"/>
        </w:rPr>
        <w:t>；</w:t>
      </w:r>
    </w:p>
    <w:p w14:paraId="645818A4">
      <w:pPr>
        <w:spacing w:line="360" w:lineRule="auto"/>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u w:val="single"/>
          <w:lang w:eastAsia="zh-CN"/>
        </w:rPr>
        <w:t>（</w:t>
      </w:r>
      <w:r>
        <w:rPr>
          <w:rFonts w:hint="eastAsia" w:ascii="宋体" w:hAnsi="宋体" w:eastAsia="宋体" w:cs="宋体"/>
          <w:b/>
          <w:bCs w:val="0"/>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lang w:val="en-US" w:eastAsia="zh-CN"/>
        </w:rPr>
        <w:t>）</w:t>
      </w:r>
      <w:r>
        <w:rPr>
          <w:rFonts w:hint="eastAsia" w:ascii="宋体" w:hAnsi="宋体" w:eastAsia="宋体" w:cs="宋体"/>
          <w:b/>
          <w:bCs w:val="0"/>
          <w:color w:val="auto"/>
          <w:szCs w:val="21"/>
          <w:highlight w:val="none"/>
          <w:u w:val="single"/>
        </w:rPr>
        <w:t>投标人（</w:t>
      </w:r>
      <w:r>
        <w:rPr>
          <w:rFonts w:hint="eastAsia" w:ascii="宋体" w:hAnsi="宋体" w:eastAsia="宋体" w:cs="宋体"/>
          <w:b/>
          <w:bCs w:val="0"/>
          <w:color w:val="auto"/>
          <w:sz w:val="21"/>
          <w:szCs w:val="21"/>
          <w:highlight w:val="none"/>
          <w:u w:val="single"/>
        </w:rPr>
        <w:t>若为联合体投标，由联合</w:t>
      </w:r>
      <w:r>
        <w:rPr>
          <w:rFonts w:hint="eastAsia" w:ascii="宋体" w:hAnsi="宋体" w:eastAsia="宋体" w:cs="宋体"/>
          <w:b/>
          <w:bCs w:val="0"/>
          <w:color w:val="auto"/>
          <w:sz w:val="21"/>
          <w:szCs w:val="21"/>
          <w:highlight w:val="none"/>
          <w:u w:val="single"/>
          <w:lang w:val="en-US" w:eastAsia="zh-CN"/>
        </w:rPr>
        <w:t>体各方</w:t>
      </w:r>
      <w:r>
        <w:rPr>
          <w:rFonts w:hint="eastAsia" w:ascii="宋体" w:hAnsi="宋体" w:eastAsia="宋体" w:cs="宋体"/>
          <w:b/>
          <w:bCs w:val="0"/>
          <w:color w:val="auto"/>
          <w:sz w:val="21"/>
          <w:szCs w:val="21"/>
          <w:highlight w:val="none"/>
          <w:u w:val="single"/>
        </w:rPr>
        <w:t>提供</w:t>
      </w:r>
      <w:r>
        <w:rPr>
          <w:rFonts w:hint="eastAsia" w:ascii="宋体" w:hAnsi="宋体" w:eastAsia="宋体" w:cs="宋体"/>
          <w:b/>
          <w:bCs w:val="0"/>
          <w:color w:val="auto"/>
          <w:szCs w:val="21"/>
          <w:highlight w:val="none"/>
          <w:u w:val="single"/>
        </w:rPr>
        <w:t>）未出现以下情形：与其他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w:t>
      </w:r>
      <w:r>
        <w:rPr>
          <w:rFonts w:hint="eastAsia" w:ascii="宋体" w:hAnsi="宋体" w:eastAsia="宋体" w:cs="宋体"/>
          <w:b/>
          <w:bCs w:val="0"/>
          <w:color w:val="auto"/>
          <w:sz w:val="21"/>
          <w:szCs w:val="21"/>
          <w:highlight w:val="none"/>
          <w:u w:val="single"/>
        </w:rPr>
        <w:t>。</w:t>
      </w:r>
    </w:p>
    <w:p w14:paraId="6FA95D90">
      <w:pPr>
        <w:spacing w:line="360" w:lineRule="auto"/>
        <w:ind w:firstLine="422" w:firstLineChars="20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4</w:t>
      </w:r>
      <w:r>
        <w:rPr>
          <w:rFonts w:hint="eastAsia" w:ascii="宋体" w:hAnsi="宋体" w:eastAsia="宋体" w:cs="宋体"/>
          <w:b/>
          <w:bCs w:val="0"/>
          <w:color w:val="auto"/>
          <w:sz w:val="21"/>
          <w:szCs w:val="21"/>
          <w:highlight w:val="none"/>
          <w:u w:val="single"/>
          <w:lang w:val="en-US" w:eastAsia="zh-CN"/>
        </w:rPr>
        <w:t>）在投标截止时间前，投标人（若为联合体投标，指联合体各方）未被列入拖欠农民工工资失信联合惩戒对象名单（投标人无需提供资料，按广州交易集团有限公司（广州公共资源交易中心）交易系统比对的结果进行评审）。</w:t>
      </w:r>
    </w:p>
    <w:p w14:paraId="2120C5FE">
      <w:pPr>
        <w:spacing w:line="360" w:lineRule="auto"/>
        <w:ind w:firstLine="422" w:firstLineChars="20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5</w:t>
      </w:r>
      <w:r>
        <w:rPr>
          <w:rFonts w:hint="eastAsia" w:ascii="宋体" w:hAnsi="宋体" w:eastAsia="宋体" w:cs="宋体"/>
          <w:b/>
          <w:bCs w:val="0"/>
          <w:color w:val="auto"/>
          <w:sz w:val="21"/>
          <w:szCs w:val="21"/>
          <w:highlight w:val="none"/>
          <w:u w:val="single"/>
          <w:lang w:val="en-US" w:eastAsia="zh-CN"/>
        </w:rPr>
        <w:t>）</w:t>
      </w:r>
      <w:r>
        <w:rPr>
          <w:rFonts w:hint="eastAsia" w:ascii="宋体" w:hAnsi="宋体" w:eastAsia="宋体" w:cs="宋体"/>
          <w:b/>
          <w:bCs w:val="0"/>
          <w:color w:val="auto"/>
          <w:sz w:val="21"/>
          <w:szCs w:val="21"/>
          <w:highlight w:val="none"/>
          <w:u w:val="single"/>
        </w:rPr>
        <w:t>在投标截止时间前，</w:t>
      </w:r>
      <w:r>
        <w:rPr>
          <w:rFonts w:hint="eastAsia" w:ascii="宋体" w:hAnsi="宋体" w:eastAsia="宋体" w:cs="宋体"/>
          <w:b/>
          <w:bCs w:val="0"/>
          <w:color w:val="auto"/>
          <w:sz w:val="21"/>
          <w:szCs w:val="21"/>
          <w:highlight w:val="none"/>
          <w:u w:val="single"/>
          <w:lang w:val="en-US" w:eastAsia="zh-CN"/>
        </w:rPr>
        <w:t>投标人（若为联合体投标，指联合体各方）未被列入“失信被执行人”名单</w:t>
      </w:r>
      <w:r>
        <w:rPr>
          <w:rFonts w:hint="eastAsia" w:ascii="宋体" w:hAnsi="宋体" w:eastAsia="宋体" w:cs="宋体"/>
          <w:b/>
          <w:bCs w:val="0"/>
          <w:color w:val="auto"/>
          <w:szCs w:val="21"/>
          <w:highlight w:val="none"/>
          <w:u w:val="single"/>
        </w:rPr>
        <w:t>（投标人无需提供资料，按</w:t>
      </w:r>
      <w:r>
        <w:rPr>
          <w:rFonts w:hint="eastAsia"/>
          <w:b/>
          <w:bCs w:val="0"/>
          <w:color w:val="auto"/>
          <w:highlight w:val="none"/>
          <w:u w:val="single"/>
        </w:rPr>
        <w:t>投标截止时间</w:t>
      </w:r>
      <w:r>
        <w:rPr>
          <w:rFonts w:hint="eastAsia" w:ascii="宋体" w:hAnsi="宋体" w:eastAsia="宋体" w:cs="宋体"/>
          <w:b/>
          <w:bCs w:val="0"/>
          <w:color w:val="auto"/>
          <w:szCs w:val="21"/>
          <w:highlight w:val="none"/>
          <w:u w:val="single"/>
        </w:rPr>
        <w:t>广州交易集团有限公司（广州公共资源交易中心）交易系统比对的结果进行评审）</w:t>
      </w:r>
      <w:r>
        <w:rPr>
          <w:rFonts w:hint="eastAsia" w:ascii="宋体" w:hAnsi="宋体" w:eastAsia="宋体" w:cs="宋体"/>
          <w:b/>
          <w:bCs w:val="0"/>
          <w:color w:val="auto"/>
          <w:sz w:val="21"/>
          <w:szCs w:val="21"/>
          <w:highlight w:val="none"/>
          <w:u w:val="single"/>
          <w:lang w:val="en-US" w:eastAsia="zh-CN"/>
        </w:rPr>
        <w:t>。</w:t>
      </w:r>
    </w:p>
    <w:p w14:paraId="3A097E7F">
      <w:pPr>
        <w:spacing w:line="360" w:lineRule="auto"/>
        <w:ind w:firstLine="483" w:firstLineChars="229"/>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6</w:t>
      </w:r>
      <w:r>
        <w:rPr>
          <w:rFonts w:hint="eastAsia" w:ascii="宋体" w:hAnsi="宋体" w:eastAsia="宋体" w:cs="宋体"/>
          <w:b/>
          <w:bCs w:val="0"/>
          <w:color w:val="auto"/>
          <w:sz w:val="21"/>
          <w:szCs w:val="21"/>
          <w:highlight w:val="none"/>
          <w:u w:val="single"/>
          <w:lang w:val="en-US" w:eastAsia="zh-CN"/>
        </w:rPr>
        <w:t>）</w:t>
      </w:r>
      <w:r>
        <w:rPr>
          <w:rFonts w:hint="eastAsia" w:ascii="宋体" w:hAnsi="宋体" w:eastAsia="宋体" w:cs="宋体"/>
          <w:b/>
          <w:bCs w:val="0"/>
          <w:color w:val="auto"/>
          <w:sz w:val="21"/>
          <w:szCs w:val="21"/>
          <w:highlight w:val="none"/>
          <w:u w:val="single"/>
          <w:lang w:eastAsia="zh-CN"/>
        </w:rPr>
        <w:t>本</w:t>
      </w:r>
      <w:r>
        <w:rPr>
          <w:rFonts w:hint="eastAsia" w:ascii="宋体" w:hAnsi="宋体" w:eastAsia="宋体" w:cs="宋体"/>
          <w:b/>
          <w:bCs w:val="0"/>
          <w:color w:val="auto"/>
          <w:sz w:val="21"/>
          <w:szCs w:val="21"/>
          <w:highlight w:val="none"/>
          <w:u w:val="single"/>
        </w:rPr>
        <w:t>公告发布前，投标人未在以往工程中因不充分履约行为被本项目招标人书面拒绝投标的（在拒绝投标的期限内）。注：投标人无需提供资料，资格审查时，按招标公告附件三《被招标人拒绝投标的企业名单》进行评审。</w:t>
      </w:r>
    </w:p>
    <w:p w14:paraId="079D99C9">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lang w:val="en-US" w:eastAsia="zh-CN"/>
        </w:rPr>
        <w:t>（</w:t>
      </w:r>
      <w:r>
        <w:rPr>
          <w:rFonts w:hint="eastAsia" w:ascii="宋体" w:hAnsi="宋体" w:cs="宋体"/>
          <w:b/>
          <w:bCs w:val="0"/>
          <w:color w:val="auto"/>
          <w:sz w:val="21"/>
          <w:szCs w:val="21"/>
          <w:highlight w:val="none"/>
          <w:u w:val="single"/>
          <w:lang w:val="en-US" w:eastAsia="zh-CN"/>
        </w:rPr>
        <w:t>17</w:t>
      </w:r>
      <w:r>
        <w:rPr>
          <w:rFonts w:hint="eastAsia" w:ascii="宋体" w:hAnsi="宋体" w:eastAsia="宋体" w:cs="宋体"/>
          <w:b/>
          <w:bCs w:val="0"/>
          <w:color w:val="auto"/>
          <w:sz w:val="21"/>
          <w:szCs w:val="21"/>
          <w:highlight w:val="none"/>
          <w:u w:val="single"/>
          <w:lang w:val="en-US" w:eastAsia="zh-CN"/>
        </w:rPr>
        <w:t>）投标人认为应提交的其他资料</w:t>
      </w:r>
      <w:r>
        <w:rPr>
          <w:rFonts w:hint="eastAsia" w:ascii="宋体" w:hAnsi="宋体" w:eastAsia="宋体" w:cs="宋体"/>
          <w:b/>
          <w:bCs w:val="0"/>
          <w:color w:val="auto"/>
          <w:sz w:val="21"/>
          <w:szCs w:val="21"/>
          <w:highlight w:val="none"/>
          <w:u w:val="single"/>
          <w:lang w:eastAsia="zh-CN"/>
        </w:rPr>
        <w:t>。</w:t>
      </w:r>
    </w:p>
    <w:p w14:paraId="6219F33A">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lang w:eastAsia="zh-CN"/>
        </w:rPr>
        <w:t>注：</w:t>
      </w:r>
    </w:p>
    <w:p w14:paraId="4A388711">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lang w:eastAsia="zh-CN"/>
        </w:rPr>
        <w:t>1、上述第11.2.</w:t>
      </w:r>
      <w:r>
        <w:rPr>
          <w:rFonts w:hint="eastAsia" w:ascii="宋体" w:hAnsi="宋体" w:eastAsia="宋体" w:cs="宋体"/>
          <w:b/>
          <w:bCs w:val="0"/>
          <w:color w:val="auto"/>
          <w:sz w:val="21"/>
          <w:szCs w:val="21"/>
          <w:highlight w:val="none"/>
          <w:u w:val="single"/>
          <w:lang w:val="en-US" w:eastAsia="zh-CN"/>
        </w:rPr>
        <w:t>1</w:t>
      </w:r>
      <w:r>
        <w:rPr>
          <w:rFonts w:hint="eastAsia" w:ascii="宋体" w:hAnsi="宋体" w:eastAsia="宋体" w:cs="宋体"/>
          <w:b/>
          <w:bCs w:val="0"/>
          <w:color w:val="auto"/>
          <w:sz w:val="21"/>
          <w:szCs w:val="21"/>
          <w:highlight w:val="none"/>
          <w:u w:val="single"/>
          <w:lang w:eastAsia="zh-CN"/>
        </w:rPr>
        <w:t>（1）—（1</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lang w:eastAsia="zh-CN"/>
        </w:rPr>
        <w:t>）条没有要求提交的资料，不作为资格审查不合格的依据。</w:t>
      </w:r>
    </w:p>
    <w:p w14:paraId="53359C6D">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lang w:eastAsia="zh-CN"/>
        </w:rPr>
        <w:t>2、上述第11.2.2（1</w:t>
      </w:r>
      <w:r>
        <w:rPr>
          <w:rFonts w:hint="eastAsia" w:ascii="宋体" w:hAnsi="宋体" w:cs="宋体"/>
          <w:b/>
          <w:bCs w:val="0"/>
          <w:color w:val="auto"/>
          <w:sz w:val="21"/>
          <w:szCs w:val="21"/>
          <w:highlight w:val="none"/>
          <w:u w:val="single"/>
          <w:lang w:val="en-US" w:eastAsia="zh-CN"/>
        </w:rPr>
        <w:t>4</w:t>
      </w:r>
      <w:r>
        <w:rPr>
          <w:rFonts w:hint="eastAsia" w:ascii="宋体" w:hAnsi="宋体" w:eastAsia="宋体" w:cs="宋体"/>
          <w:b/>
          <w:bCs w:val="0"/>
          <w:color w:val="auto"/>
          <w:sz w:val="21"/>
          <w:szCs w:val="21"/>
          <w:highlight w:val="none"/>
          <w:u w:val="single"/>
          <w:lang w:eastAsia="zh-CN"/>
        </w:rPr>
        <w:t>）、（</w:t>
      </w:r>
      <w:r>
        <w:rPr>
          <w:rFonts w:hint="eastAsia" w:ascii="宋体" w:hAnsi="宋体" w:eastAsia="宋体" w:cs="宋体"/>
          <w:b/>
          <w:bCs w:val="0"/>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5</w:t>
      </w:r>
      <w:r>
        <w:rPr>
          <w:rFonts w:hint="eastAsia" w:ascii="宋体" w:hAnsi="宋体" w:eastAsia="宋体" w:cs="宋体"/>
          <w:b/>
          <w:bCs w:val="0"/>
          <w:color w:val="auto"/>
          <w:sz w:val="21"/>
          <w:szCs w:val="21"/>
          <w:highlight w:val="none"/>
          <w:u w:val="single"/>
          <w:lang w:eastAsia="zh-CN"/>
        </w:rPr>
        <w:t>）条，投标人无需提供资料，按投标截止时间广州交易集团有限公司（广州公共资源交易中心）交易系统比对的结果进行评审。</w:t>
      </w:r>
    </w:p>
    <w:p w14:paraId="692261F5">
      <w:pPr>
        <w:spacing w:line="360" w:lineRule="auto"/>
        <w:ind w:firstLine="422" w:firstLineChars="200"/>
        <w:rPr>
          <w:rFonts w:hint="eastAsia" w:ascii="宋体" w:hAnsi="宋体" w:eastAsia="宋体" w:cs="宋体"/>
          <w:b/>
          <w:bCs w:val="0"/>
          <w:color w:val="auto"/>
          <w:sz w:val="21"/>
          <w:szCs w:val="21"/>
          <w:highlight w:val="none"/>
          <w:u w:val="single"/>
          <w:lang w:eastAsia="zh-CN"/>
        </w:rPr>
      </w:pPr>
      <w:r>
        <w:rPr>
          <w:rFonts w:hint="eastAsia" w:ascii="宋体" w:hAnsi="宋体" w:eastAsia="宋体" w:cs="宋体"/>
          <w:b/>
          <w:bCs w:val="0"/>
          <w:color w:val="auto"/>
          <w:sz w:val="21"/>
          <w:szCs w:val="21"/>
          <w:highlight w:val="none"/>
          <w:u w:val="single"/>
          <w:lang w:eastAsia="zh-CN"/>
        </w:rPr>
        <w:t>3、上述第11.2.2（1</w:t>
      </w:r>
      <w:r>
        <w:rPr>
          <w:rFonts w:hint="eastAsia" w:ascii="宋体" w:hAnsi="宋体" w:cs="宋体"/>
          <w:b/>
          <w:bCs w:val="0"/>
          <w:color w:val="auto"/>
          <w:sz w:val="21"/>
          <w:szCs w:val="21"/>
          <w:highlight w:val="none"/>
          <w:u w:val="single"/>
          <w:lang w:val="en-US" w:eastAsia="zh-CN"/>
        </w:rPr>
        <w:t>6</w:t>
      </w:r>
      <w:r>
        <w:rPr>
          <w:rFonts w:hint="eastAsia" w:ascii="宋体" w:hAnsi="宋体" w:eastAsia="宋体" w:cs="宋体"/>
          <w:b/>
          <w:bCs w:val="0"/>
          <w:color w:val="auto"/>
          <w:sz w:val="21"/>
          <w:szCs w:val="21"/>
          <w:highlight w:val="none"/>
          <w:u w:val="single"/>
          <w:lang w:eastAsia="zh-CN"/>
        </w:rPr>
        <w:t>）条，投标人无需提供资料，按招标公告附件</w:t>
      </w:r>
      <w:r>
        <w:rPr>
          <w:rFonts w:hint="eastAsia" w:ascii="宋体" w:hAnsi="宋体" w:cs="宋体"/>
          <w:b/>
          <w:bCs w:val="0"/>
          <w:color w:val="auto"/>
          <w:sz w:val="21"/>
          <w:szCs w:val="21"/>
          <w:highlight w:val="none"/>
          <w:u w:val="single"/>
          <w:lang w:val="en-US" w:eastAsia="zh-CN"/>
        </w:rPr>
        <w:t>三</w:t>
      </w:r>
      <w:r>
        <w:rPr>
          <w:rFonts w:hint="eastAsia" w:ascii="宋体" w:hAnsi="宋体" w:eastAsia="宋体" w:cs="宋体"/>
          <w:b/>
          <w:bCs w:val="0"/>
          <w:color w:val="auto"/>
          <w:sz w:val="21"/>
          <w:szCs w:val="21"/>
          <w:highlight w:val="none"/>
          <w:u w:val="single"/>
          <w:lang w:eastAsia="zh-CN"/>
        </w:rPr>
        <w:t>《被招标人拒绝投标的企业名单》进行评审。</w:t>
      </w:r>
    </w:p>
    <w:p w14:paraId="3889B1A4">
      <w:pPr>
        <w:spacing w:line="360" w:lineRule="auto"/>
        <w:ind w:firstLine="422" w:firstLineChars="200"/>
        <w:rPr>
          <w:rFonts w:ascii="宋体" w:hAnsi="宋体" w:eastAsia="宋体" w:cs="宋体"/>
          <w:bCs/>
          <w:color w:val="auto"/>
          <w:szCs w:val="21"/>
          <w:highlight w:val="none"/>
          <w:u w:val="single"/>
        </w:rPr>
      </w:pPr>
      <w:r>
        <w:rPr>
          <w:rFonts w:hint="eastAsia" w:ascii="宋体" w:hAnsi="宋体" w:eastAsia="宋体" w:cs="宋体"/>
          <w:b/>
          <w:color w:val="auto"/>
          <w:szCs w:val="21"/>
          <w:highlight w:val="none"/>
          <w:u w:val="single"/>
        </w:rPr>
        <w:t>4、相关电子证书按规定需打印后手写本人签名的，应按照规定手写本人签名后再扫描提交。</w:t>
      </w:r>
    </w:p>
    <w:p w14:paraId="00FE3D81">
      <w:pPr>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bCs w:val="0"/>
          <w:color w:val="auto"/>
          <w:sz w:val="21"/>
          <w:szCs w:val="21"/>
          <w:highlight w:val="none"/>
          <w:u w:val="single"/>
        </w:rPr>
        <w:t>11.</w:t>
      </w:r>
      <w:r>
        <w:rPr>
          <w:rFonts w:hint="eastAsia" w:ascii="宋体" w:hAnsi="宋体" w:eastAsia="宋体" w:cs="宋体"/>
          <w:b/>
          <w:bCs w:val="0"/>
          <w:color w:val="auto"/>
          <w:sz w:val="21"/>
          <w:szCs w:val="21"/>
          <w:highlight w:val="none"/>
          <w:u w:val="single"/>
          <w:lang w:val="en-US" w:eastAsia="zh-CN"/>
        </w:rPr>
        <w:t>2.2</w:t>
      </w:r>
      <w:r>
        <w:rPr>
          <w:rFonts w:hint="eastAsia" w:ascii="宋体" w:hAnsi="宋体" w:eastAsia="宋体" w:cs="宋体"/>
          <w:b/>
          <w:bCs w:val="0"/>
          <w:color w:val="auto"/>
          <w:sz w:val="21"/>
          <w:szCs w:val="21"/>
          <w:highlight w:val="none"/>
          <w:u w:val="single"/>
        </w:rPr>
        <w:t>技术投标文件主要包</w:t>
      </w:r>
      <w:r>
        <w:rPr>
          <w:rFonts w:hint="eastAsia" w:ascii="宋体" w:hAnsi="宋体" w:eastAsia="宋体" w:cs="宋体"/>
          <w:b/>
          <w:color w:val="auto"/>
          <w:sz w:val="21"/>
          <w:szCs w:val="21"/>
          <w:highlight w:val="none"/>
          <w:u w:val="single"/>
        </w:rPr>
        <w:t>括下列内容：</w:t>
      </w:r>
    </w:p>
    <w:p w14:paraId="3B47F653">
      <w:pPr>
        <w:numPr>
          <w:ilvl w:val="0"/>
          <w:numId w:val="0"/>
        </w:numPr>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bCs w:val="0"/>
          <w:color w:val="auto"/>
          <w:szCs w:val="21"/>
          <w:highlight w:val="none"/>
          <w:lang w:val="en-US" w:eastAsia="zh-CN"/>
        </w:rPr>
        <w:t>广州建设工程施工招标投标书（格式见招标文件第四章，具体格式以《广州建设工程施工招标投标书》为准;电子投标管理软件编制的“广州建设工程施工招标投标书”不作为否决投标的条件</w:t>
      </w:r>
      <w:r>
        <w:rPr>
          <w:rFonts w:hint="eastAsia" w:ascii="宋体" w:hAnsi="宋体" w:eastAsia="宋体" w:cs="宋体"/>
          <w:b/>
          <w:bCs w:val="0"/>
          <w:color w:val="auto"/>
          <w:sz w:val="21"/>
          <w:szCs w:val="21"/>
          <w:highlight w:val="none"/>
          <w:u w:val="single"/>
        </w:rPr>
        <w:t>）</w:t>
      </w:r>
    </w:p>
    <w:p w14:paraId="5A421ADD">
      <w:pPr>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Cs w:val="21"/>
          <w:highlight w:val="none"/>
          <w:u w:val="single"/>
        </w:rPr>
        <w:t>《投标函》</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《标函承诺书》</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《项目负责人驻场承诺书》（格式见招标文件第四章）</w:t>
      </w:r>
      <w:r>
        <w:rPr>
          <w:rFonts w:hint="eastAsia" w:ascii="宋体" w:hAnsi="宋体" w:eastAsia="宋体" w:cs="宋体"/>
          <w:b/>
          <w:color w:val="auto"/>
          <w:sz w:val="21"/>
          <w:szCs w:val="21"/>
          <w:highlight w:val="none"/>
          <w:u w:val="single"/>
        </w:rPr>
        <w:t>；</w:t>
      </w:r>
    </w:p>
    <w:p w14:paraId="47A48225">
      <w:pPr>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3</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《投入主要人员汇总表》</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《主要人员简历表》</w:t>
      </w:r>
      <w:r>
        <w:rPr>
          <w:rFonts w:hint="eastAsia" w:ascii="宋体" w:hAnsi="宋体" w:eastAsia="宋体" w:cs="宋体"/>
          <w:b/>
          <w:bCs w:val="0"/>
          <w:color w:val="auto"/>
          <w:szCs w:val="21"/>
          <w:highlight w:val="none"/>
        </w:rPr>
        <w:t>（格式见招标文件第四章、投标人需按相应表格备注和招标文件附表《技术标详细审查评分表》要求提供相关资料）</w:t>
      </w:r>
      <w:r>
        <w:rPr>
          <w:rFonts w:hint="eastAsia" w:ascii="宋体" w:hAnsi="宋体" w:eastAsia="宋体" w:cs="宋体"/>
          <w:b/>
          <w:color w:val="auto"/>
          <w:sz w:val="21"/>
          <w:szCs w:val="21"/>
          <w:highlight w:val="none"/>
          <w:u w:val="single"/>
        </w:rPr>
        <w:t>；</w:t>
      </w:r>
    </w:p>
    <w:p w14:paraId="19539E47">
      <w:pPr>
        <w:spacing w:line="360" w:lineRule="auto"/>
        <w:ind w:firstLine="422" w:firstLineChars="200"/>
        <w:rPr>
          <w:rFonts w:hint="eastAsia" w:ascii="宋体" w:hAnsi="宋体" w:eastAsia="宋体" w:cs="宋体"/>
          <w:b/>
          <w:color w:val="auto"/>
          <w:sz w:val="21"/>
          <w:szCs w:val="21"/>
          <w:highlight w:val="none"/>
          <w:u w:val="single"/>
          <w:lang w:eastAsia="zh-CN"/>
        </w:rPr>
      </w:pPr>
      <w:r>
        <w:rPr>
          <w:rFonts w:hint="eastAsia" w:ascii="宋体" w:hAnsi="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4</w:t>
      </w:r>
      <w:r>
        <w:rPr>
          <w:rFonts w:hint="eastAsia" w:ascii="宋体" w:hAnsi="宋体" w:cs="宋体"/>
          <w:b/>
          <w:color w:val="auto"/>
          <w:sz w:val="21"/>
          <w:szCs w:val="21"/>
          <w:highlight w:val="none"/>
          <w:u w:val="single"/>
          <w:lang w:eastAsia="zh-CN"/>
        </w:rPr>
        <w:t>）企业资信的证明材料（按招标文件附表《技术标详细审查评分表》要求提交，包括但不限于《已竣工验收的类似工程业绩表》</w:t>
      </w:r>
      <w:r>
        <w:rPr>
          <w:rFonts w:hint="eastAsia" w:ascii="宋体" w:hAnsi="宋体" w:eastAsia="宋体" w:cs="宋体"/>
          <w:b/>
          <w:bCs w:val="0"/>
          <w:color w:val="auto"/>
          <w:szCs w:val="21"/>
          <w:highlight w:val="none"/>
        </w:rPr>
        <w:t>（如有）</w:t>
      </w:r>
      <w:r>
        <w:rPr>
          <w:rFonts w:hint="eastAsia" w:ascii="宋体" w:hAnsi="宋体" w:cs="宋体"/>
          <w:b/>
          <w:color w:val="auto"/>
          <w:sz w:val="21"/>
          <w:szCs w:val="21"/>
          <w:highlight w:val="none"/>
          <w:u w:val="single"/>
          <w:lang w:eastAsia="zh-CN"/>
        </w:rPr>
        <w:t>、《第三方评价汇总表》</w:t>
      </w:r>
      <w:r>
        <w:rPr>
          <w:rFonts w:hint="eastAsia" w:ascii="宋体" w:hAnsi="宋体" w:eastAsia="宋体" w:cs="宋体"/>
          <w:b/>
          <w:bCs w:val="0"/>
          <w:color w:val="auto"/>
          <w:szCs w:val="21"/>
          <w:highlight w:val="none"/>
        </w:rPr>
        <w:t>（如有）</w:t>
      </w:r>
      <w:r>
        <w:rPr>
          <w:rFonts w:hint="eastAsia" w:ascii="宋体" w:hAnsi="宋体" w:cs="宋体"/>
          <w:b/>
          <w:color w:val="auto"/>
          <w:sz w:val="21"/>
          <w:szCs w:val="21"/>
          <w:highlight w:val="none"/>
          <w:u w:val="single"/>
          <w:lang w:eastAsia="zh-CN"/>
        </w:rPr>
        <w:t>等资料（格式见招标文件第四章）。招标文件有规定格式的，需按招标文件格式提供，无格式要求的，格式自拟）。</w:t>
      </w:r>
    </w:p>
    <w:p w14:paraId="6EEC11D1">
      <w:pPr>
        <w:spacing w:line="360" w:lineRule="auto"/>
        <w:ind w:firstLine="422" w:firstLineChars="200"/>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w:t>
      </w:r>
      <w:r>
        <w:rPr>
          <w:rFonts w:hint="eastAsia" w:ascii="宋体" w:hAnsi="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Cs w:val="21"/>
          <w:highlight w:val="none"/>
          <w:u w:val="single"/>
        </w:rPr>
        <w:t>《响应招标文件所附施工组织设计要点的承诺书》《拟投入本工程施工的主要机械设备配备表》（格式见招标文件第四章</w:t>
      </w:r>
      <w:r>
        <w:rPr>
          <w:rFonts w:hint="eastAsia" w:ascii="宋体" w:hAnsi="宋体" w:cs="宋体"/>
          <w:b/>
          <w:color w:val="auto"/>
          <w:szCs w:val="21"/>
          <w:highlight w:val="none"/>
          <w:u w:val="single"/>
          <w:lang w:eastAsia="zh-CN"/>
        </w:rPr>
        <w:t>）</w:t>
      </w:r>
      <w:r>
        <w:rPr>
          <w:rFonts w:hint="eastAsia" w:ascii="宋体" w:hAnsi="宋体" w:eastAsia="宋体" w:cs="宋体"/>
          <w:b/>
          <w:color w:val="auto"/>
          <w:sz w:val="21"/>
          <w:szCs w:val="21"/>
          <w:highlight w:val="none"/>
          <w:u w:val="single"/>
          <w:lang w:eastAsia="zh-CN"/>
        </w:rPr>
        <w:t>；</w:t>
      </w:r>
    </w:p>
    <w:p w14:paraId="55B5A6DF">
      <w:pPr>
        <w:spacing w:line="360" w:lineRule="auto"/>
        <w:ind w:firstLine="422" w:firstLineChars="200"/>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w:t>
      </w:r>
      <w:r>
        <w:rPr>
          <w:rFonts w:hint="eastAsia" w:ascii="宋体" w:hAnsi="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Cs w:val="21"/>
          <w:highlight w:val="none"/>
          <w:u w:val="single"/>
        </w:rPr>
        <w:t>《危险性较大的分部分项工程安全管理措施》（格式见招标文件第四章）</w:t>
      </w:r>
      <w:r>
        <w:rPr>
          <w:rFonts w:hint="eastAsia" w:ascii="宋体" w:hAnsi="宋体" w:eastAsia="宋体" w:cs="宋体"/>
          <w:b/>
          <w:color w:val="auto"/>
          <w:sz w:val="21"/>
          <w:szCs w:val="21"/>
          <w:highlight w:val="none"/>
          <w:u w:val="single"/>
          <w:lang w:eastAsia="zh-CN"/>
        </w:rPr>
        <w:t>；</w:t>
      </w:r>
    </w:p>
    <w:p w14:paraId="53410AFB">
      <w:pPr>
        <w:spacing w:line="360" w:lineRule="auto"/>
        <w:ind w:firstLine="422" w:firstLineChars="200"/>
        <w:rPr>
          <w:rFonts w:hint="eastAsia" w:ascii="宋体" w:hAnsi="宋体" w:eastAsia="宋体" w:cs="宋体"/>
          <w:b/>
          <w:color w:val="auto"/>
          <w:szCs w:val="21"/>
          <w:highlight w:val="none"/>
          <w:u w:val="single"/>
          <w:lang w:eastAsia="zh-CN"/>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lang w:eastAsia="zh-CN"/>
        </w:rPr>
        <w:t>）《中小企业声明函》（如有）、《分包意向协议》（如有）、监狱企业证明文件（如有）、《残疾人福利性单位声明函》（如有）（格式见招标文件第四章）。</w:t>
      </w:r>
    </w:p>
    <w:p w14:paraId="62E6C6E8">
      <w:pPr>
        <w:pBdr>
          <w:bottom w:val="single" w:color="auto" w:sz="6" w:space="1"/>
        </w:pBdr>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w:t>
      </w:r>
      <w:r>
        <w:rPr>
          <w:rFonts w:hint="eastAsia" w:ascii="宋体" w:hAnsi="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Cs w:val="21"/>
          <w:highlight w:val="none"/>
          <w:u w:val="single"/>
        </w:rPr>
        <w:t>《参与编制技术标投标文件人员名单》（格式见招标文件第四章）</w:t>
      </w:r>
    </w:p>
    <w:p w14:paraId="072B117F">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9</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Cs w:val="21"/>
          <w:highlight w:val="none"/>
          <w:u w:val="single"/>
        </w:rPr>
        <w:t>投标人认为应提供的其他资料（如有）</w:t>
      </w:r>
      <w:r>
        <w:rPr>
          <w:rFonts w:hint="eastAsia" w:ascii="宋体" w:hAnsi="宋体" w:eastAsia="宋体" w:cs="宋体"/>
          <w:color w:val="auto"/>
          <w:sz w:val="21"/>
          <w:szCs w:val="21"/>
          <w:highlight w:val="none"/>
          <w:u w:val="single"/>
          <w:lang w:eastAsia="zh-CN"/>
        </w:rPr>
        <w:t>。</w:t>
      </w:r>
    </w:p>
    <w:p w14:paraId="79FCB484">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条款号：11.3.2             修改类型：修改</w:t>
      </w:r>
    </w:p>
    <w:p w14:paraId="490E9555">
      <w:pPr>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u w:val="singl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7968E3E">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（1）投标总价封面、扉页；</w:t>
      </w:r>
    </w:p>
    <w:p w14:paraId="677922B9">
      <w:pPr>
        <w:spacing w:line="360" w:lineRule="auto"/>
        <w:ind w:firstLine="495" w:firstLineChars="236"/>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（2）总说明</w:t>
      </w:r>
      <w:r>
        <w:rPr>
          <w:rFonts w:hint="eastAsia" w:ascii="宋体" w:hAnsi="宋体" w:eastAsia="宋体" w:cs="宋体"/>
          <w:color w:val="auto"/>
          <w:sz w:val="21"/>
          <w:szCs w:val="21"/>
          <w:highlight w:val="none"/>
          <w:u w:val="single"/>
          <w:lang w:eastAsia="zh-CN"/>
        </w:rPr>
        <w:t>；</w:t>
      </w:r>
    </w:p>
    <w:p w14:paraId="61414E6B">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（3）工程项目投标报价汇总表；</w:t>
      </w:r>
    </w:p>
    <w:p w14:paraId="4F2FF13D">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（4）单项工程投标报价汇总表；</w:t>
      </w:r>
    </w:p>
    <w:p w14:paraId="115A8CE0">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（5）单位工程投标报价汇总表；</w:t>
      </w:r>
    </w:p>
    <w:p w14:paraId="3900D774">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（6）分部分项工程清单与计价表；</w:t>
      </w:r>
    </w:p>
    <w:p w14:paraId="285375AA">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（7）单价措施项目清单与计价表；</w:t>
      </w:r>
    </w:p>
    <w:p w14:paraId="720E13D0">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（8）总价措施项目清单与计价表；</w:t>
      </w:r>
    </w:p>
    <w:p w14:paraId="5BF59C64">
      <w:pPr>
        <w:spacing w:line="360" w:lineRule="auto"/>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（9）综合单价分析表；</w:t>
      </w:r>
    </w:p>
    <w:p w14:paraId="5553F87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（10）其他项目清单与计价汇总表；</w:t>
      </w:r>
    </w:p>
    <w:p w14:paraId="055A55C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（11）暂列金额明细表；</w:t>
      </w:r>
    </w:p>
    <w:p w14:paraId="50ACA37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（12）材料（工程设备）暂估价明细表；</w:t>
      </w:r>
    </w:p>
    <w:p w14:paraId="20E0350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（13）专业工程暂估价明细表；</w:t>
      </w:r>
    </w:p>
    <w:p w14:paraId="244FB4E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（14）计日工表；</w:t>
      </w:r>
    </w:p>
    <w:p w14:paraId="003A5ED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（15）总承包服务计价表；</w:t>
      </w:r>
    </w:p>
    <w:p w14:paraId="274DBB0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（16）规费和税金项目计价表；</w:t>
      </w:r>
    </w:p>
    <w:p w14:paraId="70B32FC8">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u w:val="single"/>
        </w:rPr>
        <w:t>（17）人工、主要材料和设备一览表</w:t>
      </w:r>
    </w:p>
    <w:p w14:paraId="1A4D0439">
      <w:pPr>
        <w:adjustRightInd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1EF758DF">
      <w:pPr>
        <w:numPr>
          <w:ilvl w:val="0"/>
          <w:numId w:val="6"/>
        </w:numPr>
        <w:pBdr>
          <w:bottom w:val="single" w:color="auto" w:sz="6" w:space="1"/>
        </w:pBdr>
        <w:adjustRightInd w:val="0"/>
        <w:snapToGrid w:val="0"/>
        <w:spacing w:line="360" w:lineRule="auto"/>
        <w:ind w:firstLine="308"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投标总价封面、扉页</w:t>
      </w:r>
    </w:p>
    <w:p w14:paraId="6BB2CEA1">
      <w:pPr>
        <w:numPr>
          <w:ilvl w:val="0"/>
          <w:numId w:val="6"/>
        </w:numPr>
        <w:pBdr>
          <w:bottom w:val="single" w:color="auto" w:sz="6" w:space="1"/>
        </w:pBdr>
        <w:adjustRightInd w:val="0"/>
        <w:snapToGrid w:val="0"/>
        <w:spacing w:line="360" w:lineRule="auto"/>
        <w:ind w:firstLine="308"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总说明；</w:t>
      </w:r>
    </w:p>
    <w:p w14:paraId="64A5CCAC">
      <w:pPr>
        <w:numPr>
          <w:ilvl w:val="0"/>
          <w:numId w:val="6"/>
        </w:numPr>
        <w:pBdr>
          <w:bottom w:val="single" w:color="auto" w:sz="6" w:space="1"/>
        </w:pBdr>
        <w:adjustRightInd w:val="0"/>
        <w:snapToGrid w:val="0"/>
        <w:spacing w:line="360" w:lineRule="auto"/>
        <w:ind w:firstLine="310" w:firstLineChars="147"/>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eastAsia="宋体" w:cs="宋体"/>
          <w:b/>
          <w:bCs/>
          <w:color w:val="auto"/>
          <w:szCs w:val="21"/>
          <w:highlight w:val="none"/>
        </w:rPr>
        <w:t>；</w:t>
      </w:r>
    </w:p>
    <w:p w14:paraId="020770BB">
      <w:pPr>
        <w:numPr>
          <w:ilvl w:val="0"/>
          <w:numId w:val="6"/>
        </w:numPr>
        <w:pBdr>
          <w:bottom w:val="single" w:color="auto" w:sz="6" w:space="1"/>
        </w:pBdr>
        <w:adjustRightInd w:val="0"/>
        <w:snapToGrid w:val="0"/>
        <w:spacing w:line="360" w:lineRule="auto"/>
        <w:ind w:firstLine="310" w:firstLineChars="147"/>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其它辅助说明资料（包括但不限于招标文件要求填写的《对投标文件编制的承诺》，格式见招标文件第四章）</w:t>
      </w:r>
      <w:r>
        <w:rPr>
          <w:rFonts w:hint="eastAsia" w:ascii="宋体" w:hAnsi="宋体" w:eastAsia="宋体" w:cs="宋体"/>
          <w:b/>
          <w:bCs/>
          <w:color w:val="auto"/>
          <w:szCs w:val="21"/>
          <w:highlight w:val="none"/>
        </w:rPr>
        <w:t>。</w:t>
      </w:r>
    </w:p>
    <w:p w14:paraId="3C7270E8">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条款号：11.3.3             修改类型：修改</w:t>
      </w:r>
    </w:p>
    <w:p w14:paraId="016F3FF2">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u w:val="none"/>
        </w:rPr>
        <w:t>11.3.3按照</w:t>
      </w:r>
      <w:r>
        <w:rPr>
          <w:rFonts w:hint="eastAsia" w:ascii="宋体" w:hAnsi="宋体" w:eastAsia="宋体" w:cs="宋体"/>
          <w:bCs/>
          <w:color w:val="auto"/>
          <w:sz w:val="21"/>
          <w:szCs w:val="21"/>
          <w:highlight w:val="none"/>
          <w:u w:val="none"/>
        </w:rPr>
        <w:t>招标文件要求</w:t>
      </w:r>
      <w:r>
        <w:rPr>
          <w:rFonts w:hint="eastAsia" w:ascii="宋体" w:hAnsi="宋体" w:eastAsia="宋体" w:cs="宋体"/>
          <w:color w:val="auto"/>
          <w:sz w:val="21"/>
          <w:szCs w:val="21"/>
          <w:highlight w:val="none"/>
          <w:u w:val="none"/>
        </w:rPr>
        <w:t>填写的《参与编制经济标投标文件人员名单》。</w:t>
      </w:r>
    </w:p>
    <w:p w14:paraId="1EA52525">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11.3.3按照招标文件要求填写的《参与编制经济标投标文件人员名单》</w:t>
      </w:r>
      <w:r>
        <w:rPr>
          <w:rFonts w:hint="eastAsia" w:ascii="宋体" w:hAnsi="宋体" w:eastAsia="宋体" w:cs="宋体"/>
          <w:b/>
          <w:bCs/>
          <w:color w:val="auto"/>
          <w:szCs w:val="21"/>
          <w:highlight w:val="none"/>
          <w:u w:val="single"/>
        </w:rPr>
        <w:t>（格式见招标文件第四章）</w:t>
      </w:r>
      <w:r>
        <w:rPr>
          <w:rFonts w:hint="eastAsia" w:ascii="宋体" w:hAnsi="宋体" w:eastAsia="宋体" w:cs="宋体"/>
          <w:color w:val="auto"/>
          <w:szCs w:val="21"/>
          <w:highlight w:val="none"/>
        </w:rPr>
        <w:t>。</w:t>
      </w:r>
    </w:p>
    <w:p w14:paraId="644EB5E6">
      <w:pPr>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条款号：11.3.</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1CFE34C1">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u w:val="single"/>
        </w:rPr>
        <w:t>11.3.4若投标人的投标报价低于</w:t>
      </w:r>
      <w:r>
        <w:rPr>
          <w:rFonts w:hint="eastAsia" w:ascii="宋体" w:hAnsi="宋体" w:cs="宋体"/>
          <w:color w:val="auto"/>
          <w:sz w:val="21"/>
          <w:szCs w:val="21"/>
          <w:highlight w:val="none"/>
          <w:u w:val="single"/>
          <w:lang w:eastAsia="zh-CN"/>
        </w:rPr>
        <w:t>工程成本警戒价</w:t>
      </w:r>
      <w:r>
        <w:rPr>
          <w:rFonts w:hint="eastAsia" w:ascii="宋体" w:hAnsi="宋体" w:eastAsia="宋体" w:cs="宋体"/>
          <w:color w:val="auto"/>
          <w:sz w:val="21"/>
          <w:szCs w:val="21"/>
          <w:highlight w:val="none"/>
          <w:u w:val="single"/>
        </w:rPr>
        <w:t>的，投标人还须提供详细的施工组织设计、单价、措施性费用、单价分析表、主要材料价格表、投标人成本分析供评标委员会评审。</w:t>
      </w:r>
    </w:p>
    <w:p w14:paraId="671B2CC8">
      <w:pPr>
        <w:pBdr>
          <w:bottom w:val="single" w:color="auto" w:sz="6" w:space="1"/>
        </w:pBd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color w:val="auto"/>
          <w:sz w:val="21"/>
          <w:szCs w:val="21"/>
          <w:highlight w:val="none"/>
          <w:u w:val="single"/>
        </w:rPr>
        <w:t>11.3.5</w:t>
      </w:r>
      <w:r>
        <w:rPr>
          <w:rFonts w:hint="eastAsia" w:ascii="宋体" w:hAnsi="宋体" w:eastAsia="宋体" w:cs="宋体"/>
          <w:b/>
          <w:bCs/>
          <w:color w:val="auto"/>
          <w:sz w:val="21"/>
          <w:szCs w:val="21"/>
          <w:highlight w:val="none"/>
          <w:u w:val="single"/>
        </w:rPr>
        <w:t>投标人认为应提供的其他经济标资料（如有）。</w:t>
      </w:r>
    </w:p>
    <w:p w14:paraId="1E99A46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条款号：11.4            修改类型：增加</w:t>
      </w:r>
    </w:p>
    <w:p w14:paraId="4D145488">
      <w:pPr>
        <w:pBdr>
          <w:bottom w:val="single" w:color="auto" w:sz="6" w:space="1"/>
        </w:pBdr>
        <w:shd w:val="clear" w:color="auto" w:fill="auto"/>
        <w:adjustRightInd w:val="0"/>
        <w:spacing w:line="360" w:lineRule="auto"/>
        <w:ind w:firstLine="422" w:firstLineChars="200"/>
        <w:textAlignment w:val="baseline"/>
        <w:rPr>
          <w:rFonts w:hint="eastAsia" w:ascii="宋体" w:hAnsi="宋体" w:eastAsia="宋体" w:cs="宋体"/>
          <w:b/>
          <w:bCs/>
          <w:color w:val="auto"/>
          <w:sz w:val="21"/>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 w:val="21"/>
          <w:szCs w:val="21"/>
          <w:highlight w:val="none"/>
          <w:u w:val="single"/>
        </w:rPr>
        <w:t>11.4定标文件主要包括下列内容：</w:t>
      </w:r>
    </w:p>
    <w:p w14:paraId="3C5E3766">
      <w:pPr>
        <w:pBdr>
          <w:bottom w:val="single" w:color="auto" w:sz="6" w:space="1"/>
        </w:pBdr>
        <w:spacing w:line="360" w:lineRule="auto"/>
        <w:ind w:firstLine="422" w:firstLineChars="200"/>
        <w:textAlignment w:val="baseline"/>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定标</w:t>
      </w:r>
      <w:r>
        <w:rPr>
          <w:rFonts w:hint="eastAsia" w:ascii="宋体" w:hAnsi="宋体" w:eastAsia="宋体" w:cs="宋体"/>
          <w:b/>
          <w:bCs/>
          <w:color w:val="auto"/>
          <w:sz w:val="21"/>
          <w:szCs w:val="21"/>
          <w:highlight w:val="none"/>
          <w:u w:val="single"/>
          <w:lang w:val="en-US" w:eastAsia="zh-CN"/>
        </w:rPr>
        <w:t>评审方</w:t>
      </w:r>
      <w:r>
        <w:rPr>
          <w:rFonts w:hint="eastAsia" w:ascii="宋体" w:hAnsi="宋体" w:eastAsia="宋体" w:cs="宋体"/>
          <w:b/>
          <w:bCs/>
          <w:color w:val="auto"/>
          <w:sz w:val="21"/>
          <w:szCs w:val="21"/>
          <w:highlight w:val="none"/>
          <w:u w:val="single"/>
          <w:lang w:eastAsia="zh-CN"/>
        </w:rPr>
        <w:t>案因素按投标人提交的</w:t>
      </w:r>
      <w:r>
        <w:rPr>
          <w:rFonts w:hint="eastAsia" w:ascii="宋体" w:hAnsi="宋体" w:eastAsia="宋体" w:cs="宋体"/>
          <w:b/>
          <w:bCs/>
          <w:strike w:val="0"/>
          <w:dstrike w:val="0"/>
          <w:color w:val="auto"/>
          <w:sz w:val="21"/>
          <w:szCs w:val="21"/>
          <w:highlight w:val="none"/>
          <w:u w:val="single"/>
          <w:lang w:val="en-US" w:eastAsia="zh-CN"/>
        </w:rPr>
        <w:t>定标方案进行评审，方案因素包含</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①</w:t>
      </w:r>
      <w:r>
        <w:rPr>
          <w:rFonts w:hint="eastAsia" w:ascii="宋体" w:hAnsi="宋体" w:eastAsia="宋体" w:cs="宋体"/>
          <w:b/>
          <w:bCs/>
          <w:color w:val="auto"/>
          <w:sz w:val="21"/>
          <w:szCs w:val="21"/>
          <w:highlight w:val="none"/>
          <w:u w:val="single"/>
        </w:rPr>
        <w:t>拟投入本项目的团队配置</w:t>
      </w:r>
      <w:r>
        <w:rPr>
          <w:rFonts w:hint="eastAsia" w:ascii="宋体" w:hAnsi="宋体" w:eastAsia="宋体" w:cs="宋体"/>
          <w:b/>
          <w:bCs/>
          <w:color w:val="auto"/>
          <w:sz w:val="21"/>
          <w:szCs w:val="21"/>
          <w:highlight w:val="none"/>
          <w:u w:val="single"/>
          <w:lang w:val="en-US" w:eastAsia="zh-CN"/>
        </w:rPr>
        <w:t>②</w:t>
      </w:r>
      <w:r>
        <w:rPr>
          <w:rFonts w:hint="eastAsia" w:ascii="宋体" w:hAnsi="宋体" w:eastAsia="宋体" w:cs="宋体"/>
          <w:b/>
          <w:bCs/>
          <w:color w:val="auto"/>
          <w:sz w:val="21"/>
          <w:szCs w:val="21"/>
          <w:highlight w:val="none"/>
          <w:u w:val="single"/>
        </w:rPr>
        <w:t>本项目施工管理措施③</w:t>
      </w:r>
      <w:r>
        <w:rPr>
          <w:rFonts w:hint="eastAsia" w:ascii="宋体" w:hAnsi="宋体" w:eastAsia="宋体" w:cs="宋体"/>
          <w:b/>
          <w:bCs/>
          <w:color w:val="auto"/>
          <w:szCs w:val="21"/>
          <w:highlight w:val="none"/>
          <w:u w:val="single"/>
        </w:rPr>
        <w:t>本项目成本控制措施</w:t>
      </w:r>
      <w:r>
        <w:rPr>
          <w:rFonts w:hint="eastAsia" w:ascii="宋体" w:hAnsi="宋体" w:eastAsia="宋体" w:cs="宋体"/>
          <w:b/>
          <w:bCs/>
          <w:color w:val="auto"/>
          <w:sz w:val="21"/>
          <w:szCs w:val="21"/>
          <w:highlight w:val="none"/>
          <w:u w:val="single"/>
        </w:rPr>
        <w:t>④本项目资金管理措施</w:t>
      </w:r>
      <w:r>
        <w:rPr>
          <w:rFonts w:hint="eastAsia" w:ascii="宋体" w:hAnsi="宋体" w:eastAsia="宋体" w:cs="宋体"/>
          <w:b/>
          <w:bCs/>
          <w:color w:val="auto"/>
          <w:sz w:val="21"/>
          <w:szCs w:val="21"/>
          <w:highlight w:val="none"/>
          <w:u w:val="single"/>
          <w:lang w:val="en-US" w:eastAsia="zh-CN"/>
        </w:rPr>
        <w:t>等内容</w:t>
      </w:r>
      <w:r>
        <w:rPr>
          <w:rFonts w:hint="eastAsia" w:ascii="宋体" w:hAnsi="宋体" w:eastAsia="宋体" w:cs="宋体"/>
          <w:b/>
          <w:bCs/>
          <w:color w:val="auto"/>
          <w:sz w:val="21"/>
          <w:szCs w:val="21"/>
          <w:highlight w:val="none"/>
          <w:u w:val="single"/>
        </w:rPr>
        <w:t>。价格因素按定标委员会对</w:t>
      </w:r>
      <w:r>
        <w:rPr>
          <w:rFonts w:hint="eastAsia" w:ascii="宋体" w:hAnsi="宋体" w:cs="宋体"/>
          <w:b/>
          <w:bCs/>
          <w:color w:val="auto"/>
          <w:sz w:val="21"/>
          <w:szCs w:val="21"/>
          <w:highlight w:val="none"/>
          <w:u w:val="single"/>
          <w:lang w:eastAsia="zh-CN"/>
        </w:rPr>
        <w:t>合格中标候选人</w:t>
      </w:r>
      <w:r>
        <w:rPr>
          <w:rFonts w:hint="eastAsia" w:ascii="宋体" w:hAnsi="宋体" w:eastAsia="宋体" w:cs="宋体"/>
          <w:b/>
          <w:bCs/>
          <w:color w:val="auto"/>
          <w:sz w:val="21"/>
          <w:szCs w:val="21"/>
          <w:highlight w:val="none"/>
          <w:u w:val="single"/>
        </w:rPr>
        <w:t>投标报价进行打分，不需要重复提交投标报价资料</w:t>
      </w:r>
      <w:r>
        <w:rPr>
          <w:rFonts w:hint="eastAsia" w:ascii="宋体" w:hAnsi="宋体" w:eastAsia="宋体" w:cs="宋体"/>
          <w:b/>
          <w:bCs/>
          <w:color w:val="auto"/>
          <w:sz w:val="21"/>
          <w:szCs w:val="21"/>
          <w:highlight w:val="none"/>
          <w:u w:val="single"/>
          <w:lang w:eastAsia="zh-CN"/>
        </w:rPr>
        <w:t>。</w:t>
      </w:r>
    </w:p>
    <w:p w14:paraId="4448A434">
      <w:pPr>
        <w:pBdr>
          <w:bottom w:val="single" w:color="auto" w:sz="6" w:space="1"/>
        </w:pBdr>
        <w:spacing w:line="360" w:lineRule="auto"/>
        <w:ind w:firstLine="422" w:firstLineChars="20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注意事项：各投标单位在投标系统上传投标文件时，要把资审文件、技术文件、经济文件等内容，分别上传至投标系统内对应的文件夹中，不须上传到定标文件夹中，定标文件夹中只上传定标文件。</w:t>
      </w:r>
      <w:r>
        <w:rPr>
          <w:rFonts w:hint="eastAsia" w:cs="Times New Roman"/>
          <w:b/>
          <w:bCs/>
          <w:color w:val="auto"/>
          <w:szCs w:val="21"/>
          <w:highlight w:val="none"/>
          <w:u w:val="single"/>
          <w:lang w:val="en-US" w:eastAsia="zh-CN"/>
        </w:rPr>
        <w:t>评标委员会不对定标文件进行评审，</w:t>
      </w:r>
      <w:r>
        <w:rPr>
          <w:rFonts w:hint="eastAsia" w:ascii="宋体" w:hAnsi="宋体" w:eastAsia="宋体" w:cs="宋体"/>
          <w:b/>
          <w:bCs/>
          <w:color w:val="auto"/>
          <w:szCs w:val="21"/>
          <w:highlight w:val="none"/>
          <w:u w:val="single"/>
        </w:rPr>
        <w:t>因投标人未按招标文件要求提供规定的资料，而未能通过资格审查（或技术标有效性审查或经济标有效性审查）或影响评分的后果由投标人自行承担。</w:t>
      </w:r>
    </w:p>
    <w:p w14:paraId="272B444E">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条款号：12.2             修改类型：修改</w:t>
      </w:r>
    </w:p>
    <w:p w14:paraId="3033A146">
      <w:pPr>
        <w:pStyle w:val="36"/>
        <w:spacing w:after="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2B1FE90">
      <w:pPr>
        <w:pBdr>
          <w:bottom w:val="single" w:color="auto" w:sz="6" w:space="1"/>
        </w:pBdr>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12.2</w:t>
      </w:r>
      <w:r>
        <w:rPr>
          <w:rFonts w:hint="eastAsia" w:ascii="宋体" w:hAnsi="宋体" w:eastAsia="宋体" w:cs="宋体"/>
          <w:color w:val="auto"/>
          <w:szCs w:val="21"/>
          <w:highlight w:val="none"/>
          <w:u w:val="single"/>
        </w:rPr>
        <w:t>投标人应仔细阅读招标文件第四章投标文件格式的相关规定和要求。</w:t>
      </w:r>
      <w:r>
        <w:rPr>
          <w:rFonts w:hint="eastAsia" w:ascii="宋体" w:hAnsi="宋体" w:eastAsia="宋体" w:cs="宋体"/>
          <w:color w:val="auto"/>
          <w:sz w:val="21"/>
          <w:szCs w:val="21"/>
          <w:highlight w:val="none"/>
        </w:rPr>
        <w:t>投标文件全部采用电子文档，投标文件所附证书证件均为</w:t>
      </w:r>
      <w:r>
        <w:rPr>
          <w:rFonts w:hint="eastAsia" w:ascii="宋体" w:hAnsi="宋体" w:eastAsia="宋体" w:cs="宋体"/>
          <w:b/>
          <w:bCs/>
          <w:color w:val="auto"/>
          <w:sz w:val="21"/>
          <w:szCs w:val="21"/>
          <w:highlight w:val="none"/>
          <w:u w:val="single"/>
          <w:lang w:eastAsia="zh-CN"/>
        </w:rPr>
        <w:t>扫描件</w:t>
      </w:r>
      <w:r>
        <w:rPr>
          <w:rFonts w:hint="eastAsia" w:ascii="宋体" w:hAnsi="宋体" w:cs="宋体"/>
          <w:b/>
          <w:bCs/>
          <w:color w:val="auto"/>
          <w:szCs w:val="21"/>
          <w:highlight w:val="none"/>
          <w:u w:val="single"/>
        </w:rPr>
        <w:t>或电子证照</w:t>
      </w:r>
      <w:r>
        <w:rPr>
          <w:rFonts w:hint="eastAsia" w:ascii="宋体" w:hAnsi="宋体" w:cs="宋体"/>
          <w:b/>
          <w:bCs/>
          <w:color w:val="auto"/>
          <w:sz w:val="21"/>
          <w:szCs w:val="21"/>
          <w:highlight w:val="none"/>
          <w:lang w:val="en-US" w:eastAsia="zh-CN"/>
        </w:rPr>
        <w:t>证书</w:t>
      </w:r>
      <w:r>
        <w:rPr>
          <w:rFonts w:hint="eastAsia" w:ascii="宋体" w:hAnsi="宋体" w:eastAsia="宋体" w:cs="宋体"/>
          <w:color w:val="auto"/>
          <w:sz w:val="21"/>
          <w:szCs w:val="21"/>
          <w:highlight w:val="none"/>
        </w:rPr>
        <w:t>，并采用单位数字证书，按招标文件要求加盖电子印章。投标文件中需个人签字或盖章的，应加盖个人电子印章或在线下完成后扫描上传。按照</w:t>
      </w:r>
      <w:r>
        <w:rPr>
          <w:rFonts w:hint="eastAsia" w:ascii="宋体" w:hAnsi="宋体" w:eastAsia="宋体" w:cs="宋体"/>
          <w:b/>
          <w:bCs w:val="0"/>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如联合体投标，投标文件中的“投标人”、“投标单位”“承诺企业”应填写联合体各成员的单位全称“（主）***公司（成）***公司”。除投标文件中的联合体工作协议、投标人声明需联合体各方按格式要求盖章或签字外，其他资料均由主办方盖章或签字即可。</w:t>
      </w:r>
    </w:p>
    <w:p w14:paraId="16DC1140">
      <w:pPr>
        <w:pBdr>
          <w:bottom w:val="single" w:color="auto" w:sz="6" w:space="1"/>
        </w:pBdr>
        <w:adjustRightInd w:val="0"/>
        <w:snapToGrid w:val="0"/>
        <w:spacing w:line="360" w:lineRule="auto"/>
        <w:ind w:firstLine="527" w:firstLineChars="25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注释：投标文件电子文档需要投标人单位盖章的材料，投标人加盖电子印章即可，不得将投标人未对电子文档加盖实物印章作为否决投标的情形。</w:t>
      </w:r>
    </w:p>
    <w:p w14:paraId="2559E7A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12.3</w:t>
      </w:r>
      <w:r>
        <w:rPr>
          <w:rFonts w:hint="eastAsia" w:ascii="宋体" w:hAnsi="宋体" w:eastAsia="宋体" w:cs="宋体"/>
          <w:b/>
          <w:color w:val="auto"/>
          <w:szCs w:val="21"/>
          <w:highlight w:val="none"/>
        </w:rPr>
        <w:t xml:space="preserve">             修改类型：修改</w:t>
      </w:r>
    </w:p>
    <w:p w14:paraId="01574E12">
      <w:pPr>
        <w:pStyle w:val="36"/>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照交易平台关于全流程电子化项目的相关指南进行编制，详见：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F849FF">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14:paraId="5CA86F52">
      <w:pPr>
        <w:pStyle w:val="36"/>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照</w:t>
      </w:r>
      <w:r>
        <w:rPr>
          <w:rFonts w:hint="eastAsia" w:ascii="宋体" w:hAnsi="宋体" w:eastAsia="宋体" w:cs="宋体"/>
          <w:b/>
          <w:bCs w:val="0"/>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交易平台关于全流程电子化项目的相关指南进行编制，详见：</w:t>
      </w:r>
      <w:r>
        <w:rPr>
          <w:rFonts w:hint="eastAsia" w:ascii="宋体" w:hAnsi="宋体" w:eastAsia="宋体" w:cs="宋体"/>
          <w:b/>
          <w:bCs/>
          <w:color w:val="auto"/>
          <w:sz w:val="21"/>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14:paraId="4EC6E901">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14:paraId="13CA1C57">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w:t>
      </w:r>
      <w:r>
        <w:rPr>
          <w:rFonts w:hint="eastAsia" w:ascii="宋体" w:hAnsi="宋体" w:eastAsia="宋体" w:cs="宋体"/>
          <w:b/>
          <w:color w:val="auto"/>
          <w:szCs w:val="21"/>
          <w:highlight w:val="none"/>
        </w:rPr>
        <w:t xml:space="preserve">             修改类型：修改</w:t>
      </w:r>
    </w:p>
    <w:p w14:paraId="603CFDF3">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13.1 本工程的投标报价采用投标须知前附表第1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项所规定的方式。投标报价（含单价及总价）精确到“分”。</w:t>
      </w:r>
    </w:p>
    <w:p w14:paraId="3786C151">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13.1 本工程的投标报价采用投标须知前附表第1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项所规定的方式。</w:t>
      </w:r>
      <w:r>
        <w:rPr>
          <w:rFonts w:hint="eastAsia" w:ascii="宋体" w:hAnsi="宋体" w:eastAsia="宋体" w:cs="宋体"/>
          <w:b/>
          <w:bCs/>
          <w:color w:val="auto"/>
          <w:szCs w:val="21"/>
          <w:highlight w:val="none"/>
          <w:u w:val="single"/>
        </w:rPr>
        <w:t>投标文件中的大写金额和小写金额不一致的，以大写金额为准。</w:t>
      </w:r>
      <w:r>
        <w:rPr>
          <w:rFonts w:hint="eastAsia" w:ascii="宋体" w:hAnsi="宋体" w:eastAsia="宋体" w:cs="宋体"/>
          <w:color w:val="auto"/>
          <w:sz w:val="21"/>
          <w:szCs w:val="21"/>
          <w:highlight w:val="none"/>
        </w:rPr>
        <w:t>投标报价（含单价及总价）精确到“分”。</w:t>
      </w:r>
    </w:p>
    <w:p w14:paraId="234EE58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13.3</w:t>
      </w:r>
      <w:r>
        <w:rPr>
          <w:rFonts w:hint="eastAsia" w:ascii="宋体" w:hAnsi="宋体" w:eastAsia="宋体" w:cs="宋体"/>
          <w:b/>
          <w:color w:val="auto"/>
          <w:szCs w:val="21"/>
          <w:highlight w:val="none"/>
        </w:rPr>
        <w:t xml:space="preserve">             修改类型：修改</w:t>
      </w:r>
    </w:p>
    <w:p w14:paraId="51133FC0">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44237B7">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b/>
          <w:bCs/>
          <w:color w:val="auto"/>
          <w:szCs w:val="21"/>
          <w:highlight w:val="none"/>
          <w:u w:val="single"/>
        </w:rPr>
        <w:t>提供的招标图纸（包括有关于本项目招标的相关资料）</w:t>
      </w:r>
      <w:r>
        <w:rPr>
          <w:rFonts w:hint="eastAsia" w:ascii="宋体" w:hAnsi="宋体" w:eastAsia="宋体" w:cs="宋体"/>
          <w:b/>
          <w:bCs/>
          <w:color w:val="auto"/>
          <w:szCs w:val="21"/>
          <w:highlight w:val="none"/>
          <w:u w:val="single"/>
          <w:lang w:val="en-US" w:eastAsia="zh-CN"/>
        </w:rPr>
        <w:t>及</w:t>
      </w:r>
      <w:r>
        <w:rPr>
          <w:rFonts w:hint="eastAsia" w:ascii="宋体" w:hAnsi="宋体" w:eastAsia="宋体" w:cs="宋体"/>
          <w:color w:val="auto"/>
          <w:sz w:val="21"/>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r>
        <w:rPr>
          <w:rFonts w:hint="eastAsia" w:ascii="宋体" w:hAnsi="宋体" w:eastAsia="宋体" w:cs="宋体"/>
          <w:color w:val="auto"/>
          <w:sz w:val="21"/>
          <w:szCs w:val="21"/>
          <w:highlight w:val="none"/>
          <w:lang w:eastAsia="zh-CN"/>
        </w:rPr>
        <w:t>。</w:t>
      </w:r>
    </w:p>
    <w:p w14:paraId="7238A36C">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13.4</w:t>
      </w:r>
      <w:r>
        <w:rPr>
          <w:rFonts w:hint="eastAsia" w:ascii="宋体" w:hAnsi="宋体" w:eastAsia="宋体" w:cs="宋体"/>
          <w:b/>
          <w:color w:val="auto"/>
          <w:szCs w:val="21"/>
          <w:highlight w:val="none"/>
        </w:rPr>
        <w:t xml:space="preserve">             修改类型：修改</w:t>
      </w:r>
    </w:p>
    <w:p w14:paraId="6F524E7D">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FAB157C">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13.4投标人一旦中标，投标人对招标人提供的招标工程量清单中列出的工程项目所报出的综合单价</w:t>
      </w:r>
      <w:r>
        <w:rPr>
          <w:rFonts w:hint="eastAsia" w:ascii="宋体" w:hAnsi="宋体" w:eastAsia="宋体" w:cs="宋体"/>
          <w:b/>
          <w:bCs/>
          <w:color w:val="auto"/>
          <w:szCs w:val="21"/>
          <w:highlight w:val="none"/>
          <w:u w:val="single"/>
        </w:rPr>
        <w:t>和措施项目费（措施项目费必须单列，没有单独列出的，视为已经包含在投标报价中），在工程结算时，按招标文件第三章合同条款相关约定调整。</w:t>
      </w:r>
    </w:p>
    <w:p w14:paraId="4B4DCE26">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13.5</w:t>
      </w:r>
      <w:r>
        <w:rPr>
          <w:rFonts w:hint="eastAsia" w:ascii="宋体" w:hAnsi="宋体" w:eastAsia="宋体" w:cs="宋体"/>
          <w:b/>
          <w:color w:val="auto"/>
          <w:szCs w:val="21"/>
          <w:highlight w:val="none"/>
        </w:rPr>
        <w:t xml:space="preserve">             修改类型：修改</w:t>
      </w:r>
    </w:p>
    <w:p w14:paraId="3B297AE8">
      <w:pPr>
        <w:pStyle w:val="36"/>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9F401C4">
      <w:pPr>
        <w:pStyle w:val="36"/>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13.5.1中标的投标文件工程量清单中已有相同项目的适用综合单价，则沿用；</w:t>
      </w:r>
    </w:p>
    <w:p w14:paraId="7ECB7296">
      <w:pPr>
        <w:pStyle w:val="36"/>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169AF87">
      <w:pPr>
        <w:pStyle w:val="36"/>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233162E3">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13.5.4 如相关定额没有相应子目的，其计价方式由招标人在本招标文件第三章中另行规定。未规定的，中标后双方协商约定。</w:t>
      </w:r>
    </w:p>
    <w:p w14:paraId="53FE0EB6">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13.5</w:t>
      </w:r>
      <w:r>
        <w:rPr>
          <w:rFonts w:hint="eastAsia" w:ascii="宋体" w:hAnsi="宋体" w:eastAsia="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62AE3DF0">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13.6.2</w:t>
      </w:r>
      <w:r>
        <w:rPr>
          <w:rFonts w:hint="eastAsia" w:ascii="宋体" w:hAnsi="宋体" w:eastAsia="宋体" w:cs="宋体"/>
          <w:b/>
          <w:color w:val="auto"/>
          <w:szCs w:val="21"/>
          <w:highlight w:val="none"/>
        </w:rPr>
        <w:t xml:space="preserve">             修改类型：修改</w:t>
      </w:r>
    </w:p>
    <w:p w14:paraId="28BE15E0">
      <w:pPr>
        <w:pStyle w:val="36"/>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09A55E7">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eastAsia="宋体" w:cs="宋体"/>
          <w:b/>
          <w:bCs/>
          <w:color w:val="auto"/>
          <w:szCs w:val="21"/>
          <w:highlight w:val="none"/>
          <w:u w:val="single"/>
        </w:rPr>
        <w:t>应由招标人招标确定承包人和承包价格。</w:t>
      </w:r>
    </w:p>
    <w:p w14:paraId="65FF94B6">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13.6.4</w:t>
      </w:r>
      <w:r>
        <w:rPr>
          <w:rFonts w:hint="eastAsia" w:ascii="宋体" w:hAnsi="宋体" w:eastAsia="宋体" w:cs="宋体"/>
          <w:b/>
          <w:color w:val="auto"/>
          <w:szCs w:val="21"/>
          <w:highlight w:val="none"/>
        </w:rPr>
        <w:t xml:space="preserve">             修改类型：修改</w:t>
      </w:r>
    </w:p>
    <w:p w14:paraId="799069EF">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173389A">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cs="宋体"/>
          <w:b/>
          <w:bCs/>
          <w:color w:val="auto"/>
          <w:sz w:val="21"/>
          <w:szCs w:val="21"/>
          <w:highlight w:val="none"/>
          <w:u w:val="single"/>
        </w:rPr>
        <w:t>经发包人同意，</w:t>
      </w:r>
      <w:r>
        <w:rPr>
          <w:rFonts w:hint="eastAsia" w:ascii="宋体" w:hAnsi="宋体" w:eastAsia="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775F6FD2">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13.8</w:t>
      </w:r>
      <w:r>
        <w:rPr>
          <w:rFonts w:hint="eastAsia" w:ascii="宋体" w:hAnsi="宋体" w:eastAsia="宋体" w:cs="宋体"/>
          <w:b/>
          <w:color w:val="auto"/>
          <w:szCs w:val="21"/>
          <w:highlight w:val="none"/>
        </w:rPr>
        <w:t xml:space="preserve">             修改类型：修改</w:t>
      </w:r>
    </w:p>
    <w:p w14:paraId="17BEB15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ABD6731">
      <w:pPr>
        <w:pBdr>
          <w:bottom w:val="single" w:color="auto" w:sz="6" w:space="1"/>
        </w:pBd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13.8</w:t>
      </w:r>
      <w:r>
        <w:rPr>
          <w:rFonts w:hint="eastAsia" w:ascii="宋体" w:hAnsi="宋体" w:eastAsia="宋体" w:cs="宋体"/>
          <w:b/>
          <w:bCs/>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79343636">
      <w:pPr>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13.10</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29F5999D">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u w:val="single"/>
        </w:rPr>
        <w:t>现文：</w:t>
      </w:r>
      <w:r>
        <w:rPr>
          <w:rFonts w:hint="eastAsia" w:ascii="宋体" w:hAnsi="宋体" w:eastAsia="宋体" w:cs="宋体"/>
          <w:b w:val="0"/>
          <w:bCs/>
          <w:color w:val="auto"/>
          <w:sz w:val="21"/>
          <w:szCs w:val="21"/>
          <w:highlight w:val="none"/>
          <w:u w:val="single"/>
        </w:rPr>
        <w:t>13.10工程量清单报价中有关问题的说明：</w:t>
      </w:r>
    </w:p>
    <w:p w14:paraId="146F56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工程量清单中的标志杆基础中的土方开挖、运输、外运等费用包含在相应项目中，不包含在土石方工程的相关项目中；</w:t>
      </w:r>
    </w:p>
    <w:p w14:paraId="3203BA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lang w:eastAsia="zh-CN"/>
        </w:rPr>
        <w:t>投标时, 土石方单位工程中的土方单价，参照广州开发区管委会办公室《关于调整我区土地平整项目土方单价的复函》（穗开内收【2016】58号）文设置最高限价：土地平整综合单价按3公里内13.2元/立方米进行控制，运距超出3公里后每增加1公里运距的运土综合单价为2.14元/立方米，运距最高计算至15公里，若选定的弃土点超出该地块15公里范围之外的，仍按15公里计算的综合单价38.88元/立方米包干。此综合单价包含挖填、运输、推平、压实、地块内清表、临时排水、临时道路、修坡工程费用及措施费、规费、税金。其他单位工程中：土方的挖运单价按定额计算，土方的弃运距离暂按15km内考虑，超过15km按15km计算，结算时按招标人确认的实际运距计算,实际运距超过15公里时，按15公里包干。</w:t>
      </w:r>
    </w:p>
    <w:p w14:paraId="285FEB1B">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工程量清单中措施项目清单费计价表中的绿色施工安全防护措施费执行《广东省住房和城乡建设厅关于印发&lt;广东省建设工程计价依据（2018)&gt;的通知》（穗建市〔2019〕6号）文，绿色施工安全防护措施费按发包人公布的本工程最高投标限价中的绿色施工安全防护措施费计取，作为非竞争费用，在投标报价中单列，不参与投标竞价，该费用从工程施工中标价中提取，专款专用</w:t>
      </w:r>
      <w:r>
        <w:rPr>
          <w:rFonts w:hint="eastAsia" w:ascii="宋体" w:hAnsi="宋体" w:eastAsia="宋体" w:cs="宋体"/>
          <w:color w:val="auto"/>
          <w:szCs w:val="21"/>
          <w:highlight w:val="none"/>
        </w:rPr>
        <w:t>。</w:t>
      </w:r>
    </w:p>
    <w:p w14:paraId="5B9F96D5">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13.11</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345E5372">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13.11</w:t>
      </w:r>
      <w:r>
        <w:rPr>
          <w:rFonts w:hint="eastAsia" w:ascii="宋体" w:hAnsi="宋体" w:cs="宋体"/>
          <w:color w:val="auto"/>
          <w:szCs w:val="21"/>
          <w:highlight w:val="none"/>
          <w:u w:val="single"/>
          <w:lang w:val="en-US" w:eastAsia="zh-CN"/>
        </w:rPr>
        <w:t>中标</w:t>
      </w:r>
      <w:r>
        <w:rPr>
          <w:rFonts w:hint="eastAsia" w:ascii="宋体" w:hAnsi="宋体" w:eastAsia="宋体" w:cs="宋体"/>
          <w:color w:val="auto"/>
          <w:szCs w:val="21"/>
          <w:highlight w:val="none"/>
          <w:u w:val="single"/>
        </w:rPr>
        <w:t>人应对当地现有的交通道路状况进行充分调查，充分考虑该路段的交通疏导问题和文明施工，制定可行的交通疏导（包括场内和场外）方案，确保原有道路的交通畅通和施工临时排水的通畅，并符合施工环保要求。承包人应与建设单位、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0BB906BD">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13.12</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52F4114E">
      <w:pPr>
        <w:pBdr>
          <w:bottom w:val="single" w:color="auto" w:sz="6" w:space="1"/>
        </w:pBdr>
        <w:shd w:val="clear" w:color="auto" w:fill="auto"/>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13.12</w:t>
      </w:r>
      <w:r>
        <w:rPr>
          <w:rFonts w:hint="eastAsia" w:ascii="宋体" w:hAnsi="宋体" w:eastAsia="宋体" w:cs="宋体"/>
          <w:b w:val="0"/>
          <w:bCs w:val="0"/>
          <w:color w:val="auto"/>
          <w:szCs w:val="21"/>
          <w:highlight w:val="none"/>
          <w:u w:val="single"/>
          <w:lang w:val="en-US" w:eastAsia="zh-CN"/>
        </w:rPr>
        <w:t>中标</w:t>
      </w:r>
      <w:r>
        <w:rPr>
          <w:rFonts w:hint="eastAsia" w:ascii="宋体" w:hAnsi="宋体" w:eastAsia="宋体" w:cs="宋体"/>
          <w:color w:val="auto"/>
          <w:szCs w:val="21"/>
          <w:highlight w:val="none"/>
          <w:u w:val="single"/>
        </w:rPr>
        <w:t>人应加强周边学校、居民住宅的环境保护，制定绿色施工安全防护措施（包括防尘、防噪音、施工围蔽等），施工现场严格按照《广州市建设工程文明施工管理规定》（广州市人民政府令62号）、《广州市建设工程现场文明施工管理办法》（穗建质【2008】937号）实施，施工围蔽严格按照《关于进一步加强我区建设工地文明施工管理的通知》（穗开规建[2006]74号）、广州市建委《关于进一步规范建设工程施工现场围蔽的通知》（穗建质[2008]1008号）、《关于完善广州市建设工程施工围蔽管理提升实施技术要求和标准图集的通知》（穗建质[2016]1085号）、《关于对知识城九龙大道沿线建设工地施工围蔽规范整改的通知》（穗开建环知函[2016]11号）、《关于进一步提升黄埔区广州开发区建设工程施工围蔽管理的通知》（穗开建[ 2017]2号）、《关于进一步提升中新广州知识城建设工程施工围蔽管理的通知》（穗开建环知函〔2017〕127号）、广州开发区建设和交通局《关于在全区建设项目推广使用封闭式外脚手架金属防护网的通知》（房建工程及桥梁工程要求使用）、广州市住房和城乡建设委员会关于《广州市建设工程绿色施工围蔽指导图集(V2.0试行版 )》(穂建质〔 2020〕1号)《广州市住房和城乡建设委员会关于印发建设工程扬尘防治“6个100%”管理标准细化措施的通知》（穗建质〔2018〕1394号）的相关文件要求的标准实施。以上文件要求不一致的，以后发布文件为准，若相关部门发布有关施工围蔽新文件规定的，按新规定执行。如中标人未及时按要求做好围蔽等绿色施工安全文明施工措施，建设业主可另行委托单位实施，建设业主按实际发生的费用在绿色施工安全防护措施费中扣除</w:t>
      </w:r>
      <w:r>
        <w:rPr>
          <w:rFonts w:hint="eastAsia" w:ascii="宋体" w:hAnsi="宋体" w:eastAsia="宋体" w:cs="宋体"/>
          <w:b w:val="0"/>
          <w:bCs w:val="0"/>
          <w:color w:val="auto"/>
          <w:szCs w:val="21"/>
          <w:highlight w:val="none"/>
          <w:u w:val="single"/>
        </w:rPr>
        <w:t>。</w:t>
      </w:r>
    </w:p>
    <w:p w14:paraId="17185F19">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13.13</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288327AA">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14:paraId="422DD897">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13.14</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0741309F">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13.14投标单位应结合本工程招标内容对现场进行充分的调查，充分考虑工程招标内容及施工组织方案，承包单位应与建设单位、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62BA6562">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条款号：13.15             修改类型：</w:t>
      </w:r>
      <w:r>
        <w:rPr>
          <w:rFonts w:hint="eastAsia" w:ascii="宋体" w:hAnsi="宋体" w:eastAsia="宋体" w:cs="宋体"/>
          <w:b/>
          <w:color w:val="auto"/>
          <w:szCs w:val="21"/>
          <w:highlight w:val="none"/>
          <w:lang w:val="en-US" w:eastAsia="zh-CN"/>
        </w:rPr>
        <w:t>增加</w:t>
      </w:r>
    </w:p>
    <w:p w14:paraId="2136848D">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13.15</w:t>
      </w:r>
      <w:r>
        <w:rPr>
          <w:rFonts w:hint="eastAsia" w:ascii="宋体" w:hAnsi="宋体" w:eastAsia="宋体" w:cs="宋体"/>
          <w:b w:val="0"/>
          <w:bCs w:val="0"/>
          <w:color w:val="auto"/>
          <w:szCs w:val="21"/>
          <w:highlight w:val="none"/>
          <w:u w:val="single"/>
          <w:lang w:val="en-US" w:eastAsia="zh-CN"/>
        </w:rPr>
        <w:t>中标</w:t>
      </w:r>
      <w:r>
        <w:rPr>
          <w:rFonts w:hint="eastAsia" w:ascii="宋体" w:hAnsi="宋体" w:eastAsia="宋体" w:cs="宋体"/>
          <w:color w:val="auto"/>
          <w:szCs w:val="21"/>
          <w:highlight w:val="none"/>
          <w:u w:val="single"/>
        </w:rPr>
        <w:t>人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4D82825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13.16</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1408528F">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13.16中标人应使用绿色生产达标企业生产的混凝土，若不遵守承诺，自愿按不履行合同约定处理。</w:t>
      </w:r>
    </w:p>
    <w:p w14:paraId="7FF0F0E7">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13.17</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增加</w:t>
      </w:r>
    </w:p>
    <w:p w14:paraId="0B2638EF">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13.17中标人应按有关规定协助建设业主完成公共排水设施竣工图纸备案工作。</w:t>
      </w:r>
    </w:p>
    <w:p w14:paraId="2E10D71D">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条款号：15.2              修改类型：修改</w:t>
      </w:r>
    </w:p>
    <w:p w14:paraId="3C08DA9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1E3DBB11">
      <w:pPr>
        <w:pBdr>
          <w:bottom w:val="single" w:color="auto" w:sz="6" w:space="1"/>
        </w:pBd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 w:val="21"/>
          <w:szCs w:val="21"/>
          <w:highlight w:val="none"/>
        </w:rPr>
        <w:t>5.</w:t>
      </w:r>
      <w:r>
        <w:rPr>
          <w:rFonts w:hint="eastAsia" w:ascii="宋体" w:hAnsi="宋体" w:eastAsia="宋体" w:cs="宋体"/>
          <w:color w:val="auto"/>
          <w:sz w:val="21"/>
          <w:szCs w:val="21"/>
          <w:highlight w:val="none"/>
        </w:rPr>
        <w:t>2在特殊情况下，招标人在原定投标有效期内，可以根据需要以书面形式向投标人提出延长投标有效期的要求，对此要求投标人须以书面形式予以答复。</w:t>
      </w:r>
      <w:r>
        <w:rPr>
          <w:rFonts w:hint="eastAsia" w:ascii="宋体" w:hAnsi="宋体" w:eastAsia="宋体" w:cs="宋体"/>
          <w:b/>
          <w:bCs/>
          <w:color w:val="auto"/>
          <w:szCs w:val="21"/>
          <w:highlight w:val="none"/>
          <w:u w:val="single"/>
        </w:rPr>
        <w:t>投标人可以拒绝招标人这种要求。同意延长投标有效期的投标人既不能要求也不允许修改其投标文件。</w:t>
      </w:r>
    </w:p>
    <w:p w14:paraId="6B3FF188">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条款号：16.投标保证金             修改类型：修改</w:t>
      </w:r>
    </w:p>
    <w:p w14:paraId="7FA0467F">
      <w:pPr>
        <w:pStyle w:val="36"/>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16.1投标人应按</w:t>
      </w:r>
      <w:r>
        <w:rPr>
          <w:rFonts w:hint="eastAsia" w:ascii="宋体" w:hAnsi="宋体" w:eastAsia="宋体" w:cs="宋体"/>
          <w:color w:val="auto"/>
          <w:sz w:val="21"/>
          <w:szCs w:val="21"/>
          <w:highlight w:val="none"/>
          <w:lang w:eastAsia="zh-CN"/>
        </w:rPr>
        <w:t>国家、省、市有关规定和</w:t>
      </w:r>
      <w:r>
        <w:rPr>
          <w:rFonts w:hint="eastAsia" w:ascii="宋体" w:hAnsi="宋体" w:eastAsia="宋体" w:cs="宋体"/>
          <w:color w:val="auto"/>
          <w:sz w:val="21"/>
          <w:szCs w:val="21"/>
          <w:highlight w:val="none"/>
        </w:rPr>
        <w:t>投标须知前附表第</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项所述金额和时间递交</w:t>
      </w:r>
      <w:r>
        <w:rPr>
          <w:rFonts w:hint="eastAsia" w:ascii="宋体" w:hAnsi="宋体" w:eastAsia="宋体" w:cs="宋体"/>
          <w:bCs/>
          <w:color w:val="auto"/>
          <w:sz w:val="21"/>
          <w:szCs w:val="21"/>
          <w:highlight w:val="none"/>
        </w:rPr>
        <w:t>投标保证金</w:t>
      </w:r>
      <w:r>
        <w:rPr>
          <w:rFonts w:hint="eastAsia" w:ascii="宋体" w:hAnsi="宋体" w:eastAsia="宋体" w:cs="宋体"/>
          <w:color w:val="auto"/>
          <w:sz w:val="21"/>
          <w:szCs w:val="21"/>
          <w:highlight w:val="none"/>
        </w:rPr>
        <w:t>。招标人应当允许投标人自主选择现金、银行保函、保证保险、专业工程担保公司担保等方式缴纳投标保证金。</w:t>
      </w:r>
    </w:p>
    <w:p w14:paraId="6EEE63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16.1.1采用现金或者支票形式提交的，投标保证金须从投标人的银行基本账户转出。</w:t>
      </w:r>
    </w:p>
    <w:p w14:paraId="7E7C2D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9283C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16.1.3采用电子形式的保函、担保或保证保险提交投标保证金的，应在招标文件中明确电子递交途径。</w:t>
      </w:r>
    </w:p>
    <w:p w14:paraId="038AC2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FBF13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16.3投标保证金应依据法律法规的相关规定退还。</w:t>
      </w:r>
    </w:p>
    <w:p w14:paraId="1AE78A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16.4如有下列情况之一的，招标人可以不予退还投标保证金（是否退还投标保证金由招标人</w:t>
      </w:r>
      <w:r>
        <w:rPr>
          <w:rFonts w:hint="eastAsia" w:ascii="宋体" w:hAnsi="宋体" w:eastAsia="宋体" w:cs="宋体"/>
          <w:color w:val="auto"/>
          <w:sz w:val="21"/>
          <w:szCs w:val="21"/>
          <w:highlight w:val="none"/>
          <w:lang w:eastAsia="zh-CN"/>
        </w:rPr>
        <w:t>依法依规</w:t>
      </w:r>
      <w:r>
        <w:rPr>
          <w:rFonts w:hint="eastAsia" w:ascii="宋体" w:hAnsi="宋体" w:eastAsia="宋体" w:cs="宋体"/>
          <w:color w:val="auto"/>
          <w:sz w:val="21"/>
          <w:szCs w:val="21"/>
          <w:highlight w:val="none"/>
        </w:rPr>
        <w:t>在招标文件中规定）：</w:t>
      </w:r>
    </w:p>
    <w:p w14:paraId="1351FF77">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16.5投标人如存在下列情况之一的，将被拒绝在一定时期内参与招标人后续工程投标（由招标人</w:t>
      </w:r>
      <w:r>
        <w:rPr>
          <w:rFonts w:hint="eastAsia" w:ascii="宋体" w:hAnsi="宋体" w:eastAsia="宋体" w:cs="宋体"/>
          <w:color w:val="auto"/>
          <w:sz w:val="21"/>
          <w:szCs w:val="21"/>
          <w:highlight w:val="none"/>
          <w:lang w:eastAsia="zh-CN"/>
        </w:rPr>
        <w:t>依法依规</w:t>
      </w:r>
      <w:r>
        <w:rPr>
          <w:rFonts w:hint="eastAsia" w:ascii="宋体" w:hAnsi="宋体" w:eastAsia="宋体" w:cs="宋体"/>
          <w:color w:val="auto"/>
          <w:sz w:val="21"/>
          <w:szCs w:val="21"/>
          <w:highlight w:val="none"/>
        </w:rPr>
        <w:t>在招标文件中明确）：</w:t>
      </w:r>
    </w:p>
    <w:p w14:paraId="05966E5D">
      <w:pPr>
        <w:pBdr>
          <w:bottom w:val="single" w:color="auto" w:sz="6" w:space="1"/>
        </w:pBdr>
        <w:adjustRightInd w:val="0"/>
        <w:snapToGrid w:val="0"/>
        <w:spacing w:line="360" w:lineRule="auto"/>
        <w:ind w:firstLine="422" w:firstLineChars="200"/>
        <w:rPr>
          <w:rFonts w:hint="eastAsia" w:ascii="宋体" w:hAnsi="宋体" w:eastAsia="宋体" w:cs="宋体"/>
          <w:b/>
          <w:bCs/>
          <w:color w:val="auto"/>
          <w:szCs w:val="21"/>
          <w:highlight w:val="none"/>
          <w:u w:val="singl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16.1</w:t>
      </w:r>
      <w:r>
        <w:rPr>
          <w:rFonts w:hint="eastAsia" w:ascii="宋体" w:hAnsi="宋体" w:eastAsia="宋体" w:cs="宋体"/>
          <w:b/>
          <w:bCs/>
          <w:color w:val="auto"/>
          <w:szCs w:val="21"/>
          <w:highlight w:val="none"/>
          <w:u w:val="single"/>
        </w:rPr>
        <w:t>本项目不收投标保证金</w:t>
      </w:r>
      <w:r>
        <w:rPr>
          <w:rFonts w:hint="eastAsia" w:ascii="宋体" w:hAnsi="宋体" w:eastAsia="宋体" w:cs="宋体"/>
          <w:b/>
          <w:bCs/>
          <w:color w:val="auto"/>
          <w:szCs w:val="21"/>
          <w:highlight w:val="none"/>
          <w:u w:val="single"/>
          <w:lang w:eastAsia="zh-CN"/>
        </w:rPr>
        <w:t>。</w:t>
      </w:r>
    </w:p>
    <w:p w14:paraId="29DDE277">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bCs/>
          <w:color w:val="auto"/>
          <w:sz w:val="21"/>
          <w:szCs w:val="21"/>
          <w:highlight w:val="none"/>
        </w:rPr>
        <w:t>17．</w:t>
      </w:r>
      <w:r>
        <w:rPr>
          <w:rFonts w:hint="eastAsia" w:ascii="宋体" w:hAnsi="宋体" w:eastAsia="宋体" w:cs="宋体"/>
          <w:b/>
          <w:color w:val="auto"/>
          <w:sz w:val="21"/>
          <w:szCs w:val="21"/>
          <w:highlight w:val="none"/>
        </w:rPr>
        <w:t>投标文件的签署</w:t>
      </w:r>
      <w:r>
        <w:rPr>
          <w:rFonts w:hint="eastAsia" w:ascii="宋体" w:hAnsi="宋体" w:eastAsia="宋体" w:cs="宋体"/>
          <w:b/>
          <w:color w:val="auto"/>
          <w:szCs w:val="21"/>
          <w:highlight w:val="none"/>
        </w:rPr>
        <w:t xml:space="preserve">             修改类型：修改</w:t>
      </w:r>
    </w:p>
    <w:p w14:paraId="110AD97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BDAAE94">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17．投标文件的签署</w:t>
      </w:r>
      <w:r>
        <w:rPr>
          <w:rFonts w:hint="eastAsia" w:ascii="宋体" w:hAnsi="宋体" w:eastAsia="宋体" w:cs="宋体"/>
          <w:b/>
          <w:bCs/>
          <w:color w:val="auto"/>
          <w:szCs w:val="21"/>
          <w:highlight w:val="none"/>
          <w:u w:val="single"/>
        </w:rPr>
        <w:t>及份数</w:t>
      </w:r>
    </w:p>
    <w:p w14:paraId="485ED8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17.1投标人应采用单位数字证书，按招标文件要求在相应位置加盖电子印章。投标文件中需个人签字或盖章的，应加盖个人电子印章或在线下完成后扫描上传。按照</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r>
        <w:rPr>
          <w:rFonts w:hint="eastAsia" w:ascii="宋体" w:hAnsi="宋体" w:eastAsia="宋体" w:cs="宋体"/>
          <w:b/>
          <w:bCs/>
          <w:color w:val="auto"/>
          <w:sz w:val="21"/>
          <w:szCs w:val="21"/>
          <w:highlight w:val="none"/>
        </w:rPr>
        <w:t>。</w:t>
      </w:r>
    </w:p>
    <w:p w14:paraId="5A2B34CA">
      <w:pPr>
        <w:pBdr>
          <w:top w:val="none" w:color="auto" w:sz="0" w:space="0"/>
          <w:left w:val="none" w:color="auto" w:sz="0" w:space="0"/>
          <w:bottom w:val="single" w:color="auto" w:sz="4" w:space="0"/>
          <w:right w:val="none" w:color="auto" w:sz="0" w:space="0"/>
          <w:between w:val="none" w:color="auto" w:sz="0" w:space="0"/>
        </w:pBd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30B2DEC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rPr>
        <w:t>投标文件的密封和标记            修改类型：修改</w:t>
      </w:r>
    </w:p>
    <w:p w14:paraId="417C21B8">
      <w:pPr>
        <w:pStyle w:val="36"/>
        <w:spacing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 w:val="21"/>
          <w:szCs w:val="21"/>
          <w:highlight w:val="none"/>
        </w:rPr>
        <w:t>18．</w:t>
      </w:r>
      <w:r>
        <w:rPr>
          <w:rFonts w:hint="eastAsia" w:ascii="宋体" w:hAnsi="宋体" w:eastAsia="宋体" w:cs="宋体"/>
          <w:b/>
          <w:color w:val="auto"/>
          <w:sz w:val="21"/>
          <w:szCs w:val="21"/>
          <w:highlight w:val="none"/>
        </w:rPr>
        <w:t>投标文件的密封和标记</w:t>
      </w:r>
    </w:p>
    <w:p w14:paraId="0D8FCDC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18.1递交的电子投标文件（不含备用光盘）必须进行加密。按照交易平台关于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3EEAA5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rPr>
        <w:t>18.2 未按要求加密的投标文件，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14:paraId="26F6DFCA">
      <w:pPr>
        <w:pStyle w:val="36"/>
        <w:spacing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 w:val="21"/>
          <w:szCs w:val="21"/>
          <w:highlight w:val="none"/>
        </w:rPr>
        <w:t>18．</w:t>
      </w:r>
      <w:r>
        <w:rPr>
          <w:rFonts w:hint="eastAsia" w:ascii="宋体" w:hAnsi="宋体" w:cs="宋体"/>
          <w:b/>
          <w:bCs/>
          <w:color w:val="auto"/>
          <w:sz w:val="21"/>
          <w:szCs w:val="21"/>
          <w:highlight w:val="none"/>
          <w:lang w:eastAsia="zh-CN"/>
        </w:rPr>
        <w:t>电子</w:t>
      </w:r>
      <w:r>
        <w:rPr>
          <w:rFonts w:hint="eastAsia" w:ascii="宋体" w:hAnsi="宋体" w:eastAsia="宋体" w:cs="宋体"/>
          <w:b/>
          <w:color w:val="auto"/>
          <w:sz w:val="21"/>
          <w:szCs w:val="21"/>
          <w:highlight w:val="none"/>
        </w:rPr>
        <w:t>投标文件的密封和标记</w:t>
      </w:r>
    </w:p>
    <w:p w14:paraId="435BCCD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18.1递交的电子投标文件（不含备用光盘）必须进行加密。按照交易平台关于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14:paraId="0A7C661A">
      <w:pPr>
        <w:pBdr>
          <w:bottom w:val="single" w:color="auto" w:sz="6" w:space="1"/>
        </w:pBd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 xml:space="preserve">18.2 </w:t>
      </w:r>
      <w:r>
        <w:rPr>
          <w:rFonts w:hint="eastAsia" w:ascii="宋体" w:hAnsi="宋体" w:eastAsia="宋体" w:cs="宋体"/>
          <w:b/>
          <w:bCs w:val="0"/>
          <w:color w:val="auto"/>
          <w:sz w:val="21"/>
          <w:szCs w:val="21"/>
          <w:highlight w:val="none"/>
        </w:rPr>
        <w:t>投标人可制作非加密的投标文件电子档（PDF格式）刻入光盘（1份），刻录好的投标文件（含定标文件）光盘密封在密封袋中，并在封口处加盖投标人单位公章。密封袋上应写明项目名称和招标人名称。</w:t>
      </w:r>
    </w:p>
    <w:p w14:paraId="38C10E91">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 w:val="21"/>
          <w:szCs w:val="21"/>
          <w:highlight w:val="none"/>
        </w:rPr>
        <w:t>18.3未按要求加密的投标文件，广州交易集团有限公司（广州公共资源交易中心）交易平台将予以拒收</w:t>
      </w:r>
      <w:r>
        <w:rPr>
          <w:rFonts w:hint="eastAsia" w:ascii="宋体" w:hAnsi="宋体" w:eastAsia="宋体" w:cs="宋体"/>
          <w:bCs/>
          <w:color w:val="auto"/>
          <w:sz w:val="21"/>
          <w:szCs w:val="21"/>
          <w:highlight w:val="none"/>
        </w:rPr>
        <w:t>。</w:t>
      </w:r>
    </w:p>
    <w:p w14:paraId="66128C5F">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条款号：19．投标文件的递交和接收             修改类型：修改</w:t>
      </w:r>
    </w:p>
    <w:p w14:paraId="529384A5">
      <w:pPr>
        <w:spacing w:line="360" w:lineRule="auto"/>
        <w:ind w:firstLine="422" w:firstLineChars="200"/>
        <w:rPr>
          <w:rFonts w:hint="eastAsia" w:ascii="宋体" w:hAnsi="宋体" w:eastAsia="宋体" w:cs="宋体"/>
          <w:b w:val="0"/>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val="0"/>
          <w:color w:val="auto"/>
          <w:sz w:val="21"/>
          <w:szCs w:val="21"/>
          <w:highlight w:val="none"/>
        </w:rPr>
        <w:t>19．投标文件的递交和接收</w:t>
      </w:r>
    </w:p>
    <w:p w14:paraId="15A7184F">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现文：19.</w:t>
      </w:r>
      <w:r>
        <w:rPr>
          <w:rFonts w:hint="eastAsia" w:ascii="宋体" w:hAnsi="宋体" w:eastAsia="宋体" w:cs="宋体"/>
          <w:b/>
          <w:color w:val="auto"/>
          <w:szCs w:val="21"/>
          <w:highlight w:val="none"/>
          <w:u w:val="single"/>
        </w:rPr>
        <w:t>投标登记和</w:t>
      </w:r>
      <w:r>
        <w:rPr>
          <w:rFonts w:hint="eastAsia" w:ascii="宋体" w:hAnsi="宋体" w:eastAsia="宋体" w:cs="宋体"/>
          <w:b/>
          <w:color w:val="auto"/>
          <w:szCs w:val="21"/>
          <w:highlight w:val="none"/>
        </w:rPr>
        <w:t>投标文件的递交和接收</w:t>
      </w:r>
    </w:p>
    <w:p w14:paraId="4528B6E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条款号：19.1             修改类型：修改</w:t>
      </w:r>
    </w:p>
    <w:p w14:paraId="201DB22C">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交易平台递交电子投标文件。</w:t>
      </w:r>
    </w:p>
    <w:p w14:paraId="6ADA06A6">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 w:val="21"/>
          <w:szCs w:val="21"/>
          <w:highlight w:val="none"/>
        </w:rPr>
        <w:t>19.1投标人通过</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交易平台递交电子投标文件。</w:t>
      </w:r>
    </w:p>
    <w:p w14:paraId="45B34889">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19.2</w:t>
      </w:r>
      <w:r>
        <w:rPr>
          <w:rFonts w:hint="eastAsia" w:ascii="宋体" w:hAnsi="宋体" w:eastAsia="宋体" w:cs="宋体"/>
          <w:b/>
          <w:color w:val="auto"/>
          <w:szCs w:val="21"/>
          <w:highlight w:val="none"/>
        </w:rPr>
        <w:t xml:space="preserve">             修改类型：修改</w:t>
      </w:r>
    </w:p>
    <w:p w14:paraId="526374E5">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14:paraId="0D856AEE">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14:paraId="482CB9CD">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19.3</w:t>
      </w:r>
      <w:r>
        <w:rPr>
          <w:rFonts w:hint="eastAsia" w:ascii="宋体" w:hAnsi="宋体" w:eastAsia="宋体" w:cs="宋体"/>
          <w:b/>
          <w:color w:val="auto"/>
          <w:szCs w:val="21"/>
          <w:highlight w:val="none"/>
        </w:rPr>
        <w:t xml:space="preserve">            修改类型：修改</w:t>
      </w:r>
    </w:p>
    <w:p w14:paraId="1E5654B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14:paraId="78F79D26">
      <w:pPr>
        <w:pBdr>
          <w:bottom w:val="single" w:color="auto" w:sz="6" w:space="1"/>
        </w:pBd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r>
        <w:rPr>
          <w:rFonts w:hint="eastAsia" w:ascii="宋体" w:hAnsi="宋体" w:eastAsia="宋体" w:cs="宋体"/>
          <w:color w:val="auto"/>
          <w:sz w:val="21"/>
          <w:szCs w:val="21"/>
          <w:highlight w:val="none"/>
          <w:lang w:eastAsia="zh-CN"/>
        </w:rPr>
        <w:t>。</w:t>
      </w:r>
    </w:p>
    <w:p w14:paraId="119412A2">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19.5</w:t>
      </w:r>
      <w:r>
        <w:rPr>
          <w:rFonts w:hint="eastAsia" w:ascii="宋体" w:hAnsi="宋体" w:eastAsia="宋体" w:cs="宋体"/>
          <w:b/>
          <w:color w:val="auto"/>
          <w:szCs w:val="21"/>
          <w:highlight w:val="none"/>
        </w:rPr>
        <w:t xml:space="preserve">             修改类型：修改</w:t>
      </w:r>
    </w:p>
    <w:p w14:paraId="4752785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19.5如技术标和经济标先后分别开启，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交易平台将按招标文件规定的时间分别开启技术标和经济标。</w:t>
      </w:r>
    </w:p>
    <w:p w14:paraId="5BBB04FF">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技术标、经济标和定标文件同时开启，广州交易集团有限公司（广州公共资源交易中心）交易平台将按招标文件规定的时间同时开启技术标</w:t>
      </w:r>
      <w:r>
        <w:rPr>
          <w:rFonts w:hint="eastAsia" w:ascii="宋体" w:hAnsi="宋体" w:eastAsia="宋体" w:cs="宋体"/>
          <w:b/>
          <w:bCs/>
          <w:color w:val="auto"/>
          <w:szCs w:val="21"/>
          <w:highlight w:val="none"/>
          <w:u w:val="single"/>
          <w:lang w:eastAsia="zh-CN"/>
        </w:rPr>
        <w:t>（含资格审查文件）</w:t>
      </w:r>
      <w:r>
        <w:rPr>
          <w:rFonts w:hint="eastAsia" w:ascii="宋体" w:hAnsi="宋体" w:eastAsia="宋体" w:cs="宋体"/>
          <w:color w:val="auto"/>
          <w:sz w:val="21"/>
          <w:szCs w:val="21"/>
          <w:highlight w:val="none"/>
        </w:rPr>
        <w:t>、经济标和定标文件。</w:t>
      </w:r>
    </w:p>
    <w:p w14:paraId="6EC80C1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20.3</w:t>
      </w:r>
      <w:r>
        <w:rPr>
          <w:rFonts w:hint="eastAsia" w:ascii="宋体" w:hAnsi="宋体" w:eastAsia="宋体" w:cs="宋体"/>
          <w:b/>
          <w:color w:val="auto"/>
          <w:szCs w:val="21"/>
          <w:highlight w:val="none"/>
        </w:rPr>
        <w:t xml:space="preserve">             修改类型：修改</w:t>
      </w:r>
    </w:p>
    <w:p w14:paraId="6C815B6F">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20.3 到投标截止时间止，招标人收到的投标文件少于3家的，招标人将重新组织招标（当N个标段同时招标且不允许兼中时，若有效投标人不足N+2家，则重新组织招标）。</w:t>
      </w:r>
    </w:p>
    <w:p w14:paraId="68D3277F">
      <w:pPr>
        <w:pBdr>
          <w:bottom w:val="single" w:color="auto" w:sz="6" w:space="1"/>
        </w:pBd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u w:val="single"/>
        </w:rPr>
        <w:t>到投标截止时间止，招标人收到的投标文件少于3家的，招标人将重新组织招标</w:t>
      </w:r>
      <w:r>
        <w:rPr>
          <w:rFonts w:hint="eastAsia" w:ascii="宋体" w:hAnsi="宋体" w:eastAsia="宋体" w:cs="宋体"/>
          <w:color w:val="auto"/>
          <w:szCs w:val="21"/>
          <w:highlight w:val="none"/>
          <w:u w:val="single"/>
          <w:lang w:eastAsia="zh-CN"/>
        </w:rPr>
        <w:t>。</w:t>
      </w:r>
    </w:p>
    <w:p w14:paraId="10CABE38">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21.1</w:t>
      </w:r>
      <w:r>
        <w:rPr>
          <w:rFonts w:hint="eastAsia" w:ascii="宋体" w:hAnsi="宋体" w:eastAsia="宋体" w:cs="宋体"/>
          <w:b/>
          <w:color w:val="auto"/>
          <w:szCs w:val="21"/>
          <w:highlight w:val="none"/>
        </w:rPr>
        <w:t xml:space="preserve">             修改类型：修改</w:t>
      </w:r>
    </w:p>
    <w:p w14:paraId="1B8BCF2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21.1 本须知前附表第</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项规定的投标截止时间</w:t>
      </w:r>
      <w:r>
        <w:rPr>
          <w:rFonts w:hint="eastAsia" w:ascii="宋体" w:hAnsi="宋体" w:eastAsia="宋体" w:cs="宋体"/>
          <w:bCs/>
          <w:color w:val="auto"/>
          <w:sz w:val="21"/>
          <w:szCs w:val="21"/>
          <w:highlight w:val="none"/>
        </w:rPr>
        <w:t>后送达的电子投标文件，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14:paraId="5F406E08">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21.1 本须知前附表第</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项规定的投标截止时间</w:t>
      </w:r>
      <w:r>
        <w:rPr>
          <w:rFonts w:hint="eastAsia" w:ascii="宋体" w:hAnsi="宋体" w:eastAsia="宋体" w:cs="宋体"/>
          <w:bCs/>
          <w:color w:val="auto"/>
          <w:sz w:val="21"/>
          <w:szCs w:val="21"/>
          <w:highlight w:val="none"/>
        </w:rPr>
        <w:t>后送达的电子投标文件，</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14:paraId="5B326CD9">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24.1</w:t>
      </w:r>
      <w:r>
        <w:rPr>
          <w:rFonts w:hint="eastAsia" w:ascii="宋体" w:hAnsi="宋体" w:eastAsia="宋体" w:cs="宋体"/>
          <w:b/>
          <w:color w:val="auto"/>
          <w:szCs w:val="21"/>
          <w:highlight w:val="none"/>
        </w:rPr>
        <w:t xml:space="preserve">             修改类型：修改</w:t>
      </w:r>
    </w:p>
    <w:p w14:paraId="6475E09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24.1 开标后，直至中标公示为止，凡属于对投标文件的审查、澄清、评价和比较有关的资料以及中标候选人的推荐情况，与评标有关的其他任何情况均严格保密。</w:t>
      </w:r>
    </w:p>
    <w:p w14:paraId="66E5F532">
      <w:pPr>
        <w:pBdr>
          <w:bottom w:val="single" w:color="auto" w:sz="6" w:space="1"/>
        </w:pBd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kern w:val="2"/>
          <w:sz w:val="21"/>
          <w:szCs w:val="21"/>
          <w:highlight w:val="none"/>
        </w:rPr>
        <w:t>开标后，</w:t>
      </w:r>
      <w:r>
        <w:rPr>
          <w:rFonts w:hint="eastAsia" w:ascii="宋体" w:hAnsi="宋体" w:eastAsia="宋体" w:cs="宋体"/>
          <w:b/>
          <w:bCs/>
          <w:color w:val="auto"/>
          <w:kern w:val="2"/>
          <w:sz w:val="21"/>
          <w:szCs w:val="21"/>
          <w:highlight w:val="none"/>
        </w:rPr>
        <w:t>直至中标结果公示为止，凡属于对投标文件的审查、澄清、评价和比较有关的资料以及合格中标候选人的推荐【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情况，与评标、定标有关的其他任何情况均严格保密</w:t>
      </w:r>
      <w:r>
        <w:rPr>
          <w:rFonts w:hint="eastAsia" w:ascii="宋体" w:hAnsi="宋体" w:eastAsia="宋体" w:cs="宋体"/>
          <w:color w:val="auto"/>
          <w:kern w:val="2"/>
          <w:sz w:val="21"/>
          <w:szCs w:val="21"/>
          <w:highlight w:val="none"/>
        </w:rPr>
        <w:t>。</w:t>
      </w:r>
    </w:p>
    <w:p w14:paraId="30976D88">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24.2</w:t>
      </w:r>
      <w:r>
        <w:rPr>
          <w:rFonts w:hint="eastAsia" w:ascii="宋体" w:hAnsi="宋体" w:eastAsia="宋体" w:cs="宋体"/>
          <w:b/>
          <w:color w:val="auto"/>
          <w:szCs w:val="21"/>
          <w:highlight w:val="none"/>
        </w:rPr>
        <w:t xml:space="preserve">             修改类型：修改</w:t>
      </w:r>
    </w:p>
    <w:p w14:paraId="119A04B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24.2 在投标文件的评审和比较、中标候选人推荐以及授予合同的过程中，投标人向招标人和评标委员会施加不公正影响的任何行为，都将会导致其投标被拒绝。</w:t>
      </w:r>
    </w:p>
    <w:p w14:paraId="3694612E">
      <w:pPr>
        <w:pBdr>
          <w:bottom w:val="single" w:color="auto" w:sz="6" w:space="1"/>
        </w:pBd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kern w:val="2"/>
          <w:sz w:val="21"/>
          <w:szCs w:val="21"/>
          <w:highlight w:val="none"/>
        </w:rPr>
        <w:t>在投标文件的评审和比较、</w:t>
      </w:r>
      <w:r>
        <w:rPr>
          <w:rFonts w:hint="eastAsia" w:ascii="宋体" w:hAnsi="宋体" w:cs="宋体"/>
          <w:b/>
          <w:bCs/>
          <w:color w:val="auto"/>
          <w:kern w:val="2"/>
          <w:sz w:val="21"/>
          <w:szCs w:val="21"/>
          <w:highlight w:val="none"/>
          <w:u w:val="single"/>
          <w:lang w:eastAsia="zh-CN"/>
        </w:rPr>
        <w:t>合格中标候选人</w:t>
      </w:r>
      <w:r>
        <w:rPr>
          <w:rFonts w:hint="eastAsia" w:ascii="宋体" w:hAnsi="宋体" w:eastAsia="宋体" w:cs="宋体"/>
          <w:b/>
          <w:bCs/>
          <w:color w:val="auto"/>
          <w:kern w:val="2"/>
          <w:sz w:val="21"/>
          <w:szCs w:val="21"/>
          <w:highlight w:val="none"/>
        </w:rPr>
        <w:t>推荐</w:t>
      </w:r>
      <w:r>
        <w:rPr>
          <w:rFonts w:hint="eastAsia" w:ascii="宋体" w:hAnsi="宋体" w:eastAsia="宋体" w:cs="宋体"/>
          <w:b/>
          <w:bCs/>
          <w:color w:val="auto"/>
          <w:kern w:val="2"/>
          <w:sz w:val="21"/>
          <w:szCs w:val="21"/>
          <w:highlight w:val="none"/>
          <w:u w:val="single"/>
        </w:rPr>
        <w:t>[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定标</w:t>
      </w:r>
      <w:r>
        <w:rPr>
          <w:rFonts w:hint="eastAsia" w:ascii="宋体" w:hAnsi="宋体" w:eastAsia="宋体" w:cs="宋体"/>
          <w:color w:val="auto"/>
          <w:kern w:val="2"/>
          <w:sz w:val="21"/>
          <w:szCs w:val="21"/>
          <w:highlight w:val="none"/>
        </w:rPr>
        <w:t>以及授予合同的过程中，投标人向招标人和评标委员会</w:t>
      </w:r>
      <w:r>
        <w:rPr>
          <w:rFonts w:hint="eastAsia" w:ascii="宋体" w:hAnsi="宋体" w:eastAsia="宋体" w:cs="宋体"/>
          <w:b/>
          <w:bCs/>
          <w:color w:val="auto"/>
          <w:kern w:val="2"/>
          <w:sz w:val="21"/>
          <w:szCs w:val="21"/>
          <w:highlight w:val="none"/>
          <w:u w:val="single"/>
        </w:rPr>
        <w:t>和定标委员会</w:t>
      </w:r>
      <w:r>
        <w:rPr>
          <w:rFonts w:hint="eastAsia" w:ascii="宋体" w:hAnsi="宋体" w:eastAsia="宋体" w:cs="宋体"/>
          <w:color w:val="auto"/>
          <w:kern w:val="2"/>
          <w:sz w:val="21"/>
          <w:szCs w:val="21"/>
          <w:highlight w:val="none"/>
        </w:rPr>
        <w:t>施加不公正影响的任何行为，都将会导致其投标被拒绝。</w:t>
      </w:r>
    </w:p>
    <w:p w14:paraId="15CA65F2">
      <w:pPr>
        <w:keepNext w:val="0"/>
        <w:keepLines w:val="0"/>
        <w:pageBreakBefore w:val="0"/>
        <w:widowControl w:val="0"/>
        <w:shd w:val="clear" w:color="auto" w:fill="auto"/>
        <w:wordWrap/>
        <w:topLinePunct w:val="0"/>
        <w:autoSpaceDE/>
        <w:autoSpaceDN/>
        <w:bidi w:val="0"/>
        <w:spacing w:line="360" w:lineRule="auto"/>
        <w:ind w:right="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条款号：27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修改类型：修改</w:t>
      </w:r>
    </w:p>
    <w:p w14:paraId="1F88D311">
      <w:pPr>
        <w:pStyle w:val="15"/>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pacing w:after="0" w:line="360" w:lineRule="auto"/>
        <w:ind w:right="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27．定标</w:t>
      </w:r>
    </w:p>
    <w:p w14:paraId="726C7199">
      <w:pPr>
        <w:pStyle w:val="15"/>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pacing w:after="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27.1按照投标人须知前附表的规定，由招标人或招标人授权的评标委员会依法确定中标人。</w:t>
      </w:r>
    </w:p>
    <w:p w14:paraId="0EEC8D6E">
      <w:pPr>
        <w:pStyle w:val="15"/>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pacing w:after="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27.2采用评定分离方式确定中标人的，从其规定。</w:t>
      </w:r>
    </w:p>
    <w:p w14:paraId="1B52E7E5">
      <w:pPr>
        <w:pStyle w:val="15"/>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pacing w:after="0" w:line="360" w:lineRule="auto"/>
        <w:ind w:right="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：27．定标</w:t>
      </w:r>
    </w:p>
    <w:p w14:paraId="5AFDE8E3">
      <w:pPr>
        <w:pStyle w:val="15"/>
        <w:keepNext w:val="0"/>
        <w:keepLines w:val="0"/>
        <w:pageBreakBefore w:val="0"/>
        <w:widowControl w:val="0"/>
        <w:pBdr>
          <w:bottom w:val="single" w:color="auto" w:sz="6" w:space="1"/>
        </w:pBdr>
        <w:shd w:val="clear" w:color="auto" w:fill="auto"/>
        <w:tabs>
          <w:tab w:val="left" w:pos="3327"/>
          <w:tab w:val="left" w:pos="6137"/>
          <w:tab w:val="left" w:pos="8967"/>
        </w:tabs>
        <w:kinsoku w:val="0"/>
        <w:wordWrap/>
        <w:overflowPunct w:val="0"/>
        <w:topLinePunct w:val="0"/>
        <w:autoSpaceDE/>
        <w:autoSpaceDN/>
        <w:bidi w:val="0"/>
        <w:spacing w:after="0" w:line="360" w:lineRule="auto"/>
        <w:ind w:right="0"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27.1按照投标人须知前附表的规定，</w:t>
      </w:r>
      <w:r>
        <w:rPr>
          <w:rFonts w:hint="eastAsia" w:ascii="宋体" w:hAnsi="宋体" w:eastAsia="宋体" w:cs="宋体"/>
          <w:b/>
          <w:bCs/>
          <w:color w:val="auto"/>
          <w:sz w:val="21"/>
          <w:szCs w:val="21"/>
          <w:highlight w:val="none"/>
          <w:u w:val="single"/>
          <w:lang w:val="en-US" w:eastAsia="zh-CN"/>
        </w:rPr>
        <w:t>本项目采用</w:t>
      </w:r>
      <w:r>
        <w:rPr>
          <w:rFonts w:hint="eastAsia" w:ascii="宋体" w:hAnsi="宋体" w:eastAsia="宋体" w:cs="宋体"/>
          <w:b/>
          <w:bCs/>
          <w:color w:val="auto"/>
          <w:sz w:val="21"/>
          <w:szCs w:val="21"/>
          <w:highlight w:val="none"/>
          <w:u w:val="single"/>
        </w:rPr>
        <w:t>评定分离方式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定标采用评分法，定标委员会从</w:t>
      </w:r>
      <w:r>
        <w:rPr>
          <w:rFonts w:hint="eastAsia" w:ascii="宋体" w:hAnsi="宋体" w:eastAsia="宋体" w:cs="宋体"/>
          <w:b/>
          <w:bCs/>
          <w:color w:val="auto"/>
          <w:sz w:val="21"/>
          <w:szCs w:val="21"/>
          <w:highlight w:val="none"/>
          <w:u w:val="single"/>
          <w:lang w:val="en-US" w:eastAsia="zh-CN"/>
        </w:rPr>
        <w:t>进入定标阶段的合格</w:t>
      </w:r>
      <w:r>
        <w:rPr>
          <w:rFonts w:hint="eastAsia" w:ascii="宋体" w:hAnsi="宋体" w:eastAsia="宋体" w:cs="宋体"/>
          <w:b/>
          <w:bCs/>
          <w:color w:val="auto"/>
          <w:sz w:val="21"/>
          <w:szCs w:val="21"/>
          <w:highlight w:val="none"/>
          <w:u w:val="single"/>
        </w:rPr>
        <w:t>中标候选人中，依据评分法选出得分最高的候选人，确定为中标人。</w:t>
      </w:r>
    </w:p>
    <w:p w14:paraId="31B59B9C">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28.1</w:t>
      </w:r>
      <w:r>
        <w:rPr>
          <w:rFonts w:hint="eastAsia" w:ascii="宋体" w:hAnsi="宋体" w:eastAsia="宋体" w:cs="宋体"/>
          <w:b/>
          <w:color w:val="auto"/>
          <w:szCs w:val="21"/>
          <w:highlight w:val="none"/>
        </w:rPr>
        <w:t xml:space="preserve">             修改类型：修改</w:t>
      </w:r>
    </w:p>
    <w:p w14:paraId="557A7809">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.1招标人将在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交易平台、广东省招标投标监管网和中国招标投标公共服务平台公示中标候选人，公示期为三天</w:t>
      </w:r>
      <w:r>
        <w:rPr>
          <w:rFonts w:hint="eastAsia" w:ascii="宋体" w:hAnsi="宋体" w:eastAsia="宋体" w:cs="宋体"/>
          <w:color w:val="auto"/>
          <w:sz w:val="21"/>
          <w:szCs w:val="21"/>
          <w:highlight w:val="none"/>
          <w:lang w:eastAsia="zh-CN"/>
        </w:rPr>
        <w:t>（最后一天应为工作日）</w:t>
      </w:r>
      <w:r>
        <w:rPr>
          <w:rFonts w:hint="eastAsia" w:ascii="宋体" w:hAnsi="宋体" w:eastAsia="宋体" w:cs="宋体"/>
          <w:color w:val="auto"/>
          <w:sz w:val="21"/>
          <w:szCs w:val="21"/>
          <w:highlight w:val="none"/>
        </w:rPr>
        <w:t>。投标人或其他利害关系人对评标结果有异议的，应当在中标候选人公示期间提出，通过</w:t>
      </w:r>
      <w:r>
        <w:rPr>
          <w:rFonts w:hint="eastAsia" w:ascii="宋体" w:hAnsi="宋体" w:eastAsia="宋体" w:cs="宋体"/>
          <w:color w:val="auto"/>
          <w:sz w:val="21"/>
          <w:szCs w:val="21"/>
          <w:highlight w:val="none"/>
          <w:lang w:eastAsia="zh-CN"/>
        </w:rPr>
        <w:t>电子交易系统向招标人</w:t>
      </w:r>
      <w:r>
        <w:rPr>
          <w:rFonts w:hint="eastAsia" w:ascii="宋体" w:hAnsi="宋体" w:eastAsia="宋体" w:cs="宋体"/>
          <w:color w:val="auto"/>
          <w:sz w:val="21"/>
          <w:szCs w:val="21"/>
          <w:highlight w:val="none"/>
        </w:rPr>
        <w:t>提出异议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招标人也应通过交易平台答复线上提交的异议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具体按照</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交易平台相关指南进行操作。作出答复前，应当暂停招标投标活动。</w:t>
      </w:r>
      <w:r>
        <w:rPr>
          <w:rFonts w:hint="eastAsia" w:ascii="宋体" w:hAnsi="宋体" w:eastAsia="宋体" w:cs="宋体"/>
          <w:color w:val="auto"/>
          <w:sz w:val="21"/>
          <w:szCs w:val="21"/>
          <w:highlight w:val="none"/>
          <w:u w:val="single"/>
          <w:lang w:eastAsia="zh-CN"/>
        </w:rPr>
        <w:t>投标人提出异议时需</w:t>
      </w:r>
      <w:r>
        <w:rPr>
          <w:rFonts w:hint="eastAsia" w:ascii="宋体" w:hAnsi="宋体" w:eastAsia="宋体" w:cs="宋体"/>
          <w:color w:val="auto"/>
          <w:sz w:val="21"/>
          <w:szCs w:val="21"/>
          <w:highlight w:val="none"/>
          <w:u w:val="single"/>
          <w:lang w:val="en-US" w:eastAsia="zh-CN"/>
        </w:rPr>
        <w:t>在线提交</w:t>
      </w:r>
      <w:r>
        <w:rPr>
          <w:rFonts w:hint="eastAsia" w:ascii="宋体" w:hAnsi="宋体" w:eastAsia="宋体" w:cs="宋体"/>
          <w:color w:val="auto"/>
          <w:sz w:val="21"/>
          <w:szCs w:val="21"/>
          <w:highlight w:val="none"/>
          <w:u w:val="single"/>
          <w:lang w:eastAsia="zh-CN"/>
        </w:rPr>
        <w:t>书面的异议书（异议书应清晰表述异议事项、依据、线索、请求或主张、有效的联系方式等）并附法定代表人证明书、有效的授权委托书、被授权人的有效身份证明。</w:t>
      </w:r>
    </w:p>
    <w:p w14:paraId="2199F7E9">
      <w:pPr>
        <w:keepNext w:val="0"/>
        <w:keepLines w:val="0"/>
        <w:pageBreakBefore w:val="0"/>
        <w:widowControl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u w:val="single"/>
        </w:rPr>
        <w:t>在评标委员会完成评标工作后，</w:t>
      </w:r>
      <w:r>
        <w:rPr>
          <w:rFonts w:hint="eastAsia" w:ascii="宋体" w:hAnsi="宋体" w:eastAsia="宋体" w:cs="宋体"/>
          <w:color w:val="auto"/>
          <w:sz w:val="21"/>
          <w:szCs w:val="21"/>
          <w:highlight w:val="none"/>
        </w:rPr>
        <w:t>招标人将在</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交易平台、广东省招标投标监管网和中国招标投标公共服务平台公示</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中标候选人，公示期为三天</w:t>
      </w:r>
      <w:r>
        <w:rPr>
          <w:rFonts w:hint="eastAsia" w:ascii="宋体" w:hAnsi="宋体" w:eastAsia="宋体" w:cs="宋体"/>
          <w:color w:val="auto"/>
          <w:sz w:val="21"/>
          <w:szCs w:val="21"/>
          <w:highlight w:val="none"/>
          <w:lang w:eastAsia="zh-CN"/>
        </w:rPr>
        <w:t>（最后一天应为工作日）</w:t>
      </w:r>
      <w:r>
        <w:rPr>
          <w:rFonts w:hint="eastAsia" w:ascii="宋体" w:hAnsi="宋体" w:eastAsia="宋体" w:cs="宋体"/>
          <w:color w:val="auto"/>
          <w:sz w:val="21"/>
          <w:szCs w:val="21"/>
          <w:highlight w:val="none"/>
        </w:rPr>
        <w:t>。投标人或其他利害关系人对评标结果有异议的，应当在</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中标候选人公示期间提出，通过</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lang w:eastAsia="zh-CN"/>
        </w:rPr>
        <w:t>电子交易系统向招标人</w:t>
      </w:r>
      <w:r>
        <w:rPr>
          <w:rFonts w:hint="eastAsia" w:ascii="宋体" w:hAnsi="宋体" w:eastAsia="宋体" w:cs="宋体"/>
          <w:color w:val="auto"/>
          <w:sz w:val="21"/>
          <w:szCs w:val="21"/>
          <w:highlight w:val="none"/>
        </w:rPr>
        <w:t>提出异议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招标人也应通过</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交易平台答复线上提交的异议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具体按照</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交易平台相关指南进行操作。作出答复前，应当暂停招标投标活动。</w:t>
      </w:r>
      <w:r>
        <w:rPr>
          <w:rFonts w:hint="eastAsia" w:ascii="宋体" w:hAnsi="宋体" w:eastAsia="宋体" w:cs="宋体"/>
          <w:color w:val="auto"/>
          <w:sz w:val="21"/>
          <w:szCs w:val="21"/>
          <w:highlight w:val="none"/>
          <w:u w:val="single"/>
          <w:lang w:eastAsia="zh-CN"/>
        </w:rPr>
        <w:t>投标人提出异议时需</w:t>
      </w:r>
      <w:r>
        <w:rPr>
          <w:rFonts w:hint="eastAsia" w:ascii="宋体" w:hAnsi="宋体" w:eastAsia="宋体" w:cs="宋体"/>
          <w:color w:val="auto"/>
          <w:sz w:val="21"/>
          <w:szCs w:val="21"/>
          <w:highlight w:val="none"/>
          <w:u w:val="single"/>
          <w:lang w:val="en-US" w:eastAsia="zh-CN"/>
        </w:rPr>
        <w:t>在线提交</w:t>
      </w:r>
      <w:r>
        <w:rPr>
          <w:rFonts w:hint="eastAsia" w:ascii="宋体" w:hAnsi="宋体" w:eastAsia="宋体" w:cs="宋体"/>
          <w:color w:val="auto"/>
          <w:sz w:val="21"/>
          <w:szCs w:val="21"/>
          <w:highlight w:val="none"/>
          <w:u w:val="single"/>
          <w:lang w:eastAsia="zh-CN"/>
        </w:rPr>
        <w:t>书面的异议书（异议书应清晰表述异议事项、依据、线索、请求或主张、有效的联系方式等）并附法定代表人证明书、有效的授权委托书、被授权人的有效身份证明。</w:t>
      </w:r>
    </w:p>
    <w:p w14:paraId="4EC50A12">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u w:val="single"/>
        </w:rPr>
        <w:t>合格中标候选人公示结束后</w:t>
      </w:r>
      <w:r>
        <w:rPr>
          <w:rFonts w:hint="eastAsia" w:ascii="宋体" w:hAnsi="宋体" w:eastAsia="宋体" w:cs="宋体"/>
          <w:b/>
          <w:bCs/>
          <w:strike w:val="0"/>
          <w:color w:val="auto"/>
          <w:sz w:val="21"/>
          <w:szCs w:val="21"/>
          <w:highlight w:val="none"/>
          <w:u w:val="single"/>
          <w:lang w:eastAsia="zh-CN"/>
        </w:rPr>
        <w:t>按规定</w:t>
      </w:r>
      <w:r>
        <w:rPr>
          <w:rFonts w:hint="eastAsia" w:ascii="宋体" w:hAnsi="宋体" w:eastAsia="宋体" w:cs="宋体"/>
          <w:b/>
          <w:bCs/>
          <w:color w:val="auto"/>
          <w:sz w:val="21"/>
          <w:szCs w:val="21"/>
          <w:highlight w:val="none"/>
          <w:u w:val="single"/>
        </w:rPr>
        <w:t>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中标候选人中采用原定标办法，由原定标委员会确定中标人，也可以重新组织招标</w:t>
      </w:r>
      <w:r>
        <w:rPr>
          <w:rFonts w:hint="eastAsia" w:ascii="宋体" w:hAnsi="宋体" w:eastAsia="宋体" w:cs="宋体"/>
          <w:color w:val="auto"/>
          <w:sz w:val="21"/>
          <w:szCs w:val="21"/>
          <w:highlight w:val="none"/>
          <w:u w:val="single"/>
          <w:lang w:eastAsia="zh-CN"/>
        </w:rPr>
        <w:t>。</w:t>
      </w:r>
    </w:p>
    <w:p w14:paraId="54A6E3D6">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28.4</w:t>
      </w:r>
      <w:r>
        <w:rPr>
          <w:rFonts w:hint="eastAsia" w:ascii="宋体" w:hAnsi="宋体" w:eastAsia="宋体" w:cs="宋体"/>
          <w:b/>
          <w:color w:val="auto"/>
          <w:szCs w:val="21"/>
          <w:highlight w:val="none"/>
        </w:rPr>
        <w:t xml:space="preserve">             修改类型：修改</w:t>
      </w:r>
    </w:p>
    <w:p w14:paraId="522E62D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.4在产生中标候选人后，招标人将中标候选人的投标文件商务部分文件的所有内容（包括人员、业绩、奖项等资料）在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交易平台和广东省招标投标监管网公开。</w:t>
      </w:r>
    </w:p>
    <w:p w14:paraId="2973D310">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.4在产生</w:t>
      </w:r>
      <w:r>
        <w:rPr>
          <w:rFonts w:hint="eastAsia" w:ascii="宋体" w:hAnsi="宋体" w:cs="宋体"/>
          <w:color w:val="auto"/>
          <w:sz w:val="21"/>
          <w:szCs w:val="21"/>
          <w:highlight w:val="none"/>
          <w:lang w:eastAsia="zh-CN"/>
        </w:rPr>
        <w:t>合格</w:t>
      </w:r>
      <w:r>
        <w:rPr>
          <w:rFonts w:hint="eastAsia" w:ascii="宋体" w:hAnsi="宋体" w:eastAsia="宋体" w:cs="宋体"/>
          <w:color w:val="auto"/>
          <w:sz w:val="21"/>
          <w:szCs w:val="21"/>
          <w:highlight w:val="none"/>
        </w:rPr>
        <w:t>中标候选人后，招标人将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rPr>
        <w:t>中标候选人的投标文件商务部分文件的所有内容（包括人员、业绩、奖项等资料）在</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交易平台和广东省招标投标监管网公开。</w:t>
      </w:r>
    </w:p>
    <w:p w14:paraId="0B471958">
      <w:pPr>
        <w:keepNext w:val="0"/>
        <w:keepLines w:val="0"/>
        <w:pageBreakBefore w:val="0"/>
        <w:widowControl w:val="0"/>
        <w:shd w:val="clear" w:color="auto" w:fill="auto"/>
        <w:wordWrap/>
        <w:topLinePunct w:val="0"/>
        <w:autoSpaceDE/>
        <w:autoSpaceDN/>
        <w:bidi w:val="0"/>
        <w:spacing w:line="360" w:lineRule="auto"/>
        <w:ind w:right="0" w:firstLine="422" w:firstLineChars="200"/>
        <w:rPr>
          <w:rFonts w:hint="eastAsia" w:ascii="宋体" w:hAnsi="宋体" w:eastAsia="宋体" w:cs="宋体"/>
          <w:color w:val="auto"/>
          <w:spacing w:val="-1"/>
          <w:szCs w:val="21"/>
          <w:highlight w:val="none"/>
          <w:lang w:eastAsia="zh-CN"/>
        </w:rPr>
      </w:pPr>
      <w:r>
        <w:rPr>
          <w:rFonts w:hint="eastAsia" w:ascii="宋体" w:hAnsi="宋体" w:eastAsia="宋体" w:cs="宋体"/>
          <w:b/>
          <w:color w:val="auto"/>
          <w:szCs w:val="21"/>
          <w:highlight w:val="none"/>
        </w:rPr>
        <w:t>条款号：2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w:t>
      </w:r>
      <w:r>
        <w:rPr>
          <w:rFonts w:hint="eastAsia" w:ascii="宋体" w:hAnsi="宋体" w:eastAsia="宋体" w:cs="宋体"/>
          <w:b/>
          <w:color w:val="auto"/>
          <w:szCs w:val="21"/>
          <w:highlight w:val="none"/>
          <w:lang w:val="en-US" w:eastAsia="zh-CN"/>
        </w:rPr>
        <w:t>删除</w:t>
      </w:r>
    </w:p>
    <w:p w14:paraId="68D262BB">
      <w:pPr>
        <w:pStyle w:val="15"/>
        <w:keepNext w:val="0"/>
        <w:keepLines w:val="0"/>
        <w:pageBreakBefore w:val="0"/>
        <w:widowControl w:val="0"/>
        <w:pBdr>
          <w:bottom w:val="single" w:color="auto" w:sz="6" w:space="1"/>
        </w:pBdr>
        <w:shd w:val="clear" w:color="auto" w:fill="auto"/>
        <w:tabs>
          <w:tab w:val="left" w:pos="6329"/>
        </w:tabs>
        <w:kinsoku w:val="0"/>
        <w:wordWrap/>
        <w:overflowPunct w:val="0"/>
        <w:topLinePunct w:val="0"/>
        <w:autoSpaceDE/>
        <w:autoSpaceDN/>
        <w:bidi w:val="0"/>
        <w:spacing w:after="0" w:line="360" w:lineRule="auto"/>
        <w:ind w:right="0" w:firstLine="418" w:firstLineChars="200"/>
        <w:rPr>
          <w:rFonts w:hint="eastAsia" w:ascii="宋体" w:hAnsi="宋体" w:eastAsia="宋体" w:cs="宋体"/>
          <w:strike/>
          <w:color w:val="auto"/>
          <w:sz w:val="21"/>
          <w:szCs w:val="21"/>
          <w:highlight w:val="none"/>
        </w:rPr>
      </w:pPr>
      <w:r>
        <w:rPr>
          <w:rFonts w:hint="eastAsia" w:ascii="宋体" w:hAnsi="宋体" w:eastAsia="宋体" w:cs="宋体"/>
          <w:b/>
          <w:bCs/>
          <w:strike/>
          <w:color w:val="auto"/>
          <w:spacing w:val="-1"/>
          <w:sz w:val="21"/>
          <w:szCs w:val="21"/>
          <w:highlight w:val="none"/>
        </w:rPr>
        <w:t>原文：</w:t>
      </w:r>
      <w:r>
        <w:rPr>
          <w:rFonts w:hint="eastAsia" w:ascii="宋体" w:hAnsi="宋体" w:eastAsia="宋体" w:cs="宋体"/>
          <w:b w:val="0"/>
          <w:bCs w:val="0"/>
          <w:strike/>
          <w:color w:val="auto"/>
          <w:spacing w:val="-1"/>
          <w:sz w:val="21"/>
          <w:szCs w:val="21"/>
          <w:highlight w:val="none"/>
          <w:u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r>
        <w:rPr>
          <w:rFonts w:hint="eastAsia" w:ascii="宋体" w:hAnsi="宋体" w:eastAsia="宋体" w:cs="宋体"/>
          <w:b w:val="0"/>
          <w:bCs w:val="0"/>
          <w:strike/>
          <w:dstrike w:val="0"/>
          <w:color w:val="auto"/>
          <w:spacing w:val="-1"/>
          <w:sz w:val="21"/>
          <w:szCs w:val="21"/>
          <w:highlight w:val="none"/>
          <w:u w:val="none"/>
        </w:rPr>
        <w:t>。</w:t>
      </w:r>
    </w:p>
    <w:p w14:paraId="6651000A">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29.2</w:t>
      </w:r>
      <w:r>
        <w:rPr>
          <w:rFonts w:hint="eastAsia" w:ascii="宋体" w:hAnsi="宋体" w:eastAsia="宋体" w:cs="宋体"/>
          <w:b/>
          <w:color w:val="auto"/>
          <w:szCs w:val="21"/>
          <w:highlight w:val="none"/>
        </w:rPr>
        <w:t xml:space="preserve">             修改类型：修改</w:t>
      </w:r>
    </w:p>
    <w:p w14:paraId="31971F2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3299451">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.2中标通知书发出之日起30日后，</w:t>
      </w:r>
      <w:r>
        <w:rPr>
          <w:rFonts w:hint="eastAsia" w:ascii="宋体" w:hAnsi="宋体" w:cs="宋体"/>
          <w:b/>
          <w:bCs/>
          <w:color w:val="auto"/>
          <w:sz w:val="21"/>
          <w:szCs w:val="21"/>
          <w:highlight w:val="none"/>
          <w:u w:val="none"/>
          <w:lang w:val="en-US" w:eastAsia="zh-CN"/>
        </w:rPr>
        <w:t>原</w:t>
      </w:r>
      <w:r>
        <w:rPr>
          <w:rFonts w:hint="eastAsia" w:ascii="宋体" w:hAnsi="宋体" w:eastAsia="宋体" w:cs="宋体"/>
          <w:color w:val="auto"/>
          <w:sz w:val="21"/>
          <w:szCs w:val="21"/>
          <w:highlight w:val="none"/>
        </w:rPr>
        <w:t>中标人未按上款的规定与招标人订立合同，招标人将解除中标通知书，</w:t>
      </w:r>
      <w:r>
        <w:rPr>
          <w:rFonts w:hint="eastAsia" w:ascii="宋体" w:hAnsi="宋体" w:eastAsia="宋体" w:cs="宋体"/>
          <w:b/>
          <w:bCs/>
          <w:color w:val="auto"/>
          <w:szCs w:val="21"/>
          <w:highlight w:val="none"/>
          <w:u w:val="single"/>
        </w:rPr>
        <w:t>原中标人依法承担相应法律责任。原中标人给招标人造成的损失，应当对其予以赔偿。</w:t>
      </w:r>
      <w:r>
        <w:rPr>
          <w:rFonts w:hint="eastAsia" w:ascii="宋体" w:hAnsi="宋体" w:eastAsia="宋体" w:cs="宋体"/>
          <w:color w:val="auto"/>
          <w:szCs w:val="21"/>
          <w:highlight w:val="none"/>
        </w:rPr>
        <w:t>原中标人有异议的，可以向人民法院起诉。</w:t>
      </w:r>
    </w:p>
    <w:p w14:paraId="2AA56DE4">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29.3</w:t>
      </w:r>
      <w:r>
        <w:rPr>
          <w:rFonts w:hint="eastAsia" w:ascii="宋体" w:hAnsi="宋体" w:eastAsia="宋体" w:cs="宋体"/>
          <w:b/>
          <w:color w:val="auto"/>
          <w:szCs w:val="21"/>
          <w:highlight w:val="none"/>
        </w:rPr>
        <w:t xml:space="preserve">             修改类型：修改</w:t>
      </w:r>
    </w:p>
    <w:p w14:paraId="1864001D">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.3非经招标人同意，中标人在投标过程中使用的银行名称及帐号至完成竣工结算不得变更，否则招标人有权停止工程款项的拔付及至解除合同，由此造成的一切责任由中标人承担。</w:t>
      </w:r>
    </w:p>
    <w:p w14:paraId="61DFE33C">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.3非经招标人同意，中标人在投标过程中使用的银行名称及帐号至完成竣工结算不得变更，否则招标人有权停止工程款项的</w:t>
      </w:r>
      <w:r>
        <w:rPr>
          <w:rFonts w:hint="eastAsia" w:ascii="宋体" w:hAnsi="宋体" w:eastAsia="宋体" w:cs="宋体"/>
          <w:b/>
          <w:bCs/>
          <w:color w:val="auto"/>
          <w:szCs w:val="21"/>
          <w:highlight w:val="none"/>
          <w:u w:val="single"/>
        </w:rPr>
        <w:t>拨付</w:t>
      </w:r>
      <w:r>
        <w:rPr>
          <w:rFonts w:hint="eastAsia" w:ascii="宋体" w:hAnsi="宋体" w:eastAsia="宋体" w:cs="宋体"/>
          <w:b/>
          <w:bCs/>
          <w:color w:val="auto"/>
          <w:sz w:val="21"/>
          <w:szCs w:val="21"/>
          <w:highlight w:val="none"/>
          <w:u w:val="single"/>
          <w:lang w:val="en-US" w:eastAsia="zh-CN"/>
        </w:rPr>
        <w:t>直至</w:t>
      </w:r>
      <w:r>
        <w:rPr>
          <w:rFonts w:hint="eastAsia" w:ascii="宋体" w:hAnsi="宋体" w:eastAsia="宋体" w:cs="宋体"/>
          <w:color w:val="auto"/>
          <w:sz w:val="21"/>
          <w:szCs w:val="21"/>
          <w:highlight w:val="none"/>
        </w:rPr>
        <w:t>解除合同，由此造成的一切责任由中标人承担。</w:t>
      </w:r>
    </w:p>
    <w:p w14:paraId="36C5B06A">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
          <w:color w:val="auto"/>
          <w:sz w:val="21"/>
          <w:szCs w:val="21"/>
          <w:highlight w:val="none"/>
          <w:lang w:val="en-US" w:eastAsia="zh-CN"/>
        </w:rPr>
        <w:t>29.4</w:t>
      </w:r>
      <w:r>
        <w:rPr>
          <w:rFonts w:hint="eastAsia" w:ascii="宋体" w:hAnsi="宋体" w:eastAsia="宋体" w:cs="宋体"/>
          <w:b/>
          <w:color w:val="auto"/>
          <w:sz w:val="21"/>
          <w:szCs w:val="21"/>
          <w:highlight w:val="none"/>
        </w:rPr>
        <w:t xml:space="preserve">            修改类型：修改</w:t>
      </w:r>
    </w:p>
    <w:p w14:paraId="7DD2AA41">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.4招标人支付工程款时，中标人应按规定开具发票</w:t>
      </w:r>
      <w:r>
        <w:rPr>
          <w:rFonts w:hint="eastAsia" w:ascii="宋体" w:hAnsi="宋体" w:eastAsia="宋体" w:cs="宋体"/>
          <w:color w:val="auto"/>
          <w:sz w:val="21"/>
          <w:szCs w:val="21"/>
          <w:highlight w:val="none"/>
          <w:lang w:eastAsia="zh-CN"/>
        </w:rPr>
        <w:t>并完税</w:t>
      </w:r>
      <w:r>
        <w:rPr>
          <w:rFonts w:hint="eastAsia" w:ascii="宋体" w:hAnsi="宋体" w:eastAsia="宋体" w:cs="宋体"/>
          <w:color w:val="auto"/>
          <w:sz w:val="21"/>
          <w:szCs w:val="21"/>
          <w:highlight w:val="none"/>
        </w:rPr>
        <w:t>。</w:t>
      </w:r>
    </w:p>
    <w:p w14:paraId="09A1AED0">
      <w:pPr>
        <w:keepNext w:val="0"/>
        <w:keepLines w:val="0"/>
        <w:pageBreakBefore w:val="0"/>
        <w:widowControl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.4招标人支付工程款时，</w:t>
      </w:r>
      <w:r>
        <w:rPr>
          <w:rFonts w:hint="eastAsia" w:ascii="宋体" w:hAnsi="宋体" w:eastAsia="宋体" w:cs="宋体"/>
          <w:b/>
          <w:bCs/>
          <w:color w:val="auto"/>
          <w:sz w:val="21"/>
          <w:szCs w:val="21"/>
          <w:highlight w:val="none"/>
          <w:u w:val="single"/>
        </w:rPr>
        <w:t>中标人应按规定开具符合国家税务相关部门要求的发票</w:t>
      </w:r>
      <w:r>
        <w:rPr>
          <w:rFonts w:hint="eastAsia" w:ascii="宋体" w:hAnsi="宋体" w:eastAsia="宋体" w:cs="宋体"/>
          <w:b/>
          <w:bCs/>
          <w:color w:val="auto"/>
          <w:sz w:val="21"/>
          <w:szCs w:val="21"/>
          <w:highlight w:val="none"/>
          <w:u w:val="single"/>
          <w:lang w:val="en-US" w:eastAsia="zh-CN"/>
        </w:rPr>
        <w:t>并完税</w:t>
      </w:r>
      <w:r>
        <w:rPr>
          <w:rFonts w:hint="eastAsia" w:ascii="宋体" w:hAnsi="宋体" w:eastAsia="宋体" w:cs="宋体"/>
          <w:b/>
          <w:bCs/>
          <w:color w:val="auto"/>
          <w:sz w:val="21"/>
          <w:szCs w:val="21"/>
          <w:highlight w:val="none"/>
          <w:lang w:eastAsia="zh-CN"/>
        </w:rPr>
        <w:t>。</w:t>
      </w:r>
    </w:p>
    <w:p w14:paraId="29E3CB6B">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29.5</w:t>
      </w:r>
      <w:r>
        <w:rPr>
          <w:rFonts w:hint="eastAsia" w:ascii="宋体" w:hAnsi="宋体" w:eastAsia="宋体" w:cs="宋体"/>
          <w:b/>
          <w:color w:val="auto"/>
          <w:szCs w:val="21"/>
          <w:highlight w:val="none"/>
        </w:rPr>
        <w:t xml:space="preserve">             修改类型：增加</w:t>
      </w:r>
    </w:p>
    <w:p w14:paraId="59013E0E">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.5</w:t>
      </w:r>
      <w:r>
        <w:rPr>
          <w:rFonts w:hint="eastAsia" w:ascii="宋体" w:hAnsi="宋体" w:eastAsia="宋体" w:cs="宋体"/>
          <w:b/>
          <w:bCs/>
          <w:color w:val="auto"/>
          <w:szCs w:val="21"/>
          <w:highlight w:val="none"/>
          <w:u w:val="single"/>
        </w:rPr>
        <w:t>如本工程委托代建单位（项目建设管理单位），则可由代建单位作为发包人与中标人签订合同。</w:t>
      </w:r>
    </w:p>
    <w:p w14:paraId="64274A9C">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30.1</w:t>
      </w:r>
      <w:r>
        <w:rPr>
          <w:rFonts w:hint="eastAsia" w:ascii="宋体" w:hAnsi="宋体" w:eastAsia="宋体" w:cs="宋体"/>
          <w:b/>
          <w:color w:val="auto"/>
          <w:szCs w:val="21"/>
          <w:highlight w:val="none"/>
        </w:rPr>
        <w:t xml:space="preserve">            修改类型：修改</w:t>
      </w:r>
    </w:p>
    <w:p w14:paraId="0186E976">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 在收到中标通知书后的</w:t>
      </w:r>
      <w:r>
        <w:rPr>
          <w:rFonts w:hint="eastAsia" w:ascii="宋体" w:hAnsi="宋体" w:eastAsia="宋体" w:cs="宋体"/>
          <w:b w:val="0"/>
          <w:bCs/>
          <w:color w:val="auto"/>
          <w:sz w:val="21"/>
          <w:szCs w:val="21"/>
          <w:highlight w:val="none"/>
        </w:rPr>
        <w:t>15日内</w:t>
      </w:r>
      <w:r>
        <w:rPr>
          <w:rFonts w:hint="eastAsia" w:ascii="宋体" w:hAnsi="宋体" w:eastAsia="宋体" w:cs="宋体"/>
          <w:color w:val="auto"/>
          <w:sz w:val="21"/>
          <w:szCs w:val="21"/>
          <w:highlight w:val="none"/>
        </w:rPr>
        <w:t>，中标人应按本须知前附表第20项的规定向招标人提交履约担保。</w:t>
      </w:r>
    </w:p>
    <w:p w14:paraId="06418AD1">
      <w:pPr>
        <w:pBdr>
          <w:bottom w:val="single" w:color="auto" w:sz="6" w:space="1"/>
        </w:pBdr>
        <w:spacing w:line="360" w:lineRule="auto"/>
        <w:ind w:firstLine="527" w:firstLineChars="25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.1 </w:t>
      </w:r>
      <w:r>
        <w:rPr>
          <w:rFonts w:hint="eastAsia" w:ascii="宋体" w:hAnsi="宋体" w:eastAsia="宋体" w:cs="宋体"/>
          <w:b/>
          <w:bCs/>
          <w:color w:val="auto"/>
          <w:sz w:val="21"/>
          <w:szCs w:val="21"/>
          <w:highlight w:val="none"/>
          <w:u w:val="single"/>
        </w:rPr>
        <w:t>合同正式签订之日后的30日内</w:t>
      </w:r>
      <w:r>
        <w:rPr>
          <w:rFonts w:hint="eastAsia" w:ascii="宋体" w:hAnsi="宋体" w:eastAsia="宋体" w:cs="宋体"/>
          <w:color w:val="auto"/>
          <w:sz w:val="21"/>
          <w:szCs w:val="21"/>
          <w:highlight w:val="none"/>
        </w:rPr>
        <w:t>，中标人应按本须知前附表第20项的规定向招标人提交履约担保</w:t>
      </w:r>
      <w:r>
        <w:rPr>
          <w:rFonts w:hint="eastAsia" w:ascii="宋体" w:hAnsi="宋体" w:eastAsia="宋体" w:cs="宋体"/>
          <w:color w:val="auto"/>
          <w:sz w:val="21"/>
          <w:szCs w:val="21"/>
          <w:highlight w:val="none"/>
          <w:lang w:eastAsia="zh-CN"/>
        </w:rPr>
        <w:t>。</w:t>
      </w:r>
    </w:p>
    <w:p w14:paraId="17DF52AB">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30.2</w:t>
      </w:r>
      <w:r>
        <w:rPr>
          <w:rFonts w:hint="eastAsia" w:ascii="宋体" w:hAnsi="宋体" w:eastAsia="宋体" w:cs="宋体"/>
          <w:b/>
          <w:color w:val="auto"/>
          <w:szCs w:val="21"/>
          <w:highlight w:val="none"/>
        </w:rPr>
        <w:t xml:space="preserve">             修改类型：修改</w:t>
      </w:r>
    </w:p>
    <w:p w14:paraId="5260305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2636922">
      <w:pPr>
        <w:pBdr>
          <w:bottom w:val="single" w:color="auto" w:sz="6" w:space="1"/>
        </w:pBd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.2</w:t>
      </w:r>
      <w:r>
        <w:rPr>
          <w:rFonts w:hint="eastAsia" w:ascii="宋体" w:hAnsi="宋体" w:eastAsia="宋体" w:cs="宋体"/>
          <w:b/>
          <w:bCs/>
          <w:color w:val="auto"/>
          <w:szCs w:val="21"/>
          <w:highlight w:val="none"/>
          <w:u w:val="single"/>
        </w:rPr>
        <w:t>合同正式签订之日后的30日内</w:t>
      </w:r>
      <w:r>
        <w:rPr>
          <w:rFonts w:hint="eastAsia" w:ascii="宋体" w:hAnsi="宋体" w:eastAsia="宋体" w:cs="宋体"/>
          <w:color w:val="auto"/>
          <w:sz w:val="21"/>
          <w:szCs w:val="21"/>
          <w:highlight w:val="none"/>
        </w:rPr>
        <w:t>，中标人未按上款的规定提交履约担保，招标人将解除中标通知书，</w:t>
      </w:r>
      <w:r>
        <w:rPr>
          <w:rFonts w:hint="eastAsia" w:ascii="宋体" w:hAnsi="宋体" w:eastAsia="宋体" w:cs="宋体"/>
          <w:b/>
          <w:bCs/>
          <w:color w:val="auto"/>
          <w:szCs w:val="21"/>
          <w:highlight w:val="none"/>
          <w:u w:val="single"/>
        </w:rPr>
        <w:t>原中标人依法承担相应法律责任。原中标人给招标人造成的损失，还应当予以赔偿</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原中标人有异议的，可以向人民法院起诉</w:t>
      </w:r>
      <w:r>
        <w:rPr>
          <w:rFonts w:hint="eastAsia" w:ascii="宋体" w:hAnsi="宋体" w:eastAsia="宋体" w:cs="宋体"/>
          <w:color w:val="auto"/>
          <w:sz w:val="21"/>
          <w:szCs w:val="21"/>
          <w:highlight w:val="none"/>
          <w:lang w:eastAsia="zh-CN"/>
        </w:rPr>
        <w:t>。</w:t>
      </w:r>
    </w:p>
    <w:p w14:paraId="13CF9BD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条款号：30.3                                    修改类型：修改</w:t>
      </w:r>
    </w:p>
    <w:p w14:paraId="1E9A236E">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1A4DFFC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30.3</w:t>
      </w:r>
      <w:r>
        <w:rPr>
          <w:rFonts w:hint="eastAsia" w:ascii="宋体" w:hAnsi="宋体" w:eastAsia="宋体" w:cs="宋体"/>
          <w:b/>
          <w:bCs/>
          <w:color w:val="auto"/>
          <w:szCs w:val="21"/>
          <w:highlight w:val="none"/>
          <w:u w:val="single"/>
        </w:rPr>
        <w:t>合格</w:t>
      </w:r>
      <w:r>
        <w:rPr>
          <w:rFonts w:hint="eastAsia" w:ascii="宋体" w:hAnsi="宋体" w:eastAsia="宋体" w:cs="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BE1805D">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条款号：34.其它费用             修改类型：修改</w:t>
      </w:r>
    </w:p>
    <w:p w14:paraId="013C7513">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rPr>
        <w:t>其它费用</w:t>
      </w:r>
    </w:p>
    <w:p w14:paraId="0F70282D">
      <w:pPr>
        <w:spacing w:line="360" w:lineRule="auto"/>
        <w:ind w:firstLine="472" w:firstLineChars="224"/>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rPr>
        <w:t>其它费用</w:t>
      </w:r>
    </w:p>
    <w:p w14:paraId="590F72A2">
      <w:pPr>
        <w:pBdr>
          <w:bottom w:val="single" w:color="auto" w:sz="4"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中标人应交纳交易服务费，该费用包含在投标价中</w:t>
      </w:r>
      <w:r>
        <w:rPr>
          <w:rFonts w:hint="eastAsia" w:ascii="宋体" w:hAnsi="宋体" w:eastAsia="宋体" w:cs="宋体"/>
          <w:color w:val="auto"/>
          <w:szCs w:val="21"/>
          <w:highlight w:val="none"/>
        </w:rPr>
        <w:t>。</w:t>
      </w:r>
    </w:p>
    <w:p w14:paraId="6F00E022">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strike/>
          <w:color w:val="auto"/>
          <w:szCs w:val="21"/>
          <w:highlight w:val="none"/>
        </w:rPr>
        <w:t>注：以上修改，仅限于本范本中有可供选择条款的情形。</w:t>
      </w:r>
    </w:p>
    <w:p w14:paraId="1ADD3A5E">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（以下无正文）</w:t>
      </w:r>
    </w:p>
    <w:p w14:paraId="16D09C75">
      <w:pPr>
        <w:pStyle w:val="4"/>
        <w:rPr>
          <w:color w:val="auto"/>
          <w:highlight w:val="none"/>
        </w:rPr>
      </w:pPr>
      <w:r>
        <w:rPr>
          <w:color w:val="auto"/>
          <w:highlight w:val="none"/>
        </w:rPr>
        <w:br w:type="page"/>
      </w:r>
      <w:bookmarkStart w:id="16" w:name="_Toc19765"/>
      <w:bookmarkStart w:id="17" w:name="_Toc2272548"/>
      <w:bookmarkStart w:id="18" w:name="_Toc12778"/>
      <w:bookmarkStart w:id="19" w:name="_Toc21525492"/>
      <w:bookmarkStart w:id="20" w:name="_Toc4540"/>
      <w:r>
        <w:rPr>
          <w:rFonts w:hint="eastAsia"/>
          <w:color w:val="auto"/>
          <w:highlight w:val="none"/>
        </w:rPr>
        <w:t>三、投标须知通用条款</w:t>
      </w:r>
      <w:bookmarkEnd w:id="16"/>
      <w:bookmarkEnd w:id="17"/>
      <w:bookmarkEnd w:id="18"/>
      <w:bookmarkEnd w:id="19"/>
      <w:bookmarkEnd w:id="20"/>
    </w:p>
    <w:p w14:paraId="16B836BA">
      <w:pPr>
        <w:pStyle w:val="5"/>
        <w:bidi w:val="0"/>
        <w:rPr>
          <w:color w:val="auto"/>
          <w:highlight w:val="none"/>
        </w:rPr>
      </w:pPr>
      <w:bookmarkStart w:id="21" w:name="_Toc2272549"/>
      <w:bookmarkStart w:id="22" w:name="_Toc21525493"/>
      <w:bookmarkStart w:id="23" w:name="_Toc25066"/>
      <w:bookmarkStart w:id="24" w:name="_Toc752"/>
      <w:bookmarkStart w:id="25" w:name="_Toc821"/>
      <w:r>
        <w:rPr>
          <w:rFonts w:hint="eastAsia"/>
          <w:color w:val="auto"/>
          <w:highlight w:val="none"/>
        </w:rPr>
        <w:t>（一）总则</w:t>
      </w:r>
      <w:bookmarkEnd w:id="21"/>
      <w:bookmarkEnd w:id="22"/>
      <w:bookmarkEnd w:id="23"/>
      <w:bookmarkEnd w:id="24"/>
      <w:bookmarkEnd w:id="25"/>
    </w:p>
    <w:p w14:paraId="5E56FC28">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236C8CCD">
      <w:pPr>
        <w:pStyle w:val="36"/>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56421964">
      <w:pPr>
        <w:pStyle w:val="36"/>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1A671F28">
      <w:pPr>
        <w:pStyle w:val="36"/>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543D1815">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5BA04352">
      <w:pPr>
        <w:pStyle w:val="36"/>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0884EEE6">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5D6801B1">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5942DA9F">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1D827F8F">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20FC813E">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w:t>
      </w:r>
      <w:r>
        <w:rPr>
          <w:rFonts w:hint="eastAsia" w:ascii="宋体" w:hAnsi="宋体"/>
          <w:bCs/>
          <w:color w:val="auto"/>
          <w:sz w:val="24"/>
          <w:highlight w:val="none"/>
          <w:lang w:eastAsia="zh-CN"/>
        </w:rPr>
        <w:t>招标项目名称、</w:t>
      </w:r>
      <w:r>
        <w:rPr>
          <w:rFonts w:hint="eastAsia" w:ascii="宋体" w:hAnsi="宋体"/>
          <w:bCs/>
          <w:color w:val="auto"/>
          <w:sz w:val="24"/>
          <w:highlight w:val="none"/>
        </w:rPr>
        <w:t>建设地点、建设规模、承包方式、质量标准、招标范围、工期要求等均在投标须知前附表中列明。</w:t>
      </w:r>
    </w:p>
    <w:p w14:paraId="7AB861F3">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090FE12A">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0202C04F">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61BB8953">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1859D8F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278FC2B3">
      <w:pPr>
        <w:spacing w:line="360" w:lineRule="auto"/>
        <w:ind w:firstLine="480" w:firstLineChars="200"/>
        <w:rPr>
          <w:rFonts w:hint="eastAsia" w:ascii="宋体" w:hAnsi="宋体" w:eastAsia="宋体"/>
          <w:bCs/>
          <w:color w:val="auto"/>
          <w:sz w:val="24"/>
          <w:highlight w:val="none"/>
          <w:lang w:eastAsia="zh-CN"/>
        </w:rPr>
      </w:pPr>
      <w:r>
        <w:rPr>
          <w:rFonts w:ascii="宋体" w:hAnsi="宋体"/>
          <w:bCs/>
          <w:color w:val="auto"/>
          <w:sz w:val="24"/>
          <w:highlight w:val="none"/>
        </w:rPr>
        <w:t>4.1</w:t>
      </w:r>
      <w:r>
        <w:rPr>
          <w:rFonts w:hint="eastAsia" w:ascii="宋体" w:hAnsi="宋体"/>
          <w:bCs/>
          <w:color w:val="auto"/>
          <w:sz w:val="24"/>
          <w:highlight w:val="none"/>
          <w:lang w:eastAsia="zh-CN"/>
        </w:rPr>
        <w:t>投标人合格条件</w:t>
      </w:r>
      <w:r>
        <w:rPr>
          <w:rFonts w:hint="eastAsia" w:ascii="宋体" w:hAnsi="宋体"/>
          <w:bCs/>
          <w:color w:val="auto"/>
          <w:sz w:val="24"/>
          <w:highlight w:val="none"/>
        </w:rPr>
        <w:t>详见本项目招标公告</w:t>
      </w:r>
      <w:r>
        <w:rPr>
          <w:rFonts w:hint="eastAsia" w:ascii="宋体" w:hAnsi="宋体"/>
          <w:bCs/>
          <w:color w:val="auto"/>
          <w:sz w:val="24"/>
          <w:highlight w:val="none"/>
          <w:lang w:eastAsia="zh-CN"/>
        </w:rPr>
        <w:t>。</w:t>
      </w:r>
    </w:p>
    <w:p w14:paraId="59446093">
      <w:pPr>
        <w:pStyle w:val="19"/>
        <w:ind w:firstLine="480" w:firstLineChars="200"/>
        <w:rPr>
          <w:rFonts w:hint="default" w:eastAsia="宋体"/>
          <w:color w:val="auto"/>
          <w:highlight w:val="none"/>
          <w:lang w:val="en-US" w:eastAsia="zh-CN"/>
        </w:rPr>
      </w:pPr>
      <w:r>
        <w:rPr>
          <w:rFonts w:hint="eastAsia" w:hAnsi="宋体"/>
          <w:bCs/>
          <w:color w:val="auto"/>
          <w:sz w:val="24"/>
          <w:highlight w:val="none"/>
          <w:lang w:val="en-US" w:eastAsia="zh-CN"/>
        </w:rPr>
        <w:t>4.2资格审查方式详见本项目招标公告。</w:t>
      </w:r>
    </w:p>
    <w:p w14:paraId="16B80342">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35E35C11">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w:t>
      </w:r>
      <w:r>
        <w:rPr>
          <w:rFonts w:hint="eastAsia" w:ascii="宋体" w:hAnsi="宋体"/>
          <w:bCs/>
          <w:color w:val="auto"/>
          <w:sz w:val="24"/>
          <w:highlight w:val="none"/>
          <w:lang w:val="en-US" w:eastAsia="zh-CN"/>
        </w:rPr>
        <w:t>2</w:t>
      </w:r>
      <w:r>
        <w:rPr>
          <w:rFonts w:hint="eastAsia" w:ascii="宋体" w:hAnsi="宋体"/>
          <w:bCs/>
          <w:color w:val="auto"/>
          <w:sz w:val="24"/>
          <w:highlight w:val="none"/>
        </w:rPr>
        <w:t>项所述时间和要求</w:t>
      </w:r>
      <w:r>
        <w:rPr>
          <w:rFonts w:hint="eastAsia" w:ascii="宋体" w:hAnsi="宋体"/>
          <w:bCs/>
          <w:color w:val="auto"/>
          <w:sz w:val="24"/>
          <w:highlight w:val="none"/>
          <w:lang w:eastAsia="zh-CN"/>
        </w:rPr>
        <w:t>自行</w:t>
      </w:r>
      <w:r>
        <w:rPr>
          <w:rFonts w:hint="eastAsia" w:ascii="宋体" w:hAnsi="宋体"/>
          <w:bCs/>
          <w:color w:val="auto"/>
          <w:sz w:val="24"/>
          <w:highlight w:val="none"/>
        </w:rPr>
        <w:t>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w:t>
      </w:r>
    </w:p>
    <w:p w14:paraId="49CF6B89">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lang w:val="en-US" w:eastAsia="zh-CN"/>
        </w:rPr>
        <w:t>5.2投标人</w:t>
      </w:r>
      <w:r>
        <w:rPr>
          <w:rFonts w:hint="eastAsia" w:ascii="宋体" w:hAnsi="宋体"/>
          <w:bCs/>
          <w:color w:val="auto"/>
          <w:sz w:val="24"/>
          <w:highlight w:val="none"/>
        </w:rPr>
        <w:t>踏勘</w:t>
      </w:r>
      <w:r>
        <w:rPr>
          <w:rFonts w:hint="eastAsia" w:ascii="宋体" w:hAnsi="宋体"/>
          <w:color w:val="auto"/>
          <w:sz w:val="24"/>
          <w:highlight w:val="none"/>
        </w:rPr>
        <w:t>现场的费用</w:t>
      </w:r>
      <w:r>
        <w:rPr>
          <w:rFonts w:hint="eastAsia" w:ascii="宋体" w:hAnsi="宋体"/>
          <w:color w:val="auto"/>
          <w:sz w:val="24"/>
          <w:highlight w:val="none"/>
          <w:lang w:eastAsia="zh-CN"/>
        </w:rPr>
        <w:t>自理</w:t>
      </w:r>
      <w:r>
        <w:rPr>
          <w:rFonts w:hint="eastAsia" w:ascii="宋体" w:hAnsi="宋体"/>
          <w:color w:val="auto"/>
          <w:sz w:val="24"/>
          <w:highlight w:val="none"/>
        </w:rPr>
        <w:t>。</w:t>
      </w:r>
    </w:p>
    <w:p w14:paraId="6FBACD19">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5E26AB82">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031BBD38">
      <w:pPr>
        <w:pStyle w:val="19"/>
        <w:spacing w:line="360" w:lineRule="auto"/>
        <w:rPr>
          <w:rFonts w:hint="eastAsia" w:eastAsia="宋体"/>
          <w:color w:val="auto"/>
          <w:highlight w:val="none"/>
          <w:lang w:val="en-US" w:eastAsia="zh-CN"/>
        </w:rPr>
      </w:pPr>
      <w:r>
        <w:rPr>
          <w:rFonts w:hint="eastAsia" w:hAnsi="宋体"/>
          <w:bCs/>
          <w:color w:val="auto"/>
          <w:sz w:val="24"/>
          <w:highlight w:val="none"/>
          <w:lang w:val="en-US" w:eastAsia="zh-CN"/>
        </w:rPr>
        <w:t xml:space="preserve">    5.4由于投标人没有对工程现场及周围环境进行</w:t>
      </w:r>
      <w:r>
        <w:rPr>
          <w:rFonts w:hint="eastAsia" w:ascii="宋体" w:hAnsi="宋体"/>
          <w:bCs/>
          <w:color w:val="auto"/>
          <w:sz w:val="24"/>
          <w:highlight w:val="none"/>
        </w:rPr>
        <w:t>踏勘</w:t>
      </w:r>
      <w:r>
        <w:rPr>
          <w:rFonts w:hint="eastAsia" w:ascii="宋体" w:hAnsi="宋体"/>
          <w:bCs/>
          <w:color w:val="auto"/>
          <w:sz w:val="24"/>
          <w:highlight w:val="none"/>
          <w:lang w:eastAsia="zh-CN"/>
        </w:rPr>
        <w:t>，造成投标失误的，由投标人自行承担责任和损失。</w:t>
      </w:r>
    </w:p>
    <w:p w14:paraId="59D3B31F">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7C7B0839">
      <w:pPr>
        <w:tabs>
          <w:tab w:val="left" w:pos="105"/>
        </w:tabs>
        <w:spacing w:line="360" w:lineRule="auto"/>
        <w:ind w:firstLine="480" w:firstLineChars="200"/>
        <w:rPr>
          <w:rFonts w:hint="eastAsia" w:ascii="宋体" w:hAnsi="宋体"/>
          <w:bCs/>
          <w:color w:val="auto"/>
          <w:sz w:val="24"/>
          <w:highlight w:val="none"/>
          <w:lang w:eastAsia="zh-CN"/>
        </w:rPr>
      </w:pPr>
      <w:r>
        <w:rPr>
          <w:rFonts w:ascii="宋体" w:hAnsi="宋体"/>
          <w:bCs/>
          <w:color w:val="auto"/>
          <w:sz w:val="24"/>
          <w:highlight w:val="none"/>
        </w:rPr>
        <w:t>6.1</w:t>
      </w:r>
      <w:r>
        <w:rPr>
          <w:rFonts w:hint="eastAsia" w:ascii="宋体" w:hAnsi="宋体"/>
          <w:bCs/>
          <w:color w:val="auto"/>
          <w:sz w:val="24"/>
          <w:highlight w:val="none"/>
          <w:lang w:eastAsia="zh-CN"/>
        </w:rPr>
        <w:t>投标人准备和参加投标活动发生的费用自理。</w:t>
      </w:r>
    </w:p>
    <w:p w14:paraId="629993ED">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lang w:val="en-US" w:eastAsia="zh-CN"/>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6D609851">
      <w:pPr>
        <w:pStyle w:val="5"/>
        <w:bidi w:val="0"/>
        <w:rPr>
          <w:color w:val="auto"/>
          <w:highlight w:val="none"/>
        </w:rPr>
      </w:pPr>
      <w:bookmarkStart w:id="26" w:name="_Toc2272550"/>
      <w:bookmarkStart w:id="27" w:name="_Toc21525494"/>
      <w:bookmarkStart w:id="28" w:name="_Toc5661"/>
      <w:bookmarkStart w:id="29" w:name="_Toc18510"/>
      <w:bookmarkStart w:id="30" w:name="_Toc19361"/>
      <w:r>
        <w:rPr>
          <w:rFonts w:hint="eastAsia"/>
          <w:color w:val="auto"/>
          <w:highlight w:val="none"/>
        </w:rPr>
        <w:t>（二）招标文件</w:t>
      </w:r>
      <w:bookmarkEnd w:id="26"/>
      <w:bookmarkEnd w:id="27"/>
      <w:bookmarkEnd w:id="28"/>
      <w:bookmarkEnd w:id="29"/>
      <w:bookmarkEnd w:id="30"/>
    </w:p>
    <w:p w14:paraId="6AB8954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52E9803B">
      <w:pPr>
        <w:spacing w:line="360" w:lineRule="auto"/>
        <w:ind w:firstLine="480" w:firstLineChars="200"/>
        <w:rPr>
          <w:rFonts w:ascii="宋体"/>
          <w:color w:val="auto"/>
          <w:sz w:val="24"/>
          <w:highlight w:val="none"/>
          <w:u w:val="single"/>
        </w:rPr>
      </w:pP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14:paraId="663A425A">
      <w:pPr>
        <w:pStyle w:val="36"/>
        <w:numPr>
          <w:ilvl w:val="0"/>
          <w:numId w:val="7"/>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w:t>
      </w:r>
    </w:p>
    <w:p w14:paraId="28A61874">
      <w:pPr>
        <w:pStyle w:val="36"/>
        <w:numPr>
          <w:ilvl w:val="0"/>
          <w:numId w:val="7"/>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34EEAB39">
      <w:pPr>
        <w:pStyle w:val="36"/>
        <w:numPr>
          <w:ilvl w:val="0"/>
          <w:numId w:val="7"/>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0F393E76">
      <w:pPr>
        <w:pStyle w:val="36"/>
        <w:numPr>
          <w:ilvl w:val="0"/>
          <w:numId w:val="7"/>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p>
    <w:p w14:paraId="33BA1FE8">
      <w:pPr>
        <w:pStyle w:val="36"/>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2118D02A">
      <w:pPr>
        <w:pStyle w:val="36"/>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3F9CF238">
      <w:pPr>
        <w:pStyle w:val="36"/>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p>
    <w:p w14:paraId="38DDFE52">
      <w:pPr>
        <w:pStyle w:val="36"/>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p>
    <w:p w14:paraId="1251C0D3">
      <w:pPr>
        <w:pStyle w:val="36"/>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p>
    <w:p w14:paraId="4C12C8D3">
      <w:pPr>
        <w:pStyle w:val="36"/>
        <w:spacing w:after="0" w:line="360" w:lineRule="auto"/>
        <w:ind w:left="-2" w:firstLine="480" w:firstLineChars="20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sz w:val="24"/>
          <w:highlight w:val="none"/>
        </w:rPr>
        <w:t>注：</w:t>
      </w:r>
      <w:r>
        <w:rPr>
          <w:rFonts w:hint="eastAsia" w:ascii="楷体" w:hAnsi="楷体" w:eastAsia="楷体" w:cs="楷体"/>
          <w:b w:val="0"/>
          <w:bCs w:val="0"/>
          <w:color w:val="auto"/>
          <w:kern w:val="0"/>
          <w:sz w:val="24"/>
          <w:szCs w:val="24"/>
          <w:highlight w:val="none"/>
        </w:rPr>
        <w:t>招标人应在技术条件（工程建设标准）中明确</w:t>
      </w:r>
      <w:r>
        <w:rPr>
          <w:rFonts w:hint="eastAsia" w:ascii="楷体" w:hAnsi="楷体" w:eastAsia="楷体" w:cs="楷体"/>
          <w:b w:val="0"/>
          <w:bCs w:val="0"/>
          <w:color w:val="auto"/>
          <w:kern w:val="0"/>
          <w:sz w:val="24"/>
          <w:szCs w:val="24"/>
          <w:highlight w:val="none"/>
          <w:lang w:eastAsia="zh-CN"/>
        </w:rPr>
        <w:t>如下内容：</w:t>
      </w:r>
    </w:p>
    <w:p w14:paraId="21AA34B4">
      <w:pPr>
        <w:pStyle w:val="36"/>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1.</w:t>
      </w:r>
      <w:r>
        <w:rPr>
          <w:rFonts w:hint="eastAsia" w:ascii="楷体" w:hAnsi="楷体" w:eastAsia="楷体" w:cs="楷体"/>
          <w:b w:val="0"/>
          <w:bCs w:val="0"/>
          <w:color w:val="auto"/>
          <w:kern w:val="0"/>
          <w:sz w:val="24"/>
          <w:szCs w:val="24"/>
          <w:highlight w:val="none"/>
        </w:rPr>
        <w:t>施工现场建筑垃圾源头减量的具体要求和建筑垃圾综合利用产品的使用要求。</w:t>
      </w:r>
    </w:p>
    <w:p w14:paraId="586F30D9">
      <w:pPr>
        <w:pStyle w:val="36"/>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2.</w:t>
      </w:r>
      <w:r>
        <w:rPr>
          <w:rFonts w:hint="eastAsia" w:ascii="楷体" w:hAnsi="楷体" w:eastAsia="楷体" w:cs="楷体"/>
          <w:b w:val="0"/>
          <w:bCs w:val="0"/>
          <w:color w:val="auto"/>
          <w:kern w:val="0"/>
          <w:sz w:val="24"/>
          <w:szCs w:val="24"/>
          <w:highlight w:val="none"/>
          <w:lang w:eastAsia="zh-CN"/>
        </w:rPr>
        <w:t>占道施工相关告知、围蔽、修复等要求。</w:t>
      </w:r>
    </w:p>
    <w:p w14:paraId="29A04E36">
      <w:pPr>
        <w:pStyle w:val="36"/>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3.</w:t>
      </w:r>
      <w:r>
        <w:rPr>
          <w:rFonts w:hint="eastAsia" w:ascii="楷体" w:hAnsi="楷体" w:eastAsia="楷体" w:cs="楷体"/>
          <w:b w:val="0"/>
          <w:bCs w:val="0"/>
          <w:color w:val="auto"/>
          <w:kern w:val="0"/>
          <w:sz w:val="24"/>
          <w:szCs w:val="24"/>
          <w:highlight w:val="none"/>
          <w:lang w:eastAsia="zh-CN"/>
        </w:rPr>
        <w:t>对照《广州市智能建造技术清单（</w:t>
      </w:r>
      <w:r>
        <w:rPr>
          <w:rFonts w:hint="eastAsia" w:ascii="楷体" w:hAnsi="楷体" w:eastAsia="楷体" w:cs="楷体"/>
          <w:b w:val="0"/>
          <w:bCs w:val="0"/>
          <w:color w:val="auto"/>
          <w:kern w:val="0"/>
          <w:sz w:val="24"/>
          <w:szCs w:val="24"/>
          <w:highlight w:val="none"/>
          <w:lang w:val="en-US" w:eastAsia="zh-CN"/>
        </w:rPr>
        <w:t>1.0版）》对招标项目智能建造提出要求。</w:t>
      </w:r>
    </w:p>
    <w:p w14:paraId="13F9CB1B">
      <w:pPr>
        <w:pStyle w:val="36"/>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4.招标人对中标人参与“百千万工程”的具体要求。</w:t>
      </w:r>
    </w:p>
    <w:p w14:paraId="59A7A219">
      <w:pPr>
        <w:pStyle w:val="36"/>
        <w:numPr>
          <w:ilvl w:val="0"/>
          <w:numId w:val="0"/>
        </w:numPr>
        <w:spacing w:after="0" w:line="360" w:lineRule="auto"/>
        <w:ind w:firstLine="480" w:firstLineChars="200"/>
        <w:rPr>
          <w:rFonts w:hint="default"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5.在建筑废弃物运输上落实《关于加快推动氢能产业高质量发展的若干措施》的要求。</w:t>
      </w:r>
    </w:p>
    <w:p w14:paraId="2C240629">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F087F36">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2D67CE1E">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7A41292E">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76955E63">
      <w:pPr>
        <w:pStyle w:val="36"/>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4AB6E801">
      <w:pPr>
        <w:pStyle w:val="36"/>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400AC144">
      <w:pPr>
        <w:pStyle w:val="36"/>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7EF2D6D8">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34C9AB04">
      <w:pPr>
        <w:pStyle w:val="36"/>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6D4C879F">
      <w:pPr>
        <w:pStyle w:val="36"/>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B7FA3B5">
      <w:pPr>
        <w:pStyle w:val="36"/>
        <w:spacing w:after="0" w:line="360" w:lineRule="auto"/>
        <w:ind w:firstLine="480" w:firstLineChars="200"/>
        <w:rPr>
          <w:rFonts w:hint="eastAsia" w:ascii="宋体" w:hAnsi="宋体" w:eastAsia="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w:t>
      </w:r>
      <w:r>
        <w:rPr>
          <w:rFonts w:hint="eastAsia" w:ascii="宋体" w:hAnsi="宋体"/>
          <w:color w:val="auto"/>
          <w:sz w:val="24"/>
          <w:highlight w:val="none"/>
          <w:lang w:eastAsia="zh-CN"/>
        </w:rPr>
        <w:t>澄清或</w:t>
      </w:r>
      <w:r>
        <w:rPr>
          <w:rFonts w:hint="eastAsia" w:ascii="宋体" w:hAnsi="宋体" w:eastAsia="宋体"/>
          <w:color w:val="auto"/>
          <w:sz w:val="24"/>
          <w:highlight w:val="none"/>
        </w:rPr>
        <w:t>修改内容为招标文件的组成部分</w:t>
      </w:r>
      <w:r>
        <w:rPr>
          <w:rFonts w:hint="eastAsia" w:ascii="宋体" w:hAnsi="宋体" w:eastAsia="宋体"/>
          <w:color w:val="auto"/>
          <w:sz w:val="24"/>
          <w:highlight w:val="none"/>
          <w:lang w:eastAsia="zh-CN"/>
        </w:rPr>
        <w:t>，对投标人起约束作用</w:t>
      </w:r>
      <w:r>
        <w:rPr>
          <w:rFonts w:hint="eastAsia" w:ascii="宋体" w:hAnsi="宋体" w:eastAsia="宋体"/>
          <w:color w:val="auto"/>
          <w:sz w:val="24"/>
          <w:highlight w:val="none"/>
        </w:rPr>
        <w:t>。</w:t>
      </w:r>
    </w:p>
    <w:p w14:paraId="0723821C">
      <w:pPr>
        <w:pStyle w:val="36"/>
        <w:spacing w:after="0" w:line="360" w:lineRule="auto"/>
        <w:ind w:firstLine="480" w:firstLineChars="200"/>
        <w:rPr>
          <w:rFonts w:ascii="宋体"/>
          <w:color w:val="auto"/>
          <w:sz w:val="24"/>
          <w:highlight w:val="none"/>
        </w:rPr>
      </w:pPr>
      <w:r>
        <w:rPr>
          <w:rFonts w:hint="eastAsia" w:ascii="宋体" w:hAnsi="宋体" w:eastAsia="宋体"/>
          <w:color w:val="auto"/>
          <w:sz w:val="24"/>
          <w:highlight w:val="none"/>
        </w:rPr>
        <w:t>9.4招标文件的澄清或修改均以</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lang w:eastAsia="zh-CN"/>
        </w:rPr>
        <w:t>网站</w:t>
      </w:r>
      <w:r>
        <w:rPr>
          <w:rFonts w:hint="eastAsia" w:ascii="宋体" w:hAnsi="宋体" w:eastAsia="宋体"/>
          <w:color w:val="auto"/>
          <w:sz w:val="24"/>
          <w:highlight w:val="none"/>
        </w:rPr>
        <w:t>发布的内容为准。当招标文件的澄清、修改、补充等在同一内容的表述不一致时，以最后</w:t>
      </w:r>
      <w:r>
        <w:rPr>
          <w:rFonts w:hint="eastAsia" w:ascii="宋体" w:hAnsi="宋体"/>
          <w:color w:val="auto"/>
          <w:sz w:val="24"/>
          <w:highlight w:val="none"/>
        </w:rPr>
        <w:t>发出的书面形式的文件为准。</w:t>
      </w:r>
    </w:p>
    <w:p w14:paraId="4993E878">
      <w:pPr>
        <w:pStyle w:val="36"/>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EAB7293">
      <w:pPr>
        <w:pStyle w:val="5"/>
        <w:bidi w:val="0"/>
        <w:rPr>
          <w:color w:val="auto"/>
          <w:highlight w:val="none"/>
        </w:rPr>
      </w:pPr>
      <w:bookmarkStart w:id="31" w:name="_Toc10503"/>
      <w:bookmarkStart w:id="32" w:name="_Toc21525495"/>
      <w:bookmarkStart w:id="33" w:name="_Toc19531"/>
      <w:bookmarkStart w:id="34" w:name="_Toc644"/>
      <w:bookmarkStart w:id="35" w:name="_Toc2272551"/>
      <w:r>
        <w:rPr>
          <w:rFonts w:hint="eastAsia"/>
          <w:color w:val="auto"/>
          <w:highlight w:val="none"/>
        </w:rPr>
        <w:t>（三）投标文件的编制</w:t>
      </w:r>
      <w:bookmarkEnd w:id="31"/>
      <w:bookmarkEnd w:id="32"/>
      <w:bookmarkEnd w:id="33"/>
      <w:bookmarkEnd w:id="34"/>
      <w:bookmarkEnd w:id="35"/>
    </w:p>
    <w:p w14:paraId="13175FBF">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054B90AA">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5BA2BBA8">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222E3E18">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2E3D8D78">
      <w:pPr>
        <w:pStyle w:val="36"/>
        <w:spacing w:after="0"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由招标人根据招标项目实际情况自行确定）</w:t>
      </w:r>
    </w:p>
    <w:p w14:paraId="79C300A5">
      <w:pPr>
        <w:pStyle w:val="36"/>
        <w:spacing w:after="0" w:line="360" w:lineRule="auto"/>
        <w:ind w:firstLine="480" w:firstLineChars="200"/>
        <w:rPr>
          <w:rFonts w:ascii="宋体"/>
          <w:b/>
          <w:color w:val="auto"/>
          <w:sz w:val="24"/>
          <w:highlight w:val="none"/>
          <w:u w:val="single"/>
        </w:rPr>
      </w:pPr>
      <w:r>
        <w:rPr>
          <w:rFonts w:ascii="宋体" w:hAnsi="宋体"/>
          <w:color w:val="auto"/>
          <w:sz w:val="24"/>
          <w:highlight w:val="none"/>
          <w:u w:val="single"/>
        </w:rPr>
        <w:t xml:space="preserve">11.1 </w:t>
      </w:r>
      <w:r>
        <w:rPr>
          <w:rFonts w:hint="eastAsia" w:ascii="宋体" w:hAnsi="宋体"/>
          <w:color w:val="auto"/>
          <w:sz w:val="24"/>
          <w:highlight w:val="none"/>
          <w:u w:val="single"/>
        </w:rPr>
        <w:t>投标文件由技术</w:t>
      </w:r>
      <w:r>
        <w:rPr>
          <w:rFonts w:hint="eastAsia" w:ascii="宋体" w:hAnsi="宋体"/>
          <w:color w:val="auto"/>
          <w:sz w:val="24"/>
          <w:highlight w:val="none"/>
          <w:u w:val="single"/>
          <w:lang w:eastAsia="zh-CN"/>
        </w:rPr>
        <w:t>部分（含资格审查文件）</w:t>
      </w:r>
      <w:r>
        <w:rPr>
          <w:rFonts w:hint="eastAsia" w:ascii="宋体" w:hAnsi="宋体"/>
          <w:color w:val="auto"/>
          <w:sz w:val="24"/>
          <w:highlight w:val="none"/>
          <w:u w:val="single"/>
        </w:rPr>
        <w:t>和经济</w:t>
      </w:r>
      <w:r>
        <w:rPr>
          <w:rFonts w:hint="eastAsia" w:ascii="宋体" w:hAnsi="宋体"/>
          <w:color w:val="auto"/>
          <w:sz w:val="24"/>
          <w:highlight w:val="none"/>
          <w:u w:val="single"/>
          <w:lang w:eastAsia="zh-CN"/>
        </w:rPr>
        <w:t>部分二</w:t>
      </w:r>
      <w:r>
        <w:rPr>
          <w:rFonts w:hint="eastAsia" w:ascii="宋体" w:hAnsi="宋体"/>
          <w:color w:val="auto"/>
          <w:sz w:val="24"/>
          <w:highlight w:val="none"/>
          <w:u w:val="single"/>
        </w:rPr>
        <w:t>部分</w:t>
      </w:r>
      <w:r>
        <w:rPr>
          <w:rFonts w:hint="eastAsia" w:ascii="宋体" w:hAnsi="宋体"/>
          <w:color w:val="auto"/>
          <w:sz w:val="24"/>
          <w:highlight w:val="none"/>
          <w:u w:val="single"/>
          <w:lang w:eastAsia="zh-CN"/>
        </w:rPr>
        <w:t>投标文件</w:t>
      </w:r>
      <w:r>
        <w:rPr>
          <w:rFonts w:hint="eastAsia" w:ascii="宋体" w:hAnsi="宋体"/>
          <w:color w:val="auto"/>
          <w:sz w:val="24"/>
          <w:highlight w:val="none"/>
          <w:u w:val="single"/>
        </w:rPr>
        <w:t>组成</w:t>
      </w:r>
      <w:r>
        <w:rPr>
          <w:rFonts w:hint="eastAsia" w:ascii="宋体" w:hAnsi="宋体"/>
          <w:b/>
          <w:color w:val="auto"/>
          <w:sz w:val="24"/>
          <w:highlight w:val="none"/>
          <w:u w:val="single"/>
        </w:rPr>
        <w:t>。</w:t>
      </w:r>
    </w:p>
    <w:p w14:paraId="087F8B67">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11.2</w:t>
      </w:r>
      <w:r>
        <w:rPr>
          <w:rFonts w:hint="eastAsia" w:ascii="宋体" w:hAnsi="宋体"/>
          <w:bCs/>
          <w:color w:val="auto"/>
          <w:sz w:val="24"/>
          <w:highlight w:val="none"/>
          <w:u w:val="single"/>
        </w:rPr>
        <w:t>投标文件</w:t>
      </w:r>
      <w:r>
        <w:rPr>
          <w:rFonts w:hint="eastAsia" w:ascii="宋体" w:hAnsi="宋体"/>
          <w:bCs/>
          <w:color w:val="auto"/>
          <w:sz w:val="24"/>
          <w:highlight w:val="none"/>
          <w:u w:val="single"/>
          <w:lang w:eastAsia="zh-CN"/>
        </w:rPr>
        <w:t>技术标</w:t>
      </w:r>
      <w:r>
        <w:rPr>
          <w:rFonts w:hint="eastAsia" w:ascii="宋体" w:hAnsi="宋体"/>
          <w:bCs/>
          <w:color w:val="auto"/>
          <w:sz w:val="24"/>
          <w:highlight w:val="none"/>
          <w:u w:val="single"/>
        </w:rPr>
        <w:t>部分主要包括下列内容</w:t>
      </w:r>
      <w:r>
        <w:rPr>
          <w:rFonts w:ascii="宋体" w:hAnsi="宋体"/>
          <w:bCs/>
          <w:color w:val="auto"/>
          <w:sz w:val="24"/>
          <w:highlight w:val="none"/>
          <w:u w:val="single"/>
        </w:rPr>
        <w:t>:</w:t>
      </w:r>
    </w:p>
    <w:p w14:paraId="759ADAC3">
      <w:pPr>
        <w:pStyle w:val="19"/>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49FFF7E5">
      <w:pPr>
        <w:numPr>
          <w:ilvl w:val="0"/>
          <w:numId w:val="5"/>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r>
        <w:rPr>
          <w:rFonts w:hint="eastAsia" w:ascii="宋体"/>
          <w:bCs/>
          <w:color w:val="auto"/>
          <w:sz w:val="24"/>
          <w:highlight w:val="none"/>
          <w:u w:val="single"/>
          <w:lang w:val="en-US" w:eastAsia="zh-CN"/>
        </w:rPr>
        <w:t>；</w:t>
      </w:r>
    </w:p>
    <w:p w14:paraId="36BF2D3D">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6C4F1C75">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bCs/>
          <w:color w:val="auto"/>
          <w:sz w:val="24"/>
          <w:highlight w:val="none"/>
          <w:u w:val="single"/>
          <w:lang w:eastAsia="zh-CN"/>
        </w:rPr>
        <w:t>；</w:t>
      </w:r>
    </w:p>
    <w:p w14:paraId="181FC513">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bCs/>
          <w:color w:val="auto"/>
          <w:sz w:val="24"/>
          <w:highlight w:val="none"/>
          <w:u w:val="single"/>
          <w:lang w:eastAsia="zh-CN"/>
        </w:rPr>
        <w:t>；</w:t>
      </w:r>
    </w:p>
    <w:p w14:paraId="1C7BFE70">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bCs/>
          <w:color w:val="auto"/>
          <w:sz w:val="24"/>
          <w:highlight w:val="none"/>
          <w:u w:val="single"/>
          <w:lang w:eastAsia="zh-CN"/>
        </w:rPr>
        <w:t>；</w:t>
      </w:r>
    </w:p>
    <w:p w14:paraId="38B65DED">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0D3B80BF">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32666B16">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（8）拟委派项目负责人的建造师注册证书（取自</w:t>
      </w:r>
      <w:r>
        <w:rPr>
          <w:rFonts w:hint="eastAsia" w:ascii="宋体" w:hAnsi="宋体"/>
          <w:color w:val="auto"/>
          <w:sz w:val="24"/>
          <w:highlight w:val="none"/>
          <w:u w:val="single"/>
        </w:rPr>
        <w:t>广州市交通建设项目企业信息库</w:t>
      </w:r>
      <w:r>
        <w:rPr>
          <w:rFonts w:hint="eastAsia" w:ascii="宋体"/>
          <w:bCs/>
          <w:color w:val="auto"/>
          <w:sz w:val="24"/>
          <w:highlight w:val="none"/>
          <w:u w:val="single"/>
        </w:rPr>
        <w:t xml:space="preserve">内上传件）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0893A1D8">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0573B492">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23BEC1DA">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w:t>
      </w:r>
      <w:r>
        <w:rPr>
          <w:rFonts w:hint="eastAsia" w:ascii="宋体"/>
          <w:bCs/>
          <w:color w:val="auto"/>
          <w:sz w:val="24"/>
          <w:szCs w:val="24"/>
          <w:highlight w:val="none"/>
          <w:u w:val="single"/>
          <w:lang w:val="en-US" w:eastAsia="zh-CN"/>
        </w:rPr>
        <w:t>11</w:t>
      </w:r>
      <w:r>
        <w:rPr>
          <w:rFonts w:hint="eastAsia" w:ascii="宋体"/>
          <w:bCs/>
          <w:color w:val="auto"/>
          <w:sz w:val="24"/>
          <w:szCs w:val="24"/>
          <w:highlight w:val="none"/>
          <w:u w:val="single"/>
        </w:rPr>
        <w:t>）</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14:paraId="7E998C8A">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u w:val="single"/>
        </w:rPr>
        <w:t>）列明主办单位的联合体工作协议（采用联合体投标时需递交，</w:t>
      </w:r>
      <w:r>
        <w:rPr>
          <w:rFonts w:hint="eastAsia" w:ascii="宋体" w:hAnsi="宋体"/>
          <w:color w:val="auto"/>
          <w:sz w:val="24"/>
          <w:szCs w:val="24"/>
          <w:highlight w:val="none"/>
          <w:u w:val="single"/>
        </w:rPr>
        <w:t>联合体工作协议应明确约定各方拟承担的工作和责任</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62170E6F">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13）投标人认为应提交的其他资料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6C67CBE3">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0E5694C1">
      <w:pPr>
        <w:numPr>
          <w:ilvl w:val="0"/>
          <w:numId w:val="0"/>
        </w:numPr>
        <w:spacing w:line="360" w:lineRule="auto"/>
        <w:ind w:firstLine="480" w:firstLineChars="200"/>
        <w:rPr>
          <w:rFonts w:hint="eastAsia" w:ascii="宋体" w:hAnsi="宋体"/>
          <w:color w:val="auto"/>
          <w:sz w:val="24"/>
          <w:highlight w:val="none"/>
          <w:u w:val="single"/>
        </w:rPr>
      </w:pPr>
      <w:r>
        <w:rPr>
          <w:rFonts w:hint="eastAsia" w:ascii="宋体" w:hAnsi="宋体" w:eastAsia="宋体" w:cs="Times New Roman"/>
          <w:color w:val="auto"/>
          <w:kern w:val="2"/>
          <w:sz w:val="24"/>
          <w:szCs w:val="22"/>
          <w:highlight w:val="none"/>
          <w:lang w:val="en-US" w:eastAsia="zh-CN" w:bidi="ar-SA"/>
        </w:rPr>
        <w:t>（5）</w:t>
      </w:r>
      <w:r>
        <w:rPr>
          <w:rFonts w:hint="eastAsia" w:ascii="宋体"/>
          <w:bCs/>
          <w:color w:val="auto"/>
          <w:sz w:val="24"/>
          <w:highlight w:val="none"/>
          <w:u w:val="single"/>
          <w:lang w:eastAsia="zh-CN"/>
        </w:rPr>
        <w:t>《广州建设工程施工招标投标书》；</w:t>
      </w:r>
    </w:p>
    <w:p w14:paraId="3D3CFE79">
      <w:pPr>
        <w:numPr>
          <w:ilvl w:val="0"/>
          <w:numId w:val="0"/>
        </w:numPr>
        <w:spacing w:line="360" w:lineRule="auto"/>
        <w:ind w:firstLine="480" w:firstLineChars="200"/>
        <w:rPr>
          <w:rFonts w:hint="eastAsia" w:ascii="宋体" w:hAnsi="宋体"/>
          <w:color w:val="auto"/>
          <w:sz w:val="24"/>
          <w:highlight w:val="none"/>
          <w:u w:val="single"/>
        </w:rPr>
      </w:pPr>
      <w:r>
        <w:rPr>
          <w:rFonts w:hint="eastAsia" w:ascii="宋体" w:hAnsi="宋体" w:eastAsia="宋体" w:cs="Times New Roman"/>
          <w:color w:val="auto"/>
          <w:kern w:val="2"/>
          <w:sz w:val="24"/>
          <w:szCs w:val="22"/>
          <w:highlight w:val="none"/>
          <w:lang w:val="en-US" w:eastAsia="zh-CN" w:bidi="ar-SA"/>
        </w:rPr>
        <w:t>（6）</w:t>
      </w:r>
      <w:r>
        <w:rPr>
          <w:rFonts w:hint="eastAsia" w:ascii="宋体" w:hAnsi="宋体"/>
          <w:color w:val="auto"/>
          <w:sz w:val="24"/>
          <w:highlight w:val="none"/>
          <w:u w:val="single"/>
        </w:rPr>
        <w:t>项目管理机构配备：</w:t>
      </w:r>
    </w:p>
    <w:p w14:paraId="3D746AAA">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37F8175B">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0D4D6F6F">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5C1739DA">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）施工组织设计或施工方案</w:t>
      </w:r>
      <w:r>
        <w:rPr>
          <w:rFonts w:hint="eastAsia" w:ascii="宋体" w:hAnsi="宋体"/>
          <w:color w:val="auto"/>
          <w:sz w:val="24"/>
          <w:highlight w:val="none"/>
          <w:u w:val="single"/>
          <w:lang w:eastAsia="zh-CN"/>
        </w:rPr>
        <w:t>；</w:t>
      </w:r>
    </w:p>
    <w:p w14:paraId="0D1D00B4">
      <w:pPr>
        <w:pStyle w:val="8"/>
        <w:rPr>
          <w:rFonts w:hint="eastAsia" w:ascii="宋体" w:hAnsi="宋体" w:eastAsia="宋体" w:cs="Times New Roman"/>
          <w:color w:val="auto"/>
          <w:sz w:val="24"/>
          <w:highlight w:val="none"/>
          <w:u w:val="single"/>
          <w:lang w:val="en-US" w:eastAsia="zh-CN"/>
        </w:rPr>
      </w:pPr>
      <w:r>
        <w:rPr>
          <w:rFonts w:hint="eastAsia" w:ascii="楷体" w:hAnsi="楷体" w:eastAsia="楷体" w:cs="楷体"/>
          <w:color w:val="auto"/>
          <w:sz w:val="24"/>
          <w:highlight w:val="none"/>
          <w:u w:val="single"/>
          <w:lang w:val="en-US" w:eastAsia="zh-CN"/>
        </w:rPr>
        <w:t>注：建议招标人在招标文件中提出</w:t>
      </w:r>
      <w:r>
        <w:rPr>
          <w:rFonts w:hint="eastAsia" w:ascii="楷体" w:hAnsi="楷体" w:eastAsia="楷体" w:cs="楷体"/>
          <w:bCs w:val="0"/>
          <w:color w:val="auto"/>
          <w:kern w:val="2"/>
          <w:sz w:val="24"/>
          <w:highlight w:val="none"/>
          <w:u w:val="single"/>
        </w:rPr>
        <w:t>篇幅上限</w:t>
      </w:r>
      <w:r>
        <w:rPr>
          <w:rFonts w:hint="eastAsia" w:ascii="楷体" w:hAnsi="楷体" w:eastAsia="楷体" w:cs="楷体"/>
          <w:bCs w:val="0"/>
          <w:color w:val="auto"/>
          <w:kern w:val="2"/>
          <w:sz w:val="24"/>
          <w:highlight w:val="none"/>
          <w:u w:val="single"/>
          <w:lang w:eastAsia="zh-CN"/>
        </w:rPr>
        <w:t>，国家及地方现有工法规范已有的内容</w:t>
      </w:r>
      <w:r>
        <w:rPr>
          <w:rFonts w:hint="eastAsia" w:ascii="楷体" w:hAnsi="楷体" w:eastAsia="楷体" w:cs="楷体"/>
          <w:bCs w:val="0"/>
          <w:color w:val="auto"/>
          <w:kern w:val="2"/>
          <w:sz w:val="24"/>
          <w:highlight w:val="none"/>
          <w:u w:val="single"/>
          <w:lang w:val="en-US" w:eastAsia="zh-CN"/>
        </w:rPr>
        <w:t>无需重复提交</w:t>
      </w:r>
      <w:r>
        <w:rPr>
          <w:rFonts w:hint="eastAsia" w:ascii="楷体" w:hAnsi="楷体" w:eastAsia="楷体" w:cs="楷体"/>
          <w:bCs w:val="0"/>
          <w:color w:val="auto"/>
          <w:kern w:val="2"/>
          <w:sz w:val="24"/>
          <w:highlight w:val="none"/>
          <w:u w:val="single"/>
        </w:rPr>
        <w:t>。</w:t>
      </w:r>
    </w:p>
    <w:p w14:paraId="5AB17785">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4）（选择性条款）</w:t>
      </w:r>
      <w:r>
        <w:rPr>
          <w:rFonts w:hint="eastAsia" w:ascii="宋体" w:hAnsi="宋体"/>
          <w:color w:val="auto"/>
          <w:sz w:val="24"/>
          <w:highlight w:val="none"/>
          <w:u w:val="single"/>
        </w:rPr>
        <w:t>有余泥渣土产生的项目</w:t>
      </w:r>
      <w:r>
        <w:rPr>
          <w:rFonts w:hint="eastAsia" w:ascii="宋体" w:hAnsi="宋体"/>
          <w:color w:val="auto"/>
          <w:sz w:val="24"/>
          <w:highlight w:val="none"/>
          <w:u w:val="single"/>
          <w:lang w:eastAsia="zh-CN"/>
        </w:rPr>
        <w:t>可要求提供</w:t>
      </w:r>
      <w:r>
        <w:rPr>
          <w:rFonts w:hint="eastAsia" w:ascii="宋体" w:hAnsi="宋体"/>
          <w:color w:val="auto"/>
          <w:sz w:val="24"/>
          <w:highlight w:val="none"/>
          <w:u w:val="single"/>
        </w:rPr>
        <w:t>余泥渣土运输与排放方案</w:t>
      </w:r>
      <w:r>
        <w:rPr>
          <w:rFonts w:hint="eastAsia" w:ascii="宋体" w:hAnsi="宋体"/>
          <w:color w:val="auto"/>
          <w:sz w:val="24"/>
          <w:highlight w:val="none"/>
          <w:u w:val="single"/>
          <w:lang w:eastAsia="zh-CN"/>
        </w:rPr>
        <w:t>；</w:t>
      </w:r>
    </w:p>
    <w:p w14:paraId="1451D94F">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（选择性条款）</w:t>
      </w:r>
      <w:r>
        <w:rPr>
          <w:rFonts w:hint="eastAsia" w:ascii="宋体" w:hAnsi="宋体"/>
          <w:color w:val="auto"/>
          <w:sz w:val="24"/>
          <w:highlight w:val="none"/>
          <w:u w:val="single"/>
        </w:rPr>
        <w:t>投标人可使用适合本工程的机械设备</w:t>
      </w:r>
      <w:r>
        <w:rPr>
          <w:rFonts w:hint="eastAsia" w:ascii="宋体" w:hAnsi="宋体"/>
          <w:color w:val="auto"/>
          <w:sz w:val="24"/>
          <w:highlight w:val="none"/>
          <w:u w:val="single"/>
          <w:lang w:eastAsia="zh-CN"/>
        </w:rPr>
        <w:t>；</w:t>
      </w:r>
    </w:p>
    <w:p w14:paraId="2175FB8F">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（选择性条款）</w:t>
      </w:r>
      <w:r>
        <w:rPr>
          <w:rFonts w:hint="eastAsia" w:ascii="宋体" w:hAnsi="宋体"/>
          <w:color w:val="auto"/>
          <w:sz w:val="24"/>
          <w:highlight w:val="none"/>
          <w:u w:val="single"/>
        </w:rPr>
        <w:t>类似工程业绩材料</w:t>
      </w:r>
      <w:r>
        <w:rPr>
          <w:rFonts w:hint="eastAsia" w:ascii="宋体" w:hAnsi="宋体"/>
          <w:color w:val="auto"/>
          <w:sz w:val="24"/>
          <w:highlight w:val="none"/>
          <w:u w:val="single"/>
          <w:lang w:eastAsia="zh-CN"/>
        </w:rPr>
        <w:t>；</w:t>
      </w:r>
    </w:p>
    <w:p w14:paraId="6A46D6E9">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）按本招标文件规定提交的其它所有技术资料</w:t>
      </w:r>
      <w:r>
        <w:rPr>
          <w:rFonts w:hint="eastAsia" w:ascii="宋体" w:hAnsi="宋体"/>
          <w:color w:val="auto"/>
          <w:sz w:val="24"/>
          <w:highlight w:val="none"/>
          <w:u w:val="single"/>
          <w:lang w:eastAsia="zh-CN"/>
        </w:rPr>
        <w:t>；</w:t>
      </w:r>
    </w:p>
    <w:p w14:paraId="484EC9E7">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）按照招标文件要求填写的《参与编制技术标投标文件人员名单》。</w:t>
      </w:r>
    </w:p>
    <w:p w14:paraId="487EB054">
      <w:pPr>
        <w:spacing w:line="360" w:lineRule="auto"/>
        <w:ind w:firstLine="480" w:firstLineChars="200"/>
        <w:rPr>
          <w:rFonts w:asci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经济部分投标文件主要包括下列内容：</w:t>
      </w:r>
    </w:p>
    <w:p w14:paraId="23CF9891">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 xml:space="preserve">11.3.1 </w:t>
      </w:r>
      <w:r>
        <w:rPr>
          <w:rFonts w:hint="eastAsia" w:ascii="宋体" w:hAnsi="宋体"/>
          <w:color w:val="auto"/>
          <w:sz w:val="24"/>
          <w:highlight w:val="none"/>
          <w:u w:val="single"/>
        </w:rPr>
        <w:t>经济投标文件</w:t>
      </w:r>
    </w:p>
    <w:p w14:paraId="7F98FCAC">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其中包括如下：</w:t>
      </w:r>
      <w:r>
        <w:rPr>
          <w:rFonts w:ascii="宋体"/>
          <w:color w:val="auto"/>
          <w:sz w:val="24"/>
          <w:highlight w:val="none"/>
          <w:u w:val="single"/>
        </w:rPr>
        <w:t xml:space="preserve"> </w:t>
      </w:r>
    </w:p>
    <w:p w14:paraId="56E43497">
      <w:pPr>
        <w:spacing w:line="360" w:lineRule="auto"/>
        <w:ind w:firstLine="566" w:firstLineChars="236"/>
        <w:rPr>
          <w:rFonts w:asci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1</w:t>
      </w:r>
      <w:r>
        <w:rPr>
          <w:rFonts w:hint="eastAsia" w:ascii="宋体" w:hAnsi="宋体"/>
          <w:color w:val="auto"/>
          <w:sz w:val="24"/>
          <w:highlight w:val="none"/>
          <w:u w:val="single"/>
        </w:rPr>
        <w:t>）投标总价封面、扉页；</w:t>
      </w:r>
    </w:p>
    <w:p w14:paraId="5F189D2E">
      <w:pPr>
        <w:spacing w:line="360" w:lineRule="auto"/>
        <w:ind w:firstLine="566" w:firstLineChars="236"/>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）总说明</w:t>
      </w:r>
      <w:r>
        <w:rPr>
          <w:rFonts w:hint="eastAsia" w:ascii="宋体" w:hAnsi="宋体"/>
          <w:color w:val="auto"/>
          <w:sz w:val="24"/>
          <w:szCs w:val="24"/>
          <w:highlight w:val="none"/>
          <w:u w:val="single"/>
          <w:lang w:eastAsia="zh-CN"/>
        </w:rPr>
        <w:t>；</w:t>
      </w:r>
    </w:p>
    <w:p w14:paraId="230CADA2">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（3）工程项目投标报价汇总表；</w:t>
      </w:r>
    </w:p>
    <w:p w14:paraId="3836E59F">
      <w:pPr>
        <w:spacing w:line="360" w:lineRule="auto"/>
        <w:ind w:firstLine="566" w:firstLineChars="236"/>
        <w:rPr>
          <w:rFonts w:ascii="宋体" w:hAnsi="宋体"/>
          <w:color w:val="auto"/>
          <w:sz w:val="24"/>
          <w:szCs w:val="24"/>
          <w:highlight w:val="none"/>
          <w:u w:val="single"/>
        </w:rPr>
      </w:pPr>
      <w:r>
        <w:rPr>
          <w:rFonts w:hint="eastAsia" w:ascii="宋体" w:hAnsi="宋体"/>
          <w:color w:val="auto"/>
          <w:sz w:val="24"/>
          <w:szCs w:val="24"/>
          <w:highlight w:val="none"/>
          <w:u w:val="single"/>
        </w:rPr>
        <w:t>（4）单项工程投标报价汇总表；</w:t>
      </w:r>
    </w:p>
    <w:p w14:paraId="057483A9">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（5）单位工程投标报价汇总表；</w:t>
      </w:r>
    </w:p>
    <w:p w14:paraId="04CA74BB">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（6）分部分项工程清单与计价表；</w:t>
      </w:r>
    </w:p>
    <w:p w14:paraId="62835D1A">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（7）单价措施项目清单与计价表；</w:t>
      </w:r>
    </w:p>
    <w:p w14:paraId="4793BD58">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（8）总价措施项目清单与计价表；</w:t>
      </w:r>
    </w:p>
    <w:p w14:paraId="56BB5BF4">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（9）综合单价分析表；</w:t>
      </w:r>
    </w:p>
    <w:p w14:paraId="5CE97A30">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（10）其他项目清单与计价汇总表；</w:t>
      </w:r>
    </w:p>
    <w:p w14:paraId="6F7863F3">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（11）暂列金额明细表；</w:t>
      </w:r>
    </w:p>
    <w:p w14:paraId="287B7984">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（12）材料（工程设备）暂估价明细表；</w:t>
      </w:r>
    </w:p>
    <w:p w14:paraId="30DC4B21">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（13）专业工程暂估价明细表；</w:t>
      </w:r>
    </w:p>
    <w:p w14:paraId="2B153276">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（14）计日工表；</w:t>
      </w:r>
    </w:p>
    <w:p w14:paraId="1718974A">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（15）总承包服务计价表；</w:t>
      </w:r>
    </w:p>
    <w:p w14:paraId="1C5307F9">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（16）规费和税金项目计价表；</w:t>
      </w:r>
    </w:p>
    <w:p w14:paraId="1E6111E9">
      <w:pPr>
        <w:spacing w:line="360" w:lineRule="auto"/>
        <w:ind w:firstLine="480" w:firstLineChars="200"/>
        <w:rPr>
          <w:rFonts w:ascii="宋体"/>
          <w:color w:val="auto"/>
          <w:sz w:val="24"/>
          <w:highlight w:val="none"/>
          <w:u w:val="single"/>
        </w:rPr>
      </w:pPr>
      <w:r>
        <w:rPr>
          <w:rFonts w:hint="eastAsia" w:ascii="宋体" w:hAnsi="宋体"/>
          <w:color w:val="auto"/>
          <w:sz w:val="24"/>
          <w:szCs w:val="24"/>
          <w:highlight w:val="none"/>
          <w:u w:val="single"/>
        </w:rPr>
        <w:t>（17）人工、主要材料和设备一览表</w:t>
      </w:r>
    </w:p>
    <w:p w14:paraId="7890704F">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11.3.</w:t>
      </w:r>
      <w:r>
        <w:rPr>
          <w:rFonts w:hint="eastAsia" w:ascii="宋体" w:hAnsi="宋体"/>
          <w:color w:val="auto"/>
          <w:sz w:val="24"/>
          <w:highlight w:val="none"/>
          <w:u w:val="single"/>
        </w:rPr>
        <w:t>3按照</w:t>
      </w:r>
      <w:r>
        <w:rPr>
          <w:rFonts w:hint="eastAsia" w:ascii="宋体" w:hAnsi="宋体"/>
          <w:bCs/>
          <w:color w:val="auto"/>
          <w:sz w:val="24"/>
          <w:highlight w:val="none"/>
          <w:u w:val="single"/>
        </w:rPr>
        <w:t>招标文件要求</w:t>
      </w:r>
      <w:r>
        <w:rPr>
          <w:rFonts w:hint="eastAsia" w:ascii="宋体" w:hAnsi="宋体"/>
          <w:color w:val="auto"/>
          <w:sz w:val="24"/>
          <w:highlight w:val="none"/>
          <w:u w:val="single"/>
        </w:rPr>
        <w:t>填写的《参与编制经济标投标文件人员名单》。</w:t>
      </w:r>
    </w:p>
    <w:p w14:paraId="5F718127">
      <w:pPr>
        <w:tabs>
          <w:tab w:val="left" w:pos="1125"/>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11.3.4若投标人的投标报价低于</w:t>
      </w:r>
      <w:r>
        <w:rPr>
          <w:rFonts w:hint="eastAsia" w:ascii="宋体" w:hAnsi="宋体"/>
          <w:color w:val="auto"/>
          <w:sz w:val="24"/>
          <w:highlight w:val="none"/>
          <w:u w:val="single"/>
          <w:lang w:eastAsia="zh-CN"/>
        </w:rPr>
        <w:t>工程成本警戒价</w:t>
      </w:r>
      <w:r>
        <w:rPr>
          <w:rFonts w:hint="eastAsia" w:ascii="宋体" w:hAnsi="宋体"/>
          <w:color w:val="auto"/>
          <w:sz w:val="24"/>
          <w:highlight w:val="none"/>
          <w:u w:val="single"/>
        </w:rPr>
        <w:t>的，投标人还须提供详细的施工组织设计、单价、措施性费用、单价分析表、主要材料价格表、投标人成本分析供评标委员会评审。</w:t>
      </w:r>
    </w:p>
    <w:p w14:paraId="592FD3C4">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080C0CE7">
      <w:pPr>
        <w:pStyle w:val="36"/>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2C0206CC">
      <w:pPr>
        <w:pStyle w:val="36"/>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279309CC">
      <w:pPr>
        <w:pStyle w:val="36"/>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w:t>
      </w:r>
    </w:p>
    <w:p w14:paraId="64CE458C">
      <w:pPr>
        <w:pStyle w:val="36"/>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44F41D40">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594B0AC8">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项所规定的方式。投标报价（含单价及总价）精确到“分”。</w:t>
      </w:r>
    </w:p>
    <w:p w14:paraId="366A36C3">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53F511B">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80D242D">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78B2B01">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36A2CF89">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CAA12E8">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B3566EC">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0D0E51E3">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4C3E0D98">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5EE07908">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761AF55">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A5693A0">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ED0B2AF">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D0AAED0">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0CEB7EF6">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8AE3C6C">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E8C0692">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6BD7CECE">
      <w:pPr>
        <w:pStyle w:val="36"/>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4BB88429">
      <w:pPr>
        <w:pStyle w:val="36"/>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1EACC78">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649DC4BD">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7E9FB273">
      <w:pPr>
        <w:pStyle w:val="36"/>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05FDE940">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hint="eastAsia" w:ascii="宋体" w:hAnsi="宋体"/>
          <w:color w:val="auto"/>
          <w:sz w:val="24"/>
          <w:highlight w:val="none"/>
          <w:lang w:val="en-US" w:eastAsia="zh-CN"/>
        </w:rPr>
        <w:t>15</w:t>
      </w:r>
      <w:r>
        <w:rPr>
          <w:rFonts w:hint="eastAsia" w:ascii="宋体" w:hAnsi="宋体"/>
          <w:color w:val="auto"/>
          <w:sz w:val="24"/>
          <w:highlight w:val="none"/>
        </w:rPr>
        <w:t>项所规定的期限，在此期限内，凡符合本招标文件要求的投标文件均保持有效。</w:t>
      </w:r>
    </w:p>
    <w:p w14:paraId="0B37094F">
      <w:pPr>
        <w:pStyle w:val="36"/>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2029DBAA">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7E4C520A">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w:t>
      </w:r>
      <w:r>
        <w:rPr>
          <w:rFonts w:hint="eastAsia" w:ascii="宋体" w:hAnsi="宋体"/>
          <w:color w:val="auto"/>
          <w:sz w:val="24"/>
          <w:highlight w:val="none"/>
          <w:lang w:eastAsia="zh-CN"/>
        </w:rPr>
        <w:t>国家、省、市有关规定和</w:t>
      </w:r>
      <w:r>
        <w:rPr>
          <w:rFonts w:hint="eastAsia" w:ascii="宋体" w:hAnsi="宋体"/>
          <w:color w:val="auto"/>
          <w:sz w:val="24"/>
          <w:highlight w:val="none"/>
        </w:rPr>
        <w:t>投标须知前附表第</w:t>
      </w:r>
      <w:r>
        <w:rPr>
          <w:rFonts w:hint="eastAsia" w:ascii="宋体" w:hAnsi="宋体"/>
          <w:color w:val="auto"/>
          <w:sz w:val="24"/>
          <w:highlight w:val="none"/>
          <w:lang w:val="en-US" w:eastAsia="zh-CN"/>
        </w:rPr>
        <w:t>16</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6DD49D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38BEB91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E029B4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6DACCCF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2138E95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08B04B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w:t>
      </w:r>
      <w:r>
        <w:rPr>
          <w:rFonts w:hint="eastAsia" w:ascii="宋体" w:hAnsi="宋体"/>
          <w:color w:val="auto"/>
          <w:sz w:val="24"/>
          <w:highlight w:val="none"/>
          <w:lang w:eastAsia="zh-CN"/>
        </w:rPr>
        <w:t>依法依规</w:t>
      </w:r>
      <w:r>
        <w:rPr>
          <w:rFonts w:hint="eastAsia" w:ascii="宋体" w:hAnsi="宋体"/>
          <w:color w:val="auto"/>
          <w:sz w:val="24"/>
          <w:highlight w:val="none"/>
        </w:rPr>
        <w:t>在招标文件中规定）：</w:t>
      </w:r>
    </w:p>
    <w:p w14:paraId="179E2E5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16.5投标人如存在下列情况之一的，将被拒绝在一定时期内参与招标人后续工程投标（由招标人</w:t>
      </w:r>
      <w:r>
        <w:rPr>
          <w:rFonts w:hint="eastAsia" w:ascii="宋体" w:hAnsi="宋体"/>
          <w:color w:val="auto"/>
          <w:sz w:val="24"/>
          <w:highlight w:val="none"/>
          <w:lang w:eastAsia="zh-CN"/>
        </w:rPr>
        <w:t>依法依规</w:t>
      </w:r>
      <w:r>
        <w:rPr>
          <w:rFonts w:hint="eastAsia" w:ascii="宋体" w:hAnsi="宋体"/>
          <w:color w:val="auto"/>
          <w:sz w:val="24"/>
          <w:highlight w:val="none"/>
        </w:rPr>
        <w:t>在招标文件中明确）：</w:t>
      </w:r>
    </w:p>
    <w:p w14:paraId="4FE7497A">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2F87631A">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2BC1DFA">
      <w:pPr>
        <w:pStyle w:val="5"/>
        <w:bidi w:val="0"/>
        <w:rPr>
          <w:color w:val="auto"/>
          <w:highlight w:val="none"/>
        </w:rPr>
      </w:pPr>
      <w:bookmarkStart w:id="36" w:name="_Toc32530"/>
      <w:bookmarkStart w:id="37" w:name="_Toc4944"/>
      <w:bookmarkStart w:id="38" w:name="_Toc21525496"/>
      <w:bookmarkStart w:id="39" w:name="_Toc16669"/>
      <w:bookmarkStart w:id="40" w:name="_Toc2272552"/>
      <w:r>
        <w:rPr>
          <w:rFonts w:hint="eastAsia"/>
          <w:color w:val="auto"/>
          <w:highlight w:val="none"/>
        </w:rPr>
        <w:t>（四）投标文件的提交</w:t>
      </w:r>
      <w:bookmarkEnd w:id="36"/>
      <w:bookmarkEnd w:id="37"/>
      <w:bookmarkEnd w:id="38"/>
      <w:bookmarkEnd w:id="39"/>
      <w:bookmarkEnd w:id="40"/>
    </w:p>
    <w:p w14:paraId="4C4749B3">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588359C0">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714FD825">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2D853F36">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3A97F72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3B83013E">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42AC195F">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11BC5D32">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160A7066">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036448A2">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2E11CD5F">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项所述的时间前提交投标文件。</w:t>
      </w:r>
    </w:p>
    <w:p w14:paraId="06121BBF">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16849685">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1490BB04">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01A63C36">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D8DB9F7">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36974176">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2D2F97F5">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36B5F8B1">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，按19点的规</w:t>
      </w:r>
      <w:r>
        <w:rPr>
          <w:rFonts w:hint="eastAsia"/>
          <w:color w:val="auto"/>
          <w:sz w:val="24"/>
          <w:szCs w:val="24"/>
          <w:highlight w:val="none"/>
        </w:rPr>
        <w:t>定执行。</w:t>
      </w:r>
    </w:p>
    <w:p w14:paraId="6E8E7A2F">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3B7CDC89">
      <w:pPr>
        <w:pStyle w:val="5"/>
        <w:spacing w:before="156" w:after="156"/>
        <w:rPr>
          <w:color w:val="auto"/>
          <w:highlight w:val="none"/>
        </w:rPr>
      </w:pPr>
      <w:bookmarkStart w:id="41" w:name="_Toc28853"/>
      <w:bookmarkStart w:id="42" w:name="_Toc6026"/>
      <w:bookmarkStart w:id="43" w:name="_Toc21525497"/>
      <w:bookmarkStart w:id="44" w:name="_Toc2272553"/>
      <w:bookmarkStart w:id="45" w:name="_Toc10309"/>
      <w:r>
        <w:rPr>
          <w:rFonts w:hint="eastAsia"/>
          <w:color w:val="auto"/>
          <w:highlight w:val="none"/>
        </w:rPr>
        <w:t>（五）开标、评标、定标及合同签定</w:t>
      </w:r>
      <w:bookmarkEnd w:id="41"/>
      <w:bookmarkEnd w:id="42"/>
      <w:bookmarkEnd w:id="43"/>
      <w:bookmarkEnd w:id="44"/>
      <w:bookmarkEnd w:id="45"/>
    </w:p>
    <w:p w14:paraId="33CF5291">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62644ED3">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55EDD1C8">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4FB7F3BB">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36BD22AA">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2A441CA6">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12AFC67D">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3D163F90">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6733407D">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259968BD">
      <w:pPr>
        <w:numPr>
          <w:ilvl w:val="0"/>
          <w:numId w:val="8"/>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定标</w:t>
      </w:r>
    </w:p>
    <w:p w14:paraId="2B72B136">
      <w:pPr>
        <w:pStyle w:val="19"/>
        <w:ind w:firstLine="480" w:firstLineChars="20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27.1按照投标人须知前附表的规定，由招标人或招标人授权的评标委员会依法确定中标人。</w:t>
      </w:r>
    </w:p>
    <w:p w14:paraId="5D94BAAB">
      <w:pPr>
        <w:pStyle w:val="19"/>
        <w:ind w:firstLine="480" w:firstLineChars="200"/>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27.2采用评定分离方式确定中标人的，从其规定。</w:t>
      </w:r>
    </w:p>
    <w:p w14:paraId="2E7273FA">
      <w:pPr>
        <w:pStyle w:val="19"/>
        <w:rPr>
          <w:rFonts w:hint="default"/>
          <w:b w:val="0"/>
          <w:bCs w:val="0"/>
          <w:color w:val="auto"/>
          <w:highlight w:val="none"/>
          <w:lang w:val="en-US" w:eastAsia="zh-CN"/>
        </w:rPr>
      </w:pPr>
    </w:p>
    <w:p w14:paraId="2CFEE786">
      <w:pPr>
        <w:numPr>
          <w:ilvl w:val="0"/>
          <w:numId w:val="8"/>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14:paraId="7E1D5FE1">
      <w:pPr>
        <w:spacing w:line="360" w:lineRule="auto"/>
        <w:ind w:firstLine="480" w:firstLineChars="200"/>
        <w:rPr>
          <w:rFonts w:hint="eastAsia" w:eastAsia="宋体"/>
          <w:color w:val="auto"/>
          <w:highlight w:val="none"/>
          <w:lang w:eastAsia="zh-CN"/>
        </w:rPr>
      </w:pP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2C7E8228">
      <w:pPr>
        <w:spacing w:line="360" w:lineRule="auto"/>
        <w:ind w:firstLine="480" w:firstLineChars="200"/>
        <w:rPr>
          <w:rFonts w:ascii="仿宋_GB2312" w:hAnsi="宋体" w:eastAsia="仿宋_GB2312"/>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14:paraId="024D1E3E">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11F63C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14:paraId="3627163D">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28</w:t>
      </w:r>
      <w:r>
        <w:rPr>
          <w:rFonts w:hint="eastAsia" w:ascii="宋体" w:hAnsi="宋体" w:eastAsia="宋体" w:cs="Times New Roman"/>
          <w:color w:val="auto"/>
          <w:sz w:val="24"/>
          <w:highlight w:val="none"/>
          <w:lang w:val="en-US" w:eastAsia="zh-CN"/>
        </w:rPr>
        <w:t>.5</w:t>
      </w:r>
      <w:r>
        <w:rPr>
          <w:rFonts w:hint="eastAsia" w:ascii="宋体" w:hAnsi="宋体" w:cs="Times New Roman"/>
          <w:color w:val="auto"/>
          <w:sz w:val="24"/>
          <w:highlight w:val="none"/>
          <w:lang w:val="en-US" w:eastAsia="zh-CN"/>
        </w:rPr>
        <w:t>（适用于轨道交通建设项目）</w:t>
      </w:r>
      <w:r>
        <w:rPr>
          <w:rFonts w:hint="eastAsia" w:ascii="宋体" w:hAnsi="宋体" w:eastAsia="宋体" w:cs="Times New Roman"/>
          <w:color w:val="auto"/>
          <w:sz w:val="24"/>
          <w:highlight w:val="none"/>
          <w:lang w:val="en-US" w:eastAsia="zh-CN"/>
        </w:rPr>
        <w:t>如</w:t>
      </w:r>
      <w:r>
        <w:rPr>
          <w:rFonts w:hint="eastAsia" w:ascii="宋体" w:hAnsi="宋体" w:eastAsia="宋体" w:cs="Times New Roman"/>
          <w:color w:val="auto"/>
          <w:sz w:val="24"/>
          <w:highlight w:val="none"/>
        </w:rPr>
        <w:t>项目采用整体发包的形式开展施工总承包招标，</w:t>
      </w:r>
      <w:r>
        <w:rPr>
          <w:rFonts w:hint="eastAsia" w:ascii="宋体" w:hAnsi="宋体" w:eastAsia="宋体" w:cs="Times New Roman"/>
          <w:color w:val="auto"/>
          <w:sz w:val="24"/>
          <w:highlight w:val="none"/>
          <w:lang w:eastAsia="zh-CN"/>
        </w:rPr>
        <w:t>且</w:t>
      </w:r>
      <w:r>
        <w:rPr>
          <w:rFonts w:hint="eastAsia" w:ascii="宋体" w:hAnsi="宋体" w:eastAsia="宋体" w:cs="Times New Roman"/>
          <w:color w:val="auto"/>
          <w:sz w:val="24"/>
          <w:highlight w:val="none"/>
        </w:rPr>
        <w:t>后续需分</w:t>
      </w:r>
      <w:r>
        <w:rPr>
          <w:rFonts w:hint="eastAsia" w:ascii="宋体" w:hAnsi="宋体" w:cs="Times New Roman"/>
          <w:color w:val="auto"/>
          <w:sz w:val="24"/>
          <w:highlight w:val="none"/>
          <w:lang w:eastAsia="zh-CN"/>
        </w:rPr>
        <w:t>段</w:t>
      </w:r>
      <w:r>
        <w:rPr>
          <w:rFonts w:hint="eastAsia" w:ascii="宋体" w:hAnsi="宋体" w:eastAsia="宋体" w:cs="Times New Roman"/>
          <w:color w:val="auto"/>
          <w:sz w:val="24"/>
          <w:highlight w:val="none"/>
          <w:lang w:eastAsia="zh-CN"/>
        </w:rPr>
        <w:t>办理监督手续</w:t>
      </w:r>
      <w:r>
        <w:rPr>
          <w:rFonts w:hint="eastAsia" w:ascii="宋体" w:hAnsi="宋体" w:eastAsia="宋体" w:cs="Times New Roman"/>
          <w:color w:val="auto"/>
          <w:sz w:val="24"/>
          <w:highlight w:val="none"/>
        </w:rPr>
        <w:t>，确定中标单位后，</w:t>
      </w:r>
      <w:r>
        <w:rPr>
          <w:rFonts w:hint="eastAsia" w:ascii="宋体" w:hAnsi="宋体" w:eastAsia="宋体" w:cs="Times New Roman"/>
          <w:color w:val="auto"/>
          <w:sz w:val="24"/>
          <w:highlight w:val="none"/>
          <w:lang w:eastAsia="zh-CN"/>
        </w:rPr>
        <w:t>招标</w:t>
      </w:r>
      <w:r>
        <w:rPr>
          <w:rFonts w:hint="eastAsia" w:ascii="宋体" w:hAnsi="宋体" w:cs="Times New Roman"/>
          <w:color w:val="auto"/>
          <w:sz w:val="24"/>
          <w:highlight w:val="none"/>
          <w:lang w:eastAsia="zh-CN"/>
        </w:rPr>
        <w:t>人</w:t>
      </w:r>
      <w:r>
        <w:rPr>
          <w:rFonts w:hint="eastAsia" w:ascii="宋体" w:hAnsi="宋体" w:eastAsia="宋体" w:cs="Times New Roman"/>
          <w:color w:val="auto"/>
          <w:sz w:val="24"/>
          <w:highlight w:val="none"/>
        </w:rPr>
        <w:t>在向中标单位发出的中标通知书中一并标注施工总承包项目经理和各段项目经理</w:t>
      </w:r>
      <w:r>
        <w:rPr>
          <w:rFonts w:hint="eastAsia" w:ascii="宋体" w:hAnsi="宋体" w:eastAsia="宋体" w:cs="Times New Roman"/>
          <w:color w:val="auto"/>
          <w:sz w:val="24"/>
          <w:highlight w:val="none"/>
          <w:lang w:eastAsia="zh-CN"/>
        </w:rPr>
        <w:t>。</w:t>
      </w:r>
    </w:p>
    <w:p w14:paraId="3340C88F">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29</w:t>
      </w:r>
      <w:r>
        <w:rPr>
          <w:rFonts w:hint="eastAsia" w:ascii="宋体" w:hAnsi="宋体"/>
          <w:b/>
          <w:bCs/>
          <w:color w:val="auto"/>
          <w:sz w:val="24"/>
          <w:highlight w:val="none"/>
        </w:rPr>
        <w:t>．合同协议书的签订</w:t>
      </w:r>
    </w:p>
    <w:p w14:paraId="6B9F07ED">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 xml:space="preserve">.1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5941B9EC">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D93771A">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5E0CE633">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.4</w:t>
      </w:r>
      <w:r>
        <w:rPr>
          <w:rFonts w:hint="eastAsia" w:ascii="宋体" w:hAnsi="宋体"/>
          <w:color w:val="auto"/>
          <w:sz w:val="24"/>
          <w:highlight w:val="none"/>
        </w:rPr>
        <w:t>招标人支付工程款时，中标人应按规定开具发票</w:t>
      </w:r>
      <w:r>
        <w:rPr>
          <w:rFonts w:hint="eastAsia" w:ascii="宋体" w:hAnsi="宋体"/>
          <w:color w:val="auto"/>
          <w:sz w:val="24"/>
          <w:highlight w:val="none"/>
          <w:lang w:eastAsia="zh-CN"/>
        </w:rPr>
        <w:t>并完税</w:t>
      </w:r>
      <w:r>
        <w:rPr>
          <w:rFonts w:hint="eastAsia" w:ascii="宋体" w:hAnsi="宋体"/>
          <w:color w:val="auto"/>
          <w:sz w:val="24"/>
          <w:highlight w:val="none"/>
        </w:rPr>
        <w:t>。</w:t>
      </w:r>
    </w:p>
    <w:p w14:paraId="1CA5FF74">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30</w:t>
      </w:r>
      <w:r>
        <w:rPr>
          <w:rFonts w:hint="eastAsia" w:ascii="宋体" w:hAnsi="宋体"/>
          <w:b/>
          <w:bCs/>
          <w:color w:val="auto"/>
          <w:sz w:val="24"/>
          <w:highlight w:val="none"/>
        </w:rPr>
        <w:t>．履约担保</w:t>
      </w:r>
    </w:p>
    <w:p w14:paraId="769BCEEC">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olor w:val="auto"/>
          <w:sz w:val="24"/>
          <w:highlight w:val="none"/>
        </w:rPr>
        <w:t>在收到中标通知书后的</w:t>
      </w:r>
      <w:r>
        <w:rPr>
          <w:rFonts w:ascii="宋体" w:hAnsi="宋体"/>
          <w:b w:val="0"/>
          <w:bCs/>
          <w:color w:val="auto"/>
          <w:sz w:val="24"/>
          <w:highlight w:val="none"/>
        </w:rPr>
        <w:t>15</w:t>
      </w:r>
      <w:r>
        <w:rPr>
          <w:rFonts w:hint="eastAsia" w:ascii="宋体" w:hAnsi="宋体"/>
          <w:b w:val="0"/>
          <w:bCs/>
          <w:color w:val="auto"/>
          <w:sz w:val="24"/>
          <w:highlight w:val="none"/>
        </w:rPr>
        <w:t>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677B3414">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2843F28">
      <w:pPr>
        <w:snapToGrid w:val="0"/>
        <w:spacing w:line="360" w:lineRule="auto"/>
        <w:ind w:firstLine="480" w:firstLineChars="200"/>
        <w:rPr>
          <w:rFonts w:ascii="宋体"/>
          <w:color w:val="auto"/>
          <w:sz w:val="24"/>
          <w:highlight w:val="none"/>
        </w:rPr>
      </w:pPr>
      <w:r>
        <w:rPr>
          <w:rFonts w:hint="eastAsia" w:ascii="宋体" w:hAnsi="宋体" w:eastAsia="宋体" w:cs="Times New Roman"/>
          <w:color w:val="auto"/>
          <w:sz w:val="24"/>
          <w:highlight w:val="none"/>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60D7DF4C">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．合同生效</w:t>
      </w:r>
    </w:p>
    <w:p w14:paraId="0BFA97D1">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5F23461C">
      <w:pPr>
        <w:numPr>
          <w:ilvl w:val="0"/>
          <w:numId w:val="9"/>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专业分包</w:t>
      </w:r>
    </w:p>
    <w:p w14:paraId="0E0AAE28">
      <w:pPr>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45BF46AB">
      <w:pPr>
        <w:snapToGrid w:val="0"/>
        <w:spacing w:line="360" w:lineRule="auto"/>
        <w:ind w:firstLine="480" w:firstLineChars="200"/>
        <w:rPr>
          <w:rFonts w:hint="default"/>
          <w:color w:val="auto"/>
          <w:highlight w:val="none"/>
          <w:lang w:val="en-US" w:eastAsia="zh-CN"/>
        </w:rPr>
      </w:pPr>
      <w:r>
        <w:rPr>
          <w:rFonts w:hint="eastAsia" w:ascii="宋体" w:hAnsi="宋体" w:eastAsia="宋体" w:cs="Times New Roman"/>
          <w:color w:val="auto"/>
          <w:sz w:val="24"/>
          <w:highlight w:val="none"/>
          <w:lang w:val="en-US" w:eastAsia="zh-CN"/>
        </w:rPr>
        <w:t>32.2中标人不得向他人转让中标项目，接受分包的人不得再次分包。中标人应当就分包项目向招标人负责，接受分包的人就分包项目承担连带责任。</w:t>
      </w:r>
    </w:p>
    <w:p w14:paraId="5B0E5045">
      <w:pPr>
        <w:pStyle w:val="36"/>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3</w:t>
      </w:r>
      <w:r>
        <w:rPr>
          <w:rFonts w:hint="eastAsia" w:ascii="宋体" w:hAnsi="宋体"/>
          <w:b/>
          <w:bCs/>
          <w:color w:val="auto"/>
          <w:sz w:val="24"/>
          <w:highlight w:val="none"/>
        </w:rPr>
        <w:t>．腐败与欺诈行为</w:t>
      </w:r>
    </w:p>
    <w:p w14:paraId="0D80A505">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53E5EE02">
      <w:pPr>
        <w:pStyle w:val="36"/>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32D6487C">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6BB250F9">
      <w:pPr>
        <w:pStyle w:val="36"/>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8284942">
      <w:pPr>
        <w:pStyle w:val="36"/>
        <w:spacing w:after="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14:paraId="3E04A33E">
      <w:pPr>
        <w:pStyle w:val="36"/>
        <w:spacing w:after="0" w:line="360" w:lineRule="auto"/>
        <w:ind w:firstLine="480" w:firstLineChars="200"/>
        <w:rPr>
          <w:rFonts w:hint="eastAsia" w:ascii="宋体"/>
          <w:color w:val="auto"/>
          <w:sz w:val="24"/>
          <w:highlight w:val="none"/>
        </w:rPr>
      </w:pPr>
      <w:r>
        <w:rPr>
          <w:rFonts w:hint="eastAsia" w:ascii="宋体"/>
          <w:color w:val="auto"/>
          <w:sz w:val="24"/>
          <w:highlight w:val="none"/>
        </w:rPr>
        <w:t>3</w:t>
      </w:r>
      <w:r>
        <w:rPr>
          <w:rFonts w:hint="eastAsia" w:ascii="宋体"/>
          <w:color w:val="auto"/>
          <w:sz w:val="24"/>
          <w:highlight w:val="none"/>
          <w:lang w:val="en-US" w:eastAsia="zh-CN"/>
        </w:rPr>
        <w:t>3.</w:t>
      </w:r>
      <w:r>
        <w:rPr>
          <w:rFonts w:hint="eastAsia" w:ascii="宋体"/>
          <w:color w:val="auto"/>
          <w:sz w:val="24"/>
          <w:highlight w:val="none"/>
        </w:rPr>
        <w:t>3投标人如在本项目中存在串通投标、弄虚作假骗取中标、行贿情形的，中标无效，行政监督部门将对其违法行为进行政处罚。</w:t>
      </w:r>
    </w:p>
    <w:p w14:paraId="4361F11A">
      <w:pPr>
        <w:numPr>
          <w:ilvl w:val="0"/>
          <w:numId w:val="0"/>
        </w:numPr>
        <w:spacing w:line="360" w:lineRule="auto"/>
        <w:ind w:firstLine="482" w:firstLineChars="200"/>
        <w:rPr>
          <w:rFonts w:hint="eastAsia" w:ascii="宋体"/>
          <w:color w:val="auto"/>
          <w:sz w:val="24"/>
          <w:highlight w:val="none"/>
        </w:rPr>
      </w:pPr>
      <w:r>
        <w:rPr>
          <w:rFonts w:hint="eastAsia" w:ascii="宋体" w:hAnsi="宋体"/>
          <w:b/>
          <w:bCs/>
          <w:color w:val="auto"/>
          <w:sz w:val="24"/>
          <w:highlight w:val="none"/>
          <w:lang w:val="en-US" w:eastAsia="zh-CN"/>
        </w:rPr>
        <w:t>34.</w:t>
      </w:r>
      <w:r>
        <w:rPr>
          <w:rFonts w:hint="eastAsia" w:ascii="宋体" w:hAnsi="宋体"/>
          <w:b/>
          <w:bCs/>
          <w:color w:val="auto"/>
          <w:sz w:val="24"/>
          <w:highlight w:val="none"/>
        </w:rPr>
        <w:t>其它费用</w:t>
      </w:r>
    </w:p>
    <w:p w14:paraId="598805FC">
      <w:pPr>
        <w:rPr>
          <w:rFonts w:hint="eastAsia"/>
          <w:color w:val="auto"/>
          <w:highlight w:val="none"/>
        </w:rPr>
      </w:pPr>
      <w:bookmarkStart w:id="46" w:name="_Toc2272554"/>
      <w:bookmarkStart w:id="47" w:name="_Toc21525498"/>
      <w:bookmarkStart w:id="48" w:name="_Toc2558"/>
      <w:bookmarkStart w:id="49" w:name="_Toc17683"/>
      <w:bookmarkStart w:id="50" w:name="_Toc32047"/>
      <w:r>
        <w:rPr>
          <w:rFonts w:hint="eastAsia"/>
          <w:color w:val="auto"/>
          <w:highlight w:val="none"/>
        </w:rPr>
        <w:br w:type="page"/>
      </w:r>
    </w:p>
    <w:p w14:paraId="4421CC0F">
      <w:pPr>
        <w:pStyle w:val="2"/>
        <w:jc w:val="center"/>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46"/>
      <w:bookmarkEnd w:id="47"/>
      <w:bookmarkEnd w:id="48"/>
      <w:bookmarkEnd w:id="49"/>
      <w:bookmarkEnd w:id="50"/>
    </w:p>
    <w:p w14:paraId="33CB342C">
      <w:pPr>
        <w:pStyle w:val="4"/>
        <w:bidi w:val="0"/>
        <w:rPr>
          <w:color w:val="auto"/>
          <w:highlight w:val="none"/>
        </w:rPr>
      </w:pPr>
      <w:bookmarkStart w:id="51" w:name="_Toc28311"/>
      <w:bookmarkStart w:id="52" w:name="_Toc28403"/>
      <w:bookmarkStart w:id="53" w:name="_Toc2272555"/>
      <w:bookmarkStart w:id="54" w:name="_Toc15032"/>
      <w:bookmarkStart w:id="55" w:name="_Toc21525499"/>
      <w:r>
        <w:rPr>
          <w:rFonts w:hint="eastAsia"/>
          <w:color w:val="auto"/>
          <w:highlight w:val="none"/>
        </w:rPr>
        <w:t>一、开标、评标及定标办法修改表</w:t>
      </w:r>
      <w:bookmarkEnd w:id="51"/>
      <w:bookmarkEnd w:id="52"/>
      <w:bookmarkEnd w:id="53"/>
      <w:bookmarkEnd w:id="54"/>
      <w:bookmarkEnd w:id="55"/>
    </w:p>
    <w:p w14:paraId="3C2CEAF9">
      <w:pPr>
        <w:pStyle w:val="36"/>
        <w:spacing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声明：本开标、评标及定标办法使用</w:t>
      </w:r>
      <w:r>
        <w:rPr>
          <w:rFonts w:hint="eastAsia" w:ascii="宋体" w:hAnsi="宋体" w:eastAsia="宋体" w:cs="宋体"/>
          <w:b/>
          <w:color w:val="auto"/>
          <w:szCs w:val="21"/>
          <w:highlight w:val="none"/>
          <w:lang w:eastAsia="zh-CN"/>
        </w:rPr>
        <w:t>GZJTZB202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eastAsia="zh-CN"/>
        </w:rPr>
        <w:t>-3</w:t>
      </w:r>
      <w:r>
        <w:rPr>
          <w:rFonts w:hint="eastAsia" w:ascii="宋体" w:hAnsi="宋体" w:eastAsia="宋体" w:cs="宋体"/>
          <w:b/>
          <w:color w:val="auto"/>
          <w:szCs w:val="21"/>
          <w:highlight w:val="none"/>
        </w:rPr>
        <w:t>招标文件范本的开标、评标及定标办法通用条款，与该通用条款不同之处，均在本表中列明，并以现文为准，原文不再有效。</w:t>
      </w:r>
    </w:p>
    <w:p w14:paraId="49A3D7EE">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
          <w:color w:val="auto"/>
          <w:sz w:val="21"/>
          <w:szCs w:val="21"/>
          <w:highlight w:val="none"/>
          <w:lang w:val="en-US" w:eastAsia="zh-CN"/>
        </w:rPr>
        <w:t>35.11</w:t>
      </w:r>
      <w:r>
        <w:rPr>
          <w:rFonts w:hint="eastAsia" w:ascii="宋体" w:hAnsi="宋体" w:eastAsia="宋体" w:cs="宋体"/>
          <w:b/>
          <w:color w:val="auto"/>
          <w:sz w:val="21"/>
          <w:szCs w:val="21"/>
          <w:highlight w:val="none"/>
        </w:rPr>
        <w:t xml:space="preserve">            修改类型：增加</w:t>
      </w:r>
    </w:p>
    <w:p w14:paraId="4EAB189F">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采用评定分离定标办法</w:t>
      </w:r>
    </w:p>
    <w:p w14:paraId="3DD58A64">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评标采用“有限数量制”推荐合格中标候选人。推荐</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-7名合格中标候选人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投标</w:t>
      </w:r>
      <w:r>
        <w:rPr>
          <w:rFonts w:hint="eastAsia" w:ascii="宋体" w:hAnsi="宋体" w:eastAsia="宋体" w:cs="宋体"/>
          <w:b/>
          <w:bCs/>
          <w:color w:val="auto"/>
          <w:sz w:val="21"/>
          <w:szCs w:val="21"/>
          <w:highlight w:val="none"/>
          <w:u w:val="single"/>
          <w:lang w:eastAsia="zh-CN"/>
        </w:rPr>
        <w:t>报价低于成本警示价的投标人</w:t>
      </w:r>
      <w:r>
        <w:rPr>
          <w:rFonts w:hint="eastAsia" w:ascii="宋体" w:hAnsi="宋体" w:eastAsia="宋体" w:cs="宋体"/>
          <w:b/>
          <w:bCs/>
          <w:color w:val="auto"/>
          <w:sz w:val="21"/>
          <w:szCs w:val="21"/>
          <w:highlight w:val="none"/>
          <w:u w:val="single"/>
          <w:lang w:val="en-US" w:eastAsia="zh-CN"/>
        </w:rPr>
        <w:t>及投标报价不低于成本警示价的投标人推荐方式如下：</w:t>
      </w:r>
    </w:p>
    <w:p w14:paraId="7A5D464D">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（1）投标</w:t>
      </w:r>
      <w:r>
        <w:rPr>
          <w:rFonts w:hint="eastAsia" w:ascii="宋体" w:hAnsi="宋体" w:eastAsia="宋体" w:cs="宋体"/>
          <w:b/>
          <w:bCs/>
          <w:color w:val="auto"/>
          <w:sz w:val="21"/>
          <w:szCs w:val="21"/>
          <w:highlight w:val="none"/>
          <w:u w:val="single"/>
          <w:lang w:eastAsia="zh-CN"/>
        </w:rPr>
        <w:t>报价低于成本警示价的投标人</w:t>
      </w:r>
      <w:r>
        <w:rPr>
          <w:rFonts w:hint="eastAsia" w:ascii="宋体" w:hAnsi="宋体" w:eastAsia="宋体" w:cs="宋体"/>
          <w:b/>
          <w:bCs/>
          <w:color w:val="auto"/>
          <w:sz w:val="21"/>
          <w:szCs w:val="21"/>
          <w:highlight w:val="none"/>
          <w:u w:val="single"/>
          <w:lang w:val="en-US" w:eastAsia="zh-CN"/>
        </w:rPr>
        <w:t>推荐方式：</w:t>
      </w:r>
    </w:p>
    <w:p w14:paraId="2A07958A">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1.1.1</w:t>
      </w:r>
      <w:r>
        <w:rPr>
          <w:rFonts w:hint="eastAsia" w:ascii="宋体" w:hAnsi="宋体" w:eastAsia="宋体" w:cs="宋体"/>
          <w:b w:val="0"/>
          <w:bCs w:val="0"/>
          <w:color w:val="auto"/>
          <w:sz w:val="21"/>
          <w:szCs w:val="21"/>
          <w:highlight w:val="none"/>
          <w:u w:val="single"/>
          <w:lang w:val="en-US" w:eastAsia="zh-CN"/>
        </w:rPr>
        <w:t>投标报价低于成本警示价的有效投标人，均推荐为合格中标候选人进入定标阶段（适用于通过经济标有效性审查且投标报价低于成本警示价的有效投标人家数在[1,2]家的）。</w:t>
      </w:r>
    </w:p>
    <w:p w14:paraId="293C4AFA">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1.1.2</w:t>
      </w:r>
      <w:r>
        <w:rPr>
          <w:rFonts w:hint="eastAsia" w:ascii="宋体" w:hAnsi="宋体" w:eastAsia="宋体" w:cs="宋体"/>
          <w:b w:val="0"/>
          <w:bCs w:val="0"/>
          <w:color w:val="auto"/>
          <w:sz w:val="21"/>
          <w:szCs w:val="21"/>
          <w:highlight w:val="none"/>
          <w:u w:val="single"/>
          <w:lang w:val="en-US" w:eastAsia="zh-CN"/>
        </w:rPr>
        <w:t>投标报价低于成本警示价的有效投标人，推荐前2名为合格中标候选人进入定标阶段（适用于通过经济标有效性审查且投标报价低于成本警示价的有效投标人家数在大于2家的）。</w:t>
      </w:r>
    </w:p>
    <w:p w14:paraId="6DB04D01">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（2）投标报价不低于成本警示价的投标人推荐方式：</w:t>
      </w:r>
    </w:p>
    <w:p w14:paraId="5A7BF5E3">
      <w:pPr>
        <w:pStyle w:val="3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rPr>
        <w:t>35.1</w:t>
      </w:r>
      <w:r>
        <w:rPr>
          <w:rFonts w:hint="eastAsia" w:ascii="宋体" w:hAnsi="宋体" w:eastAsia="宋体" w:cs="宋体"/>
          <w:b w:val="0"/>
          <w:bCs w:val="0"/>
          <w:color w:val="auto"/>
          <w:sz w:val="21"/>
          <w:szCs w:val="21"/>
          <w:highlight w:val="none"/>
          <w:u w:val="single"/>
          <w:lang w:val="en-US" w:eastAsia="zh-CN"/>
        </w:rPr>
        <w:t>1.1.3投标报价不低于成本警示价的有效投标人，均推荐为合格中标候选人进入定标阶段（适用于通过经济标有效性审查且报价不低于成本警示价的有效投标人家数在小于等于5家的）。</w:t>
      </w:r>
    </w:p>
    <w:p w14:paraId="7E6A823A">
      <w:pPr>
        <w:pStyle w:val="3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rPr>
        <w:t>35.1</w:t>
      </w:r>
      <w:r>
        <w:rPr>
          <w:rFonts w:hint="eastAsia" w:ascii="宋体" w:hAnsi="宋体" w:eastAsia="宋体" w:cs="宋体"/>
          <w:b w:val="0"/>
          <w:bCs w:val="0"/>
          <w:color w:val="auto"/>
          <w:sz w:val="21"/>
          <w:szCs w:val="21"/>
          <w:highlight w:val="none"/>
          <w:u w:val="single"/>
          <w:lang w:val="en-US" w:eastAsia="zh-CN"/>
        </w:rPr>
        <w:t>1.1.4投标报价不低于成本警示价的投标人，推荐前5名为合格中标候选人进入定标阶段（适用于通过经济标有效性审查且报价不低于成本警示价的有效投标人家数在大于5家的）。</w:t>
      </w:r>
    </w:p>
    <w:p w14:paraId="0DFC3D2D">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1.2当合格中标候选人小于3名时，招标人应重新招标。</w:t>
      </w:r>
    </w:p>
    <w:p w14:paraId="7A6EA59B">
      <w:pPr>
        <w:pStyle w:val="3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Cs w:val="21"/>
          <w:highlight w:val="none"/>
          <w:u w:val="single"/>
          <w:lang w:val="en-US" w:eastAsia="zh-CN"/>
        </w:rPr>
        <w:t>如联合体投标的，以主办方为准。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w:t>
      </w:r>
    </w:p>
    <w:p w14:paraId="53946CC0">
      <w:pPr>
        <w:keepNext w:val="0"/>
        <w:keepLines w:val="0"/>
        <w:pageBreakBefore w:val="0"/>
        <w:pBdr>
          <w:bottom w:val="single" w:color="auto" w:sz="6" w:space="1"/>
        </w:pBd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定标采用评分法，定标委员会从评标委员会推荐的合格中标候选人中，依据评分法选出得分最高的候选人，确定为中标人。定标采用“方案因素+价格因素评定法”，总得分（100分）=方案因素得分（100分）×方案因素权重（70%）+价格因素得分（100分）×价格因素权重（30%）</w:t>
      </w:r>
      <w:r>
        <w:rPr>
          <w:rFonts w:hint="eastAsia" w:ascii="宋体" w:hAnsi="宋体" w:eastAsia="宋体" w:cs="宋体"/>
          <w:b/>
          <w:bCs/>
          <w:color w:val="auto"/>
          <w:sz w:val="21"/>
          <w:szCs w:val="21"/>
          <w:highlight w:val="none"/>
          <w:u w:val="single"/>
          <w:lang w:eastAsia="zh-CN"/>
        </w:rPr>
        <w:t>。</w:t>
      </w:r>
    </w:p>
    <w:p w14:paraId="3A8F2FD0">
      <w:pPr>
        <w:keepNext w:val="0"/>
        <w:keepLines w:val="0"/>
        <w:pageBreakBefore w:val="0"/>
        <w:pBdr>
          <w:bottom w:val="single" w:color="auto" w:sz="6" w:space="1"/>
        </w:pBd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定标因素为：（1）方案因素：对合格中标候选人定标方案进行评审：</w:t>
      </w:r>
      <w:r>
        <w:rPr>
          <w:rFonts w:hint="eastAsia" w:ascii="宋体" w:hAnsi="宋体" w:eastAsia="宋体" w:cs="宋体"/>
          <w:b/>
          <w:bCs w:val="0"/>
          <w:color w:val="auto"/>
          <w:szCs w:val="21"/>
          <w:highlight w:val="none"/>
          <w:u w:val="single"/>
        </w:rPr>
        <w:t>①团队配置</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Cs w:val="21"/>
          <w:highlight w:val="none"/>
          <w:u w:val="single"/>
        </w:rPr>
        <w:t>②施工管理措施</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Cs w:val="21"/>
          <w:highlight w:val="none"/>
          <w:u w:val="single"/>
          <w:lang w:val="en-US" w:eastAsia="zh-CN"/>
        </w:rPr>
        <w:t>③成本控制措施、④资金管理措施。</w:t>
      </w:r>
      <w:r>
        <w:rPr>
          <w:rFonts w:hint="eastAsia" w:ascii="宋体" w:hAnsi="宋体" w:eastAsia="宋体" w:cs="宋体"/>
          <w:b/>
          <w:bCs/>
          <w:color w:val="auto"/>
          <w:sz w:val="21"/>
          <w:szCs w:val="21"/>
          <w:highlight w:val="none"/>
          <w:u w:val="single"/>
          <w:lang w:val="en-US" w:eastAsia="zh-CN"/>
        </w:rPr>
        <w:t>（2）价格因素：</w:t>
      </w:r>
      <w:r>
        <w:rPr>
          <w:rFonts w:hint="eastAsia" w:ascii="宋体" w:hAnsi="宋体" w:eastAsia="宋体" w:cs="宋体"/>
          <w:b/>
          <w:bCs/>
          <w:color w:val="auto"/>
          <w:szCs w:val="21"/>
          <w:highlight w:val="none"/>
          <w:u w:val="single"/>
        </w:rPr>
        <w:t>定标委员会对合格中标候选人投标报价进行打分，以合格中标候选人中投标报价高于成本警示价的最低投标报价为定标基准价（如合格中标候选人的投标报价均等于成本警示价的，则以成本警示价为定标基准价），投标报价等于定标基准价时得</w:t>
      </w:r>
      <w:r>
        <w:rPr>
          <w:rFonts w:ascii="宋体" w:hAnsi="宋体" w:eastAsia="宋体" w:cs="宋体"/>
          <w:b/>
          <w:bCs/>
          <w:color w:val="auto"/>
          <w:szCs w:val="21"/>
          <w:highlight w:val="none"/>
          <w:u w:val="single"/>
        </w:rPr>
        <w:t>100分。投标报价比定标基准价每高1%扣1.5分；每低1%扣1.0分，扣至0分为止</w:t>
      </w:r>
      <w:r>
        <w:rPr>
          <w:rFonts w:hint="eastAsia" w:ascii="宋体" w:hAnsi="宋体" w:eastAsia="宋体" w:cs="宋体"/>
          <w:b/>
          <w:bCs/>
          <w:color w:val="auto"/>
          <w:sz w:val="21"/>
          <w:szCs w:val="21"/>
          <w:highlight w:val="none"/>
          <w:u w:val="single"/>
          <w:lang w:val="en-US" w:eastAsia="zh-CN"/>
        </w:rPr>
        <w:t>。</w:t>
      </w:r>
    </w:p>
    <w:p w14:paraId="32535A18">
      <w:pPr>
        <w:keepNext w:val="0"/>
        <w:keepLines w:val="0"/>
        <w:pageBreakBefore w:val="0"/>
        <w:pBdr>
          <w:bottom w:val="single" w:color="auto" w:sz="6" w:space="1"/>
        </w:pBd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single"/>
          <w:lang w:val="en-US" w:eastAsia="zh-CN"/>
        </w:rPr>
        <w:t>注：若合格中标候选人总得分相同且影响定标排序的，以方案因素得分高的排前；若方案因素得分仍相同的，以投标报价</w:t>
      </w:r>
      <w:r>
        <w:rPr>
          <w:rFonts w:hint="eastAsia" w:ascii="宋体" w:hAnsi="宋体" w:cs="宋体"/>
          <w:b/>
          <w:bCs/>
          <w:color w:val="auto"/>
          <w:sz w:val="21"/>
          <w:szCs w:val="21"/>
          <w:highlight w:val="none"/>
          <w:u w:val="single"/>
          <w:lang w:val="en-US" w:eastAsia="zh-CN"/>
        </w:rPr>
        <w:t>低</w:t>
      </w:r>
      <w:r>
        <w:rPr>
          <w:rFonts w:hint="eastAsia" w:ascii="宋体" w:hAnsi="宋体" w:eastAsia="宋体" w:cs="宋体"/>
          <w:b/>
          <w:bCs/>
          <w:color w:val="auto"/>
          <w:sz w:val="21"/>
          <w:szCs w:val="21"/>
          <w:highlight w:val="none"/>
          <w:u w:val="single"/>
          <w:lang w:val="en-US" w:eastAsia="zh-CN"/>
        </w:rPr>
        <w:t>的排前，若投标报价仍相同的，由定标委员会投票确定排序</w:t>
      </w:r>
      <w:r>
        <w:rPr>
          <w:rFonts w:hint="eastAsia" w:ascii="宋体" w:hAnsi="宋体" w:eastAsia="宋体" w:cs="宋体"/>
          <w:b/>
          <w:bCs/>
          <w:strike w:val="0"/>
          <w:dstrike w:val="0"/>
          <w:color w:val="auto"/>
          <w:kern w:val="0"/>
          <w:sz w:val="21"/>
          <w:szCs w:val="21"/>
          <w:highlight w:val="none"/>
          <w:u w:val="single"/>
          <w:lang w:val="en-US" w:eastAsia="zh-CN"/>
        </w:rPr>
        <w:t>。</w:t>
      </w:r>
    </w:p>
    <w:p w14:paraId="679744B5">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36.1</w:t>
      </w:r>
      <w:r>
        <w:rPr>
          <w:rFonts w:hint="eastAsia" w:ascii="宋体" w:hAnsi="宋体" w:eastAsia="宋体" w:cs="宋体"/>
          <w:b/>
          <w:color w:val="auto"/>
          <w:sz w:val="21"/>
          <w:szCs w:val="21"/>
          <w:highlight w:val="none"/>
        </w:rPr>
        <w:t xml:space="preserve">             修改类型：修改</w:t>
      </w:r>
    </w:p>
    <w:p w14:paraId="40094E9C">
      <w:pPr>
        <w:keepNext w:val="0"/>
        <w:keepLines w:val="0"/>
        <w:pageBreakBefore w:val="0"/>
        <w:pBdr>
          <w:bottom w:val="single" w:color="auto" w:sz="6" w:space="1"/>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36.1招标人按投标须知前附表第18项所规定的时间和地点</w:t>
      </w:r>
      <w:r>
        <w:rPr>
          <w:rFonts w:hint="eastAsia" w:ascii="宋体" w:hAnsi="宋体" w:eastAsia="宋体" w:cs="宋体"/>
          <w:color w:val="auto"/>
          <w:sz w:val="21"/>
          <w:szCs w:val="21"/>
          <w:highlight w:val="none"/>
          <w:lang w:eastAsia="zh-CN"/>
        </w:rPr>
        <w:t>通过电子招标投标交易平台</w:t>
      </w:r>
      <w:r>
        <w:rPr>
          <w:rFonts w:hint="eastAsia" w:ascii="宋体" w:hAnsi="宋体" w:eastAsia="宋体" w:cs="宋体"/>
          <w:color w:val="auto"/>
          <w:sz w:val="21"/>
          <w:szCs w:val="21"/>
          <w:highlight w:val="none"/>
        </w:rPr>
        <w:t>公开开标，并邀请所有投标人参加</w:t>
      </w:r>
      <w:r>
        <w:rPr>
          <w:rFonts w:hint="eastAsia" w:ascii="宋体" w:hAnsi="宋体" w:eastAsia="宋体" w:cs="宋体"/>
          <w:color w:val="auto"/>
          <w:sz w:val="21"/>
          <w:szCs w:val="21"/>
          <w:highlight w:val="none"/>
          <w:lang w:eastAsia="zh-CN"/>
        </w:rPr>
        <w:t>，投标人可选择在开标室参加开标或准时在线参加开标，也可以不参加开标，均不影响开标程序</w:t>
      </w:r>
      <w:r>
        <w:rPr>
          <w:rFonts w:hint="eastAsia" w:ascii="宋体" w:hAnsi="宋体" w:eastAsia="宋体" w:cs="宋体"/>
          <w:color w:val="auto"/>
          <w:sz w:val="21"/>
          <w:szCs w:val="21"/>
          <w:highlight w:val="none"/>
        </w:rPr>
        <w:t>。投标人不派代表</w:t>
      </w:r>
      <w:r>
        <w:rPr>
          <w:rFonts w:hint="eastAsia" w:ascii="宋体" w:hAnsi="宋体" w:eastAsia="宋体" w:cs="宋体"/>
          <w:color w:val="auto"/>
          <w:sz w:val="21"/>
          <w:szCs w:val="21"/>
          <w:highlight w:val="none"/>
          <w:lang w:eastAsia="zh-CN"/>
        </w:rPr>
        <w:t>参加</w:t>
      </w:r>
      <w:r>
        <w:rPr>
          <w:rFonts w:hint="eastAsia" w:ascii="宋体" w:hAnsi="宋体" w:eastAsia="宋体" w:cs="宋体"/>
          <w:color w:val="auto"/>
          <w:sz w:val="21"/>
          <w:szCs w:val="21"/>
          <w:highlight w:val="none"/>
        </w:rPr>
        <w:t>开标会，则视其为放弃参与开标的权利，认可开标结果。截标后，开标开始时间因故推迟的，相关评标信息仍以原定的开标开始时间的信息为准</w:t>
      </w:r>
      <w:r>
        <w:rPr>
          <w:rFonts w:hint="eastAsia" w:ascii="宋体" w:hAnsi="宋体" w:eastAsia="宋体" w:cs="宋体"/>
          <w:color w:val="auto"/>
          <w:sz w:val="21"/>
          <w:szCs w:val="21"/>
          <w:highlight w:val="none"/>
          <w:lang w:eastAsia="zh-CN"/>
        </w:rPr>
        <w:t>。</w:t>
      </w:r>
    </w:p>
    <w:p w14:paraId="1BD8DC2C">
      <w:pPr>
        <w:keepNext w:val="0"/>
        <w:keepLines w:val="0"/>
        <w:pageBreakBefore w:val="0"/>
        <w:numPr>
          <w:ins w:id="0" w:author="胡工" w:date=""/>
        </w:numPr>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36.1招标人按投标须知前附表第18项所规定的时间和地点</w:t>
      </w:r>
      <w:r>
        <w:rPr>
          <w:rFonts w:hint="eastAsia" w:ascii="宋体" w:hAnsi="宋体" w:eastAsia="宋体" w:cs="宋体"/>
          <w:color w:val="auto"/>
          <w:sz w:val="21"/>
          <w:szCs w:val="21"/>
          <w:highlight w:val="none"/>
          <w:lang w:eastAsia="zh-CN"/>
        </w:rPr>
        <w:t>通过</w:t>
      </w:r>
      <w:r>
        <w:rPr>
          <w:rFonts w:hint="eastAsia" w:ascii="宋体" w:hAnsi="宋体" w:eastAsia="宋体" w:cs="宋体"/>
          <w:b/>
          <w:bCs/>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lang w:eastAsia="zh-CN"/>
        </w:rPr>
        <w:t>电子招标投标交易平台</w:t>
      </w:r>
      <w:r>
        <w:rPr>
          <w:rFonts w:hint="eastAsia" w:ascii="宋体" w:hAnsi="宋体" w:eastAsia="宋体" w:cs="宋体"/>
          <w:color w:val="auto"/>
          <w:sz w:val="21"/>
          <w:szCs w:val="21"/>
          <w:highlight w:val="none"/>
        </w:rPr>
        <w:t>公开开标，并邀请所有投标人参加</w:t>
      </w:r>
      <w:r>
        <w:rPr>
          <w:rFonts w:hint="eastAsia" w:ascii="宋体" w:hAnsi="宋体" w:eastAsia="宋体" w:cs="宋体"/>
          <w:color w:val="auto"/>
          <w:sz w:val="21"/>
          <w:szCs w:val="21"/>
          <w:highlight w:val="none"/>
          <w:lang w:eastAsia="zh-CN"/>
        </w:rPr>
        <w:t>，投标人可选择在开标室参加开标或准时在线参加开标，也可以不参加开标，均不影响开标程序</w:t>
      </w:r>
      <w:r>
        <w:rPr>
          <w:rFonts w:hint="eastAsia" w:ascii="宋体" w:hAnsi="宋体" w:eastAsia="宋体" w:cs="宋体"/>
          <w:color w:val="auto"/>
          <w:sz w:val="21"/>
          <w:szCs w:val="21"/>
          <w:highlight w:val="none"/>
        </w:rPr>
        <w:t>。投标人不派代表</w:t>
      </w:r>
      <w:r>
        <w:rPr>
          <w:rFonts w:hint="eastAsia" w:ascii="宋体" w:hAnsi="宋体" w:eastAsia="宋体" w:cs="宋体"/>
          <w:color w:val="auto"/>
          <w:sz w:val="21"/>
          <w:szCs w:val="21"/>
          <w:highlight w:val="none"/>
          <w:lang w:eastAsia="zh-CN"/>
        </w:rPr>
        <w:t>参加</w:t>
      </w:r>
      <w:r>
        <w:rPr>
          <w:rFonts w:hint="eastAsia" w:ascii="宋体" w:hAnsi="宋体" w:eastAsia="宋体" w:cs="宋体"/>
          <w:color w:val="auto"/>
          <w:sz w:val="21"/>
          <w:szCs w:val="21"/>
          <w:highlight w:val="none"/>
        </w:rPr>
        <w:t>开标会，则视其为放弃参与开标的权利，认可开标结果。截标后，开标开始时间因故推迟的，相关评标信息仍以原定的开标开始时间的信息为准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eastAsia="宋体" w:cs="宋体"/>
          <w:color w:val="auto"/>
          <w:sz w:val="21"/>
          <w:szCs w:val="21"/>
          <w:highlight w:val="none"/>
          <w:lang w:eastAsia="zh-CN"/>
        </w:rPr>
        <w:t>。</w:t>
      </w:r>
    </w:p>
    <w:p w14:paraId="53BB0B05">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36.3</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1E0007DC">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strike/>
          <w:color w:val="auto"/>
          <w:sz w:val="21"/>
          <w:szCs w:val="21"/>
          <w:highlight w:val="none"/>
        </w:rPr>
      </w:pPr>
      <w:r>
        <w:rPr>
          <w:rFonts w:hint="eastAsia" w:ascii="宋体" w:hAnsi="宋体" w:eastAsia="宋体" w:cs="宋体"/>
          <w:b/>
          <w:strike/>
          <w:color w:val="auto"/>
          <w:sz w:val="21"/>
          <w:szCs w:val="21"/>
          <w:highlight w:val="none"/>
        </w:rPr>
        <w:t>原文：</w:t>
      </w:r>
      <w:r>
        <w:rPr>
          <w:rFonts w:hint="eastAsia" w:ascii="宋体" w:hAnsi="宋体" w:eastAsia="宋体" w:cs="宋体"/>
          <w:strike/>
          <w:color w:val="auto"/>
          <w:sz w:val="21"/>
          <w:szCs w:val="21"/>
          <w:highlight w:val="none"/>
        </w:rPr>
        <w:t>36.3根据投标须知前附表第19项，如需抽取某一种评标办法供评标时使用的，</w:t>
      </w:r>
      <w:r>
        <w:rPr>
          <w:rFonts w:hint="eastAsia" w:ascii="宋体" w:hAnsi="宋体" w:eastAsia="宋体" w:cs="宋体"/>
          <w:strike/>
          <w:color w:val="auto"/>
          <w:sz w:val="21"/>
          <w:szCs w:val="21"/>
          <w:highlight w:val="none"/>
          <w:lang w:val="en-US" w:eastAsia="zh-CN"/>
        </w:rPr>
        <w:t>可</w:t>
      </w:r>
      <w:r>
        <w:rPr>
          <w:rFonts w:hint="eastAsia" w:ascii="宋体" w:hAnsi="宋体" w:eastAsia="宋体" w:cs="宋体"/>
          <w:strike/>
          <w:color w:val="auto"/>
          <w:sz w:val="21"/>
          <w:szCs w:val="21"/>
          <w:highlight w:val="none"/>
        </w:rPr>
        <w:t>在开标</w:t>
      </w:r>
      <w:r>
        <w:rPr>
          <w:rFonts w:hint="eastAsia" w:ascii="宋体" w:hAnsi="宋体" w:eastAsia="宋体" w:cs="宋体"/>
          <w:strike/>
          <w:color w:val="auto"/>
          <w:sz w:val="21"/>
          <w:szCs w:val="21"/>
          <w:highlight w:val="none"/>
          <w:lang w:val="en-US" w:eastAsia="zh-CN"/>
        </w:rPr>
        <w:t>时（唱标工作完成后）</w:t>
      </w:r>
      <w:r>
        <w:rPr>
          <w:rFonts w:hint="eastAsia" w:ascii="宋体" w:hAnsi="宋体" w:eastAsia="宋体" w:cs="宋体"/>
          <w:strike/>
          <w:color w:val="auto"/>
          <w:sz w:val="21"/>
          <w:szCs w:val="21"/>
          <w:highlight w:val="none"/>
        </w:rPr>
        <w:t>抽取。首先对招标文件中约定的若干种评标方法进行编号，再随机抽取某一编号，该编号所对应的评标办法供评标时使用。</w:t>
      </w:r>
    </w:p>
    <w:p w14:paraId="65619B4F">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36.4</w:t>
      </w:r>
      <w:r>
        <w:rPr>
          <w:rFonts w:hint="eastAsia" w:ascii="宋体" w:hAnsi="宋体" w:eastAsia="宋体" w:cs="宋体"/>
          <w:b/>
          <w:color w:val="auto"/>
          <w:sz w:val="21"/>
          <w:szCs w:val="21"/>
          <w:highlight w:val="none"/>
        </w:rPr>
        <w:t xml:space="preserve">             修改类型：修改</w:t>
      </w:r>
    </w:p>
    <w:p w14:paraId="0E8D1395">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36.4若递交投标文件的投标人不足3家，则重新组织招标。（当N个标段同时招标且不允许兼中时，若有效投标人不足N+2家，则重新组织招标）</w:t>
      </w:r>
      <w:r>
        <w:rPr>
          <w:rFonts w:hint="eastAsia" w:ascii="宋体" w:hAnsi="宋体" w:eastAsia="宋体" w:cs="宋体"/>
          <w:color w:val="auto"/>
          <w:sz w:val="21"/>
          <w:szCs w:val="21"/>
          <w:highlight w:val="none"/>
          <w:lang w:eastAsia="zh-CN"/>
        </w:rPr>
        <w:t>。</w:t>
      </w:r>
    </w:p>
    <w:p w14:paraId="0878638B">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36.4若递交投标文件的投标人不足3家，则重新组织招标。</w:t>
      </w:r>
    </w:p>
    <w:p w14:paraId="2714A086">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36.5.1</w:t>
      </w:r>
      <w:r>
        <w:rPr>
          <w:rFonts w:hint="eastAsia" w:ascii="宋体" w:hAnsi="宋体" w:eastAsia="宋体" w:cs="宋体"/>
          <w:b/>
          <w:color w:val="auto"/>
          <w:sz w:val="21"/>
          <w:szCs w:val="21"/>
          <w:highlight w:val="none"/>
        </w:rPr>
        <w:t xml:space="preserve">             修改类型：修改</w:t>
      </w:r>
    </w:p>
    <w:p w14:paraId="7B43AF0F">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36.5.1在投标截止时间后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5436CB8F">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36.5.1在投标截止时间后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小时内，投标人通过</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交易平台对已递交的电子投标文件进行解密。投标人完成解密后，再由招标人</w:t>
      </w:r>
      <w:r>
        <w:rPr>
          <w:rFonts w:hint="eastAsia" w:ascii="宋体" w:hAnsi="宋体" w:eastAsia="宋体" w:cs="宋体"/>
          <w:b/>
          <w:bCs/>
          <w:color w:val="auto"/>
          <w:szCs w:val="21"/>
          <w:highlight w:val="none"/>
          <w:u w:val="single"/>
        </w:rPr>
        <w:t>或招标代理</w:t>
      </w:r>
      <w:r>
        <w:rPr>
          <w:rFonts w:hint="eastAsia" w:ascii="宋体" w:hAnsi="宋体" w:eastAsia="宋体" w:cs="宋体"/>
          <w:color w:val="auto"/>
          <w:sz w:val="21"/>
          <w:szCs w:val="21"/>
          <w:highlight w:val="none"/>
        </w:rPr>
        <w:t>进行解密。解密完成后，公布招标项目名称、投标人名称、</w:t>
      </w:r>
      <w:r>
        <w:rPr>
          <w:rFonts w:hint="eastAsia" w:ascii="宋体" w:hAnsi="宋体" w:eastAsia="宋体" w:cs="宋体"/>
          <w:strike/>
          <w:color w:val="auto"/>
          <w:sz w:val="21"/>
          <w:szCs w:val="21"/>
          <w:highlight w:val="none"/>
        </w:rPr>
        <w:t>投标保证金的递交情况、</w:t>
      </w:r>
      <w:r>
        <w:rPr>
          <w:rFonts w:hint="eastAsia" w:ascii="宋体" w:hAnsi="宋体" w:eastAsia="宋体" w:cs="宋体"/>
          <w:color w:val="auto"/>
          <w:sz w:val="21"/>
          <w:szCs w:val="21"/>
          <w:highlight w:val="none"/>
        </w:rPr>
        <w:t>投标报价、工期及其他内容；</w:t>
      </w:r>
    </w:p>
    <w:p w14:paraId="7BFA67A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条款号：36.5.2             修改类型：修改</w:t>
      </w:r>
    </w:p>
    <w:p w14:paraId="50666B5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36.5.2备用光盘的读取按投标须知前附表第35项的规定执行；</w:t>
      </w:r>
    </w:p>
    <w:p w14:paraId="0ED9128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36.5.2备用光盘的读取按投标须知前附表</w:t>
      </w:r>
      <w:r>
        <w:rPr>
          <w:rFonts w:hint="eastAsia" w:ascii="宋体" w:hAnsi="宋体" w:eastAsia="宋体" w:cs="宋体"/>
          <w:b/>
          <w:bCs/>
          <w:color w:val="auto"/>
          <w:szCs w:val="21"/>
          <w:highlight w:val="none"/>
          <w:u w:val="single"/>
        </w:rPr>
        <w:t>第37项</w:t>
      </w:r>
      <w:r>
        <w:rPr>
          <w:rFonts w:hint="eastAsia" w:ascii="宋体" w:hAnsi="宋体" w:eastAsia="宋体" w:cs="宋体"/>
          <w:color w:val="auto"/>
          <w:szCs w:val="21"/>
          <w:highlight w:val="none"/>
        </w:rPr>
        <w:t>的规定执行；</w:t>
      </w:r>
    </w:p>
    <w:p w14:paraId="4141223A">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36.5.3</w:t>
      </w:r>
      <w:r>
        <w:rPr>
          <w:rFonts w:hint="eastAsia" w:ascii="宋体" w:hAnsi="宋体" w:eastAsia="宋体" w:cs="宋体"/>
          <w:b/>
          <w:color w:val="auto"/>
          <w:sz w:val="21"/>
          <w:szCs w:val="21"/>
          <w:highlight w:val="none"/>
        </w:rPr>
        <w:t xml:space="preserve">             修改类型：修改</w:t>
      </w:r>
    </w:p>
    <w:p w14:paraId="3508525E">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投标人代表、招标人代表、监标人、记录人等有关人员在开标记录上签字确认；若有关人员不签字的，不影响开标程序；</w:t>
      </w:r>
    </w:p>
    <w:p w14:paraId="080BE1AC">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投标人代表、招标人代表、监标人、记录人等有关人员在开标记录上签字确认；若有关人员不签字的，不影响开标程序；</w:t>
      </w:r>
      <w:r>
        <w:rPr>
          <w:rFonts w:hint="eastAsia" w:ascii="宋体" w:hAnsi="宋体" w:eastAsia="宋体" w:cs="宋体"/>
          <w:b/>
          <w:bCs/>
          <w:color w:val="auto"/>
          <w:sz w:val="21"/>
          <w:szCs w:val="21"/>
          <w:highlight w:val="none"/>
          <w:u w:val="single"/>
        </w:rPr>
        <w:t>若投标人不参加开标会的，或不签字确认的，视同该投标人认可开标结果；</w:t>
      </w:r>
    </w:p>
    <w:p w14:paraId="469CA43F">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37</w:t>
      </w:r>
      <w:r>
        <w:rPr>
          <w:rFonts w:hint="eastAsia" w:ascii="宋体" w:hAnsi="宋体" w:eastAsia="宋体" w:cs="宋体"/>
          <w:b/>
          <w:color w:val="auto"/>
          <w:sz w:val="21"/>
          <w:szCs w:val="21"/>
          <w:highlight w:val="none"/>
        </w:rPr>
        <w:t xml:space="preserve">             修改类型：修改</w:t>
      </w:r>
    </w:p>
    <w:p w14:paraId="23543308">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37．评标</w:t>
      </w:r>
    </w:p>
    <w:p w14:paraId="02A20A69">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37.1评标由招标人依法组建的评标委员会负责。评标委员会由有关技术、经济等方面的专家和招标人代表组成，专家</w:t>
      </w:r>
      <w:r>
        <w:rPr>
          <w:rFonts w:hint="eastAsia" w:ascii="宋体" w:hAnsi="宋体" w:eastAsia="宋体" w:cs="宋体"/>
          <w:color w:val="auto"/>
          <w:sz w:val="21"/>
          <w:szCs w:val="21"/>
          <w:highlight w:val="none"/>
          <w:lang w:eastAsia="zh-CN"/>
        </w:rPr>
        <w:t>从广东省综合评标评审</w:t>
      </w:r>
      <w:r>
        <w:rPr>
          <w:rFonts w:hint="eastAsia" w:ascii="宋体" w:hAnsi="宋体" w:eastAsia="宋体" w:cs="宋体"/>
          <w:color w:val="auto"/>
          <w:sz w:val="21"/>
          <w:szCs w:val="21"/>
          <w:highlight w:val="none"/>
        </w:rPr>
        <w:t>专家库中抽取或按远程异地评标专家抽取相关规定组建。评标委员会成员人数以及技术、经济等方面专家的确定方式见投标人须知前附表</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30项</w:t>
      </w:r>
      <w:r>
        <w:rPr>
          <w:rFonts w:hint="eastAsia" w:ascii="宋体" w:hAnsi="宋体" w:eastAsia="宋体" w:cs="宋体"/>
          <w:color w:val="auto"/>
          <w:sz w:val="21"/>
          <w:szCs w:val="21"/>
          <w:highlight w:val="none"/>
        </w:rPr>
        <w:t>。</w:t>
      </w:r>
    </w:p>
    <w:p w14:paraId="2957B006">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37.2</w:t>
      </w:r>
      <w:r>
        <w:rPr>
          <w:rFonts w:hint="eastAsia" w:ascii="宋体" w:hAnsi="宋体" w:eastAsia="宋体" w:cs="宋体"/>
          <w:color w:val="auto"/>
          <w:sz w:val="21"/>
          <w:szCs w:val="21"/>
          <w:highlight w:val="none"/>
        </w:rPr>
        <w:t>评标委员会成员有下列情形之一的，应当回避：</w:t>
      </w:r>
    </w:p>
    <w:p w14:paraId="3B21E97A">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（1）招标人或投标人的主要负责人的近亲属；</w:t>
      </w:r>
    </w:p>
    <w:p w14:paraId="6AC926E6">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0FF3983A">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投标人的工作人员、退休或离职未满3年的人员；</w:t>
      </w:r>
    </w:p>
    <w:p w14:paraId="53599A39">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）与投标人有经济利益关系，可能影响对投标公正评审的；</w:t>
      </w:r>
    </w:p>
    <w:p w14:paraId="74783253">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）曾因在招标、评标以及其他与招标投标有关活动中从事违法行为而受过行政处罚或刑事处罚的。</w:t>
      </w:r>
    </w:p>
    <w:p w14:paraId="50105DF6">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）与投标人有其他利害关系。</w:t>
      </w:r>
    </w:p>
    <w:p w14:paraId="7E081AEC">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评标委员会的职责及守则：</w:t>
      </w:r>
    </w:p>
    <w:p w14:paraId="3A9FE569">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.1根据评标细则，对投标文件进行认真评审，完成评审报告；</w:t>
      </w:r>
    </w:p>
    <w:p w14:paraId="26E585E7">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.2向招标人报告评审意见，推荐合格的中标候选人。</w:t>
      </w:r>
    </w:p>
    <w:p w14:paraId="29079E72">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所有参加评标人员必须遵守国家、地方政府制定的有关工程招标投标的法则、规定，遵守有关工程招标投标的保密制度；如有违反者，给予行政处分；情节严重，构成犯罪的，由司法机关依法追究其刑事责任。</w:t>
      </w:r>
    </w:p>
    <w:p w14:paraId="68AF94CF">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.4全体参与评标人员：</w:t>
      </w:r>
    </w:p>
    <w:p w14:paraId="0C0A60D9">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.4.1 必须遵守评标纪律、不得泄密；</w:t>
      </w:r>
    </w:p>
    <w:p w14:paraId="59A6AF0A">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.4.2 必须公正、不得循私；</w:t>
      </w:r>
    </w:p>
    <w:p w14:paraId="7DC43E4A">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.4.3 必须科学、不得草率；</w:t>
      </w:r>
    </w:p>
    <w:p w14:paraId="4EBFF8B6">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.4.4 必须客观、不得带有成见；</w:t>
      </w:r>
    </w:p>
    <w:p w14:paraId="29C139A4">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.4.5 必须平等、不得强加于人；</w:t>
      </w:r>
    </w:p>
    <w:p w14:paraId="436D162E">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.4.6 必须严谨、不得随意马虎。</w:t>
      </w:r>
    </w:p>
    <w:p w14:paraId="2F9D7AA4">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4F43BA5">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37.5</w:t>
      </w:r>
      <w:r>
        <w:rPr>
          <w:rFonts w:hint="eastAsia" w:ascii="宋体" w:hAnsi="宋体" w:eastAsia="宋体" w:cs="宋体"/>
          <w:color w:val="auto"/>
          <w:sz w:val="21"/>
          <w:szCs w:val="21"/>
          <w:highlight w:val="none"/>
        </w:rPr>
        <w:t>评标委员会按照第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eastAsia="zh-CN"/>
        </w:rPr>
        <w:t>及定标</w:t>
      </w:r>
      <w:r>
        <w:rPr>
          <w:rFonts w:hint="eastAsia" w:ascii="宋体" w:hAnsi="宋体" w:eastAsia="宋体" w:cs="宋体"/>
          <w:color w:val="auto"/>
          <w:sz w:val="21"/>
          <w:szCs w:val="21"/>
          <w:highlight w:val="none"/>
        </w:rPr>
        <w:t>办法”规定的方法、评审因素、标准和程序对投标文件进行评审。第三章“</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eastAsia="zh-CN"/>
        </w:rPr>
        <w:t>及定标</w:t>
      </w:r>
      <w:r>
        <w:rPr>
          <w:rFonts w:hint="eastAsia" w:ascii="宋体" w:hAnsi="宋体" w:eastAsia="宋体" w:cs="宋体"/>
          <w:color w:val="auto"/>
          <w:sz w:val="21"/>
          <w:szCs w:val="21"/>
          <w:highlight w:val="none"/>
        </w:rPr>
        <w:t>办法”没有规定的方法、评审因素和标准，不作为评标依据</w:t>
      </w:r>
      <w:r>
        <w:rPr>
          <w:rFonts w:hint="eastAsia" w:ascii="宋体" w:hAnsi="宋体" w:eastAsia="宋体" w:cs="宋体"/>
          <w:color w:val="auto"/>
          <w:sz w:val="21"/>
          <w:szCs w:val="21"/>
          <w:highlight w:val="none"/>
          <w:lang w:eastAsia="zh-CN"/>
        </w:rPr>
        <w:t>。</w:t>
      </w:r>
    </w:p>
    <w:p w14:paraId="514ED299">
      <w:pPr>
        <w:keepNext w:val="0"/>
        <w:keepLines w:val="0"/>
        <w:pageBreakBefore w:val="0"/>
        <w:kinsoku/>
        <w:wordWrap/>
        <w:overflowPunct/>
        <w:topLinePunct w:val="0"/>
        <w:autoSpaceDE/>
        <w:autoSpaceDN/>
        <w:bidi w:val="0"/>
        <w:adjustRightInd/>
        <w:spacing w:line="360" w:lineRule="auto"/>
        <w:ind w:firstLine="470" w:firstLineChars="224"/>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37.6评标结束后，评标委员会递交评标报告并依法推荐中标候选人。</w:t>
      </w:r>
    </w:p>
    <w:p w14:paraId="6EBB47F9">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37．评标</w:t>
      </w:r>
    </w:p>
    <w:p w14:paraId="1E00E68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37.1评标由招标人依法组建的评标委员会负责。评标委员会由有关技术、经济等方面的专家和招标人代表组成，专家</w:t>
      </w:r>
      <w:r>
        <w:rPr>
          <w:rFonts w:hint="eastAsia" w:ascii="宋体" w:hAnsi="宋体" w:eastAsia="宋体" w:cs="宋体"/>
          <w:color w:val="auto"/>
          <w:sz w:val="21"/>
          <w:szCs w:val="21"/>
          <w:highlight w:val="none"/>
          <w:lang w:eastAsia="zh-CN"/>
        </w:rPr>
        <w:t>从广东省综合评标评审</w:t>
      </w:r>
      <w:r>
        <w:rPr>
          <w:rFonts w:hint="eastAsia" w:ascii="宋体" w:hAnsi="宋体" w:eastAsia="宋体" w:cs="宋体"/>
          <w:color w:val="auto"/>
          <w:sz w:val="21"/>
          <w:szCs w:val="21"/>
          <w:highlight w:val="none"/>
        </w:rPr>
        <w:t>专家库中抽取或按远程异地评标专家抽取相关规定组建。评标委员会成员人数以及技术、经济等方面专家的确定方式见投标人须知前附表</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30项</w:t>
      </w:r>
      <w:r>
        <w:rPr>
          <w:rFonts w:hint="eastAsia" w:ascii="宋体" w:hAnsi="宋体" w:eastAsia="宋体" w:cs="宋体"/>
          <w:color w:val="auto"/>
          <w:sz w:val="21"/>
          <w:szCs w:val="21"/>
          <w:highlight w:val="none"/>
        </w:rPr>
        <w:t>。</w:t>
      </w:r>
    </w:p>
    <w:p w14:paraId="711291B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bCs/>
          <w:color w:val="auto"/>
          <w:sz w:val="21"/>
          <w:szCs w:val="21"/>
          <w:highlight w:val="none"/>
          <w:u w:val="single"/>
        </w:rPr>
        <w:t>评标委员会在开始评标前，应了解评标专家的职责及守则，认真阅读</w:t>
      </w:r>
      <w:r>
        <w:rPr>
          <w:rFonts w:hint="eastAsia" w:ascii="宋体" w:hAnsi="宋体" w:eastAsia="宋体" w:cs="宋体"/>
          <w:b/>
          <w:bCs/>
          <w:color w:val="auto"/>
          <w:sz w:val="21"/>
          <w:szCs w:val="21"/>
          <w:highlight w:val="none"/>
          <w:u w:val="single"/>
          <w:lang w:val="en-US" w:eastAsia="zh-CN"/>
        </w:rPr>
        <w:t>招标</w:t>
      </w:r>
      <w:r>
        <w:rPr>
          <w:rFonts w:hint="eastAsia" w:ascii="宋体" w:hAnsi="宋体" w:cs="宋体"/>
          <w:b/>
          <w:bCs/>
          <w:color w:val="auto"/>
          <w:sz w:val="21"/>
          <w:szCs w:val="21"/>
          <w:highlight w:val="none"/>
          <w:u w:val="single"/>
          <w:lang w:val="en-US" w:eastAsia="zh-CN"/>
        </w:rPr>
        <w:t>文件</w:t>
      </w:r>
      <w:r>
        <w:rPr>
          <w:rFonts w:hint="eastAsia" w:ascii="宋体" w:hAnsi="宋体" w:eastAsia="宋体" w:cs="宋体"/>
          <w:b/>
          <w:bCs/>
          <w:color w:val="auto"/>
          <w:sz w:val="21"/>
          <w:szCs w:val="21"/>
          <w:highlight w:val="none"/>
          <w:u w:val="single"/>
          <w:lang w:val="en-US" w:eastAsia="zh-CN"/>
        </w:rPr>
        <w:t>附</w:t>
      </w:r>
      <w:r>
        <w:rPr>
          <w:rFonts w:hint="eastAsia" w:ascii="宋体" w:hAnsi="宋体" w:cs="宋体"/>
          <w:b/>
          <w:bCs/>
          <w:color w:val="auto"/>
          <w:sz w:val="21"/>
          <w:szCs w:val="21"/>
          <w:highlight w:val="none"/>
          <w:u w:val="single"/>
          <w:lang w:val="en-US" w:eastAsia="zh-CN"/>
        </w:rPr>
        <w:t xml:space="preserve">表十五 </w:t>
      </w:r>
      <w:r>
        <w:rPr>
          <w:rFonts w:hint="eastAsia" w:ascii="宋体" w:hAnsi="宋体" w:eastAsia="宋体" w:cs="宋体"/>
          <w:b/>
          <w:bCs/>
          <w:color w:val="auto"/>
          <w:sz w:val="21"/>
          <w:szCs w:val="21"/>
          <w:highlight w:val="none"/>
          <w:u w:val="single"/>
        </w:rPr>
        <w:t>《评标委员会成员声明》的内容并签名，签字后方可进行评标；</w:t>
      </w:r>
      <w:r>
        <w:rPr>
          <w:rFonts w:hint="eastAsia" w:ascii="宋体" w:hAnsi="宋体" w:eastAsia="宋体" w:cs="宋体"/>
          <w:color w:val="auto"/>
          <w:sz w:val="21"/>
          <w:szCs w:val="21"/>
          <w:highlight w:val="none"/>
        </w:rPr>
        <w:t>评标委员会成员有下列情形之一的，应当回避：</w:t>
      </w:r>
    </w:p>
    <w:p w14:paraId="408A4D5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（1）招标人或投标人的主要负责人的近亲属；</w:t>
      </w:r>
    </w:p>
    <w:p w14:paraId="66FACD2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28C3F29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投标人的工作人员、退休或离职未满3年的人员；</w:t>
      </w:r>
    </w:p>
    <w:p w14:paraId="1A54515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）与投标人有经济利益关系，可能影响对投标公正评审的；</w:t>
      </w:r>
    </w:p>
    <w:p w14:paraId="04C5FDB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）曾因在招标、评标以及其他与招标投标有关活动中从事违法行为而受过行政处罚或刑事处罚的。</w:t>
      </w:r>
    </w:p>
    <w:p w14:paraId="03AFFA7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）与投标人有其他利害关系。</w:t>
      </w:r>
    </w:p>
    <w:p w14:paraId="24D4780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评标委员会的职责及守则：</w:t>
      </w:r>
    </w:p>
    <w:p w14:paraId="7710663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.1根据评标细则，对投标文件进行认真评审，完成评审报告；</w:t>
      </w:r>
    </w:p>
    <w:p w14:paraId="650289E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.2向招标人报告评审意见，</w:t>
      </w:r>
      <w:r>
        <w:rPr>
          <w:rFonts w:hint="eastAsia" w:ascii="宋体" w:hAnsi="宋体" w:eastAsia="宋体" w:cs="宋体"/>
          <w:b/>
          <w:bCs/>
          <w:color w:val="auto"/>
          <w:sz w:val="21"/>
          <w:szCs w:val="21"/>
          <w:highlight w:val="none"/>
          <w:u w:val="single"/>
        </w:rPr>
        <w:t>按投标须知前附表第</w:t>
      </w:r>
      <w:r>
        <w:rPr>
          <w:rFonts w:hint="eastAsia" w:ascii="宋体" w:hAnsi="宋体" w:eastAsia="宋体" w:cs="宋体"/>
          <w:b/>
          <w:bCs/>
          <w:color w:val="auto"/>
          <w:sz w:val="21"/>
          <w:szCs w:val="21"/>
          <w:highlight w:val="none"/>
          <w:u w:val="single"/>
          <w:lang w:val="en-US" w:eastAsia="zh-CN"/>
        </w:rPr>
        <w:t>19</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w:t>
      </w:r>
    </w:p>
    <w:p w14:paraId="26CCF0A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37.</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.3</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756FE5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.4全体参与评标人员：</w:t>
      </w:r>
    </w:p>
    <w:p w14:paraId="53010D5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.4.1 必须遵守评标纪律、不得泄密；</w:t>
      </w:r>
    </w:p>
    <w:p w14:paraId="7ADFFA5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.4.2 必须公正、不得循私；</w:t>
      </w:r>
    </w:p>
    <w:p w14:paraId="59C93EF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.4.3 必须科学、不得草率；</w:t>
      </w:r>
    </w:p>
    <w:p w14:paraId="77A613D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.4.4 必须客观、不得带有成见；</w:t>
      </w:r>
    </w:p>
    <w:p w14:paraId="08C187D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.4.5 必须平等、不得强加于人；</w:t>
      </w:r>
    </w:p>
    <w:p w14:paraId="6718007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.4.6 必须严谨、不得随意马虎。</w:t>
      </w:r>
    </w:p>
    <w:p w14:paraId="5B1A1745">
      <w:pPr>
        <w:pStyle w:val="19"/>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9F290B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37.5</w:t>
      </w:r>
      <w:r>
        <w:rPr>
          <w:rFonts w:hint="eastAsia" w:ascii="宋体" w:hAnsi="宋体" w:eastAsia="宋体" w:cs="宋体"/>
          <w:color w:val="auto"/>
          <w:sz w:val="21"/>
          <w:szCs w:val="21"/>
          <w:highlight w:val="none"/>
        </w:rPr>
        <w:t>评标委员会按照第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eastAsia="zh-CN"/>
        </w:rPr>
        <w:t>及定标</w:t>
      </w:r>
      <w:r>
        <w:rPr>
          <w:rFonts w:hint="eastAsia" w:ascii="宋体" w:hAnsi="宋体" w:eastAsia="宋体" w:cs="宋体"/>
          <w:color w:val="auto"/>
          <w:sz w:val="21"/>
          <w:szCs w:val="21"/>
          <w:highlight w:val="none"/>
        </w:rPr>
        <w:t>办法”规定的方法、评审因素、标准和程序对投标文件进行评审。第三章“</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eastAsia="zh-CN"/>
        </w:rPr>
        <w:t>及定标</w:t>
      </w:r>
      <w:r>
        <w:rPr>
          <w:rFonts w:hint="eastAsia" w:ascii="宋体" w:hAnsi="宋体" w:eastAsia="宋体" w:cs="宋体"/>
          <w:color w:val="auto"/>
          <w:sz w:val="21"/>
          <w:szCs w:val="21"/>
          <w:highlight w:val="none"/>
        </w:rPr>
        <w:t>办法”没有规定的方法、评审因素和标准，不作为评标依据</w:t>
      </w:r>
      <w:r>
        <w:rPr>
          <w:rFonts w:hint="eastAsia" w:ascii="宋体" w:hAnsi="宋体" w:eastAsia="宋体" w:cs="宋体"/>
          <w:color w:val="auto"/>
          <w:sz w:val="21"/>
          <w:szCs w:val="21"/>
          <w:highlight w:val="none"/>
          <w:lang w:eastAsia="zh-CN"/>
        </w:rPr>
        <w:t>。</w:t>
      </w:r>
    </w:p>
    <w:p w14:paraId="30825B22">
      <w:pPr>
        <w:keepNext w:val="0"/>
        <w:keepLines w:val="0"/>
        <w:pageBreakBefore w:val="0"/>
        <w:pBdr>
          <w:bottom w:val="single" w:color="auto" w:sz="6" w:space="1"/>
        </w:pBd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37.6</w:t>
      </w:r>
      <w:r>
        <w:rPr>
          <w:rFonts w:hint="eastAsia" w:ascii="宋体" w:hAnsi="宋体" w:eastAsia="宋体" w:cs="宋体"/>
          <w:b/>
          <w:bCs/>
          <w:color w:val="auto"/>
          <w:kern w:val="2"/>
          <w:sz w:val="21"/>
          <w:szCs w:val="21"/>
          <w:highlight w:val="none"/>
          <w:u w:val="single"/>
          <w:lang w:val="en-US" w:eastAsia="zh-CN" w:bidi="ar-SA"/>
        </w:rPr>
        <w:t>评标结束后，评标委员会递交</w:t>
      </w:r>
      <w:r>
        <w:rPr>
          <w:rFonts w:hint="eastAsia" w:ascii="宋体" w:hAnsi="宋体" w:eastAsia="宋体" w:cs="宋体"/>
          <w:b/>
          <w:bCs/>
          <w:color w:val="auto"/>
          <w:sz w:val="21"/>
          <w:szCs w:val="21"/>
          <w:highlight w:val="none"/>
          <w:u w:val="single"/>
        </w:rPr>
        <w:t>资格审查报告和</w:t>
      </w:r>
      <w:r>
        <w:rPr>
          <w:rFonts w:hint="eastAsia" w:ascii="宋体" w:hAnsi="宋体" w:eastAsia="宋体" w:cs="宋体"/>
          <w:b/>
          <w:bCs/>
          <w:color w:val="auto"/>
          <w:kern w:val="2"/>
          <w:sz w:val="21"/>
          <w:szCs w:val="21"/>
          <w:highlight w:val="none"/>
          <w:u w:val="single"/>
          <w:lang w:val="en-US" w:eastAsia="zh-CN" w:bidi="ar-SA"/>
        </w:rPr>
        <w:t>评标报告并依法推荐</w:t>
      </w:r>
      <w:r>
        <w:rPr>
          <w:rFonts w:hint="eastAsia" w:ascii="宋体" w:hAnsi="宋体" w:cs="宋体"/>
          <w:b/>
          <w:bCs/>
          <w:color w:val="auto"/>
          <w:kern w:val="2"/>
          <w:sz w:val="21"/>
          <w:szCs w:val="21"/>
          <w:highlight w:val="none"/>
          <w:u w:val="single"/>
          <w:lang w:val="en-US" w:eastAsia="zh-CN" w:bidi="ar-SA"/>
        </w:rPr>
        <w:t>合格中标候选人</w:t>
      </w:r>
      <w:r>
        <w:rPr>
          <w:rFonts w:hint="eastAsia" w:ascii="宋体" w:hAnsi="宋体" w:eastAsia="宋体" w:cs="宋体"/>
          <w:b/>
          <w:bCs/>
          <w:color w:val="auto"/>
          <w:kern w:val="2"/>
          <w:sz w:val="21"/>
          <w:szCs w:val="21"/>
          <w:highlight w:val="none"/>
          <w:u w:val="single"/>
          <w:lang w:val="en-US" w:eastAsia="zh-CN" w:bidi="ar-SA"/>
        </w:rPr>
        <w:t>进入定标阶段。</w:t>
      </w:r>
    </w:p>
    <w:p w14:paraId="4075B637">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条款号：38.1                               修改类型：修改</w:t>
      </w:r>
    </w:p>
    <w:p w14:paraId="0B2305C3">
      <w:pPr>
        <w:keepNext w:val="0"/>
        <w:keepLines w:val="0"/>
        <w:pageBreakBefore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0353FB8B">
      <w:pPr>
        <w:keepNext w:val="0"/>
        <w:keepLines w:val="0"/>
        <w:pageBreakBefore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38.1为有助于投标文件的审查、评价和比较，评标期间，经评标委员会或评标委员会专业评审组中两人以上（含两人）</w:t>
      </w:r>
      <w:r>
        <w:rPr>
          <w:rFonts w:hint="eastAsia" w:ascii="宋体" w:hAnsi="宋体" w:eastAsia="宋体" w:cs="宋体"/>
          <w:b/>
          <w:bCs/>
          <w:color w:val="auto"/>
          <w:sz w:val="21"/>
          <w:szCs w:val="21"/>
          <w:highlight w:val="none"/>
          <w:u w:val="single"/>
        </w:rPr>
        <w:t>的成员</w:t>
      </w:r>
      <w:r>
        <w:rPr>
          <w:rFonts w:hint="eastAsia" w:ascii="宋体" w:hAnsi="宋体" w:eastAsia="宋体" w:cs="宋体"/>
          <w:color w:val="auto"/>
          <w:sz w:val="21"/>
          <w:szCs w:val="21"/>
          <w:highlight w:val="none"/>
        </w:rPr>
        <w:t>以书面形式提出动议，评标委员会或评标委员会专业评审组应当书面发出澄清通知，要求投标人对投标文件含义不明确</w:t>
      </w:r>
      <w:r>
        <w:rPr>
          <w:rFonts w:hint="eastAsia" w:ascii="宋体" w:hAnsi="宋体" w:eastAsia="宋体" w:cs="宋体"/>
          <w:b/>
          <w:bCs/>
          <w:color w:val="auto"/>
          <w:sz w:val="21"/>
          <w:szCs w:val="21"/>
          <w:highlight w:val="none"/>
          <w:u w:val="single"/>
        </w:rPr>
        <w:t>、对同类问题表述不一致、有明显文字和计算错误的内容以及细微偏差</w:t>
      </w:r>
      <w:r>
        <w:rPr>
          <w:rFonts w:hint="eastAsia" w:ascii="宋体" w:hAnsi="宋体" w:eastAsia="宋体" w:cs="宋体"/>
          <w:color w:val="auto"/>
          <w:sz w:val="21"/>
          <w:szCs w:val="21"/>
          <w:highlight w:val="none"/>
        </w:rPr>
        <w:t>的内容作出澄清。</w:t>
      </w:r>
    </w:p>
    <w:p w14:paraId="4AF5F778">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条款号：38.</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14:paraId="5D0AC3E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01FDBC76">
      <w:pPr>
        <w:keepNext w:val="0"/>
        <w:keepLines w:val="0"/>
        <w:pageBreakBefore w:val="0"/>
        <w:pBdr>
          <w:top w:val="none" w:color="auto" w:sz="0"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投标人如在本项目中存在串通投标、弄虚作假、行贿情形且在评标</w:t>
      </w:r>
      <w:r>
        <w:rPr>
          <w:rFonts w:hint="eastAsia" w:ascii="宋体" w:hAnsi="宋体" w:eastAsia="宋体" w:cs="宋体"/>
          <w:b/>
          <w:bCs/>
          <w:color w:val="auto"/>
          <w:sz w:val="21"/>
          <w:szCs w:val="21"/>
          <w:highlight w:val="none"/>
          <w:u w:val="single"/>
        </w:rPr>
        <w:t>或定标</w:t>
      </w:r>
      <w:r>
        <w:rPr>
          <w:rFonts w:hint="eastAsia" w:ascii="宋体" w:hAnsi="宋体" w:eastAsia="宋体" w:cs="宋体"/>
          <w:color w:val="auto"/>
          <w:sz w:val="21"/>
          <w:szCs w:val="21"/>
          <w:highlight w:val="none"/>
        </w:rPr>
        <w:t>过程中未被发现的，该投标不改变本项目评标结果排序，</w:t>
      </w:r>
      <w:r>
        <w:rPr>
          <w:rFonts w:hint="eastAsia" w:ascii="宋体" w:hAnsi="宋体" w:eastAsia="宋体" w:cs="宋体"/>
          <w:b/>
          <w:bCs/>
          <w:color w:val="auto"/>
          <w:sz w:val="21"/>
          <w:szCs w:val="21"/>
          <w:highlight w:val="none"/>
          <w:u w:val="single"/>
        </w:rPr>
        <w:t>若在定标过程中被确定为中标人，</w:t>
      </w:r>
      <w:r>
        <w:rPr>
          <w:rFonts w:hint="eastAsia" w:ascii="宋体" w:hAnsi="宋体" w:eastAsia="宋体" w:cs="宋体"/>
          <w:color w:val="auto"/>
          <w:sz w:val="21"/>
          <w:szCs w:val="21"/>
          <w:highlight w:val="none"/>
        </w:rPr>
        <w:t>其中标无效。</w:t>
      </w:r>
      <w:r>
        <w:rPr>
          <w:rFonts w:hint="eastAsia" w:ascii="宋体" w:hAnsi="宋体" w:eastAsia="宋体" w:cs="宋体"/>
          <w:b/>
          <w:bCs/>
          <w:color w:val="auto"/>
          <w:sz w:val="21"/>
          <w:szCs w:val="21"/>
          <w:highlight w:val="none"/>
          <w:u w:val="single"/>
        </w:rPr>
        <w:t>招标人可从其他合格中标候选人中采用原定标办法，由原定标委员会重新确定中标人，也可以重新招标。</w:t>
      </w:r>
    </w:p>
    <w:p w14:paraId="2E099645">
      <w:pPr>
        <w:keepNext w:val="0"/>
        <w:keepLines w:val="0"/>
        <w:pageBreakBefore w:val="0"/>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条款号：39</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14:paraId="1B306A41">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b w:val="0"/>
          <w:bCs w:val="0"/>
          <w:color w:val="auto"/>
          <w:sz w:val="21"/>
          <w:szCs w:val="21"/>
          <w:highlight w:val="none"/>
        </w:rPr>
        <w:t>39．定标</w:t>
      </w:r>
    </w:p>
    <w:p w14:paraId="43B5F32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 招标人根据评标委员会递交的评标报告，最终审定中标人。</w:t>
      </w:r>
    </w:p>
    <w:p w14:paraId="49B3A0E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 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350750A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39.3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214DD98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1EFFDE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0A61723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39.6有效投标不足3个的，评标委员会应当对投标是否明显缺乏竞争和是否需要否决全部投标进行充分论证，并在评标报告中记载论证过程和结果。</w:t>
      </w:r>
    </w:p>
    <w:p w14:paraId="3FB1930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注：采用评定分离方式的，招标人应在招标文件中明确定标方式。</w:t>
      </w:r>
    </w:p>
    <w:p w14:paraId="3DCF26F5">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u w:val="single"/>
        </w:rPr>
        <w:t>定标详细规定条款详见本章</w:t>
      </w:r>
      <w:r>
        <w:rPr>
          <w:rFonts w:hint="eastAsia" w:ascii="宋体" w:hAnsi="宋体" w:cs="宋体"/>
          <w:color w:val="auto"/>
          <w:sz w:val="21"/>
          <w:szCs w:val="21"/>
          <w:highlight w:val="none"/>
          <w:u w:val="single"/>
          <w:lang w:val="en-US" w:eastAsia="zh-CN"/>
        </w:rPr>
        <w:t>51</w:t>
      </w:r>
      <w:r>
        <w:rPr>
          <w:rFonts w:hint="eastAsia" w:ascii="宋体" w:hAnsi="宋体" w:eastAsia="宋体" w:cs="宋体"/>
          <w:color w:val="auto"/>
          <w:sz w:val="21"/>
          <w:szCs w:val="21"/>
          <w:highlight w:val="none"/>
          <w:u w:val="single"/>
        </w:rPr>
        <w:t>定标</w:t>
      </w:r>
      <w:r>
        <w:rPr>
          <w:rFonts w:hint="eastAsia" w:ascii="宋体" w:hAnsi="宋体" w:eastAsia="宋体" w:cs="宋体"/>
          <w:bCs/>
          <w:color w:val="auto"/>
          <w:sz w:val="21"/>
          <w:szCs w:val="21"/>
          <w:highlight w:val="none"/>
        </w:rPr>
        <w:t>。</w:t>
      </w:r>
    </w:p>
    <w:p w14:paraId="033041F8">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可选办法一（适合综合评分法一，技术标与经济标先后分别开启）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53272574">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7C2714BB">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可选办法二（适合综合评分法一，技术标与经济标同时开启）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033EDCE6">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42E17B33">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可选办法三（适合综合评分法二，技术标与经济标先后分别开启）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31A63929">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2E1F1565">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可选办法四（适合综合评分法二，技术标与经济标同时开启）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2D23C0A7">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15E28F36">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可选办法五（适合综合评分法三，技术标与经济标先后分别开启）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347A0FE9">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2D285D43">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可选办法六（适合综合评分法三，技术标与经济标同时开启）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70B2640A">
      <w:pPr>
        <w:keepNext w:val="0"/>
        <w:keepLines w:val="0"/>
        <w:pageBreakBefore w:val="0"/>
        <w:pBdr>
          <w:bottom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62E99D6F">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可选办法七（适合综合评分法四，技术标与经济标同时开启）</w:t>
      </w:r>
      <w:r>
        <w:rPr>
          <w:rFonts w:hint="eastAsia" w:ascii="宋体" w:hAnsi="宋体" w:eastAsia="宋体" w:cs="宋体"/>
          <w:b/>
          <w:color w:val="auto"/>
          <w:sz w:val="21"/>
          <w:szCs w:val="21"/>
          <w:highlight w:val="none"/>
        </w:rPr>
        <w:t xml:space="preserve">      修改类型：</w:t>
      </w:r>
      <w:r>
        <w:rPr>
          <w:rFonts w:hint="eastAsia" w:ascii="宋体" w:hAnsi="宋体" w:cs="宋体"/>
          <w:b/>
          <w:color w:val="auto"/>
          <w:sz w:val="21"/>
          <w:szCs w:val="21"/>
          <w:highlight w:val="none"/>
          <w:lang w:val="en-US" w:eastAsia="zh-CN"/>
        </w:rPr>
        <w:t>修改</w:t>
      </w:r>
    </w:p>
    <w:p w14:paraId="41CB131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55A15C43">
      <w:pPr>
        <w:keepNext w:val="0"/>
        <w:keepLines w:val="0"/>
        <w:pageBreakBefore w:val="0"/>
        <w:pBdr>
          <w:top w:val="none" w:color="auto" w:sz="0"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u w:val="single"/>
        </w:rPr>
        <w:t>评定分离评标定标办法</w:t>
      </w:r>
      <w:r>
        <w:rPr>
          <w:rFonts w:hint="eastAsia" w:ascii="宋体" w:hAnsi="宋体" w:eastAsia="宋体" w:cs="宋体"/>
          <w:b w:val="0"/>
          <w:bCs/>
          <w:color w:val="auto"/>
          <w:sz w:val="21"/>
          <w:szCs w:val="21"/>
          <w:highlight w:val="none"/>
          <w:u w:val="single"/>
          <w:lang w:eastAsia="zh-CN"/>
        </w:rPr>
        <w:t>。</w:t>
      </w:r>
    </w:p>
    <w:p w14:paraId="14903026">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w:t>
      </w:r>
      <w:r>
        <w:rPr>
          <w:rFonts w:hint="eastAsia" w:ascii="宋体" w:hAnsi="宋体" w:eastAsia="宋体" w:cs="宋体"/>
          <w:b w:val="0"/>
          <w:bCs/>
          <w:color w:val="auto"/>
          <w:sz w:val="21"/>
          <w:szCs w:val="21"/>
          <w:highlight w:val="none"/>
          <w:lang w:val="en-US" w:eastAsia="zh-CN"/>
        </w:rPr>
        <w:t>八</w:t>
      </w:r>
      <w:r>
        <w:rPr>
          <w:rFonts w:hint="eastAsia" w:ascii="宋体" w:hAnsi="宋体" w:eastAsia="宋体" w:cs="宋体"/>
          <w:b w:val="0"/>
          <w:bCs/>
          <w:color w:val="auto"/>
          <w:sz w:val="21"/>
          <w:szCs w:val="21"/>
          <w:highlight w:val="none"/>
        </w:rPr>
        <w:t>（适合综合评分法四，技术标与经济标同时开启）</w:t>
      </w:r>
      <w:r>
        <w:rPr>
          <w:rFonts w:hint="eastAsia" w:ascii="宋体" w:hAnsi="宋体" w:eastAsia="宋体" w:cs="宋体"/>
          <w:b/>
          <w:color w:val="auto"/>
          <w:sz w:val="21"/>
          <w:szCs w:val="21"/>
          <w:highlight w:val="none"/>
        </w:rPr>
        <w:t xml:space="preserve">      修改类型：</w:t>
      </w:r>
      <w:r>
        <w:rPr>
          <w:rFonts w:hint="eastAsia" w:ascii="宋体" w:hAnsi="宋体" w:cs="宋体"/>
          <w:b/>
          <w:color w:val="auto"/>
          <w:sz w:val="21"/>
          <w:szCs w:val="21"/>
          <w:highlight w:val="none"/>
          <w:lang w:val="en-US" w:eastAsia="zh-CN"/>
        </w:rPr>
        <w:t>删除</w:t>
      </w:r>
    </w:p>
    <w:p w14:paraId="79836225">
      <w:pPr>
        <w:keepNext w:val="0"/>
        <w:keepLines w:val="0"/>
        <w:pageBreakBefore w:val="0"/>
        <w:pBdr>
          <w:top w:val="none" w:color="auto" w:sz="0"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w:t>
      </w:r>
      <w:r>
        <w:rPr>
          <w:rFonts w:hint="eastAsia" w:ascii="宋体" w:hAnsi="宋体" w:eastAsia="宋体" w:cs="宋体"/>
          <w:b w:val="0"/>
          <w:bCs/>
          <w:color w:val="auto"/>
          <w:sz w:val="21"/>
          <w:szCs w:val="21"/>
          <w:highlight w:val="none"/>
          <w:u w:val="none"/>
        </w:rPr>
        <w:t>（适用于资格后审电子化施工招标投标项目）GZJTZB2025-3</w:t>
      </w:r>
    </w:p>
    <w:p w14:paraId="62665176">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bCs/>
          <w:color w:val="auto"/>
          <w:sz w:val="21"/>
          <w:szCs w:val="21"/>
          <w:highlight w:val="none"/>
        </w:rPr>
        <w:t>可选办法</w:t>
      </w:r>
      <w:r>
        <w:rPr>
          <w:rFonts w:hint="eastAsia" w:ascii="宋体" w:hAnsi="宋体" w:eastAsia="宋体" w:cs="宋体"/>
          <w:b w:val="0"/>
          <w:bCs/>
          <w:color w:val="auto"/>
          <w:sz w:val="21"/>
          <w:szCs w:val="21"/>
          <w:highlight w:val="none"/>
          <w:lang w:val="en-US" w:eastAsia="zh-CN"/>
        </w:rPr>
        <w:t>九</w:t>
      </w:r>
      <w:r>
        <w:rPr>
          <w:rFonts w:hint="eastAsia" w:ascii="宋体" w:hAnsi="宋体" w:eastAsia="宋体" w:cs="宋体"/>
          <w:b w:val="0"/>
          <w:bCs/>
          <w:color w:val="auto"/>
          <w:sz w:val="21"/>
          <w:szCs w:val="21"/>
          <w:highlight w:val="none"/>
        </w:rPr>
        <w:t>（适合综合评分法四，技术标与经济标同时开启）</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删除</w:t>
      </w:r>
    </w:p>
    <w:p w14:paraId="745E86F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66DCB3CB">
      <w:pPr>
        <w:keepNext w:val="0"/>
        <w:keepLines w:val="0"/>
        <w:pageBreakBefore w:val="0"/>
        <w:pBdr>
          <w:top w:val="single" w:color="auto" w:sz="4"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40．开标和评标程序</w:t>
      </w:r>
      <w:r>
        <w:rPr>
          <w:rFonts w:hint="eastAsia" w:ascii="宋体" w:hAnsi="宋体" w:eastAsia="宋体" w:cs="宋体"/>
          <w:b/>
          <w:color w:val="auto"/>
          <w:sz w:val="21"/>
          <w:szCs w:val="21"/>
          <w:highlight w:val="none"/>
        </w:rPr>
        <w:t xml:space="preserve">             修改类型：修改</w:t>
      </w:r>
    </w:p>
    <w:p w14:paraId="0CD86EFC">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40．开标和评标程序</w:t>
      </w:r>
    </w:p>
    <w:p w14:paraId="342BBACD">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40．开标和评标程序</w:t>
      </w:r>
    </w:p>
    <w:p w14:paraId="2ECEED9C">
      <w:pPr>
        <w:snapToGrid w:val="0"/>
        <w:spacing w:line="360" w:lineRule="auto"/>
        <w:ind w:firstLine="420" w:firstLineChars="200"/>
        <w:rPr>
          <w:rFonts w:hint="eastAsia" w:ascii="宋体"/>
          <w:color w:val="auto"/>
          <w:sz w:val="21"/>
          <w:szCs w:val="21"/>
          <w:highlight w:val="none"/>
          <w:lang w:eastAsia="zh-CN"/>
        </w:rPr>
      </w:pPr>
      <w:r>
        <w:rPr>
          <w:rFonts w:hint="eastAsia" w:ascii="宋体"/>
          <w:color w:val="auto"/>
          <w:sz w:val="21"/>
          <w:szCs w:val="21"/>
          <w:highlight w:val="none"/>
        </w:rPr>
        <w:t>40.1</w:t>
      </w:r>
      <w:r>
        <w:rPr>
          <w:rFonts w:hint="eastAsia" w:ascii="宋体"/>
          <w:color w:val="auto"/>
          <w:sz w:val="21"/>
          <w:szCs w:val="21"/>
          <w:highlight w:val="none"/>
          <w:lang w:eastAsia="zh-CN"/>
        </w:rPr>
        <w:t>投标人递交技术标、经济标投标文件；</w:t>
      </w:r>
    </w:p>
    <w:p w14:paraId="38F1C87C">
      <w:pPr>
        <w:snapToGrid w:val="0"/>
        <w:spacing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40.2</w:t>
      </w:r>
      <w:r>
        <w:rPr>
          <w:rFonts w:hint="eastAsia" w:ascii="宋体"/>
          <w:color w:val="auto"/>
          <w:sz w:val="21"/>
          <w:szCs w:val="21"/>
          <w:highlight w:val="none"/>
        </w:rPr>
        <w:t>技术标（含资格审查文件）与经济标投标文件同时公开开标；</w:t>
      </w:r>
    </w:p>
    <w:p w14:paraId="382090EA">
      <w:pPr>
        <w:snapToGrid w:val="0"/>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lang w:val="en-US" w:eastAsia="zh-CN"/>
        </w:rPr>
        <w:t>40.3</w:t>
      </w:r>
      <w:r>
        <w:rPr>
          <w:rFonts w:hint="eastAsia" w:ascii="宋体" w:hAnsi="宋体"/>
          <w:color w:val="auto"/>
          <w:sz w:val="21"/>
          <w:szCs w:val="21"/>
          <w:highlight w:val="none"/>
          <w:lang w:eastAsia="zh-CN"/>
        </w:rPr>
        <w:t>由招标人随机抽取确定该工程计算评标参考价的等分点值</w:t>
      </w:r>
      <w:r>
        <w:rPr>
          <w:rFonts w:hint="eastAsia" w:ascii="宋体" w:hAnsi="宋体"/>
          <w:color w:val="auto"/>
          <w:sz w:val="21"/>
          <w:szCs w:val="21"/>
          <w:highlight w:val="none"/>
          <w:lang w:val="en-US" w:eastAsia="zh-CN"/>
        </w:rPr>
        <w:t>X（适用于区间抽取法）；</w:t>
      </w:r>
    </w:p>
    <w:p w14:paraId="2B31FD48">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4</w:t>
      </w:r>
      <w:r>
        <w:rPr>
          <w:rFonts w:hint="eastAsia" w:ascii="宋体"/>
          <w:color w:val="auto"/>
          <w:sz w:val="21"/>
          <w:szCs w:val="21"/>
          <w:highlight w:val="none"/>
        </w:rPr>
        <w:t>由评标委员会对所有已公开开标的投标人进行资格审查；</w:t>
      </w:r>
    </w:p>
    <w:p w14:paraId="63017BC3">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5</w:t>
      </w:r>
      <w:r>
        <w:rPr>
          <w:rFonts w:hint="eastAsia" w:ascii="宋体"/>
          <w:color w:val="auto"/>
          <w:sz w:val="21"/>
          <w:szCs w:val="21"/>
          <w:highlight w:val="none"/>
        </w:rPr>
        <w:t>技术标投标文件有效性审查；</w:t>
      </w:r>
    </w:p>
    <w:p w14:paraId="031AA550">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6</w:t>
      </w:r>
      <w:r>
        <w:rPr>
          <w:rFonts w:hint="eastAsia" w:ascii="宋体"/>
          <w:color w:val="auto"/>
          <w:sz w:val="21"/>
          <w:szCs w:val="21"/>
          <w:highlight w:val="none"/>
        </w:rPr>
        <w:t>技术标详细审查评分；</w:t>
      </w:r>
    </w:p>
    <w:p w14:paraId="45CD56C3">
      <w:pPr>
        <w:snapToGrid w:val="0"/>
        <w:spacing w:line="360" w:lineRule="auto"/>
        <w:ind w:firstLine="420" w:firstLineChars="20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40.7经济标的算术校核；</w:t>
      </w:r>
    </w:p>
    <w:p w14:paraId="79825AA6">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8</w:t>
      </w:r>
      <w:r>
        <w:rPr>
          <w:rFonts w:hint="eastAsia" w:ascii="宋体"/>
          <w:color w:val="auto"/>
          <w:sz w:val="21"/>
          <w:szCs w:val="21"/>
          <w:highlight w:val="none"/>
        </w:rPr>
        <w:t>经济标详细审查评分；</w:t>
      </w:r>
      <w:r>
        <w:rPr>
          <w:rFonts w:ascii="宋体"/>
          <w:color w:val="auto"/>
          <w:sz w:val="21"/>
          <w:szCs w:val="21"/>
          <w:highlight w:val="none"/>
        </w:rPr>
        <w:t xml:space="preserve"> </w:t>
      </w:r>
    </w:p>
    <w:p w14:paraId="4C76C28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9</w:t>
      </w:r>
      <w:r>
        <w:rPr>
          <w:rFonts w:hint="eastAsia" w:ascii="宋体"/>
          <w:color w:val="auto"/>
          <w:sz w:val="21"/>
          <w:szCs w:val="21"/>
          <w:highlight w:val="none"/>
        </w:rPr>
        <w:t>评标委员会按照投标人总得分由高至低排序；</w:t>
      </w:r>
    </w:p>
    <w:p w14:paraId="6389E407">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10</w:t>
      </w:r>
      <w:r>
        <w:rPr>
          <w:rFonts w:hint="eastAsia" w:ascii="宋体"/>
          <w:color w:val="auto"/>
          <w:sz w:val="21"/>
          <w:szCs w:val="21"/>
          <w:highlight w:val="none"/>
        </w:rPr>
        <w:t>经济标投标文件有效性审查；</w:t>
      </w:r>
    </w:p>
    <w:p w14:paraId="652A79B0">
      <w:pPr>
        <w:snapToGrid w:val="0"/>
        <w:spacing w:line="360" w:lineRule="auto"/>
        <w:ind w:firstLine="420" w:firstLineChars="200"/>
        <w:rPr>
          <w:rFonts w:ascii="宋体"/>
          <w:color w:val="auto"/>
          <w:szCs w:val="21"/>
          <w:highlight w:val="none"/>
        </w:rPr>
      </w:pPr>
      <w:r>
        <w:rPr>
          <w:rFonts w:hint="eastAsia" w:ascii="宋体"/>
          <w:color w:val="auto"/>
          <w:sz w:val="21"/>
          <w:szCs w:val="21"/>
          <w:highlight w:val="none"/>
        </w:rPr>
        <w:t>40.</w:t>
      </w:r>
      <w:r>
        <w:rPr>
          <w:rFonts w:hint="eastAsia" w:ascii="宋体"/>
          <w:color w:val="auto"/>
          <w:sz w:val="21"/>
          <w:szCs w:val="21"/>
          <w:highlight w:val="none"/>
          <w:lang w:val="en-US" w:eastAsia="zh-CN"/>
        </w:rPr>
        <w:t>11</w:t>
      </w:r>
      <w:r>
        <w:rPr>
          <w:rFonts w:hint="eastAsia" w:ascii="宋体"/>
          <w:color w:val="auto"/>
          <w:sz w:val="21"/>
          <w:szCs w:val="21"/>
          <w:highlight w:val="none"/>
        </w:rPr>
        <w:t>评标委员会按排序向招标人推荐中标候选人名单，并递交资格审查报告及评标报告。</w:t>
      </w:r>
    </w:p>
    <w:p w14:paraId="4E87EC60">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40．开标和评标程序</w:t>
      </w:r>
    </w:p>
    <w:p w14:paraId="13FE15D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 开标和评标程序</w:t>
      </w:r>
    </w:p>
    <w:p w14:paraId="3BC8A92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40.1投标人递交技术标、经济标投标文件；</w:t>
      </w:r>
    </w:p>
    <w:p w14:paraId="458FF85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r>
        <w:rPr>
          <w:rFonts w:hint="eastAsia" w:ascii="宋体" w:hAnsi="宋体" w:eastAsia="宋体" w:cs="宋体"/>
          <w:b w:val="0"/>
          <w:bCs/>
          <w:color w:val="auto"/>
          <w:sz w:val="21"/>
          <w:szCs w:val="21"/>
          <w:highlight w:val="none"/>
          <w:u w:val="single"/>
        </w:rPr>
        <w:t>技术标（含资格审查文件）</w:t>
      </w:r>
      <w:r>
        <w:rPr>
          <w:rFonts w:hint="eastAsia" w:ascii="宋体" w:hAnsi="宋体" w:eastAsia="宋体" w:cs="宋体"/>
          <w:color w:val="auto"/>
          <w:sz w:val="21"/>
          <w:szCs w:val="21"/>
          <w:highlight w:val="none"/>
        </w:rPr>
        <w:t>与经济标投标文件同时公开开标；</w:t>
      </w:r>
    </w:p>
    <w:p w14:paraId="263E7B5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由评标委员会对所有已公开开标的投标人进行资格审查</w:t>
      </w:r>
      <w:r>
        <w:rPr>
          <w:rFonts w:hint="eastAsia" w:ascii="宋体" w:hAnsi="宋体" w:eastAsia="宋体" w:cs="宋体"/>
          <w:b/>
          <w:bCs w:val="0"/>
          <w:color w:val="auto"/>
          <w:sz w:val="21"/>
          <w:szCs w:val="21"/>
          <w:highlight w:val="none"/>
          <w:u w:val="single"/>
        </w:rPr>
        <w:t>，并编写资格审查报告</w:t>
      </w:r>
      <w:r>
        <w:rPr>
          <w:rFonts w:hint="eastAsia" w:ascii="宋体" w:hAnsi="宋体" w:eastAsia="宋体" w:cs="宋体"/>
          <w:b/>
          <w:color w:val="auto"/>
          <w:sz w:val="21"/>
          <w:szCs w:val="21"/>
          <w:highlight w:val="none"/>
        </w:rPr>
        <w:t>；</w:t>
      </w:r>
    </w:p>
    <w:p w14:paraId="54B63E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技术标投标文件有效性审查；</w:t>
      </w:r>
    </w:p>
    <w:p w14:paraId="466873B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技术标详细审查评分；</w:t>
      </w:r>
    </w:p>
    <w:p w14:paraId="66DCE94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经济标的算术校核；</w:t>
      </w:r>
    </w:p>
    <w:p w14:paraId="1E04757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经济标详细审查评分；</w:t>
      </w:r>
    </w:p>
    <w:p w14:paraId="59447A0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8</w:t>
      </w:r>
      <w:r>
        <w:rPr>
          <w:rFonts w:hint="eastAsia" w:ascii="宋体" w:hAnsi="宋体" w:eastAsia="宋体" w:cs="宋体"/>
          <w:b/>
          <w:bCs/>
          <w:color w:val="auto"/>
          <w:sz w:val="21"/>
          <w:szCs w:val="21"/>
          <w:highlight w:val="none"/>
        </w:rPr>
        <w:t>计算投标人总得分，并按总得分从高到低，确定经济标评审排序；</w:t>
      </w:r>
    </w:p>
    <w:p w14:paraId="601235D5">
      <w:pPr>
        <w:keepNext w:val="0"/>
        <w:keepLines w:val="0"/>
        <w:pageBreakBefore w:val="0"/>
        <w:pBdr>
          <w:bottom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40.</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按</w:t>
      </w:r>
      <w:r>
        <w:rPr>
          <w:rFonts w:hint="eastAsia" w:ascii="宋体" w:hAnsi="宋体" w:eastAsia="宋体" w:cs="宋体"/>
          <w:b/>
          <w:bCs/>
          <w:color w:val="auto"/>
          <w:sz w:val="21"/>
          <w:szCs w:val="21"/>
          <w:highlight w:val="none"/>
        </w:rPr>
        <w:t>排序对经济标投标文件进行有效性审查，</w:t>
      </w:r>
      <w:r>
        <w:rPr>
          <w:rFonts w:hint="eastAsia" w:ascii="宋体" w:hAnsi="宋体" w:cs="宋体"/>
          <w:b/>
          <w:bCs/>
          <w:color w:val="auto"/>
          <w:sz w:val="21"/>
          <w:szCs w:val="21"/>
          <w:highlight w:val="none"/>
        </w:rPr>
        <w:t>按投标须知前附表第19项规定推荐合格中标候选人</w:t>
      </w:r>
      <w:r>
        <w:rPr>
          <w:rFonts w:hint="eastAsia" w:ascii="宋体" w:hAnsi="宋体" w:eastAsia="宋体" w:cs="宋体"/>
          <w:b/>
          <w:bCs/>
          <w:color w:val="auto"/>
          <w:sz w:val="21"/>
          <w:szCs w:val="21"/>
          <w:highlight w:val="none"/>
        </w:rPr>
        <w:t>；</w:t>
      </w:r>
    </w:p>
    <w:p w14:paraId="4211F348">
      <w:pPr>
        <w:keepNext w:val="0"/>
        <w:keepLines w:val="0"/>
        <w:pageBreakBefore w:val="0"/>
        <w:pBdr>
          <w:bottom w:val="single" w:color="auto" w:sz="6" w:space="1"/>
        </w:pBdr>
        <w:kinsoku/>
        <w:wordWrap/>
        <w:overflowPunct/>
        <w:topLinePunct w:val="0"/>
        <w:autoSpaceDE/>
        <w:autoSpaceDN/>
        <w:bidi w:val="0"/>
        <w:adjustRightInd/>
        <w:snapToGrid w:val="0"/>
        <w:spacing w:line="360" w:lineRule="auto"/>
        <w:ind w:firstLine="470" w:firstLineChars="224"/>
        <w:textAlignment w:val="auto"/>
        <w:rPr>
          <w:rFonts w:hint="eastAsia" w:ascii="宋体" w:hAnsi="宋体" w:eastAsia="宋体" w:cs="宋体"/>
          <w:b/>
          <w:bCs/>
          <w:color w:val="auto"/>
          <w:sz w:val="21"/>
          <w:szCs w:val="21"/>
          <w:highlight w:val="none"/>
        </w:rPr>
      </w:pPr>
      <w:r>
        <w:rPr>
          <w:rFonts w:hint="eastAsia" w:ascii="宋体" w:hAnsi="宋体" w:eastAsia="宋体" w:cs="宋体"/>
          <w:b w:val="0"/>
          <w:bCs/>
          <w:color w:val="auto"/>
          <w:sz w:val="21"/>
          <w:szCs w:val="21"/>
          <w:highlight w:val="none"/>
          <w:u w:val="single"/>
        </w:rPr>
        <w:t>40.</w:t>
      </w:r>
      <w:r>
        <w:rPr>
          <w:rFonts w:hint="eastAsia" w:ascii="宋体" w:hAnsi="宋体" w:cs="宋体"/>
          <w:b w:val="0"/>
          <w:bCs/>
          <w:color w:val="auto"/>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lang w:val="en-US" w:eastAsia="zh-CN" w:bidi="ar-SA"/>
        </w:rPr>
        <w:t>评标委员会递交</w:t>
      </w:r>
      <w:r>
        <w:rPr>
          <w:rFonts w:hint="eastAsia" w:ascii="宋体" w:hAnsi="宋体" w:eastAsia="宋体" w:cs="宋体"/>
          <w:b/>
          <w:bCs/>
          <w:color w:val="auto"/>
          <w:sz w:val="21"/>
          <w:szCs w:val="21"/>
          <w:highlight w:val="none"/>
          <w:u w:val="single"/>
        </w:rPr>
        <w:t>资格审查报告和</w:t>
      </w:r>
      <w:r>
        <w:rPr>
          <w:rFonts w:hint="eastAsia" w:ascii="宋体" w:hAnsi="宋体" w:eastAsia="宋体" w:cs="宋体"/>
          <w:b/>
          <w:bCs/>
          <w:color w:val="auto"/>
          <w:kern w:val="2"/>
          <w:sz w:val="21"/>
          <w:szCs w:val="21"/>
          <w:highlight w:val="none"/>
          <w:u w:val="single"/>
          <w:lang w:val="en-US" w:eastAsia="zh-CN" w:bidi="ar-SA"/>
        </w:rPr>
        <w:t>评标报告并依法推荐</w:t>
      </w:r>
      <w:r>
        <w:rPr>
          <w:rFonts w:hint="eastAsia" w:ascii="宋体" w:hAnsi="宋体" w:cs="宋体"/>
          <w:b/>
          <w:bCs/>
          <w:color w:val="auto"/>
          <w:kern w:val="2"/>
          <w:sz w:val="21"/>
          <w:szCs w:val="21"/>
          <w:highlight w:val="none"/>
          <w:u w:val="single"/>
          <w:lang w:val="en-US" w:eastAsia="zh-CN" w:bidi="ar-SA"/>
        </w:rPr>
        <w:t>合格中标候选人</w:t>
      </w:r>
      <w:r>
        <w:rPr>
          <w:rFonts w:hint="eastAsia" w:ascii="宋体" w:hAnsi="宋体" w:eastAsia="宋体" w:cs="宋体"/>
          <w:b/>
          <w:bCs/>
          <w:color w:val="auto"/>
          <w:kern w:val="2"/>
          <w:sz w:val="21"/>
          <w:szCs w:val="21"/>
          <w:highlight w:val="none"/>
          <w:u w:val="single"/>
          <w:lang w:val="en-US" w:eastAsia="zh-CN" w:bidi="ar-SA"/>
        </w:rPr>
        <w:t>进入定标阶段</w:t>
      </w:r>
      <w:r>
        <w:rPr>
          <w:rFonts w:hint="eastAsia" w:ascii="宋体" w:hAnsi="宋体" w:eastAsia="宋体" w:cs="宋体"/>
          <w:b/>
          <w:bCs/>
          <w:color w:val="auto"/>
          <w:sz w:val="21"/>
          <w:szCs w:val="21"/>
          <w:highlight w:val="none"/>
          <w:u w:val="single"/>
          <w:lang w:eastAsia="zh-CN"/>
        </w:rPr>
        <w:t>。</w:t>
      </w:r>
    </w:p>
    <w:p w14:paraId="5DDCD9DA">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41.1</w:t>
      </w:r>
      <w:r>
        <w:rPr>
          <w:rFonts w:hint="eastAsia" w:ascii="宋体" w:hAnsi="宋体" w:eastAsia="宋体" w:cs="宋体"/>
          <w:b/>
          <w:color w:val="auto"/>
          <w:sz w:val="21"/>
          <w:szCs w:val="21"/>
          <w:highlight w:val="none"/>
        </w:rPr>
        <w:t xml:space="preserve">             修改类型：修改</w:t>
      </w:r>
    </w:p>
    <w:p w14:paraId="326B131D">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41.1开标由招标人主持</w:t>
      </w:r>
      <w:r>
        <w:rPr>
          <w:rFonts w:hint="eastAsia" w:ascii="宋体" w:hAnsi="宋体" w:eastAsia="宋体" w:cs="宋体"/>
          <w:color w:val="auto"/>
          <w:sz w:val="21"/>
          <w:szCs w:val="21"/>
          <w:highlight w:val="none"/>
          <w:lang w:eastAsia="zh-CN"/>
        </w:rPr>
        <w:t>。</w:t>
      </w:r>
    </w:p>
    <w:p w14:paraId="6582F4D3">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41.1开标由招标人</w:t>
      </w:r>
      <w:r>
        <w:rPr>
          <w:rFonts w:hint="eastAsia" w:ascii="宋体" w:hAnsi="宋体" w:eastAsia="宋体" w:cs="宋体"/>
          <w:b/>
          <w:bCs/>
          <w:color w:val="auto"/>
          <w:sz w:val="21"/>
          <w:szCs w:val="21"/>
          <w:highlight w:val="none"/>
          <w:u w:val="single"/>
        </w:rPr>
        <w:t>或招标代理</w:t>
      </w:r>
      <w:r>
        <w:rPr>
          <w:rFonts w:hint="eastAsia" w:ascii="宋体" w:hAnsi="宋体" w:eastAsia="宋体" w:cs="宋体"/>
          <w:color w:val="auto"/>
          <w:sz w:val="21"/>
          <w:szCs w:val="21"/>
          <w:highlight w:val="none"/>
        </w:rPr>
        <w:t>主持</w:t>
      </w:r>
      <w:r>
        <w:rPr>
          <w:rFonts w:hint="eastAsia" w:ascii="宋体" w:hAnsi="宋体" w:eastAsia="宋体" w:cs="宋体"/>
          <w:color w:val="auto"/>
          <w:sz w:val="21"/>
          <w:szCs w:val="21"/>
          <w:highlight w:val="none"/>
          <w:lang w:eastAsia="zh-CN"/>
        </w:rPr>
        <w:t>。</w:t>
      </w:r>
    </w:p>
    <w:p w14:paraId="779D2633">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41.2.1</w:t>
      </w:r>
      <w:r>
        <w:rPr>
          <w:rFonts w:hint="eastAsia" w:ascii="宋体" w:hAnsi="宋体" w:eastAsia="宋体" w:cs="宋体"/>
          <w:b/>
          <w:color w:val="auto"/>
          <w:sz w:val="21"/>
          <w:szCs w:val="21"/>
          <w:highlight w:val="none"/>
        </w:rPr>
        <w:t xml:space="preserve">             修改类型：修改</w:t>
      </w:r>
    </w:p>
    <w:p w14:paraId="65002A81">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41.2.1投标截止期前，各投标人递交投标文件（包括技术标投标文件、经济标投标文件）至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交易平台。有关投标文件提交的事项详见第一章投标须知。</w:t>
      </w:r>
    </w:p>
    <w:p w14:paraId="01E71C91">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41.2.1投标截止期前，各投标人递交投标文件</w:t>
      </w:r>
      <w:r>
        <w:rPr>
          <w:rFonts w:hint="eastAsia" w:ascii="宋体" w:hAnsi="宋体" w:eastAsia="宋体" w:cs="宋体"/>
          <w:b/>
          <w:bCs/>
          <w:color w:val="auto"/>
          <w:sz w:val="21"/>
          <w:szCs w:val="21"/>
          <w:highlight w:val="none"/>
          <w:u w:val="single"/>
        </w:rPr>
        <w:t>[包括技术标投标文件（含资格审查文件）</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经济标投标文件</w:t>
      </w:r>
      <w:r>
        <w:rPr>
          <w:rFonts w:hint="eastAsia" w:ascii="宋体" w:hAnsi="宋体" w:eastAsia="宋体" w:cs="宋体"/>
          <w:b/>
          <w:bCs/>
          <w:color w:val="auto"/>
          <w:sz w:val="21"/>
          <w:szCs w:val="21"/>
          <w:highlight w:val="none"/>
          <w:u w:val="single"/>
          <w:lang w:eastAsia="zh-CN"/>
        </w:rPr>
        <w:t>、</w:t>
      </w:r>
      <w:r>
        <w:rPr>
          <w:rStyle w:val="131"/>
          <w:rFonts w:hint="eastAsia" w:ascii="宋体" w:hAnsi="宋体" w:eastAsia="宋体" w:cs="宋体"/>
          <w:b/>
          <w:bCs/>
          <w:color w:val="auto"/>
          <w:sz w:val="21"/>
          <w:szCs w:val="21"/>
          <w:highlight w:val="none"/>
        </w:rPr>
        <w:t>定标文件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至</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交易平台。有关投标文件提交的事项详见第一章投标须知。</w:t>
      </w:r>
    </w:p>
    <w:p w14:paraId="60BBD658">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41.</w:t>
      </w:r>
      <w:r>
        <w:rPr>
          <w:rFonts w:hint="eastAsia" w:ascii="宋体" w:hAnsi="宋体" w:cs="宋体"/>
          <w:b/>
          <w:color w:val="auto"/>
          <w:sz w:val="21"/>
          <w:szCs w:val="21"/>
          <w:highlight w:val="none"/>
          <w:lang w:val="en-US" w:eastAsia="zh-CN"/>
        </w:rPr>
        <w:t>2.3.1</w:t>
      </w:r>
      <w:r>
        <w:rPr>
          <w:rFonts w:hint="eastAsia" w:ascii="宋体" w:hAnsi="宋体" w:eastAsia="宋体" w:cs="宋体"/>
          <w:b/>
          <w:color w:val="auto"/>
          <w:sz w:val="21"/>
          <w:szCs w:val="21"/>
          <w:highlight w:val="none"/>
        </w:rPr>
        <w:t xml:space="preserve">             修改类型：修改</w:t>
      </w:r>
    </w:p>
    <w:p w14:paraId="5D34EB2B">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val="en-US" w:eastAsia="zh-CN"/>
        </w:rPr>
        <w:t>41.</w:t>
      </w:r>
      <w:r>
        <w:rPr>
          <w:rFonts w:hint="eastAsia" w:ascii="宋体" w:hAnsi="宋体" w:cs="宋体"/>
          <w:b w:val="0"/>
          <w:bCs/>
          <w:color w:val="auto"/>
          <w:sz w:val="21"/>
          <w:szCs w:val="21"/>
          <w:highlight w:val="none"/>
          <w:lang w:val="en-US" w:eastAsia="zh-CN"/>
        </w:rPr>
        <w:t>2.3.1</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530AD9E5">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41.</w:t>
      </w:r>
      <w:r>
        <w:rPr>
          <w:rFonts w:hint="eastAsia" w:ascii="宋体" w:hAnsi="宋体" w:cs="宋体"/>
          <w:b w:val="0"/>
          <w:bCs/>
          <w:color w:val="auto"/>
          <w:sz w:val="21"/>
          <w:szCs w:val="21"/>
          <w:highlight w:val="none"/>
          <w:lang w:val="en-US" w:eastAsia="zh-CN"/>
        </w:rPr>
        <w:t>2.3.1</w:t>
      </w:r>
      <w:r>
        <w:rPr>
          <w:rFonts w:hint="eastAsia" w:ascii="宋体" w:hAnsi="宋体" w:eastAsia="宋体" w:cs="宋体"/>
          <w:b w:val="0"/>
          <w:bCs/>
          <w:color w:val="auto"/>
          <w:sz w:val="21"/>
          <w:szCs w:val="21"/>
          <w:highlight w:val="none"/>
        </w:rPr>
        <w:t xml:space="preserve"> 开标时，公布：a、投标人名称；b、投标文件递交情况c、投标文件解密情况；d、法定代表人证明及授权委托；e、</w:t>
      </w:r>
      <w:r>
        <w:rPr>
          <w:rFonts w:hint="eastAsia" w:ascii="宋体" w:hAnsi="宋体" w:eastAsia="宋体" w:cs="宋体"/>
          <w:b w:val="0"/>
          <w:bCs/>
          <w:strike/>
          <w:color w:val="auto"/>
          <w:sz w:val="21"/>
          <w:szCs w:val="21"/>
          <w:highlight w:val="none"/>
        </w:rPr>
        <w:t>投标保证金；f、</w:t>
      </w:r>
      <w:r>
        <w:rPr>
          <w:rFonts w:hint="eastAsia" w:ascii="宋体" w:hAnsi="宋体" w:eastAsia="宋体" w:cs="宋体"/>
          <w:b w:val="0"/>
          <w:bCs/>
          <w:color w:val="auto"/>
          <w:sz w:val="21"/>
          <w:szCs w:val="21"/>
          <w:highlight w:val="none"/>
        </w:rPr>
        <w:t>项目经理（负责人）名称；f、投标报价等主要内容及开标记录表中的其他必要内容。投标报价以数字和文字两种方式表述的，应公布文字表述的投标报价</w:t>
      </w:r>
    </w:p>
    <w:p w14:paraId="29381D0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删除</w:t>
      </w:r>
    </w:p>
    <w:p w14:paraId="5DE707EE">
      <w:pPr>
        <w:keepNext w:val="0"/>
        <w:keepLines w:val="0"/>
        <w:pageBreakBefore w:val="0"/>
        <w:pBdr>
          <w:bottom w:val="single" w:color="auto" w:sz="6" w:space="1"/>
        </w:pBdr>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原</w:t>
      </w:r>
      <w:r>
        <w:rPr>
          <w:rFonts w:hint="eastAsia" w:ascii="宋体" w:hAnsi="宋体" w:eastAsia="宋体" w:cs="宋体"/>
          <w:b/>
          <w:color w:val="auto"/>
          <w:sz w:val="21"/>
          <w:szCs w:val="21"/>
          <w:highlight w:val="none"/>
        </w:rPr>
        <w:t>文：</w:t>
      </w:r>
      <w:r>
        <w:rPr>
          <w:rFonts w:hint="eastAsia" w:ascii="宋体" w:hAnsi="宋体"/>
          <w:color w:val="auto"/>
          <w:sz w:val="21"/>
          <w:szCs w:val="21"/>
          <w:highlight w:val="none"/>
          <w:lang w:val="en-US" w:eastAsia="zh-CN"/>
        </w:rPr>
        <w:t>41.2.3.2</w:t>
      </w:r>
      <w:r>
        <w:rPr>
          <w:rFonts w:hint="eastAsia" w:ascii="宋体"/>
          <w:color w:val="auto"/>
          <w:sz w:val="21"/>
          <w:szCs w:val="21"/>
          <w:highlight w:val="none"/>
        </w:rPr>
        <w:t>由招标人随机抽取确定该工程计算评标参考价的等分点值X。</w:t>
      </w:r>
    </w:p>
    <w:p w14:paraId="12509881">
      <w:pPr>
        <w:keepNext w:val="0"/>
        <w:keepLines w:val="0"/>
        <w:pageBreakBefore w:val="0"/>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14:paraId="12F6BA6F">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3招标人对开标过程进行记录，并存档备查。</w:t>
      </w:r>
    </w:p>
    <w:p w14:paraId="3AAB109A">
      <w:pPr>
        <w:keepNext w:val="0"/>
        <w:keepLines w:val="0"/>
        <w:pageBreakBefore w:val="0"/>
        <w:pBdr>
          <w:bottom w:val="single" w:color="auto" w:sz="6" w:space="1"/>
        </w:pBd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招标人</w:t>
      </w:r>
      <w:r>
        <w:rPr>
          <w:rFonts w:hint="eastAsia" w:ascii="宋体" w:hAnsi="宋体" w:eastAsia="宋体" w:cs="宋体"/>
          <w:b/>
          <w:bCs/>
          <w:color w:val="auto"/>
          <w:sz w:val="21"/>
          <w:szCs w:val="21"/>
          <w:highlight w:val="none"/>
          <w:u w:val="single"/>
        </w:rPr>
        <w:t>或招标代理机构</w:t>
      </w:r>
      <w:r>
        <w:rPr>
          <w:rFonts w:hint="eastAsia" w:ascii="宋体" w:hAnsi="宋体" w:eastAsia="宋体" w:cs="宋体"/>
          <w:color w:val="auto"/>
          <w:sz w:val="21"/>
          <w:szCs w:val="21"/>
          <w:highlight w:val="none"/>
        </w:rPr>
        <w:t>对</w:t>
      </w:r>
      <w:r>
        <w:rPr>
          <w:rFonts w:hint="eastAsia" w:ascii="宋体" w:hAnsi="宋体" w:eastAsia="宋体" w:cs="宋体"/>
          <w:b/>
          <w:bCs/>
          <w:color w:val="auto"/>
          <w:sz w:val="21"/>
          <w:szCs w:val="21"/>
          <w:highlight w:val="none"/>
          <w:u w:val="single"/>
        </w:rPr>
        <w:t>开标过程</w:t>
      </w:r>
      <w:r>
        <w:rPr>
          <w:rFonts w:hint="eastAsia" w:ascii="宋体" w:hAnsi="宋体" w:eastAsia="宋体" w:cs="宋体"/>
          <w:color w:val="auto"/>
          <w:sz w:val="21"/>
          <w:szCs w:val="21"/>
          <w:highlight w:val="none"/>
        </w:rPr>
        <w:t>进行记录，并存档备查</w:t>
      </w:r>
      <w:r>
        <w:rPr>
          <w:rFonts w:hint="eastAsia" w:ascii="宋体" w:hAnsi="宋体" w:eastAsia="宋体" w:cs="宋体"/>
          <w:b/>
          <w:bCs/>
          <w:color w:val="auto"/>
          <w:sz w:val="21"/>
          <w:szCs w:val="21"/>
          <w:highlight w:val="none"/>
          <w:u w:val="single"/>
        </w:rPr>
        <w:t>，参加现场开标会的投标人在开标记录上签字</w:t>
      </w:r>
      <w:r>
        <w:rPr>
          <w:rFonts w:hint="eastAsia" w:ascii="宋体" w:hAnsi="宋体" w:eastAsia="宋体" w:cs="宋体"/>
          <w:color w:val="auto"/>
          <w:sz w:val="21"/>
          <w:szCs w:val="21"/>
          <w:highlight w:val="none"/>
          <w:u w:val="none"/>
        </w:rPr>
        <w:t>。</w:t>
      </w:r>
    </w:p>
    <w:p w14:paraId="3FECC5A3">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             修改类型：修改</w:t>
      </w:r>
    </w:p>
    <w:p w14:paraId="69CF42C9">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评标委员会的组成：方式   。</w:t>
      </w:r>
    </w:p>
    <w:p w14:paraId="6BAB645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14:paraId="4438E40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方式二：评标委员会由技术评审组和经济评审组组成。其中：资格审查及技术评审由技术评标组负责，经济评审由经济评审组负责。</w:t>
      </w:r>
    </w:p>
    <w:p w14:paraId="05ADE94C">
      <w:pPr>
        <w:keepNext w:val="0"/>
        <w:keepLines w:val="0"/>
        <w:pageBreakBefore w:val="0"/>
        <w:pBdr>
          <w:bottom w:val="single" w:color="auto" w:sz="6" w:space="1"/>
        </w:pBdr>
        <w:kinsoku/>
        <w:wordWrap/>
        <w:overflowPunct/>
        <w:topLinePunct w:val="0"/>
        <w:autoSpaceDE/>
        <w:autoSpaceDN/>
        <w:bidi w:val="0"/>
        <w:adjustRightInd/>
        <w:spacing w:line="360" w:lineRule="auto"/>
        <w:ind w:firstLine="422"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42.</w:t>
      </w:r>
      <w:r>
        <w:rPr>
          <w:rFonts w:hint="eastAsia" w:ascii="宋体" w:hAnsi="宋体" w:cs="宋体"/>
          <w:color w:val="auto"/>
          <w:sz w:val="21"/>
          <w:szCs w:val="21"/>
          <w:highlight w:val="none"/>
          <w:lang w:val="en-US" w:eastAsia="zh-CN"/>
        </w:rPr>
        <w:t>2评标委员会的组成：方式一。</w:t>
      </w:r>
    </w:p>
    <w:p w14:paraId="4E28019F">
      <w:pPr>
        <w:keepNext w:val="0"/>
        <w:keepLines w:val="0"/>
        <w:pageBreakBefore w:val="0"/>
        <w:pBdr>
          <w:bottom w:val="single" w:color="auto" w:sz="6" w:space="1"/>
        </w:pBd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 w:val="21"/>
          <w:szCs w:val="21"/>
          <w:highlight w:val="none"/>
          <w:u w:val="single"/>
          <w:lang w:eastAsia="zh-CN"/>
        </w:rPr>
      </w:pPr>
      <w:r>
        <w:rPr>
          <w:rFonts w:hint="eastAsia" w:ascii="宋体" w:hAnsi="宋体" w:cs="宋体"/>
          <w:color w:val="auto"/>
          <w:sz w:val="21"/>
          <w:szCs w:val="21"/>
          <w:highlight w:val="none"/>
          <w:lang w:val="en-US" w:eastAsia="zh-CN"/>
        </w:rPr>
        <w:t>方式一：</w:t>
      </w:r>
      <w:r>
        <w:rPr>
          <w:rFonts w:hint="eastAsia" w:ascii="宋体" w:hAnsi="宋体" w:eastAsia="宋体" w:cs="宋体"/>
          <w:b/>
          <w:bCs/>
          <w:color w:val="auto"/>
          <w:sz w:val="21"/>
          <w:szCs w:val="21"/>
          <w:highlight w:val="none"/>
          <w:u w:val="single"/>
        </w:rPr>
        <w:t>评标委员会为综合评标委员会，负责资格审查及评标工作。评标委员会由技术及经济专业专家组成，均由广东省综合评标评审专家库随机抽取，评标委员会人数为五人以上单数，其中技术方面的专家不得少于成员总数的三分之二</w:t>
      </w:r>
      <w:r>
        <w:rPr>
          <w:rFonts w:hint="eastAsia" w:ascii="宋体" w:hAnsi="宋体" w:eastAsia="宋体" w:cs="宋体"/>
          <w:b w:val="0"/>
          <w:bCs w:val="0"/>
          <w:color w:val="auto"/>
          <w:sz w:val="21"/>
          <w:szCs w:val="21"/>
          <w:highlight w:val="none"/>
          <w:u w:val="single"/>
          <w:lang w:eastAsia="zh-CN"/>
        </w:rPr>
        <w:t>。</w:t>
      </w:r>
    </w:p>
    <w:p w14:paraId="78D0FC2B">
      <w:pPr>
        <w:keepNext w:val="0"/>
        <w:keepLines w:val="0"/>
        <w:pageBreakBefore w:val="0"/>
        <w:pBdr>
          <w:bottom w:val="single" w:color="auto" w:sz="6" w:space="1"/>
        </w:pBd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trike/>
          <w:color w:val="auto"/>
          <w:sz w:val="21"/>
          <w:szCs w:val="21"/>
          <w:highlight w:val="none"/>
          <w:lang w:eastAsia="zh-CN"/>
        </w:rPr>
      </w:pPr>
      <w:r>
        <w:rPr>
          <w:rFonts w:hint="eastAsia" w:ascii="宋体" w:hAnsi="宋体" w:eastAsia="宋体" w:cs="宋体"/>
          <w:b w:val="0"/>
          <w:bCs w:val="0"/>
          <w:strike/>
          <w:color w:val="auto"/>
          <w:sz w:val="21"/>
          <w:szCs w:val="21"/>
          <w:highlight w:val="none"/>
          <w:u w:val="single"/>
          <w:lang w:eastAsia="zh-CN"/>
        </w:rPr>
        <w:t>方式二：评标委员会由技术评审组和经济评审组组成。其中：资格审查及技术评审由技术评标组负责，经济评审由经济评审组负责。</w:t>
      </w:r>
    </w:p>
    <w:p w14:paraId="2228307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bCs/>
          <w:color w:val="auto"/>
          <w:kern w:val="2"/>
          <w:sz w:val="21"/>
          <w:szCs w:val="21"/>
          <w:highlight w:val="none"/>
          <w:lang w:val="en-US" w:eastAsia="zh-CN" w:bidi="ar-SA"/>
        </w:rPr>
        <w:t>投标人资格审查</w:t>
      </w:r>
      <w:r>
        <w:rPr>
          <w:rFonts w:hint="eastAsia" w:ascii="宋体" w:hAnsi="宋体" w:eastAsia="宋体" w:cs="宋体"/>
          <w:b/>
          <w:color w:val="auto"/>
          <w:szCs w:val="21"/>
          <w:highlight w:val="none"/>
        </w:rPr>
        <w:t xml:space="preserve">                    修改类型：修改</w:t>
      </w:r>
    </w:p>
    <w:p w14:paraId="2295B38C">
      <w:pPr>
        <w:pStyle w:val="36"/>
        <w:shd w:val="clear" w:color="auto" w:fill="auto"/>
        <w:tabs>
          <w:tab w:val="left" w:pos="7380"/>
        </w:tabs>
        <w:spacing w:after="0" w:line="360"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2"/>
          <w:highlight w:val="none"/>
        </w:rPr>
        <w:t>原文：</w:t>
      </w: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投标人资格审查</w:t>
      </w:r>
    </w:p>
    <w:p w14:paraId="049E54F8">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3.1</w:t>
      </w:r>
      <w:r>
        <w:rPr>
          <w:rFonts w:hint="eastAsia" w:ascii="宋体" w:hAnsi="宋体" w:eastAsia="宋体" w:cs="宋体"/>
          <w:color w:val="auto"/>
          <w:kern w:val="2"/>
          <w:sz w:val="21"/>
          <w:szCs w:val="21"/>
          <w:highlight w:val="none"/>
          <w:lang w:val="en-US" w:eastAsia="zh-CN" w:bidi="ar-SA"/>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262B538">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.2汇总资格审查情况，编写资格审查报告。</w:t>
      </w:r>
    </w:p>
    <w:p w14:paraId="1975D67F">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.3资格审查不合格的投标文件不参加下一阶段的评标，不参与评标参考价的计算。</w:t>
      </w:r>
    </w:p>
    <w:p w14:paraId="3BDF705D">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.4资格审查时，投标企业名称已经工商变更的，但企业及个人的资质证书未完成企业名称变更，仍然承认其有效。资质证书、安全生产许可证之间登记的信息不一致，应当允许投标人澄清，不得直接否决其投标。</w:t>
      </w:r>
    </w:p>
    <w:p w14:paraId="678916F9">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.5资审合格后，投标人的资格发生变化而不满足投标人合格条件，在发出中标通知书前，资格问题仍未解决的，招标人将取消其中标资格。</w:t>
      </w:r>
    </w:p>
    <w:p w14:paraId="262BFB9A">
      <w:pPr>
        <w:widowControl/>
        <w:shd w:val="clear" w:color="auto" w:fill="auto"/>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.6资格审查合格的投标人少于3名的（当N个标段同时招标且不允许兼中时，资格审查合格的投标人少于N+2名），则本项目招标失败，由招标人依法重新招标。</w:t>
      </w:r>
    </w:p>
    <w:p w14:paraId="1FA62539">
      <w:pPr>
        <w:pStyle w:val="36"/>
        <w:shd w:val="clear" w:color="auto" w:fill="auto"/>
        <w:tabs>
          <w:tab w:val="left" w:pos="7380"/>
        </w:tabs>
        <w:spacing w:after="0" w:line="360"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2"/>
          <w:highlight w:val="none"/>
        </w:rPr>
        <w:t>现文：</w:t>
      </w: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投标人资格审查</w:t>
      </w:r>
    </w:p>
    <w:p w14:paraId="0D17C73B">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3.1</w:t>
      </w:r>
      <w:r>
        <w:rPr>
          <w:rFonts w:hint="eastAsia" w:ascii="宋体" w:hAnsi="宋体" w:eastAsia="宋体" w:cs="宋体"/>
          <w:color w:val="auto"/>
          <w:kern w:val="2"/>
          <w:sz w:val="21"/>
          <w:szCs w:val="21"/>
          <w:highlight w:val="none"/>
          <w:lang w:val="en-US" w:eastAsia="zh-CN" w:bidi="ar-SA"/>
        </w:rPr>
        <w:t>资格审查文件中全部符合</w:t>
      </w:r>
      <w:r>
        <w:rPr>
          <w:rFonts w:hint="eastAsia" w:ascii="宋体" w:hAnsi="宋体" w:eastAsia="宋体" w:cs="宋体"/>
          <w:b/>
          <w:bCs/>
          <w:color w:val="auto"/>
          <w:kern w:val="2"/>
          <w:sz w:val="21"/>
          <w:szCs w:val="21"/>
          <w:highlight w:val="none"/>
          <w:u w:val="single"/>
          <w:lang w:val="en-US" w:eastAsia="zh-CN" w:bidi="ar-SA"/>
        </w:rPr>
        <w:t>附表一《资格审查表》</w:t>
      </w:r>
      <w:r>
        <w:rPr>
          <w:rFonts w:hint="eastAsia" w:ascii="宋体" w:hAnsi="宋体" w:eastAsia="宋体" w:cs="宋体"/>
          <w:color w:val="auto"/>
          <w:kern w:val="2"/>
          <w:sz w:val="21"/>
          <w:szCs w:val="21"/>
          <w:highlight w:val="none"/>
          <w:lang w:val="en-US" w:eastAsia="zh-CN" w:bidi="ar-SA"/>
        </w:rPr>
        <w:t>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67A94FA">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.2汇总资格审查情况，编写资格审查报告。</w:t>
      </w:r>
    </w:p>
    <w:p w14:paraId="243022D4">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.3资格审查不合格的投标文件不参加下一阶段的评标，不参与评标参考价的计算。</w:t>
      </w:r>
    </w:p>
    <w:p w14:paraId="23A5A4CE">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.4资格审查时，投标企业名称已经工商变更的，但企业及个人的资质证书未完成企业名称变更，仍然承认其有效。资质证书、安全生产许可证之间登记的信息不一致，应当允许投标人澄清，不得直接否决其投标。</w:t>
      </w:r>
    </w:p>
    <w:p w14:paraId="34821F99">
      <w:pPr>
        <w:pStyle w:val="36"/>
        <w:shd w:val="clear" w:color="auto" w:fill="auto"/>
        <w:tabs>
          <w:tab w:val="left" w:pos="7380"/>
        </w:tabs>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.5资审合格后，投标人的资格发生变化而不满足投标人合格条件，在发出中标通知书前，资格问题仍未解决的，招标人将取消其中标资格。</w:t>
      </w:r>
    </w:p>
    <w:p w14:paraId="0E1DD52B">
      <w:pPr>
        <w:keepNext w:val="0"/>
        <w:keepLines w:val="0"/>
        <w:pageBreakBefore w:val="0"/>
        <w:pBdr>
          <w:bottom w:val="single" w:color="auto" w:sz="6" w:space="1"/>
        </w:pBdr>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.6</w:t>
      </w:r>
      <w:r>
        <w:rPr>
          <w:rFonts w:hint="eastAsia" w:ascii="宋体" w:hAnsi="宋体" w:eastAsia="宋体" w:cs="宋体"/>
          <w:b/>
          <w:bCs/>
          <w:color w:val="auto"/>
          <w:szCs w:val="21"/>
          <w:highlight w:val="none"/>
          <w:u w:val="single"/>
        </w:rPr>
        <w:t>若满足资格审查合格条件（投标人合格条件）的投标申请人不足3名，则本项目招标失败，由招标人依法重新招标。</w:t>
      </w:r>
    </w:p>
    <w:p w14:paraId="56A90B89">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ascii="宋体" w:hAnsi="宋体" w:cs="宋体"/>
          <w:b/>
          <w:color w:val="auto"/>
          <w:sz w:val="21"/>
          <w:szCs w:val="21"/>
          <w:highlight w:val="none"/>
          <w:lang w:val="en-US" w:eastAsia="zh-CN"/>
        </w:rPr>
        <w:t>4.1</w:t>
      </w:r>
      <w:r>
        <w:rPr>
          <w:rFonts w:hint="eastAsia" w:ascii="宋体" w:hAnsi="宋体" w:eastAsia="宋体" w:cs="宋体"/>
          <w:b/>
          <w:color w:val="auto"/>
          <w:sz w:val="21"/>
          <w:szCs w:val="21"/>
          <w:highlight w:val="none"/>
        </w:rPr>
        <w:t xml:space="preserve">             修改类型：修改</w:t>
      </w:r>
    </w:p>
    <w:p w14:paraId="42934FF7">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由招标人依法重新招标。评委发现投标文件中含义不明确、对同类问题表述不一致、有明显文字和计算错误的，应当要求投标人作必要的澄清、说明后再判定投标人是否通过有效性审查，不得直接否决投标。</w:t>
      </w:r>
    </w:p>
    <w:p w14:paraId="3F6B365D">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4.1</w:t>
      </w:r>
      <w:r>
        <w:rPr>
          <w:rFonts w:hint="eastAsia" w:ascii="宋体" w:hAnsi="宋体" w:eastAsia="宋体" w:cs="宋体"/>
          <w:color w:val="auto"/>
          <w:sz w:val="21"/>
          <w:szCs w:val="21"/>
          <w:highlight w:val="none"/>
        </w:rPr>
        <w:t>技术标的有效性审查：投标文件中没有任一种列于本办法</w:t>
      </w:r>
      <w:r>
        <w:rPr>
          <w:rFonts w:hint="eastAsia" w:ascii="宋体" w:hAnsi="宋体" w:eastAsia="宋体" w:cs="宋体"/>
          <w:b/>
          <w:bCs/>
          <w:color w:val="auto"/>
          <w:sz w:val="21"/>
          <w:szCs w:val="21"/>
          <w:highlight w:val="none"/>
          <w:u w:val="single"/>
        </w:rPr>
        <w:t>附表</w:t>
      </w:r>
      <w:r>
        <w:rPr>
          <w:rFonts w:hint="eastAsia" w:ascii="宋体" w:hAnsi="宋体" w:cs="宋体"/>
          <w:b/>
          <w:bCs/>
          <w:color w:val="auto"/>
          <w:sz w:val="21"/>
          <w:szCs w:val="21"/>
          <w:highlight w:val="none"/>
          <w:u w:val="single"/>
          <w:lang w:val="en-US" w:eastAsia="zh-CN"/>
        </w:rPr>
        <w:t>二</w:t>
      </w:r>
      <w:r>
        <w:rPr>
          <w:rFonts w:hint="eastAsia" w:ascii="宋体" w:hAnsi="宋体" w:eastAsia="宋体" w:cs="宋体"/>
          <w:b w:val="0"/>
          <w:bCs w:val="0"/>
          <w:color w:val="auto"/>
          <w:sz w:val="21"/>
          <w:szCs w:val="21"/>
          <w:highlight w:val="none"/>
          <w:u w:val="none"/>
        </w:rPr>
        <w:t>《技术标有效性审查表》</w:t>
      </w:r>
      <w:r>
        <w:rPr>
          <w:rFonts w:hint="eastAsia" w:ascii="宋体" w:hAnsi="宋体" w:eastAsia="宋体" w:cs="宋体"/>
          <w:color w:val="auto"/>
          <w:sz w:val="21"/>
          <w:szCs w:val="21"/>
          <w:highlight w:val="none"/>
        </w:rPr>
        <w:t>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14:paraId="5DD473EE">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修改类型：修改</w:t>
      </w:r>
    </w:p>
    <w:p w14:paraId="2F9992C3">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r>
        <w:rPr>
          <w:rFonts w:hint="eastAsia" w:ascii="宋体" w:hAnsi="宋体" w:eastAsia="宋体" w:cs="宋体"/>
          <w:color w:val="auto"/>
          <w:sz w:val="21"/>
          <w:szCs w:val="21"/>
          <w:highlight w:val="none"/>
        </w:rPr>
        <w:t>。</w:t>
      </w:r>
    </w:p>
    <w:p w14:paraId="7C1CD622">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.8评标委员会</w:t>
      </w:r>
      <w:r>
        <w:rPr>
          <w:rFonts w:hint="eastAsia" w:ascii="宋体" w:hAnsi="宋体" w:eastAsia="宋体" w:cs="宋体"/>
          <w:color w:val="auto"/>
          <w:sz w:val="21"/>
          <w:szCs w:val="21"/>
          <w:highlight w:val="none"/>
        </w:rPr>
        <w:t>按上述修正错误的原则及方法调整或修正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不接受修正后的报价，</w:t>
      </w:r>
      <w:r>
        <w:rPr>
          <w:rFonts w:hint="eastAsia" w:ascii="宋体" w:hAnsi="宋体" w:eastAsia="宋体" w:cs="宋体"/>
          <w:color w:val="auto"/>
          <w:sz w:val="21"/>
          <w:szCs w:val="21"/>
          <w:highlight w:val="none"/>
          <w:u w:val="single"/>
        </w:rPr>
        <w:t>则取消其投标资格</w:t>
      </w:r>
      <w:r>
        <w:rPr>
          <w:rFonts w:hint="eastAsia" w:ascii="宋体" w:hAnsi="宋体" w:eastAsia="宋体" w:cs="宋体"/>
          <w:color w:val="auto"/>
          <w:sz w:val="21"/>
          <w:szCs w:val="21"/>
          <w:highlight w:val="none"/>
          <w:lang w:eastAsia="zh-CN"/>
        </w:rPr>
        <w:t>。</w:t>
      </w:r>
    </w:p>
    <w:p w14:paraId="00A45E3C">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ascii="宋体" w:hAnsi="宋体" w:cs="宋体"/>
          <w:b/>
          <w:color w:val="auto"/>
          <w:sz w:val="21"/>
          <w:szCs w:val="21"/>
          <w:highlight w:val="none"/>
          <w:lang w:val="en-US" w:eastAsia="zh-CN"/>
        </w:rPr>
        <w:t>6.2</w:t>
      </w:r>
      <w:r>
        <w:rPr>
          <w:rFonts w:hint="eastAsia" w:ascii="宋体" w:hAnsi="宋体" w:eastAsia="宋体" w:cs="宋体"/>
          <w:b/>
          <w:color w:val="auto"/>
          <w:sz w:val="21"/>
          <w:szCs w:val="21"/>
          <w:highlight w:val="none"/>
        </w:rPr>
        <w:t xml:space="preserve">             修改类型：修改</w:t>
      </w:r>
    </w:p>
    <w:p w14:paraId="5B2E65C8">
      <w:pPr>
        <w:pStyle w:val="36"/>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46.2按以下方法计算评标参考价：</w:t>
      </w:r>
    </w:p>
    <w:p w14:paraId="1690AD01">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区间抽取法</w:t>
      </w:r>
    </w:p>
    <w:p w14:paraId="7CA26DF7">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0EA8044">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评标参考价=（Q高-Q低）/100*Ｘ+Q低</w:t>
      </w:r>
    </w:p>
    <w:p w14:paraId="4446E928">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Q低：为达到或超过技术标及格分数线的投标人最低报价与工程成本警示价两者中的较高值；</w:t>
      </w:r>
    </w:p>
    <w:p w14:paraId="289AAFEB">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Q高：为最高投标限价*D%（政府投资项目，D的取值范围为[94-100],由招标人自主确定；非政府投资项目由招标人自主确定取值范围），具体金额为               元。</w:t>
      </w:r>
    </w:p>
    <w:p w14:paraId="1AA4F474">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X:为等分点值，在开标前从[0,100]整数中随机抽取</w:t>
      </w:r>
    </w:p>
    <w:p w14:paraId="478EB044">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46.3当标价等于评标参考价时得100分，标价每高于评标参考价1%，扣1.5分，每低于评标参考价1%，扣1分，扣至0分为止，得出经济分，精确到小数点后两位。</w:t>
      </w:r>
    </w:p>
    <w:p w14:paraId="235C059D">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46.4计算通过技术标有效性审查的投标人总得分。投标人总得分=（技术得分×  %（技术得分权重）＋经济得分×  %（经济得分权重）×（1-信用评价分数权重）＋信用评价得分×  %（企业信用评价得分权重，招标人可在[10%-20%]范围内自主确定）。技术、经济得分权重按投标须知前附表的规定执行。总得分四舍五入保留两位小数。</w:t>
      </w:r>
    </w:p>
    <w:p w14:paraId="0A3FF3D2">
      <w:pPr>
        <w:pStyle w:val="36"/>
        <w:keepNext w:val="0"/>
        <w:keepLines w:val="0"/>
        <w:pageBreakBefore w:val="0"/>
        <w:tabs>
          <w:tab w:val="left" w:pos="7380"/>
        </w:tabs>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46.2按以下方法计算评标参考价</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投标报价低于成本警示价的投标人不参加经济标的评分）</w:t>
      </w:r>
      <w:r>
        <w:rPr>
          <w:rFonts w:hint="eastAsia" w:ascii="宋体" w:hAnsi="宋体" w:eastAsia="宋体" w:cs="宋体"/>
          <w:color w:val="auto"/>
          <w:sz w:val="21"/>
          <w:szCs w:val="21"/>
          <w:highlight w:val="none"/>
        </w:rPr>
        <w:t>：</w:t>
      </w:r>
    </w:p>
    <w:p w14:paraId="6F472918">
      <w:pPr>
        <w:widowControl/>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设在[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14:paraId="18ACF227">
      <w:pPr>
        <w:widowControl/>
        <w:spacing w:line="36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注：若投标人的技术标得分相同的，以投标总报价较低的排前；若投标总报价仍相同的，以企业信用评价得分高的排前，若企业信用评价得分仍相同的，由评标委员会采用记名投票方式确定排序。</w:t>
      </w:r>
    </w:p>
    <w:p w14:paraId="51F601B4">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kern w:val="2"/>
          <w:sz w:val="21"/>
          <w:szCs w:val="21"/>
          <w:highlight w:val="none"/>
          <w:u w:val="single"/>
          <w:lang w:val="en-US" w:eastAsia="zh-CN" w:bidi="ar-SA"/>
        </w:rPr>
        <w:t>记名投票方式确定排序的具体操作步骤为：由评标委员会对出现该情况的投标人采取记名投票的方式确定，按得票数从高到低排列先后次序，以得票数高的排前，根据得票数高低确定排序。</w:t>
      </w:r>
    </w:p>
    <w:p w14:paraId="6FF76059">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cs="宋体"/>
          <w:b/>
          <w:bCs/>
          <w:color w:val="auto"/>
          <w:sz w:val="21"/>
          <w:szCs w:val="21"/>
          <w:highlight w:val="none"/>
          <w:u w:val="single"/>
          <w:lang w:val="en-US" w:eastAsia="zh-CN"/>
        </w:rPr>
        <w:t>46.3</w:t>
      </w:r>
      <w:r>
        <w:rPr>
          <w:rFonts w:hint="eastAsia" w:ascii="宋体" w:hAnsi="宋体" w:eastAsia="宋体" w:cs="宋体"/>
          <w:b/>
          <w:bCs/>
          <w:color w:val="auto"/>
          <w:sz w:val="21"/>
          <w:szCs w:val="21"/>
          <w:highlight w:val="none"/>
          <w:u w:val="single"/>
        </w:rPr>
        <w:t>当标价等于评标参考价时得100分，标价每高于评标参考价1%，扣1.5分，每低于评标参考价1%，扣1分，扣至0分为止，根据第一章“投标人须知前附表”第</w:t>
      </w:r>
      <w:r>
        <w:rPr>
          <w:rFonts w:hint="eastAsia" w:ascii="宋体" w:hAnsi="宋体" w:cs="宋体"/>
          <w:b/>
          <w:bCs/>
          <w:color w:val="auto"/>
          <w:sz w:val="21"/>
          <w:szCs w:val="21"/>
          <w:highlight w:val="none"/>
          <w:u w:val="single"/>
          <w:lang w:val="en-US" w:eastAsia="zh-CN"/>
        </w:rPr>
        <w:t>44</w:t>
      </w:r>
      <w:r>
        <w:rPr>
          <w:rFonts w:hint="eastAsia" w:ascii="宋体" w:hAnsi="宋体" w:eastAsia="宋体" w:cs="宋体"/>
          <w:b/>
          <w:bCs/>
          <w:color w:val="auto"/>
          <w:sz w:val="21"/>
          <w:szCs w:val="21"/>
          <w:highlight w:val="none"/>
          <w:u w:val="single"/>
        </w:rPr>
        <w:t>项规定实施经济标评审优惠政策(如有)</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得出经济分，精确到小数点后两位。</w:t>
      </w:r>
    </w:p>
    <w:p w14:paraId="525309D9">
      <w:pPr>
        <w:keepNext w:val="0"/>
        <w:keepLines w:val="0"/>
        <w:pageBreakBefore w:val="0"/>
        <w:pBdr>
          <w:bottom w:val="single" w:color="auto" w:sz="6" w:space="1"/>
        </w:pBdr>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计算通过技术标有效性审查的投标人总得分。投标人总得分=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（技术得分×</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%（技术得分权重）＋经济得分×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%（经济得分权重）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rPr>
        <w:t>＋信用评价得分×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%。技术、经济得分权重按投标须知前附表的规定执行。总得分四舍五入保留两位小数。</w:t>
      </w:r>
    </w:p>
    <w:p w14:paraId="114C93E9">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修改类型：修改</w:t>
      </w:r>
    </w:p>
    <w:p w14:paraId="12432FE7">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5FE9C63">
      <w:pPr>
        <w:keepNext w:val="0"/>
        <w:keepLines w:val="0"/>
        <w:pageBreakBefore w:val="0"/>
        <w:pBdr>
          <w:bottom w:val="single" w:color="auto" w:sz="6" w:space="1"/>
        </w:pBd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w:t>
      </w:r>
      <w:r>
        <w:rPr>
          <w:rFonts w:hint="eastAsia" w:ascii="宋体" w:hAnsi="宋体" w:eastAsia="宋体" w:cs="宋体"/>
          <w:b/>
          <w:bCs/>
          <w:color w:val="auto"/>
          <w:sz w:val="21"/>
          <w:szCs w:val="21"/>
          <w:highlight w:val="none"/>
          <w:u w:val="single"/>
        </w:rPr>
        <w:t>直至评出规定数量的合格中标候选人，</w:t>
      </w:r>
      <w:r>
        <w:rPr>
          <w:rFonts w:hint="eastAsia" w:ascii="宋体" w:hAnsi="宋体" w:eastAsia="宋体" w:cs="宋体"/>
          <w:color w:val="auto"/>
          <w:sz w:val="21"/>
          <w:szCs w:val="21"/>
          <w:highlight w:val="none"/>
        </w:rPr>
        <w:t>经济标有效性审查结束</w:t>
      </w:r>
      <w:r>
        <w:rPr>
          <w:rFonts w:hint="eastAsia" w:ascii="宋体" w:hAnsi="宋体" w:eastAsia="宋体" w:cs="宋体"/>
          <w:color w:val="auto"/>
          <w:sz w:val="21"/>
          <w:szCs w:val="21"/>
          <w:highlight w:val="none"/>
          <w:u w:val="none"/>
          <w:lang w:eastAsia="zh-CN"/>
        </w:rPr>
        <w:t>。</w:t>
      </w:r>
    </w:p>
    <w:p w14:paraId="41655F5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49</w:t>
      </w:r>
      <w:r>
        <w:rPr>
          <w:rFonts w:hint="eastAsia" w:ascii="宋体" w:hAnsi="宋体" w:eastAsia="宋体" w:cs="宋体"/>
          <w:b/>
          <w:color w:val="auto"/>
          <w:sz w:val="21"/>
          <w:szCs w:val="21"/>
          <w:highlight w:val="none"/>
        </w:rPr>
        <w:t xml:space="preserve">             修改类型：修改</w:t>
      </w:r>
    </w:p>
    <w:p w14:paraId="2A0C6F6E">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49.评标委员会应在通过投标文件经济标有效性审查的投标人中，按步骤45.4确定的投标人第二阶段排序，推荐前3名依次为第一中标候选人至第三中标候选人,并编制评标报告</w:t>
      </w:r>
      <w:r>
        <w:rPr>
          <w:rFonts w:hint="eastAsia" w:ascii="宋体" w:hAnsi="宋体" w:eastAsia="宋体" w:cs="宋体"/>
          <w:b w:val="0"/>
          <w:bCs/>
          <w:color w:val="auto"/>
          <w:sz w:val="21"/>
          <w:szCs w:val="21"/>
          <w:highlight w:val="none"/>
          <w:lang w:eastAsia="zh-CN"/>
        </w:rPr>
        <w:t>。</w:t>
      </w:r>
    </w:p>
    <w:p w14:paraId="078814A5">
      <w:pPr>
        <w:keepNext w:val="0"/>
        <w:keepLines w:val="0"/>
        <w:pageBreakBefore w:val="0"/>
        <w:pBdr>
          <w:bottom w:val="single" w:color="auto" w:sz="6" w:space="1"/>
        </w:pBd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rPr>
        <w:t>49.评标委员会应在通过投标文件经济标有效性审查的投标人中，按步骤4</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.4确定的投标人</w:t>
      </w:r>
      <w:r>
        <w:rPr>
          <w:rFonts w:hint="eastAsia" w:ascii="宋体" w:hAnsi="宋体" w:eastAsia="宋体" w:cs="宋体"/>
          <w:b w:val="0"/>
          <w:bCs/>
          <w:color w:val="auto"/>
          <w:sz w:val="21"/>
          <w:szCs w:val="21"/>
          <w:highlight w:val="none"/>
          <w:lang w:val="en-US" w:eastAsia="zh-CN"/>
        </w:rPr>
        <w:t>总得分</w:t>
      </w:r>
      <w:r>
        <w:rPr>
          <w:rFonts w:hint="eastAsia" w:ascii="宋体" w:hAnsi="宋体" w:eastAsia="宋体" w:cs="宋体"/>
          <w:b w:val="0"/>
          <w:bCs/>
          <w:color w:val="auto"/>
          <w:sz w:val="21"/>
          <w:szCs w:val="21"/>
          <w:highlight w:val="none"/>
        </w:rPr>
        <w:t>排序，</w:t>
      </w:r>
      <w:r>
        <w:rPr>
          <w:rFonts w:hint="eastAsia" w:ascii="宋体" w:hAnsi="宋体" w:eastAsia="宋体" w:cs="宋体"/>
          <w:b/>
          <w:bCs/>
          <w:color w:val="auto"/>
          <w:sz w:val="21"/>
          <w:szCs w:val="21"/>
          <w:highlight w:val="none"/>
          <w:u w:val="single"/>
        </w:rPr>
        <w:t>按投标须知前附表第2</w:t>
      </w:r>
      <w:r>
        <w:rPr>
          <w:rFonts w:hint="eastAsia" w:ascii="宋体" w:hAnsi="宋体" w:eastAsia="宋体" w:cs="宋体"/>
          <w:b/>
          <w:bCs/>
          <w:color w:val="auto"/>
          <w:sz w:val="21"/>
          <w:szCs w:val="21"/>
          <w:highlight w:val="none"/>
          <w:u w:val="single"/>
          <w:lang w:eastAsia="zh-CN"/>
        </w:rPr>
        <w:t>0</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合格中标候选人，进入定标阶段</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并编制评标报告。</w:t>
      </w:r>
    </w:p>
    <w:p w14:paraId="1C79EECE">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50</w:t>
      </w:r>
      <w:r>
        <w:rPr>
          <w:rFonts w:hint="eastAsia" w:ascii="宋体" w:hAnsi="宋体" w:eastAsia="宋体" w:cs="宋体"/>
          <w:b/>
          <w:color w:val="auto"/>
          <w:sz w:val="21"/>
          <w:szCs w:val="21"/>
          <w:highlight w:val="none"/>
        </w:rPr>
        <w:t xml:space="preserve">             修改类型：修改</w:t>
      </w:r>
    </w:p>
    <w:p w14:paraId="391C406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val="en-US" w:eastAsia="zh-CN"/>
        </w:rPr>
        <w:t>50.</w:t>
      </w:r>
      <w:r>
        <w:rPr>
          <w:rFonts w:hint="eastAsia" w:ascii="宋体" w:hAnsi="宋体" w:eastAsia="宋体" w:cs="宋体"/>
          <w:b w:val="0"/>
          <w:bCs/>
          <w:color w:val="auto"/>
          <w:sz w:val="21"/>
          <w:szCs w:val="21"/>
          <w:highlight w:val="none"/>
        </w:rPr>
        <w:t>若通过经济标有效性审查的投标人不足三家，则本项目招标失败，由招标人依法重新招标（当N个标段同时招标且不允许兼中时，有效投标人应≥N+2家）</w:t>
      </w:r>
      <w:r>
        <w:rPr>
          <w:rFonts w:hint="eastAsia" w:ascii="宋体" w:hAnsi="宋体" w:eastAsia="宋体" w:cs="宋体"/>
          <w:b w:val="0"/>
          <w:bCs/>
          <w:color w:val="auto"/>
          <w:sz w:val="21"/>
          <w:szCs w:val="21"/>
          <w:highlight w:val="none"/>
          <w:lang w:eastAsia="zh-CN"/>
        </w:rPr>
        <w:t>。</w:t>
      </w:r>
    </w:p>
    <w:p w14:paraId="1A96A999">
      <w:pPr>
        <w:keepNext w:val="0"/>
        <w:keepLines w:val="0"/>
        <w:pageBreakBefore w:val="0"/>
        <w:pBdr>
          <w:bottom w:val="single" w:color="auto" w:sz="6" w:space="1"/>
        </w:pBd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50.</w:t>
      </w:r>
      <w:r>
        <w:rPr>
          <w:rFonts w:hint="eastAsia" w:ascii="宋体" w:hAnsi="宋体" w:eastAsia="宋体" w:cs="宋体"/>
          <w:b w:val="0"/>
          <w:bCs/>
          <w:color w:val="auto"/>
          <w:sz w:val="21"/>
          <w:szCs w:val="21"/>
          <w:highlight w:val="none"/>
        </w:rPr>
        <w:t>若通过经济标有效性审查的投标人不足三家，则本项目招标失败，由招标人依法重新招标</w:t>
      </w:r>
      <w:r>
        <w:rPr>
          <w:rFonts w:hint="eastAsia" w:ascii="宋体" w:hAnsi="宋体" w:eastAsia="宋体" w:cs="宋体"/>
          <w:b w:val="0"/>
          <w:bCs/>
          <w:color w:val="auto"/>
          <w:sz w:val="21"/>
          <w:szCs w:val="21"/>
          <w:highlight w:val="none"/>
          <w:lang w:eastAsia="zh-CN"/>
        </w:rPr>
        <w:t>。</w:t>
      </w:r>
    </w:p>
    <w:p w14:paraId="1816283C">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w:t>
      </w:r>
      <w:r>
        <w:rPr>
          <w:rFonts w:hint="eastAsia" w:ascii="宋体" w:hAnsi="宋体" w:cs="宋体"/>
          <w:b/>
          <w:color w:val="auto"/>
          <w:kern w:val="0"/>
          <w:sz w:val="21"/>
          <w:szCs w:val="21"/>
          <w:highlight w:val="none"/>
          <w:lang w:val="en-US" w:eastAsia="zh-CN"/>
        </w:rPr>
        <w:t>51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w:t>
      </w:r>
      <w:r>
        <w:rPr>
          <w:rFonts w:hint="eastAsia" w:ascii="宋体" w:hAnsi="宋体" w:eastAsia="宋体" w:cs="宋体"/>
          <w:b/>
          <w:color w:val="auto"/>
          <w:sz w:val="21"/>
          <w:szCs w:val="21"/>
          <w:highlight w:val="none"/>
          <w:lang w:eastAsia="zh-CN"/>
        </w:rPr>
        <w:t>增加</w:t>
      </w:r>
    </w:p>
    <w:p w14:paraId="0CD291A2">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color w:val="auto"/>
          <w:sz w:val="21"/>
          <w:szCs w:val="21"/>
          <w:highlight w:val="none"/>
          <w:lang w:eastAsia="zh-CN"/>
        </w:rPr>
        <w:t>现文</w:t>
      </w:r>
      <w:r>
        <w:rPr>
          <w:rFonts w:hint="eastAsia" w:ascii="宋体" w:hAnsi="宋体" w:eastAsia="宋体" w:cs="宋体"/>
          <w:b/>
          <w:color w:val="auto"/>
          <w:sz w:val="21"/>
          <w:szCs w:val="21"/>
          <w:highlight w:val="none"/>
        </w:rPr>
        <w:t>：</w:t>
      </w:r>
      <w:r>
        <w:rPr>
          <w:rFonts w:hint="eastAsia" w:ascii="宋体" w:hAnsi="宋体" w:cs="宋体"/>
          <w:b/>
          <w:bCs w:val="0"/>
          <w:color w:val="auto"/>
          <w:sz w:val="21"/>
          <w:szCs w:val="21"/>
          <w:highlight w:val="none"/>
          <w:u w:val="single"/>
          <w:lang w:val="en-US" w:eastAsia="zh-CN"/>
        </w:rPr>
        <w:t>51</w:t>
      </w:r>
      <w:r>
        <w:rPr>
          <w:rFonts w:hint="eastAsia" w:ascii="宋体" w:hAnsi="宋体" w:eastAsia="宋体" w:cs="宋体"/>
          <w:b/>
          <w:bCs w:val="0"/>
          <w:color w:val="auto"/>
          <w:sz w:val="21"/>
          <w:szCs w:val="21"/>
          <w:highlight w:val="none"/>
          <w:u w:val="single"/>
        </w:rPr>
        <w:t>.定标</w:t>
      </w:r>
    </w:p>
    <w:p w14:paraId="07BF3F4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如评标委员会推荐的合格中标候选人不足三家，招标人应当依法重新招标，不再进行定标工作。</w:t>
      </w:r>
    </w:p>
    <w:p w14:paraId="5685DA34">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rPr>
        <w:t>.1定标时间和地点</w:t>
      </w:r>
    </w:p>
    <w:p w14:paraId="4BB14DA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招标人在合格中标候选人公示结束后</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个工作日内在广州交易集团有限公司（广州公共资源交易中心）开展定标工作，招标人按规定程序完成定标工作。</w:t>
      </w:r>
    </w:p>
    <w:p w14:paraId="07F24BD7">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rPr>
        <w:t>.2定标委员会：成员数量为5人，由招标人组建。</w:t>
      </w:r>
    </w:p>
    <w:p w14:paraId="5E49E6EF">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rPr>
        <w:t>.3监督小组：成员数量为</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人，由招标人组建。</w:t>
      </w:r>
    </w:p>
    <w:p w14:paraId="20E887A5">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rPr>
        <w:t>.4定标办法：定标采用评分法，定标委员会从评标委员会推荐的合格中标候选人中，依据评分法选出得分最高的候选人，确定为中标人。</w:t>
      </w:r>
    </w:p>
    <w:p w14:paraId="0CFA80C5">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本次定标采用“方案因素”＋“价格因素”，其中总得分（100分）=方案因素得分（100分）*方案因素权重（70%）+价格因素得分（100分）*价格因素权重（30%）</w:t>
      </w:r>
    </w:p>
    <w:p w14:paraId="1AA8283F">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highlight w:val="none"/>
          <w:u w:val="single"/>
        </w:rPr>
      </w:pPr>
      <w:r>
        <w:rPr>
          <w:rFonts w:hint="eastAsia" w:ascii="宋体" w:hAnsi="宋体" w:cs="宋体"/>
          <w:b/>
          <w:bCs/>
          <w:color w:val="auto"/>
          <w:highlight w:val="none"/>
          <w:u w:val="single"/>
          <w:lang w:val="en-US" w:eastAsia="zh-CN"/>
        </w:rPr>
        <w:t>51</w:t>
      </w:r>
      <w:r>
        <w:rPr>
          <w:rFonts w:hint="eastAsia" w:ascii="宋体" w:hAnsi="宋体" w:eastAsia="宋体" w:cs="宋体"/>
          <w:b/>
          <w:bCs/>
          <w:color w:val="auto"/>
          <w:highlight w:val="none"/>
          <w:u w:val="single"/>
        </w:rPr>
        <w:t>.5定标因素：</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1</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方案因素：对合格中标候选人</w:t>
      </w:r>
      <w:r>
        <w:rPr>
          <w:rFonts w:hint="eastAsia" w:ascii="宋体" w:hAnsi="宋体" w:eastAsia="宋体" w:cs="宋体"/>
          <w:b/>
          <w:bCs/>
          <w:color w:val="auto"/>
          <w:highlight w:val="none"/>
          <w:u w:val="single"/>
          <w:lang w:val="en-US" w:eastAsia="zh-CN"/>
        </w:rPr>
        <w:t>定标</w:t>
      </w:r>
      <w:r>
        <w:rPr>
          <w:rFonts w:hint="eastAsia" w:ascii="宋体" w:hAnsi="宋体" w:eastAsia="宋体" w:cs="宋体"/>
          <w:b/>
          <w:bCs/>
          <w:color w:val="auto"/>
          <w:highlight w:val="none"/>
          <w:u w:val="single"/>
        </w:rPr>
        <w:t>方案进行评审：</w:t>
      </w:r>
      <w:r>
        <w:rPr>
          <w:rFonts w:hint="eastAsia" w:ascii="宋体" w:hAnsi="宋体" w:eastAsia="宋体" w:cs="宋体"/>
          <w:b/>
          <w:bCs w:val="0"/>
          <w:color w:val="auto"/>
          <w:szCs w:val="21"/>
          <w:highlight w:val="none"/>
          <w:u w:val="single"/>
        </w:rPr>
        <w:t>①团队配置</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Cs w:val="21"/>
          <w:highlight w:val="none"/>
          <w:u w:val="single"/>
        </w:rPr>
        <w:t>②施工管理措施</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Cs w:val="21"/>
          <w:highlight w:val="none"/>
          <w:u w:val="single"/>
          <w:lang w:val="en-US" w:eastAsia="zh-CN"/>
        </w:rPr>
        <w:t>③成本控制措施、④资金管理措施。</w:t>
      </w:r>
    </w:p>
    <w:p w14:paraId="661C204A">
      <w:pPr>
        <w:keepNext w:val="0"/>
        <w:keepLines w:val="0"/>
        <w:pageBreakBefore w:val="0"/>
        <w:numPr>
          <w:ilvl w:val="0"/>
          <w:numId w:val="0"/>
        </w:numPr>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2</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价格因素：</w:t>
      </w:r>
      <w:r>
        <w:rPr>
          <w:rFonts w:hint="eastAsia" w:ascii="宋体" w:hAnsi="宋体" w:eastAsia="宋体" w:cs="宋体"/>
          <w:b/>
          <w:bCs/>
          <w:color w:val="auto"/>
          <w:szCs w:val="21"/>
          <w:highlight w:val="none"/>
          <w:u w:val="single"/>
        </w:rPr>
        <w:t>定标委员会对合格中标候选人投标报价进行打分，以合格中标候选人中投标报价高于成本警示价的最低投标报价为定标基准价（如合格中标候选人的投标报价均等于成本警示价的，则以成本警示价为定标基准价），投标报价等于定标基准价时得</w:t>
      </w:r>
      <w:r>
        <w:rPr>
          <w:rFonts w:ascii="宋体" w:hAnsi="宋体" w:eastAsia="宋体" w:cs="宋体"/>
          <w:b/>
          <w:bCs/>
          <w:color w:val="auto"/>
          <w:szCs w:val="21"/>
          <w:highlight w:val="none"/>
          <w:u w:val="single"/>
        </w:rPr>
        <w:t>100分。投标报价比定标基准价每高1%扣1.5分；每低1%扣1.0分，扣至0分为止。分数出现小数点时，保留小数点后二位，第三位小数四舍五入。</w:t>
      </w:r>
    </w:p>
    <w:p w14:paraId="3DA91624">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rPr>
        <w:t>.6定标程序</w:t>
      </w:r>
    </w:p>
    <w:p w14:paraId="5B545F2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招标人或其委托的招标代理机构应安排1名熟悉情况的工作人员在定标会场担任招标项目负责人，按程序组织定标工作：</w:t>
      </w:r>
    </w:p>
    <w:p w14:paraId="133BD52C">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.6.1招标项目负责人宣读定标委员会组建情况及成员名单，宣读定标纪律，签订廉政责任书。</w:t>
      </w:r>
    </w:p>
    <w:p w14:paraId="1BC8319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eastAsia="zh-CN"/>
        </w:rPr>
        <w:t>2</w:t>
      </w:r>
      <w:r>
        <w:rPr>
          <w:rFonts w:hint="eastAsia" w:ascii="宋体" w:hAnsi="宋体" w:eastAsia="宋体" w:cs="宋体"/>
          <w:b/>
          <w:bCs/>
          <w:color w:val="auto"/>
          <w:szCs w:val="21"/>
          <w:highlight w:val="none"/>
          <w:u w:val="single"/>
        </w:rPr>
        <w:t>发放定标辅助资料：招标文件、合格中标候选人提交的定标文件。</w:t>
      </w:r>
    </w:p>
    <w:p w14:paraId="2822550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eastAsia="zh-CN"/>
        </w:rPr>
        <w:t>3</w:t>
      </w:r>
      <w:r>
        <w:rPr>
          <w:rFonts w:hint="eastAsia" w:ascii="宋体" w:hAnsi="宋体" w:eastAsia="宋体" w:cs="宋体"/>
          <w:b/>
          <w:bCs/>
          <w:color w:val="auto"/>
          <w:szCs w:val="21"/>
          <w:highlight w:val="none"/>
          <w:u w:val="single"/>
        </w:rPr>
        <w:t>定标委员会根据各定标文件，按照定标因素的标准进行评审。</w:t>
      </w:r>
    </w:p>
    <w:p w14:paraId="1DB1D9D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w:t>
      </w:r>
      <w:r>
        <w:rPr>
          <w:rFonts w:hint="eastAsia" w:ascii="宋体" w:hAnsi="宋体" w:cs="宋体"/>
          <w:b/>
          <w:bCs/>
          <w:color w:val="auto"/>
          <w:szCs w:val="21"/>
          <w:highlight w:val="none"/>
          <w:u w:val="single"/>
          <w:lang w:val="en-US" w:eastAsia="zh-CN"/>
        </w:rPr>
        <w:t>4</w:t>
      </w:r>
      <w:r>
        <w:rPr>
          <w:rFonts w:hint="eastAsia" w:ascii="宋体" w:hAnsi="宋体" w:eastAsia="宋体" w:cs="宋体"/>
          <w:b/>
          <w:bCs/>
          <w:color w:val="auto"/>
          <w:szCs w:val="21"/>
          <w:highlight w:val="none"/>
          <w:u w:val="single"/>
        </w:rPr>
        <w:t>将所有定标委员会成员对同一投标人的评分进行相加【总得分（100分）=</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因素得分（100分）*</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因素权重（70%）+价格因素得分（100分）*价格因素权重（30%）】，总分由高至低排序，总分最高的为中标人；</w:t>
      </w:r>
      <w:r>
        <w:rPr>
          <w:rFonts w:ascii="宋体" w:hAnsi="宋体" w:eastAsia="宋体" w:cs="宋体"/>
          <w:b/>
          <w:bCs/>
          <w:color w:val="auto"/>
          <w:szCs w:val="21"/>
          <w:highlight w:val="none"/>
          <w:u w:val="single"/>
        </w:rPr>
        <w:t>其中，合格中标候选人方案因素得分为所有定标委员会成员对同一投标人评分相加去掉一个最高分和一个最低分后的算术平均值</w:t>
      </w:r>
      <w:r>
        <w:rPr>
          <w:rFonts w:hint="eastAsia" w:ascii="宋体" w:hAnsi="宋体" w:eastAsia="宋体" w:cs="宋体"/>
          <w:b/>
          <w:bCs/>
          <w:color w:val="auto"/>
          <w:szCs w:val="21"/>
          <w:highlight w:val="none"/>
          <w:u w:val="single"/>
        </w:rPr>
        <w:t>（分数出现小数点时，保留小数点后二位，第三位小数四舍五入）</w:t>
      </w:r>
      <w:r>
        <w:rPr>
          <w:rFonts w:ascii="宋体" w:hAnsi="宋体" w:eastAsia="宋体" w:cs="宋体"/>
          <w:b/>
          <w:bCs/>
          <w:color w:val="auto"/>
          <w:szCs w:val="21"/>
          <w:highlight w:val="none"/>
          <w:u w:val="single"/>
        </w:rPr>
        <w:t>。</w:t>
      </w:r>
    </w:p>
    <w:p w14:paraId="1B09BFF3">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注：若合格中标候选人总得分相同且影响定标排序的，以</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因素得分高的排前；若</w:t>
      </w:r>
      <w:r>
        <w:rPr>
          <w:rFonts w:hint="eastAsia" w:ascii="宋体" w:hAnsi="宋体" w:eastAsia="宋体" w:cs="宋体"/>
          <w:b/>
          <w:bCs/>
          <w:color w:val="auto"/>
          <w:szCs w:val="21"/>
          <w:highlight w:val="none"/>
          <w:u w:val="single"/>
          <w:lang w:val="en-US" w:eastAsia="zh-CN"/>
        </w:rPr>
        <w:t>方案</w:t>
      </w:r>
      <w:r>
        <w:rPr>
          <w:rFonts w:hint="eastAsia" w:ascii="宋体" w:hAnsi="宋体" w:eastAsia="宋体" w:cs="宋体"/>
          <w:b/>
          <w:bCs/>
          <w:color w:val="auto"/>
          <w:szCs w:val="21"/>
          <w:highlight w:val="none"/>
          <w:u w:val="single"/>
        </w:rPr>
        <w:t>因素得分仍相同的，以投标报价</w:t>
      </w:r>
      <w:r>
        <w:rPr>
          <w:rFonts w:hint="eastAsia" w:ascii="宋体" w:hAnsi="宋体" w:cs="宋体"/>
          <w:b/>
          <w:bCs/>
          <w:color w:val="auto"/>
          <w:szCs w:val="21"/>
          <w:highlight w:val="none"/>
          <w:u w:val="single"/>
          <w:lang w:val="en-US" w:eastAsia="zh-CN"/>
        </w:rPr>
        <w:t>低</w:t>
      </w:r>
      <w:r>
        <w:rPr>
          <w:rFonts w:hint="eastAsia" w:ascii="宋体" w:hAnsi="宋体" w:eastAsia="宋体" w:cs="宋体"/>
          <w:b/>
          <w:bCs/>
          <w:color w:val="auto"/>
          <w:szCs w:val="21"/>
          <w:highlight w:val="none"/>
          <w:u w:val="single"/>
        </w:rPr>
        <w:t>的排前，若投标报价仍相同的，由定标委员会投票确定排序。</w:t>
      </w:r>
    </w:p>
    <w:p w14:paraId="56AC183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lang w:val="en-US" w:eastAsia="zh-CN"/>
        </w:rPr>
        <w:t>.6.</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定标委员会根据评分情况及定标原则</w:t>
      </w:r>
      <w:r>
        <w:rPr>
          <w:rFonts w:hint="eastAsia" w:ascii="宋体" w:hAnsi="宋体" w:eastAsia="宋体" w:cs="宋体"/>
          <w:b/>
          <w:bCs/>
          <w:color w:val="auto"/>
          <w:szCs w:val="21"/>
          <w:highlight w:val="none"/>
          <w:u w:val="single"/>
          <w:lang w:val="en-US" w:eastAsia="zh-CN"/>
        </w:rPr>
        <w:t>确定</w:t>
      </w:r>
      <w:r>
        <w:rPr>
          <w:rFonts w:hint="eastAsia" w:ascii="宋体" w:hAnsi="宋体" w:eastAsia="宋体" w:cs="宋体"/>
          <w:b/>
          <w:bCs/>
          <w:color w:val="auto"/>
          <w:szCs w:val="21"/>
          <w:highlight w:val="none"/>
          <w:u w:val="single"/>
        </w:rPr>
        <w:t>中标人。</w:t>
      </w:r>
    </w:p>
    <w:p w14:paraId="0308DBDD">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编写定标报告，定标委员会全体确认后签署定标报告。</w:t>
      </w:r>
    </w:p>
    <w:p w14:paraId="5FCF2F5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.7招标人应当在定标工作完成后3日内公示中标结果。</w:t>
      </w:r>
    </w:p>
    <w:p w14:paraId="05241F67">
      <w:pPr>
        <w:spacing w:line="360" w:lineRule="auto"/>
        <w:ind w:firstLine="422" w:firstLineChars="200"/>
        <w:rPr>
          <w:rFonts w:ascii="宋体" w:hAnsi="宋体" w:eastAsia="宋体" w:cs="宋体"/>
          <w:b/>
          <w:bCs/>
          <w:color w:val="auto"/>
          <w:szCs w:val="21"/>
          <w:highlight w:val="none"/>
          <w:u w:val="single"/>
        </w:rPr>
      </w:pPr>
      <w:r>
        <w:rPr>
          <w:rFonts w:hint="eastAsia" w:ascii="宋体" w:hAnsi="宋体" w:cs="宋体"/>
          <w:b/>
          <w:bCs/>
          <w:color w:val="auto"/>
          <w:szCs w:val="21"/>
          <w:highlight w:val="none"/>
          <w:u w:val="single"/>
          <w:lang w:eastAsia="zh-CN"/>
        </w:rPr>
        <w:t>51</w:t>
      </w:r>
      <w:r>
        <w:rPr>
          <w:rFonts w:hint="eastAsia" w:ascii="宋体" w:hAnsi="宋体" w:eastAsia="宋体" w:cs="宋体"/>
          <w:b/>
          <w:bCs/>
          <w:color w:val="auto"/>
          <w:szCs w:val="21"/>
          <w:highlight w:val="none"/>
          <w:u w:val="single"/>
        </w:rPr>
        <w:t>.8（1）重新评标或定标的，评标信息（含业绩、奖项等）、定标信息仍以投标截止时投标人的信息为准。因特殊原因需要延长投标有效期，投标人拒绝延长投标有效期的，仍参与评标、定标，但不被推荐为合格中标候选人。</w:t>
      </w:r>
    </w:p>
    <w:p w14:paraId="55D575B4">
      <w:pP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2）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5398123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14:paraId="093724C9">
      <w:pPr>
        <w:keepNext w:val="0"/>
        <w:keepLines w:val="0"/>
        <w:pageBreakBefore w:val="0"/>
        <w:pBdr>
          <w:top w:val="none" w:color="auto" w:sz="0"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val="0"/>
          <w:bCs/>
          <w:color w:val="auto"/>
          <w:sz w:val="21"/>
          <w:szCs w:val="21"/>
          <w:highlight w:val="none"/>
          <w:lang w:eastAsia="zh-CN"/>
        </w:rPr>
      </w:pPr>
      <w:r>
        <w:rPr>
          <w:rFonts w:hint="eastAsia" w:ascii="宋体" w:hAnsi="宋体" w:cs="宋体"/>
          <w:b/>
          <w:bCs/>
          <w:color w:val="auto"/>
          <w:szCs w:val="21"/>
          <w:highlight w:val="none"/>
          <w:u w:val="single"/>
          <w:lang w:val="en-US" w:eastAsia="zh-CN"/>
        </w:rPr>
        <w:t>51</w:t>
      </w:r>
      <w:r>
        <w:rPr>
          <w:rFonts w:hint="eastAsia" w:ascii="宋体" w:hAnsi="宋体" w:eastAsia="宋体" w:cs="宋体"/>
          <w:b/>
          <w:bCs/>
          <w:color w:val="auto"/>
          <w:szCs w:val="21"/>
          <w:highlight w:val="none"/>
          <w:u w:val="single"/>
          <w:lang w:val="en-US" w:eastAsia="zh-CN"/>
        </w:rPr>
        <w:t>.</w:t>
      </w:r>
      <w:r>
        <w:rPr>
          <w:rFonts w:hint="eastAsia" w:ascii="宋体" w:hAnsi="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r>
        <w:rPr>
          <w:rFonts w:hint="eastAsia" w:ascii="宋体" w:hAnsi="宋体" w:eastAsia="宋体" w:cs="宋体"/>
          <w:b w:val="0"/>
          <w:bCs/>
          <w:color w:val="auto"/>
          <w:sz w:val="21"/>
          <w:szCs w:val="21"/>
          <w:highlight w:val="none"/>
          <w:lang w:eastAsia="zh-CN"/>
        </w:rPr>
        <w:t>。</w:t>
      </w:r>
    </w:p>
    <w:p w14:paraId="32BA37E2">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条款号：附表一《资格审查表》             修改类型：修改</w:t>
      </w:r>
    </w:p>
    <w:p w14:paraId="4B13ED44">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398FA68D">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详见本招标文件第二章附表一《资格审查表》</w:t>
      </w:r>
    </w:p>
    <w:p w14:paraId="5F3A460B">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条款号：附表二《技术标有效性审查表》             修改类型：修改</w:t>
      </w:r>
    </w:p>
    <w:p w14:paraId="56778BF1">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5E5C4991">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详见本招标文件第二章附表二《技术标有效性审查表》</w:t>
      </w:r>
    </w:p>
    <w:p w14:paraId="7F0DB29E">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条款号：附表三《经济标有效性审查表》             修改类型：修改</w:t>
      </w:r>
    </w:p>
    <w:p w14:paraId="4F4CA986">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0224E8A6">
      <w:pPr>
        <w:keepNext w:val="0"/>
        <w:keepLines w:val="0"/>
        <w:pageBreakBefore w:val="0"/>
        <w:pBdr>
          <w:bottom w:val="single" w:color="auto" w:sz="6" w:space="1"/>
        </w:pBdr>
        <w:kinsoku/>
        <w:wordWrap/>
        <w:overflowPunct/>
        <w:topLinePunct w:val="0"/>
        <w:autoSpaceDE/>
        <w:autoSpaceDN/>
        <w:bidi w:val="0"/>
        <w:adjustRightInd/>
        <w:spacing w:line="360" w:lineRule="auto"/>
        <w:ind w:firstLine="527" w:firstLineChars="25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详见本招标文件第二章附表三《经济标有效性审查表》</w:t>
      </w:r>
    </w:p>
    <w:p w14:paraId="77F17860">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条款号：附表四《技术标详细审查评分表》         修改类型：修改  </w:t>
      </w:r>
    </w:p>
    <w:p w14:paraId="20710140">
      <w:pPr>
        <w:keepNext w:val="0"/>
        <w:keepLines w:val="0"/>
        <w:pageBreakBefore w:val="0"/>
        <w:kinsoku/>
        <w:wordWrap/>
        <w:overflowPunct/>
        <w:topLinePunct w:val="0"/>
        <w:autoSpaceDE/>
        <w:autoSpaceDN/>
        <w:bidi w:val="0"/>
        <w:adjustRightInd/>
        <w:spacing w:line="360" w:lineRule="auto"/>
        <w:ind w:firstLine="472" w:firstLineChars="224"/>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详见最新版广州市城市道路及轨道交通建设工程施工公开招标项目招标文件示范文本（适用于资格后审电子化施工招标投标项目）GZJTZB2025-3</w:t>
      </w:r>
    </w:p>
    <w:p w14:paraId="5F57C42A">
      <w:pPr>
        <w:keepNext w:val="0"/>
        <w:keepLines w:val="0"/>
        <w:pageBreakBefore w:val="0"/>
        <w:pBdr>
          <w:bottom w:val="single" w:color="auto" w:sz="6" w:space="1"/>
        </w:pBd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详见本招标文件第二章附表四《</w:t>
      </w:r>
      <w:r>
        <w:rPr>
          <w:rFonts w:hint="eastAsia" w:ascii="宋体" w:hAnsi="宋体" w:eastAsia="宋体" w:cs="宋体"/>
          <w:color w:val="auto"/>
          <w:sz w:val="21"/>
          <w:szCs w:val="21"/>
          <w:highlight w:val="none"/>
          <w:lang w:eastAsia="zh-CN"/>
        </w:rPr>
        <w:t>算术复核</w:t>
      </w:r>
      <w:r>
        <w:rPr>
          <w:rFonts w:hint="eastAsia" w:ascii="宋体" w:hAnsi="宋体" w:eastAsia="宋体" w:cs="宋体"/>
          <w:color w:val="auto"/>
          <w:sz w:val="21"/>
          <w:szCs w:val="21"/>
          <w:highlight w:val="none"/>
        </w:rPr>
        <w:t>表》</w:t>
      </w:r>
    </w:p>
    <w:p w14:paraId="511F2705">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条款号：附表</w:t>
      </w: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至附表</w:t>
      </w: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val="en-US" w:eastAsia="zh-CN"/>
        </w:rPr>
        <w:t>增加</w:t>
      </w:r>
    </w:p>
    <w:p w14:paraId="1363CCA9">
      <w:pPr>
        <w:keepNext w:val="0"/>
        <w:keepLines w:val="0"/>
        <w:pageBreakBefore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bCs w:val="0"/>
          <w:color w:val="auto"/>
          <w:sz w:val="21"/>
          <w:szCs w:val="21"/>
          <w:highlight w:val="none"/>
          <w:lang w:eastAsia="zh-CN"/>
        </w:rPr>
        <w:t>具体</w:t>
      </w:r>
      <w:r>
        <w:rPr>
          <w:rFonts w:hint="eastAsia" w:ascii="宋体" w:hAnsi="宋体" w:eastAsia="宋体" w:cs="宋体"/>
          <w:b/>
          <w:bCs w:val="0"/>
          <w:color w:val="auto"/>
          <w:sz w:val="21"/>
          <w:szCs w:val="21"/>
          <w:highlight w:val="none"/>
        </w:rPr>
        <w:t>详见招标文件</w:t>
      </w:r>
      <w:r>
        <w:rPr>
          <w:rFonts w:hint="eastAsia" w:ascii="宋体" w:hAnsi="宋体" w:eastAsia="宋体" w:cs="宋体"/>
          <w:b/>
          <w:bCs w:val="0"/>
          <w:color w:val="auto"/>
          <w:sz w:val="21"/>
          <w:szCs w:val="21"/>
          <w:highlight w:val="none"/>
          <w:lang w:eastAsia="zh-CN"/>
        </w:rPr>
        <w:t>正文附表。</w:t>
      </w:r>
    </w:p>
    <w:p w14:paraId="01CD65FE">
      <w:pPr>
        <w:pBdr>
          <w:bottom w:val="none" w:color="auto" w:sz="0" w:space="0"/>
        </w:pBdr>
        <w:snapToGrid w:val="0"/>
        <w:spacing w:line="360" w:lineRule="auto"/>
        <w:ind w:firstLine="1103" w:firstLineChars="523"/>
        <w:rPr>
          <w:rFonts w:hint="eastAsia" w:ascii="宋体" w:hAnsi="宋体" w:eastAsia="宋体" w:cs="宋体"/>
          <w:b/>
          <w:color w:val="auto"/>
          <w:szCs w:val="21"/>
          <w:highlight w:val="none"/>
          <w:u w:val="single"/>
        </w:rPr>
      </w:pPr>
    </w:p>
    <w:p w14:paraId="17DB08DB">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strike/>
          <w:color w:val="auto"/>
          <w:szCs w:val="21"/>
          <w:highlight w:val="none"/>
        </w:rPr>
        <w:t>注：以上修改，仅限于本范本中有可供选择条款的情形。</w:t>
      </w:r>
    </w:p>
    <w:p w14:paraId="6B25CA8B">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（以下无正文）</w:t>
      </w:r>
    </w:p>
    <w:p w14:paraId="518F531E">
      <w:pPr>
        <w:pStyle w:val="8"/>
        <w:spacing w:line="360" w:lineRule="auto"/>
        <w:rPr>
          <w:color w:val="auto"/>
          <w:highlight w:val="none"/>
        </w:rPr>
      </w:pPr>
      <w:r>
        <w:rPr>
          <w:color w:val="auto"/>
          <w:highlight w:val="none"/>
        </w:rPr>
        <w:br w:type="page"/>
      </w:r>
    </w:p>
    <w:p w14:paraId="39619CBC">
      <w:pPr>
        <w:pStyle w:val="4"/>
        <w:bidi w:val="0"/>
        <w:rPr>
          <w:color w:val="auto"/>
          <w:highlight w:val="none"/>
        </w:rPr>
      </w:pPr>
      <w:bookmarkStart w:id="56" w:name="_Toc29349"/>
      <w:bookmarkStart w:id="57" w:name="_Toc9828"/>
      <w:bookmarkStart w:id="58" w:name="_Toc22241"/>
      <w:bookmarkStart w:id="59" w:name="_Toc2272556"/>
      <w:bookmarkStart w:id="60" w:name="_Toc21525500"/>
      <w:r>
        <w:rPr>
          <w:rFonts w:hint="eastAsia"/>
          <w:color w:val="auto"/>
          <w:highlight w:val="none"/>
        </w:rPr>
        <w:t>二、开标、评标及定标办法通用条款</w:t>
      </w:r>
      <w:bookmarkEnd w:id="56"/>
      <w:bookmarkEnd w:id="57"/>
      <w:bookmarkEnd w:id="58"/>
      <w:bookmarkEnd w:id="59"/>
      <w:bookmarkEnd w:id="60"/>
    </w:p>
    <w:p w14:paraId="3127FB0C">
      <w:pPr>
        <w:pStyle w:val="5"/>
        <w:bidi w:val="0"/>
        <w:ind w:firstLine="480" w:firstLineChars="200"/>
        <w:rPr>
          <w:rFonts w:hint="eastAsia"/>
          <w:color w:val="auto"/>
          <w:highlight w:val="none"/>
          <w:lang w:val="en-US" w:eastAsia="zh-CN"/>
        </w:rPr>
      </w:pPr>
      <w:bookmarkStart w:id="61" w:name="_Toc7437"/>
      <w:bookmarkStart w:id="62" w:name="_Toc9587"/>
      <w:bookmarkStart w:id="63" w:name="_Toc26489"/>
      <w:r>
        <w:rPr>
          <w:rFonts w:hint="eastAsia"/>
          <w:color w:val="auto"/>
          <w:highlight w:val="none"/>
          <w:lang w:val="en-US" w:eastAsia="zh-CN"/>
        </w:rPr>
        <w:t>（一）总则</w:t>
      </w:r>
      <w:bookmarkEnd w:id="61"/>
      <w:bookmarkEnd w:id="62"/>
    </w:p>
    <w:p w14:paraId="0727B2AB">
      <w:pPr>
        <w:bidi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35.</w:t>
      </w:r>
      <w:r>
        <w:rPr>
          <w:rFonts w:hint="eastAsia" w:ascii="宋体" w:hAnsi="宋体" w:cs="Times New Roman"/>
          <w:color w:val="auto"/>
          <w:sz w:val="24"/>
          <w:szCs w:val="24"/>
          <w:highlight w:val="none"/>
        </w:rPr>
        <w:t>开标、评标及定标所依据的规则</w:t>
      </w:r>
      <w:bookmarkEnd w:id="63"/>
    </w:p>
    <w:p w14:paraId="7458DB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.1《中华人民共和国招标投标法》；</w:t>
      </w:r>
    </w:p>
    <w:p w14:paraId="7D975F4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129EB555">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41F0428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723634AB">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.5</w:t>
      </w:r>
      <w:r>
        <w:rPr>
          <w:rFonts w:hint="eastAsia" w:ascii="宋体" w:hAnsi="宋体"/>
          <w:color w:val="auto"/>
          <w:sz w:val="24"/>
          <w:szCs w:val="24"/>
          <w:highlight w:val="none"/>
          <w:lang w:eastAsia="zh-CN"/>
        </w:rPr>
        <w:t>《电子招标投标办法</w:t>
      </w:r>
      <w:r>
        <w:rPr>
          <w:rFonts w:hint="eastAsia" w:ascii="宋体" w:hAnsi="宋体"/>
          <w:color w:val="auto"/>
          <w:sz w:val="24"/>
          <w:szCs w:val="24"/>
          <w:highlight w:val="none"/>
          <w:lang w:val="en-US" w:eastAsia="zh-CN"/>
        </w:rPr>
        <w:t>》；</w:t>
      </w:r>
    </w:p>
    <w:p w14:paraId="223DC40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35.6</w:t>
      </w:r>
      <w:r>
        <w:rPr>
          <w:rFonts w:hint="eastAsia" w:ascii="宋体" w:hAnsi="宋体"/>
          <w:color w:val="auto"/>
          <w:sz w:val="24"/>
          <w:szCs w:val="24"/>
          <w:highlight w:val="none"/>
        </w:rPr>
        <w:t>《广东省实施〈中华人民共和国招标投标法〉办法》；</w:t>
      </w:r>
    </w:p>
    <w:p w14:paraId="764881F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r>
        <w:rPr>
          <w:rFonts w:hint="eastAsia" w:ascii="宋体" w:hAnsi="宋体"/>
          <w:color w:val="auto"/>
          <w:sz w:val="24"/>
          <w:szCs w:val="24"/>
          <w:highlight w:val="none"/>
          <w:lang w:eastAsia="zh-CN"/>
        </w:rPr>
        <w:t>；</w:t>
      </w:r>
    </w:p>
    <w:p w14:paraId="7A66E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《广东省加强建设工程招标投标监督管理的若干规定》（粤发[2004]4号）；</w:t>
      </w:r>
    </w:p>
    <w:p w14:paraId="74E4CF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《广州市工程建设项目招标投标管理办法》（穗建规字〔</w:t>
      </w:r>
      <w:r>
        <w:rPr>
          <w:rFonts w:ascii="宋体" w:hAnsi="宋体" w:eastAsia="宋体"/>
          <w:color w:val="auto"/>
          <w:sz w:val="24"/>
          <w:szCs w:val="24"/>
          <w:highlight w:val="none"/>
        </w:rPr>
        <w:t>2023</w:t>
      </w:r>
      <w:r>
        <w:rPr>
          <w:rFonts w:hint="eastAsia" w:ascii="宋体" w:hAnsi="宋体" w:eastAsia="宋体"/>
          <w:color w:val="auto"/>
          <w:sz w:val="24"/>
          <w:szCs w:val="24"/>
          <w:highlight w:val="none"/>
        </w:rPr>
        <w:t>〕</w:t>
      </w:r>
      <w:r>
        <w:rPr>
          <w:rFonts w:ascii="宋体" w:hAnsi="宋体" w:eastAsia="宋体"/>
          <w:color w:val="auto"/>
          <w:sz w:val="24"/>
          <w:szCs w:val="24"/>
          <w:highlight w:val="none"/>
        </w:rPr>
        <w:t>12</w:t>
      </w:r>
      <w:r>
        <w:rPr>
          <w:rFonts w:hint="eastAsia" w:ascii="宋体" w:hAnsi="宋体" w:eastAsia="宋体"/>
          <w:color w:val="auto"/>
          <w:sz w:val="24"/>
          <w:szCs w:val="24"/>
          <w:highlight w:val="none"/>
        </w:rPr>
        <w:t>号）</w:t>
      </w:r>
      <w:r>
        <w:rPr>
          <w:rFonts w:hint="eastAsia" w:ascii="宋体" w:hAnsi="宋体"/>
          <w:color w:val="auto"/>
          <w:sz w:val="24"/>
          <w:szCs w:val="24"/>
          <w:highlight w:val="none"/>
        </w:rPr>
        <w:t>。</w:t>
      </w:r>
    </w:p>
    <w:p w14:paraId="3303D8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本项目招标文件。</w:t>
      </w:r>
    </w:p>
    <w:p w14:paraId="144B0E2D">
      <w:pPr>
        <w:bidi w:val="0"/>
        <w:spacing w:line="360" w:lineRule="auto"/>
        <w:ind w:firstLine="480" w:firstLineChars="200"/>
        <w:rPr>
          <w:rFonts w:hint="eastAsia" w:ascii="宋体" w:hAnsi="宋体" w:cs="Times New Roman"/>
          <w:color w:val="auto"/>
          <w:sz w:val="24"/>
          <w:szCs w:val="24"/>
          <w:highlight w:val="none"/>
        </w:rPr>
      </w:pPr>
      <w:bookmarkStart w:id="64" w:name="_Toc1310"/>
      <w:r>
        <w:rPr>
          <w:rFonts w:hint="eastAsia" w:ascii="宋体" w:hAnsi="宋体" w:cs="Times New Roman"/>
          <w:color w:val="auto"/>
          <w:sz w:val="24"/>
          <w:szCs w:val="24"/>
          <w:highlight w:val="none"/>
          <w:lang w:val="en-US" w:eastAsia="zh-CN"/>
        </w:rPr>
        <w:t>36</w:t>
      </w:r>
      <w:r>
        <w:rPr>
          <w:rFonts w:hint="eastAsia" w:ascii="宋体" w:hAnsi="宋体" w:cs="Times New Roman"/>
          <w:color w:val="auto"/>
          <w:sz w:val="24"/>
          <w:szCs w:val="24"/>
          <w:highlight w:val="none"/>
        </w:rPr>
        <w:t>．开标</w:t>
      </w:r>
      <w:bookmarkEnd w:id="64"/>
    </w:p>
    <w:p w14:paraId="75638C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w:t>
      </w:r>
      <w:r>
        <w:rPr>
          <w:rFonts w:hint="eastAsia" w:ascii="宋体" w:hAnsi="宋体"/>
          <w:color w:val="auto"/>
          <w:sz w:val="24"/>
          <w:szCs w:val="24"/>
          <w:highlight w:val="none"/>
          <w:lang w:eastAsia="zh-CN"/>
        </w:rPr>
        <w:t>通过电子招标投标交易平台</w:t>
      </w:r>
      <w:r>
        <w:rPr>
          <w:rFonts w:hint="eastAsia" w:ascii="宋体" w:hAnsi="宋体"/>
          <w:color w:val="auto"/>
          <w:sz w:val="24"/>
          <w:szCs w:val="24"/>
          <w:highlight w:val="none"/>
        </w:rPr>
        <w:t>公开开标，并邀请所有投标人参加</w:t>
      </w:r>
      <w:r>
        <w:rPr>
          <w:rFonts w:hint="eastAsia" w:ascii="宋体" w:hAnsi="宋体"/>
          <w:color w:val="auto"/>
          <w:sz w:val="24"/>
          <w:szCs w:val="24"/>
          <w:highlight w:val="none"/>
          <w:lang w:eastAsia="zh-CN"/>
        </w:rPr>
        <w:t>，投标人可选择在开标室参加开标或准时在线参加开标，也可以不参加开标，均不影响开标程序</w:t>
      </w:r>
      <w:r>
        <w:rPr>
          <w:rFonts w:hint="eastAsia" w:ascii="宋体" w:hAnsi="宋体"/>
          <w:color w:val="auto"/>
          <w:sz w:val="24"/>
          <w:szCs w:val="24"/>
          <w:highlight w:val="none"/>
        </w:rPr>
        <w:t>。</w:t>
      </w:r>
      <w:r>
        <w:rPr>
          <w:rFonts w:hint="eastAsia"/>
          <w:color w:val="auto"/>
          <w:sz w:val="24"/>
          <w:highlight w:val="none"/>
        </w:rPr>
        <w:t>投标人不派代表</w:t>
      </w:r>
      <w:r>
        <w:rPr>
          <w:rFonts w:hint="eastAsia"/>
          <w:color w:val="auto"/>
          <w:sz w:val="24"/>
          <w:highlight w:val="none"/>
          <w:lang w:eastAsia="zh-CN"/>
        </w:rPr>
        <w:t>参加</w:t>
      </w:r>
      <w:r>
        <w:rPr>
          <w:rFonts w:hint="eastAsia"/>
          <w:color w:val="auto"/>
          <w:sz w:val="24"/>
          <w:highlight w:val="none"/>
        </w:rPr>
        <w:t>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14:paraId="1923101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51978F0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w:t>
      </w:r>
      <w:r>
        <w:rPr>
          <w:rFonts w:hint="eastAsia" w:ascii="宋体" w:hAnsi="宋体"/>
          <w:color w:val="auto"/>
          <w:sz w:val="24"/>
          <w:szCs w:val="24"/>
          <w:highlight w:val="none"/>
          <w:lang w:val="en-US" w:eastAsia="zh-CN"/>
        </w:rPr>
        <w:t>可</w:t>
      </w:r>
      <w:r>
        <w:rPr>
          <w:rFonts w:hint="eastAsia" w:ascii="宋体" w:hAnsi="宋体"/>
          <w:color w:val="auto"/>
          <w:sz w:val="24"/>
          <w:szCs w:val="24"/>
          <w:highlight w:val="none"/>
        </w:rPr>
        <w:t>在开标</w:t>
      </w:r>
      <w:r>
        <w:rPr>
          <w:rFonts w:hint="eastAsia" w:ascii="宋体" w:hAnsi="宋体"/>
          <w:color w:val="auto"/>
          <w:sz w:val="24"/>
          <w:szCs w:val="24"/>
          <w:highlight w:val="none"/>
          <w:lang w:val="en-US" w:eastAsia="zh-CN"/>
        </w:rPr>
        <w:t>时（唱标工作完成后）</w:t>
      </w:r>
      <w:r>
        <w:rPr>
          <w:rFonts w:hint="eastAsia" w:ascii="宋体" w:hAnsi="宋体"/>
          <w:color w:val="auto"/>
          <w:sz w:val="24"/>
          <w:szCs w:val="24"/>
          <w:highlight w:val="none"/>
        </w:rPr>
        <w:t>抽取。首先对招标文件中约定的若干种评标方法进行编号，再随机抽取某一编号，该编号所对应的评标办法供评标时使用。</w:t>
      </w:r>
    </w:p>
    <w:p w14:paraId="5282A33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szCs w:val="24"/>
          <w:highlight w:val="none"/>
          <w:lang w:eastAsia="zh-CN"/>
        </w:rPr>
        <w:t>。</w:t>
      </w:r>
    </w:p>
    <w:p w14:paraId="4A43CB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6901444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4B39DF2E">
      <w:pPr>
        <w:tabs>
          <w:tab w:val="left" w:pos="10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w:t>
      </w:r>
      <w:r>
        <w:rPr>
          <w:rFonts w:hint="eastAsia" w:ascii="宋体" w:hAnsi="宋体"/>
          <w:color w:val="auto"/>
          <w:sz w:val="24"/>
          <w:highlight w:val="none"/>
          <w:lang w:val="en-US" w:eastAsia="zh-CN"/>
        </w:rPr>
        <w:t>5</w:t>
      </w:r>
      <w:r>
        <w:rPr>
          <w:rFonts w:hint="eastAsia" w:ascii="宋体" w:hAnsi="宋体"/>
          <w:color w:val="auto"/>
          <w:sz w:val="24"/>
          <w:highlight w:val="none"/>
        </w:rPr>
        <w:t>项的规定执行；</w:t>
      </w:r>
    </w:p>
    <w:p w14:paraId="53DC549F">
      <w:pPr>
        <w:spacing w:line="360" w:lineRule="auto"/>
        <w:ind w:firstLine="480" w:firstLineChars="200"/>
        <w:rPr>
          <w:rFonts w:ascii="宋体" w:hAnsi="宋体"/>
          <w:color w:val="auto"/>
          <w:sz w:val="24"/>
          <w:highlight w:val="none"/>
        </w:rPr>
      </w:pPr>
      <w:bookmarkStart w:id="65" w:name="_Toc501"/>
      <w:r>
        <w:rPr>
          <w:rFonts w:hint="eastAsia" w:ascii="宋体" w:hAnsi="宋体"/>
          <w:color w:val="auto"/>
          <w:sz w:val="24"/>
          <w:highlight w:val="none"/>
        </w:rPr>
        <w:t>36.5.</w:t>
      </w:r>
      <w:r>
        <w:rPr>
          <w:rFonts w:hint="eastAsia" w:ascii="宋体" w:hAnsi="宋体"/>
          <w:color w:val="auto"/>
          <w:sz w:val="24"/>
          <w:highlight w:val="none"/>
          <w:lang w:val="en-US" w:eastAsia="zh-CN"/>
        </w:rPr>
        <w:t>3</w:t>
      </w:r>
      <w:r>
        <w:rPr>
          <w:rFonts w:hint="eastAsia" w:ascii="宋体" w:hAnsi="宋体"/>
          <w:color w:val="auto"/>
          <w:sz w:val="24"/>
          <w:highlight w:val="none"/>
        </w:rPr>
        <w:t>投标人代表、招标人代表、监标人、记录人等有关人员在开标记录上签字确认；若有关人员不签字的，不影响开标程序；</w:t>
      </w:r>
    </w:p>
    <w:p w14:paraId="368516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w:t>
      </w:r>
      <w:r>
        <w:rPr>
          <w:rFonts w:hint="eastAsia" w:ascii="宋体" w:hAnsi="宋体"/>
          <w:color w:val="auto"/>
          <w:sz w:val="24"/>
          <w:highlight w:val="none"/>
          <w:lang w:val="en-US" w:eastAsia="zh-CN"/>
        </w:rPr>
        <w:t>6</w:t>
      </w:r>
      <w:r>
        <w:rPr>
          <w:rFonts w:hint="eastAsia" w:ascii="宋体" w:hAnsi="宋体"/>
          <w:color w:val="auto"/>
          <w:sz w:val="24"/>
          <w:highlight w:val="none"/>
        </w:rPr>
        <w:t>开标结束。</w:t>
      </w:r>
    </w:p>
    <w:p w14:paraId="777A4D9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E29BC9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4490F3DC">
      <w:pPr>
        <w:pStyle w:val="19"/>
        <w:ind w:firstLine="480"/>
        <w:rPr>
          <w:rFonts w:hint="eastAsia" w:hAnsi="宋体"/>
          <w:color w:val="auto"/>
          <w:sz w:val="24"/>
          <w:highlight w:val="none"/>
          <w:lang w:val="en-US" w:eastAsia="zh-CN"/>
        </w:rPr>
      </w:pPr>
      <w:r>
        <w:rPr>
          <w:rFonts w:hint="eastAsia" w:hAnsi="宋体"/>
          <w:color w:val="auto"/>
          <w:sz w:val="24"/>
          <w:highlight w:val="none"/>
          <w:lang w:val="en-US" w:eastAsia="zh-CN"/>
        </w:rPr>
        <w:t>36.8开标异议</w:t>
      </w:r>
    </w:p>
    <w:p w14:paraId="14EA30A7">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36.8.1</w:t>
      </w:r>
      <w:r>
        <w:rPr>
          <w:rFonts w:hint="eastAsia" w:ascii="宋体" w:hAnsi="宋体" w:eastAsia="宋体" w:cs="Times New Roman"/>
          <w:color w:val="auto"/>
          <w:sz w:val="24"/>
          <w:highlight w:val="none"/>
        </w:rPr>
        <w:t>参加现场开标的投标人对开标结果有异议的，应当在开标现场提出，该投标人代表须同时出示本人身份证原件，招标人应当当场作出答复，并制作记录。</w:t>
      </w:r>
    </w:p>
    <w:p w14:paraId="54FB306B">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36.8.2</w:t>
      </w:r>
      <w:r>
        <w:rPr>
          <w:rFonts w:hint="eastAsia" w:ascii="宋体" w:hAnsi="宋体" w:eastAsia="宋体" w:cs="Times New Roman"/>
          <w:color w:val="auto"/>
          <w:sz w:val="24"/>
          <w:highlight w:val="none"/>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18DAFC1B">
      <w:pPr>
        <w:pStyle w:val="19"/>
        <w:spacing w:line="360" w:lineRule="auto"/>
        <w:ind w:firstLine="480"/>
        <w:rPr>
          <w:rFonts w:hint="eastAsia"/>
          <w:color w:val="auto"/>
          <w:sz w:val="24"/>
          <w:highlight w:val="none"/>
          <w:lang w:eastAsia="zh-CN"/>
        </w:rPr>
      </w:pPr>
      <w:r>
        <w:rPr>
          <w:rFonts w:hint="eastAsia" w:ascii="宋体" w:hAnsi="宋体" w:eastAsia="宋体" w:cs="Times New Roman"/>
          <w:color w:val="auto"/>
          <w:sz w:val="24"/>
          <w:highlight w:val="none"/>
          <w:lang w:val="en-US" w:eastAsia="zh-CN"/>
        </w:rPr>
        <w:t>36.8.3</w:t>
      </w:r>
      <w:r>
        <w:rPr>
          <w:rFonts w:hint="eastAsia" w:ascii="宋体"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bookmarkEnd w:id="65"/>
    </w:p>
    <w:p w14:paraId="0F0570C2">
      <w:pPr>
        <w:pStyle w:val="19"/>
        <w:spacing w:line="360" w:lineRule="auto"/>
        <w:ind w:firstLine="480"/>
        <w:rPr>
          <w:rFonts w:hint="eastAsia" w:ascii="宋体" w:hAnsi="宋体" w:eastAsia="宋体" w:cs="宋体"/>
          <w:color w:val="auto"/>
          <w:kern w:val="0"/>
          <w:sz w:val="24"/>
          <w:szCs w:val="24"/>
          <w:highlight w:val="none"/>
          <w:lang w:val="en-US" w:eastAsia="zh-CN"/>
        </w:rPr>
      </w:pPr>
      <w:r>
        <w:rPr>
          <w:rFonts w:hint="eastAsia"/>
          <w:color w:val="auto"/>
          <w:sz w:val="24"/>
          <w:highlight w:val="none"/>
          <w:lang w:val="en-US" w:eastAsia="zh-CN"/>
        </w:rPr>
        <w:t>36.8.4</w:t>
      </w:r>
      <w:r>
        <w:rPr>
          <w:rFonts w:hint="eastAsia" w:ascii="宋体"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24"/>
          <w:szCs w:val="24"/>
          <w:highlight w:val="none"/>
          <w:lang w:eastAsia="zh-CN"/>
        </w:rPr>
        <w:t>。</w:t>
      </w:r>
    </w:p>
    <w:p w14:paraId="0B6F4DF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2E24664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highlight w:val="none"/>
        </w:rPr>
        <w:t>评标由招标人依法组建的评标委员会负责。评标委员会由有关技术、经济等方面的专家和招标人代表组成，专家</w:t>
      </w:r>
      <w:r>
        <w:rPr>
          <w:rFonts w:hint="eastAsia" w:ascii="宋体" w:hAnsi="宋体"/>
          <w:color w:val="auto"/>
          <w:sz w:val="24"/>
          <w:highlight w:val="none"/>
          <w:lang w:eastAsia="zh-CN"/>
        </w:rPr>
        <w:t>从广东省综合评标评审</w:t>
      </w:r>
      <w:r>
        <w:rPr>
          <w:rFonts w:hint="eastAsia" w:ascii="宋体" w:hAnsi="宋体"/>
          <w:color w:val="auto"/>
          <w:sz w:val="24"/>
          <w:highlight w:val="none"/>
        </w:rPr>
        <w:t>专家库中抽取或按远程异地评标专家抽取相关规定组建。评标委员会成员人数以及技术、经济等方面专家的确定方式见投标人须知前附表</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30项</w:t>
      </w:r>
      <w:r>
        <w:rPr>
          <w:rFonts w:hint="eastAsia" w:ascii="宋体" w:hAnsi="宋体"/>
          <w:color w:val="auto"/>
          <w:sz w:val="24"/>
          <w:szCs w:val="24"/>
          <w:highlight w:val="none"/>
        </w:rPr>
        <w:t>。</w:t>
      </w:r>
    </w:p>
    <w:p w14:paraId="1BFCAE3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37.2</w:t>
      </w:r>
      <w:r>
        <w:rPr>
          <w:rFonts w:hint="eastAsia" w:ascii="宋体" w:hAnsi="宋体"/>
          <w:color w:val="auto"/>
          <w:sz w:val="24"/>
          <w:highlight w:val="none"/>
        </w:rPr>
        <w:t>评标委员会成员有下列情形之一的，应当回避：</w:t>
      </w:r>
    </w:p>
    <w:p w14:paraId="6D8BCF4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14:paraId="1B65F06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（2）项目主管部门或者行政监督部门的人员；</w:t>
      </w:r>
    </w:p>
    <w:p w14:paraId="1FD8165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val="en-US" w:eastAsia="zh-CN"/>
        </w:rPr>
        <w:t>或</w:t>
      </w:r>
      <w:r>
        <w:rPr>
          <w:rFonts w:hint="eastAsia" w:ascii="宋体" w:hAnsi="宋体"/>
          <w:color w:val="auto"/>
          <w:sz w:val="24"/>
          <w:highlight w:val="none"/>
        </w:rPr>
        <w:t>投标人的工作人员、退休或离职未满3年的人员；</w:t>
      </w:r>
    </w:p>
    <w:p w14:paraId="785E9F5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）与投标人有经济利益关系，可能影响对投标公正评审的；</w:t>
      </w:r>
    </w:p>
    <w:p w14:paraId="1549199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）曾因在招标、评标以及其他与招标投标有关活动中从事违法行为而受过行政处罚或刑事处罚的。</w:t>
      </w:r>
    </w:p>
    <w:p w14:paraId="57846ED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）与投标人有其他利害关系。</w:t>
      </w:r>
    </w:p>
    <w:p w14:paraId="5187B7E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评标委员会的职责及守则：</w:t>
      </w:r>
    </w:p>
    <w:p w14:paraId="67BE17C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5EECF43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24F45FA1">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07C378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6F7711F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276FCA9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3BF01D6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70B3707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540EF9A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63766D4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6C83CFE8">
      <w:pPr>
        <w:pStyle w:val="19"/>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B3824A4">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37.5</w:t>
      </w:r>
      <w:r>
        <w:rPr>
          <w:rFonts w:hint="eastAsia" w:ascii="宋体" w:hAnsi="宋体"/>
          <w:color w:val="auto"/>
          <w:sz w:val="24"/>
          <w:highlight w:val="none"/>
        </w:rPr>
        <w:t>评标委员会按照第</w:t>
      </w:r>
      <w:r>
        <w:rPr>
          <w:rFonts w:hint="eastAsia" w:ascii="宋体" w:hAnsi="宋体"/>
          <w:color w:val="auto"/>
          <w:sz w:val="24"/>
          <w:highlight w:val="none"/>
          <w:lang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办法”规定的方法、评审因素、标准和程序对投标文件进行评审。第三章“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办法”没有规定的方法、评审因素和标准，不作为评标依据</w:t>
      </w:r>
      <w:r>
        <w:rPr>
          <w:rFonts w:hint="eastAsia" w:ascii="宋体" w:hAnsi="宋体"/>
          <w:color w:val="auto"/>
          <w:sz w:val="24"/>
          <w:highlight w:val="none"/>
          <w:lang w:eastAsia="zh-CN"/>
        </w:rPr>
        <w:t>。</w:t>
      </w:r>
    </w:p>
    <w:p w14:paraId="6865C72A">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highlight w:val="none"/>
          <w:lang w:val="en-US" w:eastAsia="zh-CN"/>
        </w:rPr>
        <w:t>37.6</w:t>
      </w:r>
      <w:r>
        <w:rPr>
          <w:rFonts w:hint="eastAsia" w:ascii="宋体" w:hAnsi="宋体" w:eastAsia="宋体" w:cs="Times New Roman"/>
          <w:color w:val="auto"/>
          <w:kern w:val="2"/>
          <w:sz w:val="24"/>
          <w:szCs w:val="24"/>
          <w:highlight w:val="none"/>
          <w:lang w:val="en-US" w:eastAsia="zh-CN" w:bidi="ar-SA"/>
        </w:rPr>
        <w:t>评标结束后，评标委员会递交评标报告并依法推荐中标候选人。</w:t>
      </w:r>
    </w:p>
    <w:p w14:paraId="1E6D9094">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38．投标文件的澄清</w:t>
      </w:r>
    </w:p>
    <w:p w14:paraId="06A9B6D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 w:val="24"/>
          <w:szCs w:val="24"/>
          <w:highlight w:val="none"/>
          <w:lang w:eastAsia="zh-CN"/>
        </w:rPr>
        <w:t>、对同类问题表述不一致，有明显</w:t>
      </w:r>
      <w:r>
        <w:rPr>
          <w:rFonts w:hint="eastAsia" w:ascii="宋体" w:hAnsi="宋体"/>
          <w:color w:val="auto"/>
          <w:sz w:val="24"/>
          <w:szCs w:val="24"/>
          <w:highlight w:val="none"/>
          <w:lang w:val="en-US" w:eastAsia="zh-CN"/>
        </w:rPr>
        <w:t>格式或</w:t>
      </w:r>
      <w:r>
        <w:rPr>
          <w:rFonts w:hint="eastAsia" w:ascii="宋体" w:hAnsi="宋体"/>
          <w:color w:val="auto"/>
          <w:sz w:val="24"/>
          <w:szCs w:val="24"/>
          <w:highlight w:val="none"/>
          <w:lang w:eastAsia="zh-CN"/>
        </w:rPr>
        <w:t>文字、计算错误</w:t>
      </w:r>
      <w:r>
        <w:rPr>
          <w:rFonts w:hint="eastAsia" w:ascii="宋体" w:hAnsi="宋体"/>
          <w:color w:val="auto"/>
          <w:sz w:val="24"/>
          <w:szCs w:val="24"/>
          <w:highlight w:val="none"/>
        </w:rPr>
        <w:t>的内容作出澄清。</w:t>
      </w:r>
    </w:p>
    <w:p w14:paraId="077CA65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3F50DA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63952E2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2A14E69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auto"/>
          <w:sz w:val="24"/>
          <w:szCs w:val="24"/>
          <w:highlight w:val="none"/>
          <w:lang w:eastAsia="zh-CN"/>
        </w:rPr>
        <w:t>依法重新招标</w:t>
      </w:r>
      <w:r>
        <w:rPr>
          <w:rFonts w:hint="eastAsia" w:ascii="宋体" w:hAnsi="宋体"/>
          <w:color w:val="auto"/>
          <w:sz w:val="24"/>
          <w:szCs w:val="24"/>
          <w:highlight w:val="none"/>
        </w:rPr>
        <w:t>。</w:t>
      </w:r>
    </w:p>
    <w:p w14:paraId="5416063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3E29DAF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45278BD4">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color w:val="auto"/>
          <w:sz w:val="24"/>
          <w:szCs w:val="24"/>
          <w:highlight w:val="none"/>
          <w:lang w:eastAsia="zh-CN"/>
        </w:rPr>
        <w:t>。采用评定分离方式确定中标人的从其规定。若发现委派的项目负责人已在其他在建项目中任职，不符合任职数量规定时，招标人可以确定排名第二的中标候选人为中标人。</w:t>
      </w:r>
    </w:p>
    <w:p w14:paraId="37859D1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 w:val="24"/>
          <w:szCs w:val="24"/>
          <w:highlight w:val="none"/>
          <w:lang w:eastAsia="zh-CN"/>
        </w:rPr>
        <w:t>或经核查发现委派的项目负责人已在其他在建项目中任职，不符合任职数量规定时，</w:t>
      </w:r>
      <w:r>
        <w:rPr>
          <w:rFonts w:hint="eastAsia" w:ascii="宋体" w:hAnsi="宋体"/>
          <w:color w:val="auto"/>
          <w:sz w:val="24"/>
          <w:szCs w:val="24"/>
          <w:highlight w:val="none"/>
        </w:rPr>
        <w:t>招标人可以确定排名第二的中标候选人为中标人。</w:t>
      </w:r>
    </w:p>
    <w:p w14:paraId="2FF4975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color w:val="auto"/>
          <w:sz w:val="24"/>
          <w:szCs w:val="24"/>
          <w:highlight w:val="none"/>
          <w:lang w:eastAsia="zh-CN"/>
        </w:rPr>
        <w:t>依法重新招标</w:t>
      </w:r>
      <w:r>
        <w:rPr>
          <w:rFonts w:hint="eastAsia" w:ascii="宋体" w:hAnsi="宋体"/>
          <w:color w:val="auto"/>
          <w:sz w:val="24"/>
          <w:szCs w:val="24"/>
          <w:highlight w:val="none"/>
        </w:rPr>
        <w:t>。</w:t>
      </w:r>
    </w:p>
    <w:p w14:paraId="7A47CD8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48EAD49E">
      <w:pPr>
        <w:spacing w:line="360" w:lineRule="auto"/>
        <w:ind w:firstLine="480" w:firstLineChars="200"/>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39.6有效投标不足3个的，评标委员会应当对投标是否明显缺乏竞争和是否需要否决全部投标进行充分论证，并在评标报告中记载论证过程和结果</w:t>
      </w:r>
      <w:r>
        <w:rPr>
          <w:rFonts w:hint="eastAsia" w:ascii="宋体" w:hAnsi="宋体"/>
          <w:color w:val="auto"/>
          <w:sz w:val="24"/>
          <w:szCs w:val="24"/>
          <w:highlight w:val="none"/>
        </w:rPr>
        <w:t>。</w:t>
      </w:r>
    </w:p>
    <w:p w14:paraId="0702E686">
      <w:pPr>
        <w:pStyle w:val="19"/>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ascii="楷体" w:hAnsi="楷体" w:eastAsia="楷体" w:cs="楷体"/>
          <w:color w:val="auto"/>
          <w:sz w:val="24"/>
          <w:szCs w:val="24"/>
          <w:highlight w:val="none"/>
          <w:lang w:val="en-US" w:eastAsia="zh-CN"/>
        </w:rPr>
        <w:t>注：采用评定分离方式的，招标人应在招标文件中明确定标方式。</w:t>
      </w:r>
    </w:p>
    <w:p w14:paraId="1380A0F9">
      <w:pPr>
        <w:rPr>
          <w:rFonts w:hint="eastAsia"/>
          <w:color w:val="auto"/>
          <w:highlight w:val="none"/>
        </w:rPr>
      </w:pPr>
    </w:p>
    <w:p w14:paraId="4C6C06DE">
      <w:pPr>
        <w:pStyle w:val="19"/>
        <w:jc w:val="center"/>
        <w:rPr>
          <w:rStyle w:val="47"/>
          <w:b/>
          <w:color w:val="auto"/>
          <w:sz w:val="28"/>
          <w:szCs w:val="28"/>
          <w:highlight w:val="none"/>
        </w:rPr>
      </w:pPr>
      <w:bookmarkStart w:id="66" w:name="_Toc2272558"/>
      <w:bookmarkStart w:id="67" w:name="_Toc21525502"/>
      <w:bookmarkStart w:id="68" w:name="_Toc31469"/>
      <w:bookmarkStart w:id="69" w:name="_Toc21970"/>
      <w:bookmarkStart w:id="70" w:name="_Toc16793"/>
      <w:r>
        <w:rPr>
          <w:rStyle w:val="47"/>
          <w:rFonts w:hint="eastAsia"/>
          <w:b/>
          <w:bCs/>
          <w:color w:val="auto"/>
          <w:sz w:val="28"/>
          <w:szCs w:val="28"/>
          <w:highlight w:val="none"/>
          <w:lang w:eastAsia="zh-CN"/>
        </w:rPr>
        <w:t>（二）</w:t>
      </w:r>
      <w:r>
        <w:rPr>
          <w:rStyle w:val="47"/>
          <w:rFonts w:hint="eastAsia"/>
          <w:b/>
          <w:bCs/>
          <w:color w:val="auto"/>
          <w:sz w:val="28"/>
          <w:szCs w:val="28"/>
          <w:highlight w:val="none"/>
        </w:rPr>
        <w:t>开标评标办法程序和细则</w:t>
      </w:r>
      <w:bookmarkEnd w:id="66"/>
      <w:bookmarkEnd w:id="67"/>
      <w:bookmarkEnd w:id="68"/>
      <w:bookmarkStart w:id="71" w:name="_Toc7116"/>
    </w:p>
    <w:bookmarkEnd w:id="69"/>
    <w:bookmarkEnd w:id="70"/>
    <w:p w14:paraId="30A308D1">
      <w:pPr>
        <w:spacing w:before="156" w:after="156"/>
        <w:ind w:firstLine="482" w:firstLineChars="200"/>
        <w:rPr>
          <w:b/>
          <w:bCs/>
          <w:color w:val="auto"/>
          <w:sz w:val="24"/>
          <w:szCs w:val="24"/>
          <w:highlight w:val="none"/>
        </w:rPr>
      </w:pPr>
      <w:bookmarkStart w:id="72" w:name="_Toc2272564"/>
      <w:bookmarkStart w:id="73" w:name="_Toc9750"/>
      <w:r>
        <w:rPr>
          <w:rFonts w:hint="eastAsia"/>
          <w:b/>
          <w:bCs/>
          <w:color w:val="auto"/>
          <w:sz w:val="24"/>
          <w:szCs w:val="24"/>
          <w:highlight w:val="none"/>
        </w:rPr>
        <w:t>可选办法七（适合综合评分法四，技术标与经济标同时开启）</w:t>
      </w:r>
    </w:p>
    <w:p w14:paraId="6179CEE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1C03C1CE">
      <w:pPr>
        <w:snapToGrid w:val="0"/>
        <w:spacing w:line="360" w:lineRule="auto"/>
        <w:ind w:firstLine="480" w:firstLineChars="200"/>
        <w:rPr>
          <w:rFonts w:hint="eastAsia" w:ascii="宋体"/>
          <w:color w:val="auto"/>
          <w:sz w:val="24"/>
          <w:szCs w:val="24"/>
          <w:highlight w:val="none"/>
          <w:lang w:eastAsia="zh-CN"/>
        </w:rPr>
      </w:pPr>
      <w:r>
        <w:rPr>
          <w:rFonts w:hint="eastAsia" w:ascii="宋体"/>
          <w:color w:val="auto"/>
          <w:sz w:val="24"/>
          <w:szCs w:val="24"/>
          <w:highlight w:val="none"/>
        </w:rPr>
        <w:t>40.1</w:t>
      </w:r>
      <w:r>
        <w:rPr>
          <w:rFonts w:hint="eastAsia" w:ascii="宋体"/>
          <w:color w:val="auto"/>
          <w:sz w:val="24"/>
          <w:szCs w:val="24"/>
          <w:highlight w:val="none"/>
          <w:lang w:eastAsia="zh-CN"/>
        </w:rPr>
        <w:t>投标人递交技术标、经济标投标文件；</w:t>
      </w:r>
    </w:p>
    <w:p w14:paraId="4ABC9248">
      <w:pPr>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40.2</w:t>
      </w:r>
      <w:r>
        <w:rPr>
          <w:rFonts w:hint="eastAsia" w:ascii="宋体"/>
          <w:color w:val="auto"/>
          <w:sz w:val="24"/>
          <w:szCs w:val="24"/>
          <w:highlight w:val="none"/>
        </w:rPr>
        <w:t>技术标（含资格审查文件）与经济标投标文件同时公开开标；</w:t>
      </w:r>
    </w:p>
    <w:p w14:paraId="695F511C">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40.3</w:t>
      </w:r>
      <w:r>
        <w:rPr>
          <w:rFonts w:hint="eastAsia" w:ascii="宋体" w:hAnsi="宋体"/>
          <w:color w:val="auto"/>
          <w:sz w:val="24"/>
          <w:szCs w:val="24"/>
          <w:highlight w:val="none"/>
          <w:lang w:eastAsia="zh-CN"/>
        </w:rPr>
        <w:t>由招标人随机抽取确定该工程计算评标参考价的等分点值</w:t>
      </w:r>
      <w:r>
        <w:rPr>
          <w:rFonts w:hint="eastAsia" w:ascii="宋体" w:hAnsi="宋体"/>
          <w:color w:val="auto"/>
          <w:sz w:val="24"/>
          <w:szCs w:val="24"/>
          <w:highlight w:val="none"/>
          <w:lang w:val="en-US" w:eastAsia="zh-CN"/>
        </w:rPr>
        <w:t>X（适用于区间抽取法）；</w:t>
      </w:r>
    </w:p>
    <w:p w14:paraId="161061E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4</w:t>
      </w:r>
      <w:r>
        <w:rPr>
          <w:rFonts w:hint="eastAsia" w:ascii="宋体"/>
          <w:color w:val="auto"/>
          <w:sz w:val="24"/>
          <w:szCs w:val="24"/>
          <w:highlight w:val="none"/>
        </w:rPr>
        <w:t>由评标委员会对所有已公开开标的投标人进行资格审查；</w:t>
      </w:r>
    </w:p>
    <w:p w14:paraId="5283823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5</w:t>
      </w:r>
      <w:r>
        <w:rPr>
          <w:rFonts w:hint="eastAsia" w:ascii="宋体"/>
          <w:color w:val="auto"/>
          <w:sz w:val="24"/>
          <w:szCs w:val="24"/>
          <w:highlight w:val="none"/>
        </w:rPr>
        <w:t>技术标投标文件有效性审查；</w:t>
      </w:r>
    </w:p>
    <w:p w14:paraId="2571414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6</w:t>
      </w:r>
      <w:r>
        <w:rPr>
          <w:rFonts w:hint="eastAsia" w:ascii="宋体"/>
          <w:color w:val="auto"/>
          <w:sz w:val="24"/>
          <w:szCs w:val="24"/>
          <w:highlight w:val="none"/>
        </w:rPr>
        <w:t>技术标详细审查评分；</w:t>
      </w:r>
    </w:p>
    <w:p w14:paraId="6B7387DF">
      <w:pPr>
        <w:snapToGrid w:val="0"/>
        <w:spacing w:line="360" w:lineRule="auto"/>
        <w:ind w:firstLine="480" w:firstLineChars="20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40.7经济标的算术校核；</w:t>
      </w:r>
    </w:p>
    <w:p w14:paraId="481A32B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8</w:t>
      </w:r>
      <w:r>
        <w:rPr>
          <w:rFonts w:hint="eastAsia" w:ascii="宋体"/>
          <w:color w:val="auto"/>
          <w:sz w:val="24"/>
          <w:szCs w:val="24"/>
          <w:highlight w:val="none"/>
        </w:rPr>
        <w:t>经济标详细审查评分；</w:t>
      </w:r>
      <w:r>
        <w:rPr>
          <w:rFonts w:ascii="宋体"/>
          <w:color w:val="auto"/>
          <w:sz w:val="24"/>
          <w:szCs w:val="24"/>
          <w:highlight w:val="none"/>
        </w:rPr>
        <w:t xml:space="preserve"> </w:t>
      </w:r>
    </w:p>
    <w:p w14:paraId="5109F67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9</w:t>
      </w:r>
      <w:r>
        <w:rPr>
          <w:rFonts w:hint="eastAsia" w:ascii="宋体"/>
          <w:color w:val="auto"/>
          <w:sz w:val="24"/>
          <w:szCs w:val="24"/>
          <w:highlight w:val="none"/>
        </w:rPr>
        <w:t>评标委员会按照投标人总得分由高至低排序；</w:t>
      </w:r>
    </w:p>
    <w:p w14:paraId="0F821FF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10</w:t>
      </w:r>
      <w:r>
        <w:rPr>
          <w:rFonts w:hint="eastAsia" w:ascii="宋体"/>
          <w:color w:val="auto"/>
          <w:sz w:val="24"/>
          <w:szCs w:val="24"/>
          <w:highlight w:val="none"/>
        </w:rPr>
        <w:t>经济标投标文件有效性审查；</w:t>
      </w:r>
    </w:p>
    <w:p w14:paraId="0DF856FF">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11</w:t>
      </w:r>
      <w:r>
        <w:rPr>
          <w:rFonts w:hint="eastAsia" w:ascii="宋体"/>
          <w:color w:val="auto"/>
          <w:sz w:val="24"/>
          <w:szCs w:val="24"/>
          <w:highlight w:val="none"/>
        </w:rPr>
        <w:t>评标委员会按排序向招标人推荐中标候选人名单，并递交资格审查报告及评标报告。</w:t>
      </w:r>
    </w:p>
    <w:p w14:paraId="0862352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684C8E39">
      <w:pPr>
        <w:snapToGrid w:val="0"/>
        <w:spacing w:line="360" w:lineRule="auto"/>
        <w:ind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41.1开标由招标人主持</w:t>
      </w:r>
      <w:r>
        <w:rPr>
          <w:rFonts w:hint="eastAsia" w:ascii="宋体"/>
          <w:color w:val="auto"/>
          <w:sz w:val="24"/>
          <w:szCs w:val="24"/>
          <w:highlight w:val="none"/>
          <w:lang w:eastAsia="zh-CN"/>
        </w:rPr>
        <w:t>。</w:t>
      </w:r>
    </w:p>
    <w:p w14:paraId="0B245CB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358C1AF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33349D7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A5D72B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 xml:space="preserve">按36.5.1的规定完成解密后，公布下列内容，并予以记录，记录提交评标委员会评审： </w:t>
      </w:r>
    </w:p>
    <w:p w14:paraId="466ABE92">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e</w:t>
      </w:r>
      <w:r>
        <w:rPr>
          <w:rFonts w:hint="eastAsia" w:ascii="宋体" w:hAnsi="宋体"/>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57286511">
      <w:pPr>
        <w:snapToGrid w:val="0"/>
        <w:spacing w:line="360" w:lineRule="auto"/>
        <w:ind w:firstLine="480" w:firstLineChars="20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41.2.3.2</w:t>
      </w:r>
      <w:r>
        <w:rPr>
          <w:rFonts w:hint="eastAsia" w:ascii="宋体"/>
          <w:color w:val="auto"/>
          <w:sz w:val="24"/>
          <w:szCs w:val="24"/>
          <w:highlight w:val="none"/>
        </w:rPr>
        <w:t>由招标人随机抽取确定该工程计算评标参考价的等分点值X</w:t>
      </w:r>
      <w:r>
        <w:rPr>
          <w:rFonts w:hint="eastAsia" w:ascii="宋体"/>
          <w:color w:val="auto"/>
          <w:sz w:val="24"/>
          <w:szCs w:val="24"/>
          <w:highlight w:val="none"/>
          <w:lang w:eastAsia="zh-CN"/>
        </w:rPr>
        <w:t>。</w:t>
      </w:r>
    </w:p>
    <w:p w14:paraId="188F096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w:t>
      </w:r>
    </w:p>
    <w:p w14:paraId="6748C56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6EE546A2">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136C1155">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63CBB22D">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7391C81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1F728B90">
      <w:pPr>
        <w:pStyle w:val="36"/>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2DAED991">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6CFAD2A9">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7517B60">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3D12E9A8">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5CA3A14A">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0AB8A79">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507F1D6A">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r>
        <w:rPr>
          <w:rFonts w:hint="eastAsia" w:ascii="宋体"/>
          <w:color w:val="auto"/>
          <w:sz w:val="24"/>
          <w:szCs w:val="24"/>
          <w:highlight w:val="none"/>
          <w:lang w:eastAsia="zh-CN"/>
        </w:rPr>
        <w:t>，由招标人依法重新招标</w:t>
      </w:r>
      <w:r>
        <w:rPr>
          <w:rFonts w:hint="eastAsia" w:ascii="宋体"/>
          <w:color w:val="auto"/>
          <w:sz w:val="24"/>
          <w:szCs w:val="24"/>
          <w:highlight w:val="none"/>
        </w:rPr>
        <w:t>。</w:t>
      </w:r>
    </w:p>
    <w:p w14:paraId="270F658D">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36D75606">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4"/>
          <w:szCs w:val="24"/>
          <w:highlight w:val="none"/>
          <w:lang w:eastAsia="zh-CN"/>
        </w:rPr>
        <w:t>本项目招标失败</w:t>
      </w:r>
      <w:r>
        <w:rPr>
          <w:rFonts w:hint="eastAsia" w:ascii="宋体" w:hAnsi="宋体"/>
          <w:color w:val="auto"/>
          <w:sz w:val="24"/>
          <w:szCs w:val="24"/>
          <w:highlight w:val="none"/>
        </w:rPr>
        <w:t>（当N个标段同时招标且不允许兼中时，通过技术标有效性审查投标人</w:t>
      </w:r>
      <w:r>
        <w:rPr>
          <w:rFonts w:hint="eastAsia" w:ascii="宋体" w:hAnsi="宋体"/>
          <w:color w:val="auto"/>
          <w:sz w:val="24"/>
          <w:szCs w:val="24"/>
          <w:highlight w:val="none"/>
          <w:lang w:eastAsia="zh-CN"/>
        </w:rPr>
        <w:t>应≥</w:t>
      </w:r>
      <w:r>
        <w:rPr>
          <w:rFonts w:hint="eastAsia" w:ascii="宋体" w:hAnsi="宋体"/>
          <w:color w:val="auto"/>
          <w:sz w:val="24"/>
          <w:szCs w:val="24"/>
          <w:highlight w:val="none"/>
        </w:rPr>
        <w:t>N+2）</w:t>
      </w:r>
      <w:r>
        <w:rPr>
          <w:rFonts w:hint="eastAsia" w:ascii="宋体"/>
          <w:color w:val="auto"/>
          <w:sz w:val="24"/>
          <w:szCs w:val="24"/>
          <w:highlight w:val="none"/>
          <w:lang w:eastAsia="zh-CN"/>
        </w:rPr>
        <w:t>，由招标人依法重新招标</w:t>
      </w:r>
      <w:r>
        <w:rPr>
          <w:rFonts w:hint="eastAsia" w:ascii="宋体" w:hAnsi="宋体"/>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268774A3">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E88654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经济标的算术校核。评标委员会对进行经济标有效性审查的投标文件投标报价按照就低不就高的原则进行算术校核，具体标准如下：</w:t>
      </w:r>
    </w:p>
    <w:p w14:paraId="62C73F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1如果数字表示的金额和用文字表示的金额不一致时，应以文字表示的金额为准；</w:t>
      </w:r>
    </w:p>
    <w:p w14:paraId="7842A2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2经算术复核的投标人报价与其投标报价不一致时，按就低不就高原则确定其最终报价；</w:t>
      </w:r>
    </w:p>
    <w:p w14:paraId="59A787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860EE1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588F1C6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3FEFA7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97084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1D8EA066">
      <w:pPr>
        <w:pStyle w:val="36"/>
        <w:tabs>
          <w:tab w:val="left" w:pos="7380"/>
        </w:tabs>
        <w:snapToGrid w:val="0"/>
        <w:spacing w:after="0"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不接受修正后的报价，则取消其投标资格，并且其投标保证金也将不予退还。</w:t>
      </w:r>
    </w:p>
    <w:p w14:paraId="0B0A6298">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w:t>
      </w:r>
      <w:r>
        <w:rPr>
          <w:rFonts w:hint="eastAsia" w:ascii="宋体"/>
          <w:color w:val="auto"/>
          <w:sz w:val="24"/>
          <w:szCs w:val="24"/>
          <w:highlight w:val="none"/>
          <w:lang w:val="en-US" w:eastAsia="zh-CN"/>
        </w:rPr>
        <w:t>6</w:t>
      </w:r>
      <w:r>
        <w:rPr>
          <w:rFonts w:hint="eastAsia" w:ascii="宋体"/>
          <w:color w:val="auto"/>
          <w:sz w:val="24"/>
          <w:szCs w:val="24"/>
          <w:highlight w:val="none"/>
        </w:rPr>
        <w:t>．经济标评审和得分汇总</w:t>
      </w:r>
    </w:p>
    <w:p w14:paraId="5D204B7C">
      <w:pPr>
        <w:pStyle w:val="36"/>
        <w:tabs>
          <w:tab w:val="left" w:pos="7380"/>
        </w:tabs>
        <w:snapToGrid w:val="0"/>
        <w:spacing w:after="0" w:line="360" w:lineRule="auto"/>
        <w:ind w:firstLine="480" w:firstLineChars="200"/>
        <w:rPr>
          <w:rFonts w:hint="default" w:ascii="宋体"/>
          <w:color w:val="auto"/>
          <w:sz w:val="24"/>
          <w:szCs w:val="24"/>
          <w:highlight w:val="none"/>
          <w:lang w:val="en-US" w:eastAsia="zh-CN"/>
        </w:rPr>
      </w:pPr>
      <w:r>
        <w:rPr>
          <w:rFonts w:hint="eastAsia" w:ascii="宋体"/>
          <w:color w:val="auto"/>
          <w:sz w:val="24"/>
          <w:szCs w:val="24"/>
          <w:highlight w:val="none"/>
          <w:lang w:val="en-US" w:eastAsia="zh-CN"/>
        </w:rPr>
        <w:t>46.1</w:t>
      </w:r>
      <w:r>
        <w:rPr>
          <w:rFonts w:hint="eastAsia" w:ascii="宋体"/>
          <w:color w:val="auto"/>
          <w:sz w:val="24"/>
          <w:szCs w:val="24"/>
          <w:highlight w:val="none"/>
        </w:rPr>
        <w:t>若通过技术标有效性审查的投标人中所有投标报价均大于等于最高投标限价，则本项目招标失败，由招标人依法</w:t>
      </w:r>
      <w:r>
        <w:rPr>
          <w:rFonts w:hint="eastAsia" w:ascii="宋体"/>
          <w:color w:val="auto"/>
          <w:sz w:val="24"/>
          <w:szCs w:val="24"/>
          <w:highlight w:val="none"/>
          <w:lang w:eastAsia="zh-CN"/>
        </w:rPr>
        <w:t>重新招标</w:t>
      </w:r>
      <w:r>
        <w:rPr>
          <w:rFonts w:hint="eastAsia" w:ascii="宋体"/>
          <w:color w:val="auto"/>
          <w:sz w:val="24"/>
          <w:szCs w:val="24"/>
          <w:highlight w:val="none"/>
        </w:rPr>
        <w:t>。</w:t>
      </w:r>
    </w:p>
    <w:p w14:paraId="7D38B17A">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1C8BE44B">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78B86FA4">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w:t>
      </w:r>
      <w:r>
        <w:rPr>
          <w:rFonts w:hint="eastAsia" w:ascii="宋体" w:hAnsi="宋体" w:cs="仿宋"/>
          <w:color w:val="auto"/>
          <w:sz w:val="24"/>
          <w:szCs w:val="24"/>
          <w:highlight w:val="none"/>
          <w:lang w:eastAsia="zh-CN"/>
        </w:rPr>
        <w:t>企业信用评价得分</w:t>
      </w:r>
      <w:r>
        <w:rPr>
          <w:rFonts w:hint="eastAsia" w:ascii="宋体" w:hAnsi="宋体" w:cs="仿宋"/>
          <w:color w:val="auto"/>
          <w:sz w:val="24"/>
          <w:szCs w:val="24"/>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5E0017">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6EA0483E">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53E2CD31">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w:t>
      </w:r>
      <w:r>
        <w:rPr>
          <w:rFonts w:hint="eastAsia" w:ascii="宋体" w:hAnsi="宋体" w:cs="仿宋"/>
          <w:color w:val="auto"/>
          <w:sz w:val="24"/>
          <w:szCs w:val="24"/>
          <w:highlight w:val="none"/>
          <w:u w:val="single"/>
          <w:lang w:eastAsia="zh-CN"/>
        </w:rPr>
        <w:t>最</w:t>
      </w:r>
      <w:r>
        <w:rPr>
          <w:rFonts w:hint="eastAsia" w:ascii="宋体" w:hAnsi="宋体" w:cs="仿宋"/>
          <w:color w:val="auto"/>
          <w:sz w:val="24"/>
          <w:szCs w:val="24"/>
          <w:highlight w:val="none"/>
          <w:u w:val="single"/>
        </w:rPr>
        <w:t>高投标限价</w:t>
      </w:r>
      <w:r>
        <w:rPr>
          <w:rFonts w:hint="eastAsia" w:ascii="宋体" w:hAnsi="宋体" w:cs="仿宋"/>
          <w:color w:val="auto"/>
          <w:sz w:val="24"/>
          <w:szCs w:val="24"/>
          <w:highlight w:val="none"/>
          <w:u w:val="single"/>
          <w:lang w:val="en-US" w:eastAsia="zh-CN"/>
        </w:rPr>
        <w:t>*D%（政府投资项目，D的取值范围为[94-100],由招标人自主确定；非政府投资项目由招标人自主确定取值范围），具体金额为               元。</w:t>
      </w:r>
    </w:p>
    <w:p w14:paraId="28055682">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1E7955CD">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5C508435">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color w:val="auto"/>
          <w:sz w:val="24"/>
          <w:szCs w:val="24"/>
          <w:highlight w:val="none"/>
          <w:u w:val="single"/>
        </w:rPr>
        <w:t>计算通过技术标有效性审查的投标人总得分。投标人总得分=（技术得分×</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技术得分权重</w:t>
      </w:r>
      <w:r>
        <w:rPr>
          <w:rFonts w:hint="eastAsia" w:ascii="宋体"/>
          <w:color w:val="auto"/>
          <w:sz w:val="24"/>
          <w:szCs w:val="24"/>
          <w:highlight w:val="none"/>
          <w:u w:val="single"/>
          <w:lang w:eastAsia="zh-CN"/>
        </w:rPr>
        <w:t>）</w:t>
      </w:r>
      <w:r>
        <w:rPr>
          <w:rFonts w:hint="eastAsia" w:ascii="宋体" w:cs="宋体"/>
          <w:color w:val="auto"/>
          <w:sz w:val="24"/>
          <w:szCs w:val="24"/>
          <w:highlight w:val="none"/>
          <w:u w:val="single"/>
        </w:rPr>
        <w:t>＋</w:t>
      </w:r>
      <w:r>
        <w:rPr>
          <w:rFonts w:hint="eastAsia" w:ascii="宋体"/>
          <w:color w:val="auto"/>
          <w:sz w:val="24"/>
          <w:szCs w:val="24"/>
          <w:highlight w:val="none"/>
          <w:u w:val="single"/>
        </w:rPr>
        <w:t>经济得分×</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经济得分权重）×（1-</w:t>
      </w:r>
      <w:r>
        <w:rPr>
          <w:rFonts w:hint="eastAsia" w:ascii="宋体"/>
          <w:color w:val="auto"/>
          <w:sz w:val="24"/>
          <w:szCs w:val="24"/>
          <w:highlight w:val="none"/>
          <w:u w:val="single"/>
          <w:lang w:eastAsia="zh-CN"/>
        </w:rPr>
        <w:t>信用评价</w:t>
      </w:r>
      <w:r>
        <w:rPr>
          <w:rFonts w:hint="eastAsia" w:ascii="宋体"/>
          <w:color w:val="auto"/>
          <w:sz w:val="24"/>
          <w:szCs w:val="24"/>
          <w:highlight w:val="none"/>
          <w:u w:val="single"/>
        </w:rPr>
        <w:t>分数权重）</w:t>
      </w:r>
      <w:r>
        <w:rPr>
          <w:rFonts w:hint="eastAsia" w:ascii="宋体" w:cs="宋体"/>
          <w:color w:val="auto"/>
          <w:sz w:val="24"/>
          <w:szCs w:val="24"/>
          <w:highlight w:val="none"/>
          <w:u w:val="single"/>
        </w:rPr>
        <w:t>＋</w:t>
      </w:r>
      <w:r>
        <w:rPr>
          <w:rFonts w:hint="eastAsia" w:ascii="宋体"/>
          <w:color w:val="auto"/>
          <w:sz w:val="24"/>
          <w:szCs w:val="24"/>
          <w:highlight w:val="none"/>
          <w:u w:val="single"/>
          <w:lang w:eastAsia="zh-CN"/>
        </w:rPr>
        <w:t>信用评价</w:t>
      </w:r>
      <w:r>
        <w:rPr>
          <w:rFonts w:hint="eastAsia" w:ascii="宋体"/>
          <w:color w:val="auto"/>
          <w:sz w:val="24"/>
          <w:szCs w:val="24"/>
          <w:highlight w:val="none"/>
          <w:u w:val="single"/>
        </w:rPr>
        <w:t>得分×</w:t>
      </w:r>
      <w:r>
        <w:rPr>
          <w:rFonts w:hint="eastAsia" w:asci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企业信用</w:t>
      </w:r>
      <w:r>
        <w:rPr>
          <w:rFonts w:hint="eastAsia" w:ascii="宋体" w:hAnsi="宋体"/>
          <w:color w:val="auto"/>
          <w:sz w:val="24"/>
          <w:szCs w:val="24"/>
          <w:highlight w:val="none"/>
          <w:u w:val="single"/>
        </w:rPr>
        <w:t>评价得分权重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lang w:eastAsia="zh-CN"/>
        </w:rPr>
        <w:t>可在</w:t>
      </w:r>
      <w:r>
        <w:rPr>
          <w:rFonts w:hint="eastAsia" w:ascii="宋体" w:hAnsi="宋体"/>
          <w:color w:val="auto"/>
          <w:sz w:val="24"/>
          <w:szCs w:val="24"/>
          <w:highlight w:val="none"/>
          <w:u w:val="single"/>
          <w:lang w:val="en-US" w:eastAsia="zh-CN"/>
        </w:rPr>
        <w:t>[10%-20%]</w:t>
      </w:r>
      <w:r>
        <w:rPr>
          <w:rFonts w:hint="eastAsia" w:ascii="宋体" w:hAnsi="宋体"/>
          <w:color w:val="auto"/>
          <w:sz w:val="24"/>
          <w:szCs w:val="24"/>
          <w:highlight w:val="none"/>
          <w:u w:val="single"/>
          <w:lang w:eastAsia="zh-CN"/>
        </w:rPr>
        <w:t>范围内</w:t>
      </w:r>
      <w:r>
        <w:rPr>
          <w:rFonts w:hint="eastAsia" w:ascii="宋体" w:hAnsi="宋体"/>
          <w:color w:val="auto"/>
          <w:sz w:val="24"/>
          <w:szCs w:val="24"/>
          <w:highlight w:val="none"/>
          <w:u w:val="single"/>
          <w:lang w:val="en-US" w:eastAsia="zh-CN"/>
        </w:rPr>
        <w:t>自主确定</w:t>
      </w:r>
      <w:r>
        <w:rPr>
          <w:rFonts w:hint="eastAsia" w:ascii="宋体"/>
          <w:color w:val="auto"/>
          <w:sz w:val="24"/>
          <w:szCs w:val="24"/>
          <w:highlight w:val="none"/>
          <w:u w:val="single"/>
        </w:rPr>
        <w:t>）。</w:t>
      </w:r>
      <w:r>
        <w:rPr>
          <w:rFonts w:hint="eastAsia" w:ascii="宋体"/>
          <w:color w:val="auto"/>
          <w:sz w:val="24"/>
          <w:szCs w:val="24"/>
          <w:highlight w:val="none"/>
        </w:rPr>
        <w:t>技术、经济得分权重按投标须知前附表的规定执行。总得分四舍五入保留两位小数。</w:t>
      </w:r>
    </w:p>
    <w:p w14:paraId="5912AF3E">
      <w:pPr>
        <w:pStyle w:val="36"/>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.经济标的有效性审查</w:t>
      </w:r>
    </w:p>
    <w:p w14:paraId="39E73B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auto"/>
          <w:sz w:val="24"/>
          <w:szCs w:val="24"/>
          <w:highlight w:val="none"/>
          <w:lang w:eastAsia="zh-CN"/>
        </w:rPr>
        <w:t>属于经济标算术校核范围的不得作为否决投标的情形。</w:t>
      </w:r>
    </w:p>
    <w:p w14:paraId="01A0B3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48</w:t>
      </w:r>
      <w:r>
        <w:rPr>
          <w:rFonts w:hint="eastAsia" w:ascii="宋体" w:hAnsi="宋体"/>
          <w:color w:val="auto"/>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6CB3DE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5C30AED1">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.若通过经济标有效性审查的投标人不足三家，</w:t>
      </w:r>
      <w:r>
        <w:rPr>
          <w:rFonts w:hint="eastAsia" w:ascii="宋体" w:hAnsi="宋体"/>
          <w:color w:val="auto"/>
          <w:sz w:val="24"/>
          <w:szCs w:val="24"/>
          <w:highlight w:val="none"/>
          <w:lang w:eastAsia="zh-CN"/>
        </w:rPr>
        <w:t>则本项目招标失败，由招标人依法重新招标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个标段同时招标且不允许兼中时，有效投标人</w:t>
      </w:r>
      <w:r>
        <w:rPr>
          <w:rFonts w:hint="eastAsia" w:ascii="宋体" w:hAnsi="宋体"/>
          <w:color w:val="auto"/>
          <w:sz w:val="24"/>
          <w:szCs w:val="24"/>
          <w:highlight w:val="none"/>
          <w:lang w:eastAsia="zh-CN"/>
        </w:rPr>
        <w:t>应≥</w:t>
      </w:r>
      <w:r>
        <w:rPr>
          <w:rFonts w:ascii="宋体" w:hAnsi="宋体"/>
          <w:color w:val="auto"/>
          <w:sz w:val="24"/>
          <w:szCs w:val="24"/>
          <w:highlight w:val="none"/>
        </w:rPr>
        <w:t>N+2</w:t>
      </w:r>
      <w:r>
        <w:rPr>
          <w:rFonts w:hint="eastAsia" w:ascii="宋体" w:hAnsi="宋体"/>
          <w:color w:val="auto"/>
          <w:sz w:val="24"/>
          <w:szCs w:val="24"/>
          <w:highlight w:val="none"/>
        </w:rPr>
        <w:t>家）</w:t>
      </w:r>
      <w:r>
        <w:rPr>
          <w:rFonts w:hint="eastAsia" w:ascii="宋体" w:hAnsi="宋体"/>
          <w:color w:val="auto"/>
          <w:sz w:val="24"/>
          <w:szCs w:val="24"/>
          <w:highlight w:val="none"/>
          <w:lang w:eastAsia="zh-CN"/>
        </w:rPr>
        <w:t>。</w:t>
      </w:r>
    </w:p>
    <w:p w14:paraId="0A3A04FE">
      <w:pPr>
        <w:spacing w:line="360" w:lineRule="auto"/>
        <w:ind w:firstLine="480" w:firstLineChars="200"/>
        <w:rPr>
          <w:rFonts w:hint="eastAsia" w:ascii="宋体" w:hAnsi="宋体" w:eastAsia="宋体"/>
          <w:color w:val="auto"/>
          <w:sz w:val="24"/>
          <w:szCs w:val="24"/>
          <w:highlight w:val="none"/>
          <w:lang w:eastAsia="zh-CN"/>
        </w:rPr>
      </w:pPr>
    </w:p>
    <w:bookmarkEnd w:id="71"/>
    <w:bookmarkEnd w:id="72"/>
    <w:bookmarkEnd w:id="73"/>
    <w:p w14:paraId="26FBD872">
      <w:pPr>
        <w:widowControl/>
        <w:snapToGrid/>
        <w:spacing w:line="240" w:lineRule="auto"/>
        <w:ind w:right="0"/>
        <w:jc w:val="left"/>
        <w:rPr>
          <w:rFonts w:hint="eastAsia" w:ascii="宋体" w:hAnsi="宋体"/>
          <w:color w:val="auto"/>
          <w:sz w:val="28"/>
          <w:szCs w:val="28"/>
          <w:highlight w:val="none"/>
        </w:rPr>
      </w:pPr>
      <w:r>
        <w:rPr>
          <w:rFonts w:hint="eastAsia" w:ascii="宋体" w:hAnsi="宋体"/>
          <w:color w:val="auto"/>
          <w:sz w:val="28"/>
          <w:szCs w:val="28"/>
          <w:highlight w:val="none"/>
        </w:rPr>
        <w:br w:type="page"/>
      </w:r>
    </w:p>
    <w:p w14:paraId="248CBE9F">
      <w:pPr>
        <w:widowControl/>
        <w:snapToGrid w:val="0"/>
        <w:spacing w:line="360" w:lineRule="auto"/>
        <w:ind w:right="102"/>
        <w:jc w:val="left"/>
        <w:rPr>
          <w:rFonts w:ascii="宋体"/>
          <w:color w:val="auto"/>
          <w:sz w:val="28"/>
          <w:szCs w:val="28"/>
          <w:highlight w:val="none"/>
        </w:rPr>
      </w:pPr>
      <w:r>
        <w:rPr>
          <w:rFonts w:hint="eastAsia" w:ascii="宋体" w:hAnsi="宋体"/>
          <w:color w:val="auto"/>
          <w:sz w:val="28"/>
          <w:szCs w:val="28"/>
          <w:highlight w:val="none"/>
        </w:rPr>
        <w:t>附表一</w:t>
      </w:r>
    </w:p>
    <w:p w14:paraId="6A76D78D">
      <w:pPr>
        <w:jc w:val="center"/>
        <w:rPr>
          <w:b/>
          <w:color w:val="auto"/>
          <w:sz w:val="32"/>
          <w:szCs w:val="32"/>
          <w:highlight w:val="none"/>
        </w:rPr>
      </w:pPr>
      <w:r>
        <w:rPr>
          <w:rFonts w:hint="eastAsia"/>
          <w:b/>
          <w:color w:val="auto"/>
          <w:sz w:val="32"/>
          <w:szCs w:val="32"/>
          <w:highlight w:val="none"/>
        </w:rPr>
        <w:t>资格审查表</w:t>
      </w:r>
    </w:p>
    <w:p w14:paraId="1B7022C2">
      <w:pPr>
        <w:spacing w:line="480" w:lineRule="auto"/>
        <w:rPr>
          <w:color w:val="auto"/>
          <w:sz w:val="24"/>
          <w:szCs w:val="24"/>
          <w:highlight w:val="none"/>
        </w:rPr>
      </w:pPr>
      <w:r>
        <w:rPr>
          <w:rFonts w:hint="eastAsia"/>
          <w:color w:val="auto"/>
          <w:sz w:val="24"/>
          <w:szCs w:val="24"/>
          <w:highlight w:val="none"/>
          <w:lang w:eastAsia="zh-CN"/>
        </w:rPr>
        <w:t>招标项目</w:t>
      </w:r>
      <w:r>
        <w:rPr>
          <w:rFonts w:hint="eastAsia"/>
          <w:color w:val="auto"/>
          <w:sz w:val="24"/>
          <w:szCs w:val="24"/>
          <w:highlight w:val="none"/>
        </w:rPr>
        <w:t>名称：</w:t>
      </w:r>
    </w:p>
    <w:p w14:paraId="4B43A982">
      <w:pPr>
        <w:spacing w:line="480" w:lineRule="auto"/>
        <w:rPr>
          <w:color w:val="auto"/>
          <w:sz w:val="24"/>
          <w:szCs w:val="24"/>
          <w:highlight w:val="none"/>
        </w:rPr>
      </w:pPr>
      <w:r>
        <w:rPr>
          <w:rFonts w:hint="eastAsia"/>
          <w:color w:val="auto"/>
          <w:sz w:val="24"/>
          <w:szCs w:val="24"/>
          <w:highlight w:val="none"/>
        </w:rPr>
        <w:t>投标人名称：</w:t>
      </w:r>
    </w:p>
    <w:tbl>
      <w:tblPr>
        <w:tblStyle w:val="37"/>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366"/>
        <w:gridCol w:w="4027"/>
        <w:gridCol w:w="1072"/>
      </w:tblGrid>
      <w:tr w14:paraId="4072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25B969B">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366" w:type="dxa"/>
            <w:tcBorders>
              <w:top w:val="single" w:color="auto" w:sz="4" w:space="0"/>
              <w:left w:val="single" w:color="auto" w:sz="4" w:space="0"/>
              <w:bottom w:val="single" w:color="auto" w:sz="4" w:space="0"/>
              <w:right w:val="single" w:color="auto" w:sz="4" w:space="0"/>
            </w:tcBorders>
            <w:vAlign w:val="center"/>
          </w:tcPr>
          <w:p w14:paraId="00C6C8F9">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4027" w:type="dxa"/>
            <w:tcBorders>
              <w:top w:val="single" w:color="auto" w:sz="4" w:space="0"/>
              <w:left w:val="single" w:color="auto" w:sz="4" w:space="0"/>
              <w:bottom w:val="single" w:color="auto" w:sz="4" w:space="0"/>
              <w:right w:val="single" w:color="auto" w:sz="4" w:space="0"/>
            </w:tcBorders>
            <w:vAlign w:val="center"/>
          </w:tcPr>
          <w:p w14:paraId="70BCB132">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1072" w:type="dxa"/>
            <w:tcBorders>
              <w:top w:val="single" w:color="auto" w:sz="4" w:space="0"/>
              <w:left w:val="single" w:color="auto" w:sz="4" w:space="0"/>
              <w:bottom w:val="single" w:color="auto" w:sz="4" w:space="0"/>
              <w:right w:val="single" w:color="auto" w:sz="4" w:space="0"/>
            </w:tcBorders>
            <w:vAlign w:val="center"/>
          </w:tcPr>
          <w:p w14:paraId="372FA95F">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14:paraId="7BF3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4DAAD13">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66" w:type="dxa"/>
            <w:tcBorders>
              <w:top w:val="single" w:color="auto" w:sz="4" w:space="0"/>
              <w:left w:val="single" w:color="auto" w:sz="4" w:space="0"/>
              <w:bottom w:val="single" w:color="auto" w:sz="4" w:space="0"/>
              <w:right w:val="single" w:color="auto" w:sz="4" w:space="0"/>
            </w:tcBorders>
            <w:vAlign w:val="center"/>
          </w:tcPr>
          <w:p w14:paraId="75A3A5F4">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投标人（若为联合体投标，指联合体各方）参加投标的意思表达清楚，投标人代表（由联合体主办方提供）被授权有效</w:t>
            </w:r>
          </w:p>
        </w:tc>
        <w:tc>
          <w:tcPr>
            <w:tcW w:w="4027" w:type="dxa"/>
            <w:tcBorders>
              <w:top w:val="single" w:color="auto" w:sz="4" w:space="0"/>
              <w:left w:val="single" w:color="auto" w:sz="4" w:space="0"/>
              <w:bottom w:val="single" w:color="auto" w:sz="4" w:space="0"/>
              <w:right w:val="single" w:color="auto" w:sz="4" w:space="0"/>
            </w:tcBorders>
            <w:vAlign w:val="center"/>
          </w:tcPr>
          <w:p w14:paraId="2655652F">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声明（适用于独立投标或联合体主办方）》及《投标人声明（适用于联合体成员方）》（若为联合体投标，成员方需提供《投标人声明（适用于联合体成员方）》；若为独立投标人，无需提供《投标人声明（适用于联合体成员方）》）扫描件、法定代表人证明书扫描件及有效的法定代表人身份证正反面扫描件（若为联合体投标，由联合体主办方提供）；委托投标的还应提供法人授权委托证明书扫描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有效的被授权人身份证正反面扫描件</w:t>
            </w:r>
            <w:r>
              <w:rPr>
                <w:rFonts w:hint="eastAsia" w:ascii="宋体" w:hAnsi="宋体" w:cs="宋体"/>
                <w:color w:val="auto"/>
                <w:sz w:val="21"/>
                <w:szCs w:val="21"/>
                <w:highlight w:val="none"/>
                <w:lang w:val="en-US" w:eastAsia="zh-CN"/>
              </w:rPr>
              <w:t>及被授权人</w:t>
            </w:r>
            <w:r>
              <w:rPr>
                <w:rFonts w:hint="eastAsia" w:ascii="宋体" w:hAnsi="宋体"/>
                <w:color w:val="auto"/>
                <w:szCs w:val="21"/>
                <w:highlight w:val="none"/>
                <w:lang w:val="en-US" w:eastAsia="zh-CN"/>
              </w:rPr>
              <w:t>2025年07月或08月有效</w:t>
            </w:r>
            <w:r>
              <w:rPr>
                <w:rFonts w:hint="eastAsia" w:ascii="宋体" w:hAnsi="宋体"/>
                <w:color w:val="auto"/>
                <w:szCs w:val="21"/>
                <w:highlight w:val="none"/>
              </w:rPr>
              <w:t>社保证明材料</w:t>
            </w:r>
            <w:r>
              <w:rPr>
                <w:rFonts w:hint="eastAsia" w:ascii="宋体" w:hAnsi="宋体"/>
                <w:color w:val="auto"/>
                <w:szCs w:val="21"/>
                <w:highlight w:val="none"/>
                <w:lang w:val="en-US" w:eastAsia="zh-CN"/>
              </w:rPr>
              <w:t>扫描件</w:t>
            </w:r>
            <w:r>
              <w:rPr>
                <w:rFonts w:hint="eastAsia" w:ascii="宋体" w:hAnsi="宋体" w:eastAsia="宋体" w:cs="宋体"/>
                <w:color w:val="auto"/>
                <w:sz w:val="21"/>
                <w:szCs w:val="21"/>
                <w:highlight w:val="none"/>
              </w:rPr>
              <w:t>（若为联合体投标，由联合体主办方提供）。</w:t>
            </w:r>
          </w:p>
        </w:tc>
        <w:tc>
          <w:tcPr>
            <w:tcW w:w="1072" w:type="dxa"/>
            <w:tcBorders>
              <w:top w:val="single" w:color="auto" w:sz="4" w:space="0"/>
              <w:left w:val="single" w:color="auto" w:sz="4" w:space="0"/>
              <w:bottom w:val="single" w:color="auto" w:sz="4" w:space="0"/>
              <w:right w:val="single" w:color="auto" w:sz="4" w:space="0"/>
            </w:tcBorders>
            <w:vAlign w:val="center"/>
          </w:tcPr>
          <w:p w14:paraId="1E43C49C">
            <w:pPr>
              <w:spacing w:before="120" w:after="60"/>
              <w:jc w:val="center"/>
              <w:rPr>
                <w:rFonts w:hint="eastAsia" w:ascii="宋体" w:hAnsi="宋体" w:eastAsia="宋体" w:cs="宋体"/>
                <w:color w:val="auto"/>
                <w:szCs w:val="21"/>
                <w:highlight w:val="none"/>
              </w:rPr>
            </w:pPr>
          </w:p>
        </w:tc>
      </w:tr>
      <w:tr w14:paraId="3FE9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0B7F6721">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66" w:type="dxa"/>
            <w:tcBorders>
              <w:top w:val="single" w:color="auto" w:sz="4" w:space="0"/>
              <w:left w:val="single" w:color="auto" w:sz="4" w:space="0"/>
              <w:bottom w:val="single" w:color="auto" w:sz="4" w:space="0"/>
              <w:right w:val="single" w:color="auto" w:sz="4" w:space="0"/>
            </w:tcBorders>
            <w:vAlign w:val="center"/>
          </w:tcPr>
          <w:p w14:paraId="14E2665C">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投标人（若为联合体投标，指联合体各方）均具有独立法人资格，按国家法律经营</w:t>
            </w:r>
          </w:p>
        </w:tc>
        <w:tc>
          <w:tcPr>
            <w:tcW w:w="4027" w:type="dxa"/>
            <w:tcBorders>
              <w:top w:val="single" w:color="auto" w:sz="4" w:space="0"/>
              <w:left w:val="single" w:color="auto" w:sz="4" w:space="0"/>
              <w:bottom w:val="single" w:color="auto" w:sz="4" w:space="0"/>
              <w:right w:val="single" w:color="auto" w:sz="4" w:space="0"/>
            </w:tcBorders>
            <w:vAlign w:val="center"/>
          </w:tcPr>
          <w:p w14:paraId="74B6094B">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营业执照</w:t>
            </w:r>
            <w:r>
              <w:rPr>
                <w:rFonts w:hint="eastAsia" w:ascii="宋体" w:hAnsi="宋体" w:eastAsia="宋体" w:cs="宋体"/>
                <w:bCs/>
                <w:color w:val="auto"/>
                <w:kern w:val="0"/>
                <w:sz w:val="21"/>
                <w:szCs w:val="21"/>
                <w:highlight w:val="none"/>
                <w:u w:val="single"/>
              </w:rPr>
              <w:t>（在有效期内）</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b/>
                <w:bCs/>
                <w:color w:val="auto"/>
                <w:kern w:val="0"/>
                <w:sz w:val="21"/>
                <w:szCs w:val="21"/>
                <w:highlight w:val="none"/>
              </w:rPr>
              <w:t>或电子证照</w:t>
            </w:r>
          </w:p>
        </w:tc>
        <w:tc>
          <w:tcPr>
            <w:tcW w:w="1072" w:type="dxa"/>
            <w:tcBorders>
              <w:top w:val="single" w:color="auto" w:sz="4" w:space="0"/>
              <w:left w:val="single" w:color="auto" w:sz="4" w:space="0"/>
              <w:bottom w:val="single" w:color="auto" w:sz="4" w:space="0"/>
              <w:right w:val="single" w:color="auto" w:sz="4" w:space="0"/>
            </w:tcBorders>
            <w:vAlign w:val="center"/>
          </w:tcPr>
          <w:p w14:paraId="047C08BB">
            <w:pPr>
              <w:spacing w:before="120" w:after="60"/>
              <w:jc w:val="center"/>
              <w:rPr>
                <w:rFonts w:hint="eastAsia" w:ascii="宋体" w:hAnsi="宋体" w:eastAsia="宋体" w:cs="宋体"/>
                <w:color w:val="auto"/>
                <w:szCs w:val="21"/>
                <w:highlight w:val="none"/>
              </w:rPr>
            </w:pPr>
          </w:p>
        </w:tc>
      </w:tr>
      <w:tr w14:paraId="7354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F19046C">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66" w:type="dxa"/>
            <w:tcBorders>
              <w:top w:val="single" w:color="auto" w:sz="4" w:space="0"/>
              <w:left w:val="single" w:color="auto" w:sz="4" w:space="0"/>
              <w:bottom w:val="single" w:color="auto" w:sz="4" w:space="0"/>
              <w:right w:val="single" w:color="auto" w:sz="4" w:space="0"/>
            </w:tcBorders>
            <w:vAlign w:val="center"/>
          </w:tcPr>
          <w:p w14:paraId="5D227955">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（若为联合体投标，指联合体各方）</w:t>
            </w:r>
            <w:r>
              <w:rPr>
                <w:rFonts w:hint="eastAsia" w:ascii="宋体" w:hAnsi="宋体" w:eastAsia="宋体" w:cs="宋体"/>
                <w:color w:val="auto"/>
                <w:sz w:val="21"/>
                <w:szCs w:val="21"/>
                <w:highlight w:val="none"/>
              </w:rPr>
              <w:t>均持有建设行政主管部门颁发的</w:t>
            </w:r>
            <w:r>
              <w:rPr>
                <w:rFonts w:hint="eastAsia" w:ascii="宋体" w:hAnsi="宋体" w:eastAsia="宋体" w:cs="宋体"/>
                <w:color w:val="auto"/>
                <w:sz w:val="21"/>
                <w:szCs w:val="21"/>
                <w:highlight w:val="none"/>
                <w:lang w:val="en-US" w:eastAsia="zh-CN"/>
              </w:rPr>
              <w:t>有效期内的</w:t>
            </w:r>
            <w:r>
              <w:rPr>
                <w:rFonts w:hint="eastAsia" w:ascii="宋体" w:hAnsi="宋体" w:eastAsia="宋体" w:cs="宋体"/>
                <w:color w:val="auto"/>
                <w:sz w:val="21"/>
                <w:szCs w:val="21"/>
                <w:highlight w:val="none"/>
              </w:rPr>
              <w:t>企业资质证书及安全生产许可证；投标人资质符合公告要求</w:t>
            </w:r>
          </w:p>
        </w:tc>
        <w:tc>
          <w:tcPr>
            <w:tcW w:w="4027" w:type="dxa"/>
            <w:tcBorders>
              <w:top w:val="single" w:color="auto" w:sz="4" w:space="0"/>
              <w:left w:val="single" w:color="auto" w:sz="4" w:space="0"/>
              <w:bottom w:val="single" w:color="auto" w:sz="4" w:space="0"/>
              <w:right w:val="single" w:color="auto" w:sz="4" w:space="0"/>
            </w:tcBorders>
            <w:vAlign w:val="center"/>
          </w:tcPr>
          <w:p w14:paraId="3C47DB0B">
            <w:pPr>
              <w:spacing w:before="120" w:after="60"/>
              <w:jc w:val="center"/>
              <w:rPr>
                <w:rFonts w:hint="eastAsia" w:ascii="宋体" w:hAnsi="宋体" w:eastAsia="宋体" w:cs="宋体"/>
                <w:color w:val="auto"/>
                <w:szCs w:val="21"/>
                <w:highlight w:val="none"/>
              </w:rPr>
            </w:pPr>
            <w:r>
              <w:rPr>
                <w:rStyle w:val="132"/>
                <w:rFonts w:hint="eastAsia" w:ascii="宋体" w:hAnsi="宋体" w:eastAsia="宋体" w:cs="宋体"/>
                <w:color w:val="auto"/>
                <w:sz w:val="21"/>
                <w:szCs w:val="21"/>
                <w:highlight w:val="none"/>
              </w:rPr>
              <w:t>资质证书</w:t>
            </w:r>
            <w:r>
              <w:rPr>
                <w:rFonts w:hint="eastAsia" w:ascii="宋体" w:hAnsi="宋体" w:eastAsia="宋体" w:cs="宋体"/>
                <w:bCs/>
                <w:color w:val="auto"/>
                <w:kern w:val="0"/>
                <w:sz w:val="21"/>
                <w:szCs w:val="21"/>
                <w:highlight w:val="none"/>
                <w:u w:val="single"/>
              </w:rPr>
              <w:t>或办理了资质延期的证明资料（符合招标公告第九条第4款注①的规定）</w:t>
            </w:r>
            <w:r>
              <w:rPr>
                <w:rFonts w:hint="eastAsia" w:ascii="宋体" w:hAnsi="宋体" w:eastAsia="宋体" w:cs="宋体"/>
                <w:b/>
                <w:bCs/>
                <w:color w:val="auto"/>
                <w:kern w:val="0"/>
                <w:sz w:val="21"/>
                <w:szCs w:val="21"/>
                <w:highlight w:val="none"/>
              </w:rPr>
              <w:t>扫描件或电子证照</w:t>
            </w:r>
            <w:r>
              <w:rPr>
                <w:rStyle w:val="132"/>
                <w:rFonts w:hint="eastAsia" w:ascii="宋体" w:hAnsi="宋体" w:eastAsia="宋体" w:cs="宋体"/>
                <w:color w:val="auto"/>
                <w:sz w:val="21"/>
                <w:szCs w:val="21"/>
                <w:highlight w:val="none"/>
              </w:rPr>
              <w:t>及安全生产许可证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b/>
                <w:bCs/>
                <w:color w:val="auto"/>
                <w:kern w:val="0"/>
                <w:sz w:val="21"/>
                <w:szCs w:val="21"/>
                <w:highlight w:val="none"/>
              </w:rPr>
              <w:t>或电子证照</w:t>
            </w:r>
            <w:r>
              <w:rPr>
                <w:rStyle w:val="132"/>
                <w:rFonts w:hint="eastAsia" w:ascii="宋体" w:hAnsi="宋体" w:eastAsia="宋体" w:cs="宋体"/>
                <w:color w:val="auto"/>
                <w:sz w:val="21"/>
                <w:szCs w:val="21"/>
                <w:highlight w:val="none"/>
              </w:rPr>
              <w:t>；</w:t>
            </w:r>
          </w:p>
        </w:tc>
        <w:tc>
          <w:tcPr>
            <w:tcW w:w="1072" w:type="dxa"/>
            <w:tcBorders>
              <w:top w:val="single" w:color="auto" w:sz="4" w:space="0"/>
              <w:left w:val="single" w:color="auto" w:sz="4" w:space="0"/>
              <w:bottom w:val="single" w:color="auto" w:sz="4" w:space="0"/>
              <w:right w:val="single" w:color="auto" w:sz="4" w:space="0"/>
            </w:tcBorders>
            <w:vAlign w:val="center"/>
          </w:tcPr>
          <w:p w14:paraId="52BC8886">
            <w:pPr>
              <w:spacing w:before="120" w:after="60"/>
              <w:jc w:val="center"/>
              <w:rPr>
                <w:rFonts w:hint="eastAsia" w:ascii="宋体" w:hAnsi="宋体" w:eastAsia="宋体" w:cs="宋体"/>
                <w:color w:val="auto"/>
                <w:szCs w:val="21"/>
                <w:highlight w:val="none"/>
              </w:rPr>
            </w:pPr>
          </w:p>
        </w:tc>
      </w:tr>
      <w:tr w14:paraId="0624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5BF5D0C">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66" w:type="dxa"/>
            <w:tcBorders>
              <w:top w:val="single" w:color="auto" w:sz="4" w:space="0"/>
              <w:left w:val="single" w:color="auto" w:sz="4" w:space="0"/>
              <w:bottom w:val="single" w:color="auto" w:sz="4" w:space="0"/>
              <w:right w:val="single" w:color="auto" w:sz="4" w:space="0"/>
            </w:tcBorders>
            <w:vAlign w:val="center"/>
          </w:tcPr>
          <w:p w14:paraId="57995CA9">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bCs/>
                <w:color w:val="auto"/>
                <w:kern w:val="0"/>
                <w:sz w:val="21"/>
                <w:szCs w:val="21"/>
                <w:highlight w:val="none"/>
                <w:u w:val="single"/>
              </w:rPr>
              <w:t>（若为联合体投标，由联合体主办方提供）</w:t>
            </w:r>
            <w:r>
              <w:rPr>
                <w:rFonts w:hint="eastAsia" w:ascii="宋体" w:hAnsi="宋体" w:eastAsia="宋体" w:cs="宋体"/>
                <w:color w:val="auto"/>
                <w:sz w:val="21"/>
                <w:szCs w:val="21"/>
                <w:highlight w:val="none"/>
              </w:rPr>
              <w:t>拟担任本工程项目负责人符合公告要求</w:t>
            </w:r>
          </w:p>
        </w:tc>
        <w:tc>
          <w:tcPr>
            <w:tcW w:w="4027" w:type="dxa"/>
            <w:tcBorders>
              <w:top w:val="single" w:color="auto" w:sz="4" w:space="0"/>
              <w:left w:val="single" w:color="auto" w:sz="4" w:space="0"/>
              <w:bottom w:val="single" w:color="auto" w:sz="4" w:space="0"/>
              <w:right w:val="single" w:color="auto" w:sz="4" w:space="0"/>
            </w:tcBorders>
            <w:vAlign w:val="center"/>
          </w:tcPr>
          <w:p w14:paraId="42A34A71">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建造师证书注册证书</w:t>
            </w:r>
            <w:r>
              <w:rPr>
                <w:rFonts w:hint="eastAsia" w:ascii="宋体" w:hAnsi="宋体" w:eastAsia="宋体" w:cs="宋体"/>
                <w:bCs/>
                <w:color w:val="auto"/>
                <w:kern w:val="0"/>
                <w:sz w:val="21"/>
                <w:szCs w:val="21"/>
                <w:highlight w:val="none"/>
                <w:lang w:eastAsia="zh-CN"/>
              </w:rPr>
              <w:t>（证书须处于</w:t>
            </w:r>
            <w:r>
              <w:rPr>
                <w:rFonts w:hint="eastAsia" w:ascii="宋体" w:hAnsi="宋体" w:eastAsia="宋体" w:cs="宋体"/>
                <w:bCs/>
                <w:color w:val="auto"/>
                <w:kern w:val="0"/>
                <w:sz w:val="21"/>
                <w:szCs w:val="21"/>
                <w:highlight w:val="none"/>
              </w:rPr>
              <w:t>有效</w:t>
            </w:r>
            <w:r>
              <w:rPr>
                <w:rFonts w:hint="eastAsia" w:ascii="宋体" w:hAnsi="宋体" w:eastAsia="宋体" w:cs="宋体"/>
                <w:bCs/>
                <w:color w:val="auto"/>
                <w:kern w:val="0"/>
                <w:sz w:val="21"/>
                <w:szCs w:val="21"/>
                <w:highlight w:val="none"/>
                <w:lang w:eastAsia="zh-CN"/>
              </w:rPr>
              <w:t>期内</w:t>
            </w:r>
            <w:r>
              <w:rPr>
                <w:rFonts w:hint="eastAsia" w:ascii="宋体" w:hAnsi="宋体" w:eastAsia="宋体" w:cs="宋体"/>
                <w:bCs/>
                <w:color w:val="auto"/>
                <w:kern w:val="0"/>
                <w:sz w:val="21"/>
                <w:szCs w:val="21"/>
                <w:highlight w:val="none"/>
              </w:rPr>
              <w:t>的</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kern w:val="0"/>
                <w:sz w:val="21"/>
                <w:szCs w:val="21"/>
                <w:highlight w:val="none"/>
              </w:rPr>
              <w:t>或电子证书</w:t>
            </w:r>
            <w:r>
              <w:rPr>
                <w:rFonts w:hint="eastAsia" w:ascii="宋体" w:hAnsi="宋体" w:eastAsia="宋体" w:cs="宋体"/>
                <w:bCs/>
                <w:color w:val="auto"/>
                <w:kern w:val="0"/>
                <w:sz w:val="21"/>
                <w:szCs w:val="21"/>
                <w:highlight w:val="none"/>
              </w:rPr>
              <w:t>（注：</w:t>
            </w:r>
            <w:r>
              <w:rPr>
                <w:rFonts w:hint="eastAsia" w:ascii="宋体" w:hAnsi="宋体" w:eastAsia="宋体" w:cs="宋体"/>
                <w:bCs/>
                <w:color w:val="auto"/>
                <w:kern w:val="0"/>
                <w:sz w:val="21"/>
                <w:szCs w:val="21"/>
                <w:highlight w:val="none"/>
                <w:u w:val="single"/>
              </w:rPr>
              <w:t>递交的注册建造师注册证书须符合招标公告第九条第4款注②</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③</w:t>
            </w:r>
            <w:r>
              <w:rPr>
                <w:rFonts w:hint="eastAsia" w:ascii="宋体" w:hAnsi="宋体" w:eastAsia="宋体" w:cs="宋体"/>
                <w:bCs/>
                <w:color w:val="auto"/>
                <w:kern w:val="0"/>
                <w:sz w:val="21"/>
                <w:szCs w:val="21"/>
                <w:highlight w:val="none"/>
                <w:u w:val="single"/>
              </w:rPr>
              <w:t>的规定</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）打印建造师电子证书后，在个人签名处手写本人签名再扫描提交。）</w:t>
            </w:r>
          </w:p>
        </w:tc>
        <w:tc>
          <w:tcPr>
            <w:tcW w:w="1072" w:type="dxa"/>
            <w:tcBorders>
              <w:top w:val="single" w:color="auto" w:sz="4" w:space="0"/>
              <w:left w:val="single" w:color="auto" w:sz="4" w:space="0"/>
              <w:bottom w:val="single" w:color="auto" w:sz="4" w:space="0"/>
              <w:right w:val="single" w:color="auto" w:sz="4" w:space="0"/>
            </w:tcBorders>
            <w:vAlign w:val="center"/>
          </w:tcPr>
          <w:p w14:paraId="5D01B5D4">
            <w:pPr>
              <w:spacing w:before="120" w:after="60"/>
              <w:jc w:val="center"/>
              <w:rPr>
                <w:rFonts w:hint="eastAsia" w:ascii="宋体" w:hAnsi="宋体" w:eastAsia="宋体" w:cs="宋体"/>
                <w:color w:val="auto"/>
                <w:szCs w:val="21"/>
                <w:highlight w:val="none"/>
              </w:rPr>
            </w:pPr>
          </w:p>
        </w:tc>
      </w:tr>
      <w:tr w14:paraId="6FB1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096E19BC">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66" w:type="dxa"/>
            <w:tcBorders>
              <w:top w:val="single" w:color="auto" w:sz="4" w:space="0"/>
              <w:left w:val="single" w:color="auto" w:sz="4" w:space="0"/>
              <w:bottom w:val="single" w:color="auto" w:sz="4" w:space="0"/>
              <w:right w:val="single" w:color="auto" w:sz="4" w:space="0"/>
            </w:tcBorders>
            <w:vAlign w:val="center"/>
          </w:tcPr>
          <w:p w14:paraId="6F4EC032">
            <w:pPr>
              <w:spacing w:before="120" w:after="60"/>
              <w:jc w:val="center"/>
              <w:rPr>
                <w:rFonts w:hint="eastAsia" w:ascii="宋体" w:hAnsi="宋体" w:eastAsia="宋体" w:cs="宋体"/>
                <w:color w:val="auto"/>
                <w:szCs w:val="21"/>
                <w:highlight w:val="none"/>
              </w:rPr>
            </w:pPr>
            <w:r>
              <w:rPr>
                <w:rFonts w:hint="eastAsia" w:ascii="宋体" w:hAnsi="宋体" w:eastAsia="宋体" w:cs="宋体"/>
                <w:bCs/>
                <w:color w:val="auto"/>
                <w:kern w:val="0"/>
                <w:sz w:val="21"/>
                <w:szCs w:val="21"/>
                <w:highlight w:val="none"/>
              </w:rPr>
              <w:t>持有项目负责人</w:t>
            </w:r>
            <w:r>
              <w:rPr>
                <w:rFonts w:hint="eastAsia" w:ascii="宋体" w:hAnsi="宋体" w:eastAsia="宋体" w:cs="宋体"/>
                <w:bCs/>
                <w:color w:val="auto"/>
                <w:kern w:val="0"/>
                <w:sz w:val="21"/>
                <w:szCs w:val="21"/>
                <w:highlight w:val="none"/>
                <w:u w:val="single"/>
              </w:rPr>
              <w:t>（若为联合体投标，由联合体主办方提供）</w:t>
            </w:r>
            <w:r>
              <w:rPr>
                <w:rFonts w:hint="eastAsia" w:ascii="宋体" w:hAnsi="宋体" w:eastAsia="宋体" w:cs="宋体"/>
                <w:bCs/>
                <w:color w:val="auto"/>
                <w:kern w:val="0"/>
                <w:sz w:val="21"/>
                <w:szCs w:val="21"/>
                <w:highlight w:val="none"/>
              </w:rPr>
              <w:t>安全</w:t>
            </w:r>
            <w:r>
              <w:rPr>
                <w:rFonts w:hint="eastAsia" w:ascii="宋体" w:hAnsi="宋体" w:eastAsia="宋体" w:cs="宋体"/>
                <w:b/>
                <w:bCs/>
                <w:color w:val="auto"/>
                <w:kern w:val="0"/>
                <w:sz w:val="21"/>
                <w:szCs w:val="21"/>
                <w:highlight w:val="none"/>
              </w:rPr>
              <w:t>生产</w:t>
            </w:r>
            <w:r>
              <w:rPr>
                <w:rFonts w:hint="eastAsia" w:ascii="宋体" w:hAnsi="宋体" w:eastAsia="宋体" w:cs="宋体"/>
                <w:bCs/>
                <w:color w:val="auto"/>
                <w:kern w:val="0"/>
                <w:sz w:val="21"/>
                <w:szCs w:val="21"/>
                <w:highlight w:val="none"/>
              </w:rPr>
              <w:t>考核合格证</w:t>
            </w:r>
            <w:r>
              <w:rPr>
                <w:rFonts w:hint="eastAsia" w:ascii="宋体" w:hAnsi="宋体" w:eastAsia="宋体" w:cs="宋体"/>
                <w:bCs/>
                <w:color w:val="auto"/>
                <w:kern w:val="0"/>
                <w:sz w:val="21"/>
                <w:szCs w:val="21"/>
                <w:highlight w:val="none"/>
                <w:lang w:val="en-US" w:eastAsia="zh-CN"/>
              </w:rPr>
              <w:t>书</w:t>
            </w:r>
            <w:r>
              <w:rPr>
                <w:rFonts w:hint="eastAsia" w:ascii="宋体" w:hAnsi="宋体" w:eastAsia="宋体" w:cs="宋体"/>
                <w:bCs/>
                <w:color w:val="auto"/>
                <w:kern w:val="0"/>
                <w:sz w:val="21"/>
                <w:szCs w:val="21"/>
                <w:highlight w:val="none"/>
              </w:rPr>
              <w:t>（B类）或</w:t>
            </w:r>
            <w:r>
              <w:rPr>
                <w:rFonts w:hint="eastAsia" w:ascii="宋体" w:hAnsi="宋体" w:eastAsia="宋体" w:cs="宋体"/>
                <w:color w:val="auto"/>
                <w:kern w:val="0"/>
                <w:sz w:val="21"/>
                <w:szCs w:val="21"/>
                <w:highlight w:val="none"/>
              </w:rPr>
              <w:t>建筑施工企业项目负责人安全生产考核合格证</w:t>
            </w:r>
            <w:r>
              <w:rPr>
                <w:rFonts w:hint="eastAsia" w:ascii="宋体" w:hAnsi="宋体" w:eastAsia="宋体" w:cs="宋体"/>
                <w:bCs/>
                <w:color w:val="auto"/>
                <w:kern w:val="0"/>
                <w:sz w:val="21"/>
                <w:szCs w:val="21"/>
                <w:highlight w:val="none"/>
                <w:lang w:val="en-US" w:eastAsia="zh-CN"/>
              </w:rPr>
              <w:t>书</w:t>
            </w:r>
            <w:r>
              <w:rPr>
                <w:rFonts w:hint="eastAsia" w:ascii="宋体" w:hAnsi="宋体" w:eastAsia="宋体" w:cs="宋体"/>
                <w:color w:val="auto"/>
                <w:kern w:val="0"/>
                <w:sz w:val="21"/>
                <w:szCs w:val="21"/>
                <w:highlight w:val="none"/>
                <w:lang w:eastAsia="zh-CN"/>
              </w:rPr>
              <w:t>。</w:t>
            </w:r>
          </w:p>
        </w:tc>
        <w:tc>
          <w:tcPr>
            <w:tcW w:w="4027" w:type="dxa"/>
            <w:tcBorders>
              <w:top w:val="single" w:color="auto" w:sz="4" w:space="0"/>
              <w:left w:val="single" w:color="auto" w:sz="4" w:space="0"/>
              <w:bottom w:val="single" w:color="auto" w:sz="4" w:space="0"/>
              <w:right w:val="single" w:color="auto" w:sz="4" w:space="0"/>
            </w:tcBorders>
            <w:vAlign w:val="center"/>
          </w:tcPr>
          <w:p w14:paraId="4605B3CC">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持有项目负责人</w:t>
            </w:r>
            <w:r>
              <w:rPr>
                <w:rFonts w:hint="eastAsia" w:ascii="宋体" w:hAnsi="宋体" w:eastAsia="宋体" w:cs="宋体"/>
                <w:color w:val="auto"/>
                <w:sz w:val="21"/>
                <w:szCs w:val="21"/>
                <w:highlight w:val="none"/>
                <w:lang w:val="en-US" w:eastAsia="zh-CN"/>
              </w:rPr>
              <w:t>持有在</w:t>
            </w:r>
            <w:r>
              <w:rPr>
                <w:rFonts w:hint="eastAsia" w:ascii="宋体" w:hAnsi="宋体" w:eastAsia="宋体" w:cs="宋体"/>
                <w:color w:val="auto"/>
                <w:sz w:val="21"/>
                <w:szCs w:val="21"/>
                <w:highlight w:val="none"/>
                <w:u w:val="none"/>
              </w:rPr>
              <w:t>有效期内</w:t>
            </w:r>
            <w:r>
              <w:rPr>
                <w:rFonts w:hint="eastAsia" w:ascii="宋体" w:hAnsi="宋体" w:eastAsia="宋体" w:cs="宋体"/>
                <w:color w:val="auto"/>
                <w:sz w:val="21"/>
                <w:szCs w:val="21"/>
                <w:highlight w:val="none"/>
                <w:u w:val="none"/>
                <w:lang w:eastAsia="zh-CN"/>
              </w:rPr>
              <w:t>的</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eastAsia="zh-CN"/>
              </w:rPr>
              <w:t>生产</w:t>
            </w:r>
            <w:r>
              <w:rPr>
                <w:rFonts w:hint="eastAsia" w:ascii="宋体" w:hAnsi="宋体" w:eastAsia="宋体" w:cs="宋体"/>
                <w:color w:val="auto"/>
                <w:sz w:val="21"/>
                <w:szCs w:val="21"/>
                <w:highlight w:val="none"/>
              </w:rPr>
              <w:t>考核合格证</w:t>
            </w:r>
            <w:r>
              <w:rPr>
                <w:rFonts w:hint="eastAsia" w:ascii="宋体" w:hAnsi="宋体" w:eastAsia="宋体" w:cs="宋体"/>
                <w:bCs w:val="0"/>
                <w:color w:val="auto"/>
                <w:kern w:val="2"/>
                <w:sz w:val="21"/>
                <w:szCs w:val="21"/>
                <w:highlight w:val="none"/>
                <w:lang w:val="en-US" w:eastAsia="zh-CN"/>
              </w:rPr>
              <w:t>书</w:t>
            </w:r>
            <w:r>
              <w:rPr>
                <w:rFonts w:hint="eastAsia" w:ascii="宋体" w:hAnsi="宋体" w:eastAsia="宋体" w:cs="宋体"/>
                <w:color w:val="auto"/>
                <w:sz w:val="21"/>
                <w:szCs w:val="21"/>
                <w:highlight w:val="none"/>
              </w:rPr>
              <w:t>（B类）或建筑施工企业项目负责人安全生产考核合格证</w:t>
            </w:r>
            <w:r>
              <w:rPr>
                <w:rFonts w:hint="eastAsia" w:ascii="宋体" w:hAnsi="宋体" w:eastAsia="宋体" w:cs="宋体"/>
                <w:bCs w:val="0"/>
                <w:color w:val="auto"/>
                <w:kern w:val="2"/>
                <w:sz w:val="21"/>
                <w:szCs w:val="21"/>
                <w:highlight w:val="none"/>
                <w:lang w:val="en-US" w:eastAsia="zh-CN"/>
              </w:rPr>
              <w:t>书</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kern w:val="2"/>
                <w:sz w:val="21"/>
                <w:szCs w:val="21"/>
                <w:highlight w:val="none"/>
              </w:rPr>
              <w:t>或电</w:t>
            </w:r>
            <w:r>
              <w:rPr>
                <w:rFonts w:hint="eastAsia" w:ascii="宋体" w:hAnsi="宋体" w:eastAsia="宋体" w:cs="宋体"/>
                <w:color w:val="auto"/>
                <w:kern w:val="0"/>
                <w:sz w:val="21"/>
                <w:szCs w:val="21"/>
                <w:highlight w:val="none"/>
              </w:rPr>
              <w:t>子证书</w:t>
            </w:r>
            <w:r>
              <w:rPr>
                <w:rFonts w:hint="eastAsia" w:ascii="宋体" w:hAnsi="宋体" w:cs="宋体"/>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color w:val="auto"/>
                <w:sz w:val="21"/>
                <w:szCs w:val="21"/>
                <w:highlight w:val="none"/>
                <w:lang w:val="en-US" w:eastAsia="zh-CN"/>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72" w:type="dxa"/>
            <w:tcBorders>
              <w:top w:val="single" w:color="auto" w:sz="4" w:space="0"/>
              <w:left w:val="single" w:color="auto" w:sz="4" w:space="0"/>
              <w:bottom w:val="single" w:color="auto" w:sz="4" w:space="0"/>
              <w:right w:val="single" w:color="auto" w:sz="4" w:space="0"/>
            </w:tcBorders>
            <w:vAlign w:val="center"/>
          </w:tcPr>
          <w:p w14:paraId="45C511B7">
            <w:pPr>
              <w:spacing w:before="120" w:after="60"/>
              <w:jc w:val="center"/>
              <w:rPr>
                <w:rFonts w:hint="eastAsia" w:ascii="宋体" w:hAnsi="宋体" w:eastAsia="宋体" w:cs="宋体"/>
                <w:color w:val="auto"/>
                <w:szCs w:val="21"/>
                <w:highlight w:val="none"/>
              </w:rPr>
            </w:pPr>
          </w:p>
        </w:tc>
      </w:tr>
      <w:tr w14:paraId="7334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52A45396">
            <w:pPr>
              <w:spacing w:before="120" w:after="6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3366" w:type="dxa"/>
            <w:tcBorders>
              <w:top w:val="single" w:color="auto" w:sz="4" w:space="0"/>
              <w:left w:val="single" w:color="auto" w:sz="4" w:space="0"/>
              <w:bottom w:val="single" w:color="auto" w:sz="4" w:space="0"/>
              <w:right w:val="single" w:color="auto" w:sz="4" w:space="0"/>
            </w:tcBorders>
            <w:vAlign w:val="center"/>
          </w:tcPr>
          <w:p w14:paraId="0D1F1C33">
            <w:pPr>
              <w:spacing w:before="120" w:after="60"/>
              <w:jc w:val="center"/>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lang w:eastAsia="zh-CN"/>
              </w:rPr>
              <w:t>拟配备的专职安全员</w:t>
            </w:r>
            <w:r>
              <w:rPr>
                <w:rFonts w:hint="eastAsia" w:ascii="宋体" w:hAnsi="宋体" w:eastAsia="宋体" w:cs="宋体"/>
                <w:b/>
                <w:bCs w:val="0"/>
                <w:color w:val="auto"/>
                <w:sz w:val="21"/>
                <w:szCs w:val="21"/>
                <w:highlight w:val="none"/>
                <w:lang w:eastAsia="zh-CN"/>
              </w:rPr>
              <w:t>（若为联合体投标，由联合体主办方提供）</w:t>
            </w:r>
            <w:r>
              <w:rPr>
                <w:rFonts w:hint="eastAsia" w:ascii="宋体" w:hAnsi="宋体" w:eastAsia="宋体" w:cs="宋体"/>
                <w:bCs/>
                <w:color w:val="auto"/>
                <w:sz w:val="21"/>
                <w:szCs w:val="21"/>
                <w:highlight w:val="none"/>
                <w:lang w:eastAsia="zh-CN"/>
              </w:rPr>
              <w:t>不少于 1 人，专职安全员须具有在有效期内的安全生产考核合格证（C类）或在</w:t>
            </w:r>
            <w:r>
              <w:rPr>
                <w:rFonts w:hint="eastAsia" w:ascii="宋体" w:hAnsi="宋体" w:eastAsia="宋体" w:cs="宋体"/>
                <w:b/>
                <w:bCs w:val="0"/>
                <w:color w:val="auto"/>
                <w:sz w:val="21"/>
                <w:szCs w:val="21"/>
                <w:highlight w:val="none"/>
                <w:lang w:eastAsia="zh-CN"/>
              </w:rPr>
              <w:t>有效期内的</w:t>
            </w:r>
            <w:r>
              <w:rPr>
                <w:rFonts w:hint="eastAsia" w:ascii="宋体" w:hAnsi="宋体" w:eastAsia="宋体" w:cs="宋体"/>
                <w:bCs/>
                <w:color w:val="auto"/>
                <w:sz w:val="21"/>
                <w:szCs w:val="21"/>
                <w:highlight w:val="none"/>
                <w:lang w:eastAsia="zh-CN"/>
              </w:rPr>
              <w:t>建筑施工企业专职安全生产管理人员安全生产考核合格证书（C3）。</w:t>
            </w:r>
          </w:p>
        </w:tc>
        <w:tc>
          <w:tcPr>
            <w:tcW w:w="4027" w:type="dxa"/>
            <w:tcBorders>
              <w:top w:val="single" w:color="auto" w:sz="4" w:space="0"/>
              <w:left w:val="single" w:color="auto" w:sz="4" w:space="0"/>
              <w:bottom w:val="single" w:color="auto" w:sz="4" w:space="0"/>
              <w:right w:val="single" w:color="auto" w:sz="4" w:space="0"/>
            </w:tcBorders>
            <w:vAlign w:val="center"/>
          </w:tcPr>
          <w:p w14:paraId="4FA46C00">
            <w:pPr>
              <w:spacing w:line="24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color w:val="auto"/>
                <w:sz w:val="21"/>
                <w:szCs w:val="21"/>
                <w:highlight w:val="none"/>
              </w:rPr>
              <w:t>专职安全员须具有在有效期内的安全生产考核合格证</w:t>
            </w:r>
            <w:r>
              <w:rPr>
                <w:rFonts w:hint="eastAsia" w:ascii="宋体" w:hAnsi="宋体" w:eastAsia="宋体" w:cs="宋体"/>
                <w:bCs/>
                <w:color w:val="auto"/>
                <w:kern w:val="0"/>
                <w:sz w:val="21"/>
                <w:szCs w:val="21"/>
                <w:highlight w:val="none"/>
                <w:lang w:val="en-US" w:eastAsia="zh-CN"/>
              </w:rPr>
              <w:t>书</w:t>
            </w: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）或建筑施工企业专职安全生产管理人员安全生产考核合格证</w:t>
            </w:r>
            <w:r>
              <w:rPr>
                <w:rFonts w:hint="eastAsia" w:ascii="宋体" w:hAnsi="宋体" w:eastAsia="宋体" w:cs="宋体"/>
                <w:bCs/>
                <w:color w:val="auto"/>
                <w:kern w:val="0"/>
                <w:sz w:val="21"/>
                <w:szCs w:val="21"/>
                <w:highlight w:val="none"/>
                <w:lang w:val="en-US" w:eastAsia="zh-CN"/>
              </w:rPr>
              <w:t>书</w:t>
            </w:r>
            <w:r>
              <w:rPr>
                <w:rFonts w:hint="eastAsia" w:ascii="宋体" w:hAnsi="宋体" w:eastAsia="宋体" w:cs="宋体"/>
                <w:bCs/>
                <w:color w:val="auto"/>
                <w:sz w:val="21"/>
                <w:szCs w:val="21"/>
                <w:highlight w:val="none"/>
              </w:rPr>
              <w:t>（C</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kern w:val="0"/>
                <w:sz w:val="21"/>
                <w:szCs w:val="21"/>
                <w:highlight w:val="none"/>
              </w:rPr>
              <w:t>或电子证书</w:t>
            </w:r>
            <w:r>
              <w:rPr>
                <w:rFonts w:hint="eastAsia" w:ascii="宋体" w:hAnsi="宋体" w:cs="宋体"/>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14:paraId="41B4D66E">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72" w:type="dxa"/>
            <w:tcBorders>
              <w:top w:val="single" w:color="auto" w:sz="4" w:space="0"/>
              <w:left w:val="single" w:color="auto" w:sz="4" w:space="0"/>
              <w:bottom w:val="single" w:color="auto" w:sz="4" w:space="0"/>
              <w:right w:val="single" w:color="auto" w:sz="4" w:space="0"/>
            </w:tcBorders>
            <w:vAlign w:val="center"/>
          </w:tcPr>
          <w:p w14:paraId="31138535">
            <w:pPr>
              <w:spacing w:before="120" w:after="60"/>
              <w:jc w:val="center"/>
              <w:rPr>
                <w:rFonts w:hint="eastAsia" w:ascii="宋体" w:hAnsi="宋体" w:eastAsia="宋体" w:cs="宋体"/>
                <w:color w:val="auto"/>
                <w:szCs w:val="21"/>
                <w:highlight w:val="none"/>
              </w:rPr>
            </w:pPr>
          </w:p>
        </w:tc>
      </w:tr>
      <w:tr w14:paraId="0A01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13B51CC1">
            <w:pPr>
              <w:spacing w:before="120" w:after="60"/>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val="en-US" w:eastAsia="zh-CN"/>
              </w:rPr>
              <w:t>7</w:t>
            </w:r>
          </w:p>
        </w:tc>
        <w:tc>
          <w:tcPr>
            <w:tcW w:w="3366" w:type="dxa"/>
            <w:tcBorders>
              <w:top w:val="single" w:color="auto" w:sz="4" w:space="0"/>
              <w:left w:val="single" w:color="auto" w:sz="4" w:space="0"/>
              <w:bottom w:val="single" w:color="auto" w:sz="4" w:space="0"/>
              <w:right w:val="single" w:color="auto" w:sz="4" w:space="0"/>
            </w:tcBorders>
            <w:vAlign w:val="center"/>
          </w:tcPr>
          <w:p w14:paraId="48137BAD">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（若为联合体投标，指联合体各方）</w:t>
            </w:r>
            <w:r>
              <w:rPr>
                <w:rFonts w:hint="eastAsia" w:ascii="宋体" w:hAnsi="宋体" w:eastAsia="宋体" w:cs="宋体"/>
                <w:color w:val="auto"/>
                <w:sz w:val="21"/>
                <w:szCs w:val="21"/>
                <w:highlight w:val="none"/>
              </w:rPr>
              <w:t>提供的投标人声明符合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公告要求</w:t>
            </w:r>
          </w:p>
        </w:tc>
        <w:tc>
          <w:tcPr>
            <w:tcW w:w="4027" w:type="dxa"/>
            <w:tcBorders>
              <w:top w:val="single" w:color="auto" w:sz="4" w:space="0"/>
              <w:left w:val="single" w:color="auto" w:sz="4" w:space="0"/>
              <w:bottom w:val="single" w:color="auto" w:sz="4" w:space="0"/>
              <w:right w:val="single" w:color="auto" w:sz="4" w:space="0"/>
            </w:tcBorders>
            <w:vAlign w:val="center"/>
          </w:tcPr>
          <w:p w14:paraId="5ADA1EF4">
            <w:pPr>
              <w:spacing w:before="120" w:after="60"/>
              <w:jc w:val="center"/>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single"/>
              </w:rPr>
              <w:t>《投标人声明（适用于独立投标或联合体主办方）》</w:t>
            </w:r>
            <w:r>
              <w:rPr>
                <w:rFonts w:hint="eastAsia" w:ascii="宋体" w:hAnsi="宋体" w:eastAsia="宋体" w:cs="宋体"/>
                <w:bCs/>
                <w:color w:val="auto"/>
                <w:sz w:val="21"/>
                <w:szCs w:val="21"/>
                <w:highlight w:val="none"/>
                <w:u w:val="single"/>
              </w:rPr>
              <w:t>及《投标人声明（适用于联合体成员方）》（若为联合体投标，成员方需提供《投标人声明（适用于联合体成员方）》；若为独立投标人，无需提供《投标人声明（适用于联合体成员方）》）</w:t>
            </w:r>
            <w:r>
              <w:rPr>
                <w:rFonts w:hint="eastAsia" w:ascii="宋体" w:hAnsi="宋体" w:eastAsia="宋体" w:cs="宋体"/>
                <w:bCs/>
                <w:color w:val="auto"/>
                <w:sz w:val="21"/>
                <w:szCs w:val="21"/>
                <w:highlight w:val="none"/>
                <w:u w:val="single"/>
                <w:lang w:eastAsia="zh-CN"/>
              </w:rPr>
              <w:t>扫描件</w:t>
            </w:r>
            <w:r>
              <w:rPr>
                <w:rFonts w:hint="eastAsia" w:ascii="宋体" w:hAnsi="宋体" w:eastAsia="宋体" w:cs="宋体"/>
                <w:color w:val="auto"/>
                <w:sz w:val="21"/>
                <w:szCs w:val="21"/>
                <w:highlight w:val="none"/>
                <w:u w:val="single"/>
              </w:rPr>
              <w:t>。</w:t>
            </w:r>
          </w:p>
        </w:tc>
        <w:tc>
          <w:tcPr>
            <w:tcW w:w="1072" w:type="dxa"/>
            <w:tcBorders>
              <w:top w:val="single" w:color="auto" w:sz="4" w:space="0"/>
              <w:left w:val="single" w:color="auto" w:sz="4" w:space="0"/>
              <w:bottom w:val="single" w:color="auto" w:sz="4" w:space="0"/>
              <w:right w:val="single" w:color="auto" w:sz="4" w:space="0"/>
            </w:tcBorders>
            <w:vAlign w:val="center"/>
          </w:tcPr>
          <w:p w14:paraId="1B955BE7">
            <w:pPr>
              <w:spacing w:before="120" w:after="60"/>
              <w:jc w:val="center"/>
              <w:rPr>
                <w:rFonts w:hint="eastAsia" w:ascii="宋体" w:hAnsi="宋体" w:eastAsia="宋体" w:cs="宋体"/>
                <w:color w:val="auto"/>
                <w:szCs w:val="21"/>
                <w:highlight w:val="none"/>
              </w:rPr>
            </w:pPr>
          </w:p>
        </w:tc>
      </w:tr>
      <w:tr w14:paraId="5386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5119DC4">
            <w:pPr>
              <w:spacing w:before="120" w:after="60"/>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val="en-US" w:eastAsia="zh-CN"/>
              </w:rPr>
              <w:t>8</w:t>
            </w:r>
          </w:p>
        </w:tc>
        <w:tc>
          <w:tcPr>
            <w:tcW w:w="3366" w:type="dxa"/>
            <w:tcBorders>
              <w:top w:val="single" w:color="auto" w:sz="4" w:space="0"/>
              <w:left w:val="single" w:color="auto" w:sz="4" w:space="0"/>
              <w:bottom w:val="single" w:color="auto" w:sz="4" w:space="0"/>
              <w:right w:val="single" w:color="auto" w:sz="4" w:space="0"/>
            </w:tcBorders>
            <w:vAlign w:val="center"/>
          </w:tcPr>
          <w:p w14:paraId="105A9B31">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投标人（若为联合体投标，由联合体主办方提供）声明中签字的项目负责人和技术负责人与本项目拟派的项目负责人和技术负责人一致</w:t>
            </w:r>
          </w:p>
        </w:tc>
        <w:tc>
          <w:tcPr>
            <w:tcW w:w="4027" w:type="dxa"/>
            <w:tcBorders>
              <w:top w:val="single" w:color="auto" w:sz="4" w:space="0"/>
              <w:left w:val="single" w:color="auto" w:sz="4" w:space="0"/>
              <w:bottom w:val="single" w:color="auto" w:sz="4" w:space="0"/>
              <w:right w:val="single" w:color="auto" w:sz="4" w:space="0"/>
            </w:tcBorders>
            <w:vAlign w:val="center"/>
          </w:tcPr>
          <w:p w14:paraId="711450BB">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网上投标时选择拟投标的项目负责人、投标文件中拟委派的技术负责人及《投标人声明（适用于独立投标或联合体主办方）》扫描件。</w:t>
            </w:r>
          </w:p>
        </w:tc>
        <w:tc>
          <w:tcPr>
            <w:tcW w:w="1072" w:type="dxa"/>
            <w:tcBorders>
              <w:top w:val="single" w:color="auto" w:sz="4" w:space="0"/>
              <w:left w:val="single" w:color="auto" w:sz="4" w:space="0"/>
              <w:bottom w:val="single" w:color="auto" w:sz="4" w:space="0"/>
              <w:right w:val="single" w:color="auto" w:sz="4" w:space="0"/>
            </w:tcBorders>
            <w:vAlign w:val="center"/>
          </w:tcPr>
          <w:p w14:paraId="755314F4">
            <w:pPr>
              <w:spacing w:before="120" w:after="60"/>
              <w:jc w:val="center"/>
              <w:rPr>
                <w:rFonts w:hint="eastAsia" w:ascii="宋体" w:hAnsi="宋体" w:eastAsia="宋体" w:cs="宋体"/>
                <w:color w:val="auto"/>
                <w:szCs w:val="21"/>
                <w:highlight w:val="none"/>
              </w:rPr>
            </w:pPr>
          </w:p>
        </w:tc>
      </w:tr>
      <w:tr w14:paraId="508C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3997C64">
            <w:pPr>
              <w:spacing w:before="120" w:after="6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9</w:t>
            </w:r>
          </w:p>
        </w:tc>
        <w:tc>
          <w:tcPr>
            <w:tcW w:w="3366" w:type="dxa"/>
            <w:tcBorders>
              <w:top w:val="single" w:color="auto" w:sz="4" w:space="0"/>
              <w:left w:val="single" w:color="auto" w:sz="4" w:space="0"/>
              <w:bottom w:val="single" w:color="auto" w:sz="4" w:space="0"/>
              <w:right w:val="single" w:color="auto" w:sz="4" w:space="0"/>
            </w:tcBorders>
            <w:vAlign w:val="center"/>
          </w:tcPr>
          <w:p w14:paraId="14B48A7A">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在投标截止时间前，投标人（若为联合体投标，指联合体各方）未被列入拖欠农民工工资失信联合惩戒对象名单。</w:t>
            </w:r>
          </w:p>
        </w:tc>
        <w:tc>
          <w:tcPr>
            <w:tcW w:w="4027" w:type="dxa"/>
            <w:tcBorders>
              <w:top w:val="single" w:color="auto" w:sz="4" w:space="0"/>
              <w:left w:val="single" w:color="auto" w:sz="4" w:space="0"/>
              <w:bottom w:val="single" w:color="auto" w:sz="4" w:space="0"/>
              <w:right w:val="single" w:color="auto" w:sz="4" w:space="0"/>
            </w:tcBorders>
            <w:vAlign w:val="center"/>
          </w:tcPr>
          <w:p w14:paraId="67E86D81">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none"/>
              </w:rPr>
              <w:t>投标人无需提供资料，资格审查时，</w:t>
            </w:r>
            <w:r>
              <w:rPr>
                <w:rFonts w:hint="eastAsia" w:ascii="宋体" w:hAnsi="宋体" w:eastAsia="宋体" w:cs="宋体"/>
                <w:b w:val="0"/>
                <w:bCs w:val="0"/>
                <w:color w:val="auto"/>
                <w:kern w:val="2"/>
                <w:sz w:val="21"/>
                <w:szCs w:val="21"/>
                <w:highlight w:val="none"/>
                <w:u w:val="none"/>
              </w:rPr>
              <w:t>投标截止时间</w:t>
            </w:r>
            <w:r>
              <w:rPr>
                <w:rFonts w:hint="eastAsia" w:ascii="宋体" w:hAnsi="宋体" w:eastAsia="宋体" w:cs="宋体"/>
                <w:b w:val="0"/>
                <w:bCs w:val="0"/>
                <w:color w:val="auto"/>
                <w:kern w:val="2"/>
                <w:sz w:val="21"/>
                <w:szCs w:val="21"/>
                <w:highlight w:val="none"/>
                <w:u w:val="none"/>
                <w:lang w:val="en-US" w:eastAsia="zh-CN"/>
              </w:rPr>
              <w:t>的</w:t>
            </w:r>
            <w:r>
              <w:rPr>
                <w:rFonts w:hint="eastAsia" w:ascii="宋体" w:hAnsi="宋体" w:eastAsia="宋体" w:cs="宋体"/>
                <w:color w:val="auto"/>
                <w:sz w:val="21"/>
                <w:szCs w:val="21"/>
                <w:highlight w:val="none"/>
                <w:u w:val="none"/>
              </w:rPr>
              <w:t>广州交易集团有限公司（广州公共资源交易中心）交易系统比对的结果进行评审。</w:t>
            </w:r>
          </w:p>
        </w:tc>
        <w:tc>
          <w:tcPr>
            <w:tcW w:w="1072" w:type="dxa"/>
            <w:tcBorders>
              <w:top w:val="single" w:color="auto" w:sz="4" w:space="0"/>
              <w:left w:val="single" w:color="auto" w:sz="4" w:space="0"/>
              <w:bottom w:val="single" w:color="auto" w:sz="4" w:space="0"/>
              <w:right w:val="single" w:color="auto" w:sz="4" w:space="0"/>
            </w:tcBorders>
            <w:vAlign w:val="center"/>
          </w:tcPr>
          <w:p w14:paraId="1ECA3B2E">
            <w:pPr>
              <w:spacing w:before="120" w:after="60"/>
              <w:jc w:val="center"/>
              <w:rPr>
                <w:rFonts w:hint="eastAsia" w:ascii="宋体" w:hAnsi="宋体" w:eastAsia="宋体" w:cs="宋体"/>
                <w:color w:val="auto"/>
                <w:szCs w:val="21"/>
                <w:highlight w:val="none"/>
              </w:rPr>
            </w:pPr>
          </w:p>
        </w:tc>
      </w:tr>
      <w:tr w14:paraId="201D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1A5CEAB2">
            <w:pPr>
              <w:spacing w:before="120" w:after="6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10</w:t>
            </w:r>
          </w:p>
        </w:tc>
        <w:tc>
          <w:tcPr>
            <w:tcW w:w="3366" w:type="dxa"/>
            <w:tcBorders>
              <w:top w:val="single" w:color="auto" w:sz="4" w:space="0"/>
              <w:left w:val="single" w:color="auto" w:sz="4" w:space="0"/>
              <w:bottom w:val="single" w:color="auto" w:sz="4" w:space="0"/>
              <w:right w:val="single" w:color="auto" w:sz="4" w:space="0"/>
            </w:tcBorders>
            <w:vAlign w:val="center"/>
          </w:tcPr>
          <w:p w14:paraId="6368AFB0">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在投标截止时间前，投标人（若为联合体投标，指联合体各方）未被列入“失信被执行人”名单。</w:t>
            </w:r>
          </w:p>
        </w:tc>
        <w:tc>
          <w:tcPr>
            <w:tcW w:w="4027" w:type="dxa"/>
            <w:tcBorders>
              <w:top w:val="single" w:color="auto" w:sz="4" w:space="0"/>
              <w:left w:val="single" w:color="auto" w:sz="4" w:space="0"/>
              <w:bottom w:val="single" w:color="auto" w:sz="4" w:space="0"/>
              <w:right w:val="single" w:color="auto" w:sz="4" w:space="0"/>
            </w:tcBorders>
            <w:vAlign w:val="center"/>
          </w:tcPr>
          <w:p w14:paraId="2AACA428">
            <w:pPr>
              <w:spacing w:before="120" w:after="60"/>
              <w:jc w:val="center"/>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rPr>
              <w:t>投标人无需提供资料，资格审查时，</w:t>
            </w:r>
            <w:r>
              <w:rPr>
                <w:rFonts w:hint="eastAsia" w:ascii="宋体" w:hAnsi="宋体" w:eastAsia="宋体" w:cs="宋体"/>
                <w:b w:val="0"/>
                <w:bCs w:val="0"/>
                <w:color w:val="auto"/>
                <w:kern w:val="2"/>
                <w:sz w:val="21"/>
                <w:szCs w:val="21"/>
                <w:highlight w:val="none"/>
                <w:u w:val="none"/>
              </w:rPr>
              <w:t>投标截止时间</w:t>
            </w:r>
            <w:r>
              <w:rPr>
                <w:rFonts w:hint="eastAsia" w:ascii="宋体" w:hAnsi="宋体" w:eastAsia="宋体" w:cs="宋体"/>
                <w:b w:val="0"/>
                <w:bCs w:val="0"/>
                <w:color w:val="auto"/>
                <w:kern w:val="2"/>
                <w:sz w:val="21"/>
                <w:szCs w:val="21"/>
                <w:highlight w:val="none"/>
                <w:u w:val="none"/>
                <w:lang w:val="en-US" w:eastAsia="zh-CN"/>
              </w:rPr>
              <w:t>的</w:t>
            </w:r>
            <w:r>
              <w:rPr>
                <w:rFonts w:hint="eastAsia" w:ascii="宋体" w:hAnsi="宋体" w:eastAsia="宋体" w:cs="宋体"/>
                <w:color w:val="auto"/>
                <w:sz w:val="21"/>
                <w:szCs w:val="21"/>
                <w:highlight w:val="none"/>
                <w:u w:val="none"/>
              </w:rPr>
              <w:t>广州交易集团有限公司（广州公共资源交易中心）交易系统比对的结果进行评审。</w:t>
            </w:r>
          </w:p>
        </w:tc>
        <w:tc>
          <w:tcPr>
            <w:tcW w:w="1072" w:type="dxa"/>
            <w:tcBorders>
              <w:top w:val="single" w:color="auto" w:sz="4" w:space="0"/>
              <w:left w:val="single" w:color="auto" w:sz="4" w:space="0"/>
              <w:bottom w:val="single" w:color="auto" w:sz="4" w:space="0"/>
              <w:right w:val="single" w:color="auto" w:sz="4" w:space="0"/>
            </w:tcBorders>
            <w:vAlign w:val="center"/>
          </w:tcPr>
          <w:p w14:paraId="1DC67350">
            <w:pPr>
              <w:spacing w:before="120" w:after="60"/>
              <w:jc w:val="center"/>
              <w:rPr>
                <w:rFonts w:hint="eastAsia" w:ascii="宋体" w:hAnsi="宋体" w:eastAsia="宋体" w:cs="宋体"/>
                <w:color w:val="auto"/>
                <w:szCs w:val="21"/>
                <w:highlight w:val="none"/>
              </w:rPr>
            </w:pPr>
          </w:p>
        </w:tc>
      </w:tr>
      <w:tr w14:paraId="5A07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42E0BB72">
            <w:pPr>
              <w:spacing w:before="120" w:after="6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11</w:t>
            </w:r>
          </w:p>
        </w:tc>
        <w:tc>
          <w:tcPr>
            <w:tcW w:w="3366" w:type="dxa"/>
            <w:tcBorders>
              <w:top w:val="single" w:color="auto" w:sz="4" w:space="0"/>
              <w:left w:val="single" w:color="auto" w:sz="4" w:space="0"/>
              <w:bottom w:val="single" w:color="auto" w:sz="4" w:space="0"/>
              <w:right w:val="single" w:color="auto" w:sz="4" w:space="0"/>
            </w:tcBorders>
            <w:vAlign w:val="center"/>
          </w:tcPr>
          <w:p w14:paraId="3E729677">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 w:val="21"/>
                <w:szCs w:val="21"/>
                <w:highlight w:val="none"/>
                <w:lang w:val="en-US" w:eastAsia="zh-CN"/>
              </w:rPr>
              <w:t>九</w:t>
            </w:r>
            <w:r>
              <w:rPr>
                <w:rFonts w:hint="eastAsia" w:ascii="宋体" w:hAnsi="宋体" w:eastAsia="宋体" w:cs="宋体"/>
                <w:color w:val="auto"/>
                <w:sz w:val="21"/>
                <w:szCs w:val="21"/>
                <w:highlight w:val="none"/>
              </w:rPr>
              <w:t>条内容进行评审）</w:t>
            </w:r>
          </w:p>
        </w:tc>
        <w:tc>
          <w:tcPr>
            <w:tcW w:w="4027" w:type="dxa"/>
            <w:tcBorders>
              <w:top w:val="single" w:color="auto" w:sz="4" w:space="0"/>
              <w:left w:val="single" w:color="auto" w:sz="4" w:space="0"/>
              <w:bottom w:val="single" w:color="auto" w:sz="4" w:space="0"/>
              <w:right w:val="single" w:color="auto" w:sz="4" w:space="0"/>
            </w:tcBorders>
            <w:vAlign w:val="center"/>
          </w:tcPr>
          <w:p w14:paraId="0A91252A">
            <w:pPr>
              <w:spacing w:before="120" w:after="60"/>
              <w:jc w:val="center"/>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rPr>
              <w:t>《投标人声明（适用于独立投标或联合体主办方）》及《投标人声明（适用于联合体成员方）》（若为联合体投标，成员方需提供《投标人声明（适用于联合体成员方）》；若为独立投标人，无需提供《投标人声明（适用于联合体成员方）》）扫描件。</w:t>
            </w:r>
          </w:p>
        </w:tc>
        <w:tc>
          <w:tcPr>
            <w:tcW w:w="1072" w:type="dxa"/>
            <w:tcBorders>
              <w:top w:val="single" w:color="auto" w:sz="4" w:space="0"/>
              <w:left w:val="single" w:color="auto" w:sz="4" w:space="0"/>
              <w:bottom w:val="single" w:color="auto" w:sz="4" w:space="0"/>
              <w:right w:val="single" w:color="auto" w:sz="4" w:space="0"/>
            </w:tcBorders>
            <w:vAlign w:val="center"/>
          </w:tcPr>
          <w:p w14:paraId="473C2108">
            <w:pPr>
              <w:spacing w:before="120" w:after="60"/>
              <w:jc w:val="center"/>
              <w:rPr>
                <w:rFonts w:hint="eastAsia" w:ascii="宋体" w:hAnsi="宋体" w:eastAsia="宋体" w:cs="宋体"/>
                <w:color w:val="auto"/>
                <w:szCs w:val="21"/>
                <w:highlight w:val="none"/>
              </w:rPr>
            </w:pPr>
          </w:p>
        </w:tc>
      </w:tr>
      <w:tr w14:paraId="73AA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D32B90C">
            <w:pPr>
              <w:spacing w:before="120" w:after="6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12</w:t>
            </w:r>
          </w:p>
        </w:tc>
        <w:tc>
          <w:tcPr>
            <w:tcW w:w="3366" w:type="dxa"/>
            <w:tcBorders>
              <w:top w:val="single" w:color="auto" w:sz="4" w:space="0"/>
              <w:left w:val="single" w:color="auto" w:sz="4" w:space="0"/>
              <w:bottom w:val="single" w:color="auto" w:sz="4" w:space="0"/>
              <w:right w:val="single" w:color="auto" w:sz="4" w:space="0"/>
            </w:tcBorders>
            <w:vAlign w:val="center"/>
          </w:tcPr>
          <w:p w14:paraId="783C5470">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关于联合体投标：本项目接受联合体投标。</w:t>
            </w:r>
          </w:p>
        </w:tc>
        <w:tc>
          <w:tcPr>
            <w:tcW w:w="4027" w:type="dxa"/>
            <w:tcBorders>
              <w:top w:val="single" w:color="auto" w:sz="4" w:space="0"/>
              <w:left w:val="single" w:color="auto" w:sz="4" w:space="0"/>
              <w:bottom w:val="single" w:color="auto" w:sz="4" w:space="0"/>
              <w:right w:val="single" w:color="auto" w:sz="4" w:space="0"/>
            </w:tcBorders>
            <w:vAlign w:val="center"/>
          </w:tcPr>
          <w:p w14:paraId="6C5098C7">
            <w:pPr>
              <w:spacing w:before="120" w:after="60"/>
              <w:jc w:val="center"/>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rPr>
              <w:t>联合体工作协议</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符合招标公告要求。</w:t>
            </w:r>
          </w:p>
        </w:tc>
        <w:tc>
          <w:tcPr>
            <w:tcW w:w="1072" w:type="dxa"/>
            <w:tcBorders>
              <w:top w:val="single" w:color="auto" w:sz="4" w:space="0"/>
              <w:left w:val="single" w:color="auto" w:sz="4" w:space="0"/>
              <w:bottom w:val="single" w:color="auto" w:sz="4" w:space="0"/>
              <w:right w:val="single" w:color="auto" w:sz="4" w:space="0"/>
            </w:tcBorders>
            <w:vAlign w:val="center"/>
          </w:tcPr>
          <w:p w14:paraId="0747FB7A">
            <w:pPr>
              <w:spacing w:before="120" w:after="60"/>
              <w:jc w:val="center"/>
              <w:rPr>
                <w:rFonts w:hint="eastAsia" w:ascii="宋体" w:hAnsi="宋体" w:eastAsia="宋体" w:cs="宋体"/>
                <w:color w:val="auto"/>
                <w:szCs w:val="21"/>
                <w:highlight w:val="none"/>
              </w:rPr>
            </w:pPr>
          </w:p>
        </w:tc>
      </w:tr>
      <w:tr w14:paraId="1970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3E81645F">
            <w:pPr>
              <w:spacing w:before="120" w:after="60"/>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13</w:t>
            </w:r>
          </w:p>
        </w:tc>
        <w:tc>
          <w:tcPr>
            <w:tcW w:w="3366" w:type="dxa"/>
            <w:tcBorders>
              <w:top w:val="single" w:color="auto" w:sz="4" w:space="0"/>
              <w:left w:val="single" w:color="auto" w:sz="4" w:space="0"/>
              <w:bottom w:val="single" w:color="auto" w:sz="4" w:space="0"/>
              <w:right w:val="single" w:color="auto" w:sz="4" w:space="0"/>
            </w:tcBorders>
            <w:vAlign w:val="center"/>
          </w:tcPr>
          <w:p w14:paraId="3404CF0B">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资格审查前，投标人</w:t>
            </w:r>
            <w:r>
              <w:rPr>
                <w:rFonts w:hint="eastAsia" w:ascii="宋体" w:hAnsi="宋体" w:eastAsia="宋体" w:cs="宋体"/>
                <w:color w:val="auto"/>
                <w:sz w:val="21"/>
                <w:szCs w:val="21"/>
                <w:highlight w:val="none"/>
                <w:u w:val="none"/>
              </w:rPr>
              <w:t>（若为联合体投标，指联合体各方）</w:t>
            </w:r>
            <w:r>
              <w:rPr>
                <w:rFonts w:hint="eastAsia" w:ascii="宋体" w:hAnsi="宋体" w:eastAsia="宋体" w:cs="宋体"/>
                <w:color w:val="auto"/>
                <w:sz w:val="21"/>
                <w:szCs w:val="21"/>
                <w:highlight w:val="none"/>
              </w:rPr>
              <w:t>及拟担任本工程项目负责人、专职安全员已在广州交易集团有限公司（广州公共资源交易中心）办理企业信息登记及拟担任本工程项目负责人、专职安全员须是本企业信息登记信息中的在册人员</w:t>
            </w:r>
          </w:p>
        </w:tc>
        <w:tc>
          <w:tcPr>
            <w:tcW w:w="4027" w:type="dxa"/>
            <w:tcBorders>
              <w:top w:val="single" w:color="auto" w:sz="4" w:space="0"/>
              <w:left w:val="single" w:color="auto" w:sz="4" w:space="0"/>
              <w:bottom w:val="single" w:color="auto" w:sz="4" w:space="0"/>
              <w:right w:val="single" w:color="auto" w:sz="4" w:space="0"/>
            </w:tcBorders>
            <w:vAlign w:val="center"/>
          </w:tcPr>
          <w:p w14:paraId="19CB5622">
            <w:pPr>
              <w:spacing w:before="120" w:after="60"/>
              <w:jc w:val="center"/>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企业信息库内企业信用档案的企业和人员信息</w:t>
            </w:r>
          </w:p>
        </w:tc>
        <w:tc>
          <w:tcPr>
            <w:tcW w:w="1072" w:type="dxa"/>
            <w:tcBorders>
              <w:top w:val="single" w:color="auto" w:sz="4" w:space="0"/>
              <w:left w:val="single" w:color="auto" w:sz="4" w:space="0"/>
              <w:bottom w:val="single" w:color="auto" w:sz="4" w:space="0"/>
              <w:right w:val="single" w:color="auto" w:sz="4" w:space="0"/>
            </w:tcBorders>
            <w:vAlign w:val="center"/>
          </w:tcPr>
          <w:p w14:paraId="29C51066">
            <w:pPr>
              <w:spacing w:before="120" w:after="60"/>
              <w:jc w:val="center"/>
              <w:rPr>
                <w:rFonts w:hint="eastAsia" w:ascii="宋体" w:hAnsi="宋体" w:eastAsia="宋体" w:cs="宋体"/>
                <w:color w:val="auto"/>
                <w:szCs w:val="21"/>
                <w:highlight w:val="none"/>
              </w:rPr>
            </w:pPr>
          </w:p>
        </w:tc>
      </w:tr>
      <w:tr w14:paraId="6BFE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A3799F4">
            <w:pPr>
              <w:spacing w:before="120" w:after="60"/>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p>
        </w:tc>
        <w:tc>
          <w:tcPr>
            <w:tcW w:w="3366" w:type="dxa"/>
            <w:tcBorders>
              <w:top w:val="single" w:color="auto" w:sz="4" w:space="0"/>
              <w:left w:val="single" w:color="auto" w:sz="4" w:space="0"/>
              <w:bottom w:val="single" w:color="auto" w:sz="4" w:space="0"/>
              <w:right w:val="single" w:color="auto" w:sz="4" w:space="0"/>
            </w:tcBorders>
            <w:vAlign w:val="center"/>
          </w:tcPr>
          <w:p w14:paraId="0438A57B">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u w:val="none"/>
              </w:rPr>
              <w:t>（若为联合体投标，指联合体各方）</w:t>
            </w:r>
            <w:r>
              <w:rPr>
                <w:rFonts w:hint="eastAsia" w:ascii="宋体" w:hAnsi="宋体" w:eastAsia="宋体" w:cs="宋体"/>
                <w:color w:val="auto"/>
                <w:kern w:val="2"/>
                <w:sz w:val="21"/>
                <w:szCs w:val="21"/>
                <w:highlight w:val="none"/>
              </w:rPr>
              <w:t>未在以往工程中因不充分履约行为被本项目招标人书面拒绝投标的</w:t>
            </w:r>
            <w:r>
              <w:rPr>
                <w:rFonts w:hint="eastAsia" w:ascii="宋体" w:hAnsi="宋体" w:eastAsia="宋体" w:cs="宋体"/>
                <w:color w:val="auto"/>
                <w:kern w:val="2"/>
                <w:sz w:val="21"/>
                <w:szCs w:val="21"/>
                <w:highlight w:val="none"/>
                <w:lang w:val="en-US" w:eastAsia="zh-CN"/>
              </w:rPr>
              <w:t>企业名单</w:t>
            </w:r>
            <w:r>
              <w:rPr>
                <w:rFonts w:hint="eastAsia" w:ascii="宋体" w:hAnsi="宋体" w:eastAsia="宋体" w:cs="宋体"/>
                <w:color w:val="auto"/>
                <w:sz w:val="21"/>
                <w:szCs w:val="21"/>
                <w:highlight w:val="none"/>
                <w:lang w:val="en-US" w:eastAsia="zh-CN"/>
              </w:rPr>
              <w:t>。</w:t>
            </w:r>
          </w:p>
        </w:tc>
        <w:tc>
          <w:tcPr>
            <w:tcW w:w="4027" w:type="dxa"/>
            <w:tcBorders>
              <w:top w:val="single" w:color="auto" w:sz="4" w:space="0"/>
              <w:left w:val="single" w:color="auto" w:sz="4" w:space="0"/>
              <w:bottom w:val="single" w:color="auto" w:sz="4" w:space="0"/>
              <w:right w:val="single" w:color="auto" w:sz="4" w:space="0"/>
            </w:tcBorders>
            <w:vAlign w:val="center"/>
          </w:tcPr>
          <w:p w14:paraId="2D9763CD">
            <w:pPr>
              <w:spacing w:before="120" w:after="60"/>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名单详见招标公告附件</w:t>
            </w:r>
            <w:r>
              <w:rPr>
                <w:rFonts w:hint="eastAsia" w:ascii="宋体" w:hAnsi="宋体" w:eastAsia="宋体" w:cs="宋体"/>
                <w:color w:val="auto"/>
                <w:sz w:val="21"/>
                <w:szCs w:val="21"/>
                <w:highlight w:val="none"/>
                <w:lang w:val="en-US" w:eastAsia="zh-CN"/>
              </w:rPr>
              <w:t>三</w:t>
            </w:r>
          </w:p>
        </w:tc>
        <w:tc>
          <w:tcPr>
            <w:tcW w:w="1072" w:type="dxa"/>
            <w:tcBorders>
              <w:top w:val="single" w:color="auto" w:sz="4" w:space="0"/>
              <w:left w:val="single" w:color="auto" w:sz="4" w:space="0"/>
              <w:bottom w:val="single" w:color="auto" w:sz="4" w:space="0"/>
              <w:right w:val="single" w:color="auto" w:sz="4" w:space="0"/>
            </w:tcBorders>
            <w:vAlign w:val="center"/>
          </w:tcPr>
          <w:p w14:paraId="5CAD4820">
            <w:pPr>
              <w:spacing w:before="120" w:after="60"/>
              <w:jc w:val="center"/>
              <w:rPr>
                <w:rFonts w:hint="eastAsia" w:ascii="宋体" w:hAnsi="宋体" w:eastAsia="宋体" w:cs="宋体"/>
                <w:color w:val="auto"/>
                <w:szCs w:val="21"/>
                <w:highlight w:val="none"/>
              </w:rPr>
            </w:pPr>
          </w:p>
        </w:tc>
      </w:tr>
    </w:tbl>
    <w:p w14:paraId="52BAFCA3">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37E6A58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14:paraId="7975B591">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17176BDC">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文字错误等列为否决投标的情形。评委发现资格审查文件中含义不明确、对同类问题表述不一致、有明显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计算错误的，应当要求投标人作必要的澄清、说明后再判定投标人是否通过资格审查，不得直接认定其不通过资格审查。</w:t>
      </w:r>
    </w:p>
    <w:p w14:paraId="164D76FF">
      <w:pPr>
        <w:rPr>
          <w:color w:val="auto"/>
          <w:highlight w:val="none"/>
        </w:rPr>
        <w:sectPr>
          <w:headerReference r:id="rId4" w:type="first"/>
          <w:footerReference r:id="rId6" w:type="first"/>
          <w:headerReference r:id="rId3" w:type="default"/>
          <w:footerReference r:id="rId5" w:type="default"/>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6A94F438">
      <w:pPr>
        <w:rPr>
          <w:color w:val="auto"/>
          <w:sz w:val="28"/>
          <w:szCs w:val="28"/>
          <w:highlight w:val="none"/>
        </w:rPr>
      </w:pPr>
      <w:r>
        <w:rPr>
          <w:rFonts w:hint="eastAsia"/>
          <w:color w:val="auto"/>
          <w:sz w:val="28"/>
          <w:szCs w:val="28"/>
          <w:highlight w:val="none"/>
        </w:rPr>
        <w:t>附表二</w:t>
      </w:r>
    </w:p>
    <w:p w14:paraId="22176853">
      <w:pPr>
        <w:jc w:val="center"/>
        <w:rPr>
          <w:b/>
          <w:color w:val="auto"/>
          <w:sz w:val="36"/>
          <w:szCs w:val="36"/>
          <w:highlight w:val="none"/>
        </w:rPr>
      </w:pPr>
      <w:r>
        <w:rPr>
          <w:rFonts w:hint="eastAsia"/>
          <w:b/>
          <w:color w:val="auto"/>
          <w:sz w:val="36"/>
          <w:szCs w:val="36"/>
          <w:highlight w:val="none"/>
        </w:rPr>
        <w:t>技术标有效性审查表</w:t>
      </w:r>
    </w:p>
    <w:p w14:paraId="1D72639F">
      <w:pPr>
        <w:rPr>
          <w:color w:val="auto"/>
          <w:szCs w:val="21"/>
          <w:highlight w:val="none"/>
        </w:rPr>
      </w:pPr>
      <w:r>
        <w:rPr>
          <w:rFonts w:hint="eastAsia"/>
          <w:color w:val="auto"/>
          <w:szCs w:val="21"/>
          <w:highlight w:val="none"/>
        </w:rPr>
        <w:t>工程名称：</w:t>
      </w:r>
    </w:p>
    <w:tbl>
      <w:tblPr>
        <w:tblStyle w:val="37"/>
        <w:tblW w:w="14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522"/>
        <w:gridCol w:w="1320"/>
        <w:gridCol w:w="1305"/>
        <w:gridCol w:w="1305"/>
      </w:tblGrid>
      <w:tr w14:paraId="5A96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841DDB1">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522" w:type="dxa"/>
            <w:tcBorders>
              <w:top w:val="single" w:color="auto" w:sz="4" w:space="0"/>
              <w:left w:val="single" w:color="auto" w:sz="4" w:space="0"/>
              <w:bottom w:val="single" w:color="auto" w:sz="4" w:space="0"/>
              <w:right w:val="single" w:color="auto" w:sz="4" w:space="0"/>
              <w:tl2br w:val="single" w:color="auto" w:sz="4" w:space="0"/>
            </w:tcBorders>
          </w:tcPr>
          <w:p w14:paraId="2AC112C9">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投标人</w:t>
            </w:r>
          </w:p>
          <w:p w14:paraId="0B041554">
            <w:pPr>
              <w:adjustRightInd w:val="0"/>
              <w:rPr>
                <w:rFonts w:hint="eastAsia" w:ascii="宋体" w:hAnsi="宋体" w:eastAsia="宋体" w:cs="宋体"/>
                <w:color w:val="auto"/>
                <w:szCs w:val="21"/>
                <w:highlight w:val="none"/>
              </w:rPr>
            </w:pPr>
          </w:p>
          <w:p w14:paraId="2126E10D">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320" w:type="dxa"/>
            <w:tcBorders>
              <w:top w:val="single" w:color="auto" w:sz="4" w:space="0"/>
              <w:left w:val="single" w:color="auto" w:sz="4" w:space="0"/>
              <w:bottom w:val="single" w:color="auto" w:sz="4" w:space="0"/>
              <w:right w:val="single" w:color="auto" w:sz="4" w:space="0"/>
            </w:tcBorders>
          </w:tcPr>
          <w:p w14:paraId="20B50AD6">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4D7A1910">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4244F627">
            <w:pPr>
              <w:adjustRightInd w:val="0"/>
              <w:jc w:val="center"/>
              <w:rPr>
                <w:rFonts w:hint="eastAsia" w:ascii="宋体" w:hAnsi="宋体" w:eastAsia="宋体" w:cs="宋体"/>
                <w:color w:val="auto"/>
                <w:szCs w:val="21"/>
                <w:highlight w:val="none"/>
              </w:rPr>
            </w:pPr>
          </w:p>
        </w:tc>
      </w:tr>
      <w:tr w14:paraId="0DB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0D497D3">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22" w:type="dxa"/>
            <w:tcBorders>
              <w:top w:val="single" w:color="auto" w:sz="4" w:space="0"/>
              <w:left w:val="single" w:color="auto" w:sz="4" w:space="0"/>
              <w:bottom w:val="single" w:color="auto" w:sz="4" w:space="0"/>
              <w:right w:val="single" w:color="auto" w:sz="4" w:space="0"/>
            </w:tcBorders>
            <w:vAlign w:val="center"/>
          </w:tcPr>
          <w:p w14:paraId="7600C13B">
            <w:pPr>
              <w:adjustRightInd w:val="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不能满足完成投标项目工期的；</w:t>
            </w:r>
          </w:p>
        </w:tc>
        <w:tc>
          <w:tcPr>
            <w:tcW w:w="1320" w:type="dxa"/>
            <w:tcBorders>
              <w:top w:val="single" w:color="auto" w:sz="4" w:space="0"/>
              <w:left w:val="single" w:color="auto" w:sz="4" w:space="0"/>
              <w:bottom w:val="single" w:color="auto" w:sz="4" w:space="0"/>
              <w:right w:val="single" w:color="auto" w:sz="4" w:space="0"/>
            </w:tcBorders>
          </w:tcPr>
          <w:p w14:paraId="2E31644B">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002FC8FC">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21F88107">
            <w:pPr>
              <w:adjustRightInd w:val="0"/>
              <w:jc w:val="center"/>
              <w:rPr>
                <w:rFonts w:hint="eastAsia" w:ascii="宋体" w:hAnsi="宋体" w:eastAsia="宋体" w:cs="宋体"/>
                <w:color w:val="auto"/>
                <w:szCs w:val="21"/>
                <w:highlight w:val="none"/>
              </w:rPr>
            </w:pPr>
          </w:p>
        </w:tc>
      </w:tr>
      <w:tr w14:paraId="123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C5E40B7">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22" w:type="dxa"/>
            <w:tcBorders>
              <w:top w:val="single" w:color="auto" w:sz="4" w:space="0"/>
              <w:left w:val="single" w:color="auto" w:sz="4" w:space="0"/>
              <w:bottom w:val="single" w:color="auto" w:sz="4" w:space="0"/>
              <w:right w:val="single" w:color="auto" w:sz="4" w:space="0"/>
            </w:tcBorders>
            <w:vAlign w:val="center"/>
          </w:tcPr>
          <w:p w14:paraId="39F6A9A7">
            <w:pPr>
              <w:adjustRightInd w:val="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不符合招标文件质量要求的；</w:t>
            </w:r>
          </w:p>
        </w:tc>
        <w:tc>
          <w:tcPr>
            <w:tcW w:w="1320" w:type="dxa"/>
            <w:tcBorders>
              <w:top w:val="single" w:color="auto" w:sz="4" w:space="0"/>
              <w:left w:val="single" w:color="auto" w:sz="4" w:space="0"/>
              <w:bottom w:val="single" w:color="auto" w:sz="4" w:space="0"/>
              <w:right w:val="single" w:color="auto" w:sz="4" w:space="0"/>
            </w:tcBorders>
          </w:tcPr>
          <w:p w14:paraId="625844E5">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7FC11CDF">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652F1B4B">
            <w:pPr>
              <w:adjustRightInd w:val="0"/>
              <w:jc w:val="center"/>
              <w:rPr>
                <w:rFonts w:hint="eastAsia" w:ascii="宋体" w:hAnsi="宋体" w:eastAsia="宋体" w:cs="宋体"/>
                <w:color w:val="auto"/>
                <w:szCs w:val="21"/>
                <w:highlight w:val="none"/>
              </w:rPr>
            </w:pPr>
          </w:p>
        </w:tc>
      </w:tr>
      <w:tr w14:paraId="52A5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6BC5028">
            <w:pPr>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9522" w:type="dxa"/>
            <w:tcBorders>
              <w:top w:val="single" w:color="auto" w:sz="4" w:space="0"/>
              <w:left w:val="single" w:color="auto" w:sz="4" w:space="0"/>
              <w:bottom w:val="single" w:color="auto" w:sz="4" w:space="0"/>
              <w:right w:val="single" w:color="auto" w:sz="4" w:space="0"/>
            </w:tcBorders>
            <w:vAlign w:val="center"/>
          </w:tcPr>
          <w:p w14:paraId="603BCD83">
            <w:pPr>
              <w:adjustRightInd w:val="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拟投入人员不能满足招标文件第五章技术条件中《</w:t>
            </w:r>
            <w:r>
              <w:rPr>
                <w:rFonts w:hint="eastAsia" w:ascii="宋体" w:hAnsi="宋体" w:eastAsia="宋体" w:cs="宋体"/>
                <w:color w:val="auto"/>
                <w:sz w:val="21"/>
                <w:szCs w:val="21"/>
                <w:highlight w:val="none"/>
              </w:rPr>
              <w:t>投入主要人员汇总表（最低要求）</w:t>
            </w:r>
            <w:r>
              <w:rPr>
                <w:rFonts w:hint="eastAsia" w:ascii="宋体" w:hAnsi="宋体" w:eastAsia="宋体" w:cs="宋体"/>
                <w:color w:val="auto"/>
                <w:sz w:val="21"/>
                <w:szCs w:val="21"/>
                <w:highlight w:val="none"/>
                <w:lang w:eastAsia="zh-CN"/>
              </w:rPr>
              <w:t>》的</w:t>
            </w:r>
          </w:p>
        </w:tc>
        <w:tc>
          <w:tcPr>
            <w:tcW w:w="1320" w:type="dxa"/>
            <w:tcBorders>
              <w:top w:val="single" w:color="auto" w:sz="4" w:space="0"/>
              <w:left w:val="single" w:color="auto" w:sz="4" w:space="0"/>
              <w:bottom w:val="single" w:color="auto" w:sz="4" w:space="0"/>
              <w:right w:val="single" w:color="auto" w:sz="4" w:space="0"/>
            </w:tcBorders>
          </w:tcPr>
          <w:p w14:paraId="5A18B726">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32F1DDBE">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5ABEC0BB">
            <w:pPr>
              <w:adjustRightInd w:val="0"/>
              <w:jc w:val="center"/>
              <w:rPr>
                <w:rFonts w:hint="eastAsia" w:ascii="宋体" w:hAnsi="宋体" w:eastAsia="宋体" w:cs="宋体"/>
                <w:color w:val="auto"/>
                <w:szCs w:val="21"/>
                <w:highlight w:val="none"/>
              </w:rPr>
            </w:pPr>
          </w:p>
        </w:tc>
      </w:tr>
      <w:tr w14:paraId="3714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1C95FB6">
            <w:pPr>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9522" w:type="dxa"/>
            <w:tcBorders>
              <w:top w:val="single" w:color="auto" w:sz="4" w:space="0"/>
              <w:left w:val="single" w:color="auto" w:sz="4" w:space="0"/>
              <w:bottom w:val="single" w:color="auto" w:sz="4" w:space="0"/>
              <w:right w:val="single" w:color="auto" w:sz="4" w:space="0"/>
            </w:tcBorders>
            <w:vAlign w:val="center"/>
          </w:tcPr>
          <w:p w14:paraId="15D1F3CF">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投标文件中没有有效的法定代表人证明书，或由委托代理人签名或盖个人签名章的投标文件中没有法定代表人授权书</w:t>
            </w:r>
            <w:r>
              <w:rPr>
                <w:rFonts w:hint="eastAsia" w:ascii="宋体" w:hAnsi="宋体" w:eastAsia="宋体" w:cs="Times New Roman"/>
                <w:color w:val="auto"/>
                <w:szCs w:val="21"/>
                <w:highlight w:val="none"/>
                <w:u w:val="single"/>
              </w:rPr>
              <w:t>及</w:t>
            </w:r>
            <w:r>
              <w:rPr>
                <w:rFonts w:hint="eastAsia" w:ascii="宋体" w:hAnsi="宋体" w:eastAsia="宋体" w:cs="宋体"/>
                <w:color w:val="auto"/>
                <w:szCs w:val="21"/>
                <w:highlight w:val="none"/>
                <w:u w:val="single"/>
              </w:rPr>
              <w:t>授权委托人的离投标截止时间最近的至少1个月（2025年7月或8月）在本单位缴纳的社保证明文件的</w:t>
            </w:r>
            <w:r>
              <w:rPr>
                <w:rFonts w:hint="eastAsia" w:ascii="宋体" w:hAnsi="宋体" w:eastAsia="宋体" w:cs="宋体"/>
                <w:color w:val="auto"/>
                <w:szCs w:val="21"/>
                <w:highlight w:val="none"/>
              </w:rPr>
              <w:t>；</w:t>
            </w:r>
          </w:p>
        </w:tc>
        <w:tc>
          <w:tcPr>
            <w:tcW w:w="1320" w:type="dxa"/>
            <w:tcBorders>
              <w:top w:val="single" w:color="auto" w:sz="4" w:space="0"/>
              <w:left w:val="single" w:color="auto" w:sz="4" w:space="0"/>
              <w:bottom w:val="single" w:color="auto" w:sz="4" w:space="0"/>
              <w:right w:val="single" w:color="auto" w:sz="4" w:space="0"/>
            </w:tcBorders>
          </w:tcPr>
          <w:p w14:paraId="1D9A3653">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0CF2CFEF">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37996B63">
            <w:pPr>
              <w:adjustRightInd w:val="0"/>
              <w:jc w:val="center"/>
              <w:rPr>
                <w:rFonts w:hint="eastAsia" w:ascii="宋体" w:hAnsi="宋体" w:eastAsia="宋体" w:cs="宋体"/>
                <w:color w:val="auto"/>
                <w:szCs w:val="21"/>
                <w:highlight w:val="none"/>
              </w:rPr>
            </w:pPr>
          </w:p>
        </w:tc>
      </w:tr>
      <w:tr w14:paraId="0AE7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8666ACB">
            <w:pPr>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9522" w:type="dxa"/>
            <w:tcBorders>
              <w:top w:val="single" w:color="auto" w:sz="4" w:space="0"/>
              <w:left w:val="single" w:color="auto" w:sz="4" w:space="0"/>
              <w:bottom w:val="single" w:color="auto" w:sz="4" w:space="0"/>
              <w:right w:val="single" w:color="auto" w:sz="4" w:space="0"/>
            </w:tcBorders>
            <w:vAlign w:val="center"/>
          </w:tcPr>
          <w:p w14:paraId="55334EE5">
            <w:pPr>
              <w:adjustRightInd w:val="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投标文件未按规定的格式填写（指招标文件第四章提供格式的《广州建设工程施工招标投标书》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《投标函》</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Cs w:val="21"/>
                <w:highlight w:val="none"/>
                <w:u w:val="single"/>
              </w:rPr>
              <w:t>《投标人廉洁承诺书》</w:t>
            </w:r>
            <w:r>
              <w:rPr>
                <w:rFonts w:hint="eastAsia" w:ascii="宋体" w:hAnsi="宋体" w:eastAsia="宋体" w:cs="宋体"/>
                <w:color w:val="auto"/>
                <w:sz w:val="21"/>
                <w:szCs w:val="21"/>
                <w:highlight w:val="none"/>
              </w:rPr>
              <w:t>、《危险性较大的分部分项工程安全管理措施》）</w:t>
            </w:r>
            <w:r>
              <w:rPr>
                <w:rFonts w:hint="eastAsia" w:ascii="宋体" w:hAnsi="宋体" w:eastAsia="宋体" w:cs="宋体"/>
                <w:color w:val="auto"/>
                <w:sz w:val="21"/>
                <w:szCs w:val="21"/>
                <w:highlight w:val="none"/>
                <w:lang w:val="en-US" w:eastAsia="zh-CN"/>
              </w:rPr>
              <w:t>填写</w:t>
            </w:r>
            <w:r>
              <w:rPr>
                <w:rFonts w:hint="eastAsia" w:ascii="宋体" w:hAnsi="宋体" w:eastAsia="宋体" w:cs="宋体"/>
                <w:color w:val="auto"/>
                <w:sz w:val="21"/>
                <w:szCs w:val="21"/>
                <w:highlight w:val="none"/>
              </w:rPr>
              <w:t>，或主要内容不全，或关键字迹模糊、无法辨认的；</w:t>
            </w:r>
          </w:p>
        </w:tc>
        <w:tc>
          <w:tcPr>
            <w:tcW w:w="1320" w:type="dxa"/>
            <w:tcBorders>
              <w:top w:val="single" w:color="auto" w:sz="4" w:space="0"/>
              <w:left w:val="single" w:color="auto" w:sz="4" w:space="0"/>
              <w:bottom w:val="single" w:color="auto" w:sz="4" w:space="0"/>
              <w:right w:val="single" w:color="auto" w:sz="4" w:space="0"/>
            </w:tcBorders>
          </w:tcPr>
          <w:p w14:paraId="1067A2EE">
            <w:pPr>
              <w:adjustRightInd w:val="0"/>
              <w:jc w:val="center"/>
              <w:rPr>
                <w:rFonts w:hint="eastAsia" w:ascii="宋体" w:hAnsi="宋体" w:eastAsia="宋体" w:cs="宋体"/>
                <w:color w:val="auto"/>
                <w:szCs w:val="21"/>
                <w:highlight w:val="none"/>
                <w:shd w:val="pct10" w:color="auto" w:fill="FFFFFF"/>
              </w:rPr>
            </w:pPr>
          </w:p>
        </w:tc>
        <w:tc>
          <w:tcPr>
            <w:tcW w:w="1305" w:type="dxa"/>
            <w:tcBorders>
              <w:top w:val="single" w:color="auto" w:sz="4" w:space="0"/>
              <w:left w:val="single" w:color="auto" w:sz="4" w:space="0"/>
              <w:bottom w:val="single" w:color="auto" w:sz="4" w:space="0"/>
              <w:right w:val="single" w:color="auto" w:sz="4" w:space="0"/>
            </w:tcBorders>
          </w:tcPr>
          <w:p w14:paraId="7F58EDF8">
            <w:pPr>
              <w:adjustRightInd w:val="0"/>
              <w:jc w:val="center"/>
              <w:rPr>
                <w:rFonts w:hint="eastAsia" w:ascii="宋体" w:hAnsi="宋体" w:eastAsia="宋体" w:cs="宋体"/>
                <w:color w:val="auto"/>
                <w:szCs w:val="21"/>
                <w:highlight w:val="none"/>
                <w:shd w:val="pct10" w:color="auto" w:fill="FFFFFF"/>
              </w:rPr>
            </w:pPr>
          </w:p>
        </w:tc>
        <w:tc>
          <w:tcPr>
            <w:tcW w:w="1305" w:type="dxa"/>
            <w:tcBorders>
              <w:top w:val="single" w:color="auto" w:sz="4" w:space="0"/>
              <w:left w:val="single" w:color="auto" w:sz="4" w:space="0"/>
              <w:bottom w:val="single" w:color="auto" w:sz="4" w:space="0"/>
              <w:right w:val="single" w:color="auto" w:sz="4" w:space="0"/>
            </w:tcBorders>
          </w:tcPr>
          <w:p w14:paraId="2C5F931E">
            <w:pPr>
              <w:adjustRightInd w:val="0"/>
              <w:jc w:val="center"/>
              <w:rPr>
                <w:rFonts w:hint="eastAsia" w:ascii="宋体" w:hAnsi="宋体" w:eastAsia="宋体" w:cs="宋体"/>
                <w:color w:val="auto"/>
                <w:szCs w:val="21"/>
                <w:highlight w:val="none"/>
                <w:shd w:val="pct10" w:color="auto" w:fill="FFFFFF"/>
              </w:rPr>
            </w:pPr>
          </w:p>
        </w:tc>
      </w:tr>
      <w:tr w14:paraId="5DD6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70D2C6B">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522" w:type="dxa"/>
            <w:tcBorders>
              <w:top w:val="single" w:color="auto" w:sz="4" w:space="0"/>
              <w:left w:val="single" w:color="auto" w:sz="4" w:space="0"/>
              <w:bottom w:val="single" w:color="auto" w:sz="4" w:space="0"/>
              <w:right w:val="single" w:color="auto" w:sz="4" w:space="0"/>
            </w:tcBorders>
            <w:vAlign w:val="center"/>
          </w:tcPr>
          <w:p w14:paraId="5612D3C1">
            <w:pPr>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投标人之间存在《广东省实施&lt;中华人民共和国招标投标法&gt;》第十六条所禁止的情形的；</w:t>
            </w:r>
          </w:p>
        </w:tc>
        <w:tc>
          <w:tcPr>
            <w:tcW w:w="1320" w:type="dxa"/>
            <w:tcBorders>
              <w:top w:val="single" w:color="auto" w:sz="4" w:space="0"/>
              <w:left w:val="single" w:color="auto" w:sz="4" w:space="0"/>
              <w:bottom w:val="single" w:color="auto" w:sz="4" w:space="0"/>
              <w:right w:val="single" w:color="auto" w:sz="4" w:space="0"/>
            </w:tcBorders>
          </w:tcPr>
          <w:p w14:paraId="5A8114A4">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7B64D6ED">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2C6FC584">
            <w:pPr>
              <w:adjustRightInd w:val="0"/>
              <w:jc w:val="center"/>
              <w:rPr>
                <w:rFonts w:hint="eastAsia" w:ascii="宋体" w:hAnsi="宋体" w:eastAsia="宋体" w:cs="宋体"/>
                <w:color w:val="auto"/>
                <w:szCs w:val="21"/>
                <w:highlight w:val="none"/>
              </w:rPr>
            </w:pPr>
          </w:p>
        </w:tc>
      </w:tr>
      <w:tr w14:paraId="6515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5DE8AE2">
            <w:pPr>
              <w:adjustRightIn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p>
        </w:tc>
        <w:tc>
          <w:tcPr>
            <w:tcW w:w="9522" w:type="dxa"/>
            <w:tcBorders>
              <w:top w:val="single" w:color="auto" w:sz="4" w:space="0"/>
              <w:left w:val="single" w:color="auto" w:sz="4" w:space="0"/>
              <w:bottom w:val="single" w:color="auto" w:sz="4" w:space="0"/>
              <w:right w:val="single" w:color="auto" w:sz="4" w:space="0"/>
            </w:tcBorders>
            <w:vAlign w:val="center"/>
          </w:tcPr>
          <w:p w14:paraId="22013118">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r>
              <w:rPr>
                <w:rFonts w:hint="eastAsia" w:ascii="宋体" w:hAnsi="宋体" w:eastAsia="宋体" w:cs="宋体"/>
                <w:color w:val="auto"/>
                <w:szCs w:val="21"/>
                <w:highlight w:val="none"/>
                <w:u w:val="single"/>
              </w:rPr>
              <w:t>或未提供《</w:t>
            </w:r>
            <w:r>
              <w:rPr>
                <w:rFonts w:hint="eastAsia" w:ascii="宋体" w:hAnsi="宋体" w:eastAsia="宋体" w:cs="宋体"/>
                <w:color w:val="auto"/>
                <w:szCs w:val="21"/>
                <w:highlight w:val="none"/>
              </w:rPr>
              <w:t>参与编制技术标投标文件人员名单</w:t>
            </w:r>
            <w:r>
              <w:rPr>
                <w:rFonts w:hint="eastAsia" w:ascii="宋体" w:hAnsi="宋体" w:eastAsia="宋体" w:cs="宋体"/>
                <w:color w:val="auto"/>
                <w:szCs w:val="21"/>
                <w:highlight w:val="none"/>
                <w:u w:val="single"/>
              </w:rPr>
              <w:t>》表中人员离投标截止时间最近的至少1个月（2025年7月或8月）在本单位缴纳的社保证明文件</w:t>
            </w:r>
            <w:r>
              <w:rPr>
                <w:rFonts w:hint="eastAsia" w:ascii="宋体" w:hAnsi="宋体" w:eastAsia="宋体" w:cs="宋体"/>
                <w:color w:val="auto"/>
                <w:szCs w:val="21"/>
                <w:highlight w:val="none"/>
              </w:rPr>
              <w:t>；</w:t>
            </w:r>
          </w:p>
        </w:tc>
        <w:tc>
          <w:tcPr>
            <w:tcW w:w="1320" w:type="dxa"/>
            <w:tcBorders>
              <w:top w:val="single" w:color="auto" w:sz="4" w:space="0"/>
              <w:left w:val="single" w:color="auto" w:sz="4" w:space="0"/>
              <w:bottom w:val="single" w:color="auto" w:sz="4" w:space="0"/>
              <w:right w:val="single" w:color="auto" w:sz="4" w:space="0"/>
            </w:tcBorders>
          </w:tcPr>
          <w:p w14:paraId="47F14B10">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13896CC3">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06FB11EE">
            <w:pPr>
              <w:adjustRightInd w:val="0"/>
              <w:jc w:val="center"/>
              <w:rPr>
                <w:rFonts w:hint="eastAsia" w:ascii="宋体" w:hAnsi="宋体" w:eastAsia="宋体" w:cs="宋体"/>
                <w:color w:val="auto"/>
                <w:szCs w:val="21"/>
                <w:highlight w:val="none"/>
              </w:rPr>
            </w:pPr>
          </w:p>
        </w:tc>
      </w:tr>
      <w:tr w14:paraId="019A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4B166CA">
            <w:pPr>
              <w:adjustRightInd w:val="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9522" w:type="dxa"/>
            <w:tcBorders>
              <w:top w:val="single" w:color="auto" w:sz="4" w:space="0"/>
              <w:left w:val="single" w:color="auto" w:sz="4" w:space="0"/>
              <w:bottom w:val="single" w:color="auto" w:sz="4" w:space="0"/>
              <w:right w:val="single" w:color="auto" w:sz="4" w:space="0"/>
            </w:tcBorders>
            <w:vAlign w:val="center"/>
          </w:tcPr>
          <w:p w14:paraId="69B80237">
            <w:pPr>
              <w:adjustRightInd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投标人与</w:t>
            </w:r>
            <w:r>
              <w:rPr>
                <w:rFonts w:hint="eastAsia" w:ascii="宋体" w:hAnsi="宋体" w:eastAsia="宋体" w:cs="宋体"/>
                <w:b w:val="0"/>
                <w:bCs w:val="0"/>
                <w:color w:val="auto"/>
                <w:kern w:val="2"/>
                <w:sz w:val="21"/>
                <w:szCs w:val="21"/>
                <w:highlight w:val="none"/>
              </w:rPr>
              <w:t>本项目</w:t>
            </w:r>
            <w:r>
              <w:rPr>
                <w:rFonts w:hint="eastAsia" w:ascii="宋体" w:hAnsi="宋体" w:eastAsia="宋体" w:cs="宋体"/>
                <w:color w:val="auto"/>
                <w:kern w:val="2"/>
                <w:sz w:val="21"/>
                <w:szCs w:val="21"/>
                <w:highlight w:val="none"/>
              </w:rPr>
              <w:t>其他投标人加密打包投标文件</w:t>
            </w:r>
            <w:r>
              <w:rPr>
                <w:rFonts w:hint="eastAsia" w:ascii="宋体" w:hAnsi="宋体" w:eastAsia="宋体" w:cs="宋体"/>
                <w:color w:val="auto"/>
                <w:kern w:val="2"/>
                <w:sz w:val="21"/>
                <w:szCs w:val="21"/>
                <w:highlight w:val="none"/>
                <w:lang w:eastAsia="zh-CN"/>
              </w:rPr>
              <w:t>硬件机</w:t>
            </w:r>
            <w:r>
              <w:rPr>
                <w:rFonts w:hint="eastAsia" w:ascii="宋体" w:hAnsi="宋体" w:eastAsia="宋体" w:cs="宋体"/>
                <w:color w:val="auto"/>
                <w:kern w:val="2"/>
                <w:sz w:val="21"/>
                <w:szCs w:val="21"/>
                <w:highlight w:val="none"/>
              </w:rPr>
              <w:t>器特征码一致的(以广州交易集团有限公司（广州公共资源交易中心）交易平台评标系统的检索信息为准)</w:t>
            </w:r>
          </w:p>
        </w:tc>
        <w:tc>
          <w:tcPr>
            <w:tcW w:w="1320" w:type="dxa"/>
            <w:tcBorders>
              <w:top w:val="single" w:color="auto" w:sz="4" w:space="0"/>
              <w:left w:val="single" w:color="auto" w:sz="4" w:space="0"/>
              <w:bottom w:val="single" w:color="auto" w:sz="4" w:space="0"/>
              <w:right w:val="single" w:color="auto" w:sz="4" w:space="0"/>
            </w:tcBorders>
          </w:tcPr>
          <w:p w14:paraId="5D0E2B4D">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75ABE154">
            <w:pPr>
              <w:adjustRightInd w:val="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tcPr>
          <w:p w14:paraId="2D4A1F8C">
            <w:pPr>
              <w:adjustRightInd w:val="0"/>
              <w:jc w:val="center"/>
              <w:rPr>
                <w:rFonts w:hint="eastAsia" w:ascii="宋体" w:hAnsi="宋体" w:eastAsia="宋体" w:cs="宋体"/>
                <w:color w:val="auto"/>
                <w:szCs w:val="21"/>
                <w:highlight w:val="none"/>
              </w:rPr>
            </w:pPr>
          </w:p>
        </w:tc>
      </w:tr>
    </w:tbl>
    <w:p w14:paraId="3A7FE503">
      <w:pPr>
        <w:rPr>
          <w:rFonts w:hint="eastAsia" w:ascii="宋体" w:hAnsi="宋体"/>
          <w:color w:val="auto"/>
          <w:szCs w:val="21"/>
          <w:highlight w:val="none"/>
        </w:rPr>
      </w:pPr>
      <w:r>
        <w:rPr>
          <w:rFonts w:hint="eastAsia" w:ascii="宋体" w:hAnsi="宋体"/>
          <w:color w:val="auto"/>
          <w:szCs w:val="21"/>
          <w:highlight w:val="none"/>
        </w:rPr>
        <w:t>注：</w:t>
      </w:r>
    </w:p>
    <w:p w14:paraId="49CBA77B">
      <w:pPr>
        <w:rPr>
          <w:rFonts w:ascii="宋体" w:hAnsi="宋体"/>
          <w:color w:val="auto"/>
          <w:szCs w:val="21"/>
          <w:highlight w:val="none"/>
        </w:rPr>
      </w:pPr>
      <w:r>
        <w:rPr>
          <w:rFonts w:hint="eastAsia" w:ascii="宋体" w:hAnsi="宋体"/>
          <w:color w:val="auto"/>
          <w:szCs w:val="21"/>
          <w:highlight w:val="none"/>
        </w:rPr>
        <w:t>1.本表使用招标文件范本，与范本内容不同之处均以下划线标明。技术标评审中，响应性、承诺性内容不应作为评分因素，可在该表中对上述内容进行符合性审查。审查标准须具备可操作性。</w:t>
      </w:r>
    </w:p>
    <w:p w14:paraId="14CA72DB">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计算错误的，应当要求投标人作必要的澄清、说明后再判定投标人是否通过有效性审查，不得直接否决投标，若出现评标委员会否决投标的，应在评标报告中载明否决投标的具体情形、原因；</w:t>
      </w:r>
    </w:p>
    <w:p w14:paraId="48C542C9">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14:paraId="49A374DB">
      <w:pPr>
        <w:ind w:firstLine="0"/>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14:paraId="76D78057">
      <w:pPr>
        <w:pStyle w:val="36"/>
        <w:ind w:firstLine="458"/>
        <w:rPr>
          <w:rFonts w:hint="eastAsia"/>
          <w:color w:val="auto"/>
          <w:kern w:val="0"/>
          <w:szCs w:val="21"/>
          <w:highlight w:val="none"/>
        </w:rPr>
      </w:pPr>
    </w:p>
    <w:p w14:paraId="0C5C1762">
      <w:pPr>
        <w:pStyle w:val="36"/>
        <w:ind w:firstLine="458"/>
        <w:rPr>
          <w:rFonts w:ascii="宋体" w:hAnsi="宋体"/>
          <w:color w:val="auto"/>
          <w:szCs w:val="21"/>
          <w:highlight w:val="none"/>
        </w:rPr>
        <w:sectPr>
          <w:endnotePr>
            <w:numFmt w:val="decimal"/>
          </w:endnotePr>
          <w:pgSz w:w="16838" w:h="11906" w:orient="landscape"/>
          <w:pgMar w:top="1440" w:right="1440" w:bottom="1440" w:left="1440"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color w:val="auto"/>
          <w:kern w:val="0"/>
          <w:szCs w:val="21"/>
          <w:highlight w:val="none"/>
        </w:rPr>
        <w:t>评委签名：</w:t>
      </w:r>
      <w:r>
        <w:rPr>
          <w:rFonts w:hint="eastAsia"/>
          <w:color w:val="auto"/>
          <w:kern w:val="0"/>
          <w:szCs w:val="21"/>
          <w:highlight w:val="none"/>
          <w:lang w:val="en-US" w:eastAsia="zh-CN"/>
        </w:rPr>
        <w:t xml:space="preserve">                                                                                    </w:t>
      </w:r>
      <w:r>
        <w:rPr>
          <w:rFonts w:hint="eastAsia"/>
          <w:color w:val="auto"/>
          <w:kern w:val="0"/>
          <w:szCs w:val="21"/>
          <w:highlight w:val="none"/>
        </w:rPr>
        <w:t>日期：</w:t>
      </w:r>
    </w:p>
    <w:p w14:paraId="722E6CE5">
      <w:pPr>
        <w:rPr>
          <w:color w:val="auto"/>
          <w:szCs w:val="21"/>
          <w:highlight w:val="none"/>
        </w:rPr>
      </w:pPr>
      <w:r>
        <w:rPr>
          <w:rFonts w:hint="eastAsia"/>
          <w:color w:val="auto"/>
          <w:sz w:val="28"/>
          <w:szCs w:val="28"/>
          <w:highlight w:val="none"/>
        </w:rPr>
        <w:t>附表三</w:t>
      </w:r>
    </w:p>
    <w:p w14:paraId="48E551C6">
      <w:pPr>
        <w:jc w:val="center"/>
        <w:rPr>
          <w:b/>
          <w:color w:val="auto"/>
          <w:sz w:val="36"/>
          <w:szCs w:val="36"/>
          <w:highlight w:val="none"/>
        </w:rPr>
      </w:pPr>
      <w:r>
        <w:rPr>
          <w:rFonts w:hint="eastAsia"/>
          <w:b/>
          <w:color w:val="auto"/>
          <w:sz w:val="36"/>
          <w:szCs w:val="36"/>
          <w:highlight w:val="none"/>
        </w:rPr>
        <w:t>经济标有效性审查表</w:t>
      </w:r>
    </w:p>
    <w:p w14:paraId="2783727B">
      <w:pPr>
        <w:rPr>
          <w:color w:val="auto"/>
          <w:szCs w:val="21"/>
          <w:highlight w:val="none"/>
        </w:rPr>
      </w:pPr>
      <w:r>
        <w:rPr>
          <w:rFonts w:hint="eastAsia"/>
          <w:color w:val="auto"/>
          <w:szCs w:val="21"/>
          <w:highlight w:val="none"/>
        </w:rPr>
        <w:t>工程名称：</w:t>
      </w:r>
    </w:p>
    <w:tbl>
      <w:tblPr>
        <w:tblStyle w:val="37"/>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353"/>
        <w:gridCol w:w="1397"/>
        <w:gridCol w:w="1397"/>
        <w:gridCol w:w="1397"/>
        <w:gridCol w:w="1396"/>
      </w:tblGrid>
      <w:tr w14:paraId="17EB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79B6C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353" w:type="dxa"/>
            <w:tcBorders>
              <w:top w:val="single" w:color="auto" w:sz="4" w:space="0"/>
              <w:left w:val="single" w:color="auto" w:sz="4" w:space="0"/>
              <w:bottom w:val="single" w:color="auto" w:sz="4" w:space="0"/>
              <w:right w:val="single" w:color="auto" w:sz="4" w:space="0"/>
              <w:tl2br w:val="single" w:color="auto" w:sz="4" w:space="0"/>
            </w:tcBorders>
          </w:tcPr>
          <w:p w14:paraId="657B448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投标人</w:t>
            </w:r>
          </w:p>
          <w:p w14:paraId="0E81C2F7">
            <w:pPr>
              <w:rPr>
                <w:rFonts w:hint="eastAsia" w:ascii="宋体" w:hAnsi="宋体" w:eastAsia="宋体" w:cs="宋体"/>
                <w:color w:val="auto"/>
                <w:szCs w:val="21"/>
                <w:highlight w:val="none"/>
              </w:rPr>
            </w:pPr>
          </w:p>
          <w:p w14:paraId="5109EB2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275C49C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4E4C01B">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F70A3D8">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B2790A0">
            <w:pPr>
              <w:rPr>
                <w:rFonts w:hint="eastAsia" w:ascii="宋体" w:hAnsi="宋体" w:eastAsia="宋体" w:cs="宋体"/>
                <w:color w:val="auto"/>
                <w:szCs w:val="21"/>
                <w:highlight w:val="none"/>
              </w:rPr>
            </w:pPr>
          </w:p>
        </w:tc>
      </w:tr>
      <w:tr w14:paraId="220A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8CCB5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53" w:type="dxa"/>
            <w:tcBorders>
              <w:top w:val="single" w:color="auto" w:sz="4" w:space="0"/>
              <w:left w:val="single" w:color="auto" w:sz="4" w:space="0"/>
              <w:bottom w:val="single" w:color="auto" w:sz="4" w:space="0"/>
              <w:right w:val="single" w:color="auto" w:sz="4" w:space="0"/>
            </w:tcBorders>
            <w:vAlign w:val="center"/>
          </w:tcPr>
          <w:p w14:paraId="3E8967CF">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3868A35C">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2956EB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DA29AC">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0A82DD0">
            <w:pPr>
              <w:rPr>
                <w:rFonts w:hint="eastAsia" w:ascii="宋体" w:hAnsi="宋体" w:eastAsia="宋体" w:cs="宋体"/>
                <w:color w:val="auto"/>
                <w:szCs w:val="21"/>
                <w:highlight w:val="none"/>
              </w:rPr>
            </w:pPr>
          </w:p>
        </w:tc>
      </w:tr>
      <w:tr w14:paraId="0D1A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09636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53" w:type="dxa"/>
            <w:tcBorders>
              <w:top w:val="single" w:color="auto" w:sz="4" w:space="0"/>
              <w:left w:val="single" w:color="auto" w:sz="4" w:space="0"/>
              <w:bottom w:val="single" w:color="auto" w:sz="4" w:space="0"/>
              <w:right w:val="single" w:color="auto" w:sz="4" w:space="0"/>
            </w:tcBorders>
            <w:vAlign w:val="center"/>
          </w:tcPr>
          <w:p w14:paraId="04E456D3">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466B8007">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7608947">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738E9B0">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2DA6DE2">
            <w:pPr>
              <w:rPr>
                <w:rFonts w:hint="eastAsia" w:ascii="宋体" w:hAnsi="宋体" w:eastAsia="宋体" w:cs="宋体"/>
                <w:color w:val="auto"/>
                <w:szCs w:val="21"/>
                <w:highlight w:val="none"/>
              </w:rPr>
            </w:pPr>
          </w:p>
        </w:tc>
      </w:tr>
      <w:tr w14:paraId="496B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0807C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53" w:type="dxa"/>
            <w:tcBorders>
              <w:top w:val="single" w:color="auto" w:sz="4" w:space="0"/>
              <w:left w:val="single" w:color="auto" w:sz="4" w:space="0"/>
              <w:bottom w:val="single" w:color="auto" w:sz="4" w:space="0"/>
              <w:right w:val="single" w:color="auto" w:sz="4" w:space="0"/>
            </w:tcBorders>
            <w:vAlign w:val="center"/>
          </w:tcPr>
          <w:p w14:paraId="137EFA42">
            <w:pPr>
              <w:autoSpaceDE w:val="0"/>
              <w:autoSpaceDN w:val="0"/>
              <w:adjustRightInd w:val="0"/>
              <w:ind w:left="-2" w:leftChars="-1"/>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投标报价低于成本的；（投标人的报价明显低于其他投标报价或者低于成本</w:t>
            </w:r>
            <w:r>
              <w:rPr>
                <w:rFonts w:hint="eastAsia" w:ascii="宋体" w:hAnsi="宋体" w:eastAsia="宋体" w:cs="宋体"/>
                <w:color w:val="auto"/>
                <w:sz w:val="21"/>
                <w:szCs w:val="21"/>
                <w:highlight w:val="none"/>
                <w:lang w:val="en-US" w:eastAsia="zh-CN"/>
              </w:rPr>
              <w:t>警示</w:t>
            </w:r>
            <w:r>
              <w:rPr>
                <w:rFonts w:hint="eastAsia" w:ascii="宋体" w:hAnsi="宋体" w:eastAsia="宋体" w:cs="宋体"/>
                <w:color w:val="auto"/>
                <w:sz w:val="21"/>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397" w:type="dxa"/>
            <w:tcBorders>
              <w:top w:val="single" w:color="auto" w:sz="4" w:space="0"/>
              <w:left w:val="single" w:color="auto" w:sz="4" w:space="0"/>
              <w:bottom w:val="single" w:color="auto" w:sz="4" w:space="0"/>
              <w:right w:val="single" w:color="auto" w:sz="4" w:space="0"/>
            </w:tcBorders>
          </w:tcPr>
          <w:p w14:paraId="62B5640A">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12CF3C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B441B8B">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3D003F7">
            <w:pPr>
              <w:rPr>
                <w:rFonts w:hint="eastAsia" w:ascii="宋体" w:hAnsi="宋体" w:eastAsia="宋体" w:cs="宋体"/>
                <w:color w:val="auto"/>
                <w:szCs w:val="21"/>
                <w:highlight w:val="none"/>
              </w:rPr>
            </w:pPr>
          </w:p>
        </w:tc>
      </w:tr>
      <w:tr w14:paraId="316C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78143FB">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7353" w:type="dxa"/>
            <w:tcBorders>
              <w:top w:val="single" w:color="auto" w:sz="4" w:space="0"/>
              <w:left w:val="single" w:color="auto" w:sz="4" w:space="0"/>
              <w:bottom w:val="single" w:color="auto" w:sz="4" w:space="0"/>
              <w:right w:val="single" w:color="auto" w:sz="4" w:space="0"/>
            </w:tcBorders>
            <w:vAlign w:val="center"/>
          </w:tcPr>
          <w:p w14:paraId="6101AFF2">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投标文件未按规定的格式填写</w:t>
            </w:r>
            <w:r>
              <w:rPr>
                <w:rFonts w:hint="eastAsia" w:ascii="宋体" w:hAnsi="宋体" w:eastAsia="宋体" w:cs="宋体"/>
                <w:color w:val="auto"/>
                <w:sz w:val="21"/>
                <w:szCs w:val="21"/>
                <w:highlight w:val="none"/>
                <w:u w:val="single"/>
              </w:rPr>
              <w:t>（指招标文件第四章提供格式的《对投标文件编制的承诺》）</w:t>
            </w:r>
            <w:r>
              <w:rPr>
                <w:rFonts w:hint="eastAsia" w:ascii="宋体" w:hAnsi="宋体" w:eastAsia="宋体" w:cs="宋体"/>
                <w:color w:val="auto"/>
                <w:sz w:val="21"/>
                <w:szCs w:val="21"/>
                <w:highlight w:val="none"/>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32F990AD">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9CACB6E">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E7E8379">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15745D4">
            <w:pPr>
              <w:rPr>
                <w:rFonts w:hint="eastAsia" w:ascii="宋体" w:hAnsi="宋体" w:eastAsia="宋体" w:cs="宋体"/>
                <w:color w:val="auto"/>
                <w:szCs w:val="21"/>
                <w:highlight w:val="none"/>
              </w:rPr>
            </w:pPr>
          </w:p>
        </w:tc>
      </w:tr>
      <w:tr w14:paraId="2B72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CF62F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7353" w:type="dxa"/>
            <w:tcBorders>
              <w:top w:val="single" w:color="auto" w:sz="4" w:space="0"/>
              <w:left w:val="single" w:color="auto" w:sz="4" w:space="0"/>
              <w:bottom w:val="single" w:color="auto" w:sz="4" w:space="0"/>
              <w:right w:val="single" w:color="auto" w:sz="4" w:space="0"/>
            </w:tcBorders>
            <w:vAlign w:val="center"/>
          </w:tcPr>
          <w:p w14:paraId="331D7CB6">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73D77348">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37043A7">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166C41E">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D47AB23">
            <w:pPr>
              <w:rPr>
                <w:rFonts w:hint="eastAsia" w:ascii="宋体" w:hAnsi="宋体" w:eastAsia="宋体" w:cs="宋体"/>
                <w:color w:val="auto"/>
                <w:szCs w:val="21"/>
                <w:highlight w:val="none"/>
              </w:rPr>
            </w:pPr>
          </w:p>
        </w:tc>
      </w:tr>
      <w:tr w14:paraId="6576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7FDFFA1">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7353" w:type="dxa"/>
            <w:tcBorders>
              <w:top w:val="single" w:color="auto" w:sz="4" w:space="0"/>
              <w:left w:val="single" w:color="auto" w:sz="4" w:space="0"/>
              <w:bottom w:val="single" w:color="auto" w:sz="4" w:space="0"/>
              <w:right w:val="single" w:color="auto" w:sz="4" w:space="0"/>
            </w:tcBorders>
            <w:vAlign w:val="center"/>
          </w:tcPr>
          <w:p w14:paraId="126658E8">
            <w:pP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无《参与编制经济标投标文件人员名单》的</w:t>
            </w:r>
            <w:r>
              <w:rPr>
                <w:rFonts w:hint="eastAsia" w:ascii="宋体" w:hAnsi="宋体" w:eastAsia="宋体" w:cs="宋体"/>
                <w:color w:val="auto"/>
                <w:szCs w:val="21"/>
                <w:highlight w:val="none"/>
                <w:u w:val="single"/>
              </w:rPr>
              <w:t>或未提供《参与编制经济标投标文件人员名单》表中的人员离投标截止时间最近的至少1个月(2025年7月或8月)在本单位(委托编制投标文件报价的，在委托单位)缴纳的社保证明文件</w:t>
            </w:r>
            <w:r>
              <w:rPr>
                <w:rFonts w:hint="eastAsia" w:ascii="宋体" w:hAnsi="宋体" w:eastAsia="宋体" w:cs="Times New Roman"/>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14:paraId="563C5EC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67A8D31">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C611EE">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EAAC795">
            <w:pPr>
              <w:rPr>
                <w:rFonts w:hint="eastAsia" w:ascii="宋体" w:hAnsi="宋体" w:eastAsia="宋体" w:cs="宋体"/>
                <w:color w:val="auto"/>
                <w:szCs w:val="21"/>
                <w:highlight w:val="none"/>
              </w:rPr>
            </w:pPr>
          </w:p>
        </w:tc>
      </w:tr>
      <w:tr w14:paraId="5416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27497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p>
        </w:tc>
        <w:tc>
          <w:tcPr>
            <w:tcW w:w="7353" w:type="dxa"/>
            <w:tcBorders>
              <w:top w:val="single" w:color="auto" w:sz="4" w:space="0"/>
              <w:left w:val="single" w:color="auto" w:sz="4" w:space="0"/>
              <w:bottom w:val="single" w:color="auto" w:sz="4" w:space="0"/>
              <w:right w:val="single" w:color="auto" w:sz="4" w:space="0"/>
            </w:tcBorders>
            <w:vAlign w:val="center"/>
          </w:tcPr>
          <w:p w14:paraId="32195A3E">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投标人与本项目其他投标人的投标文件工程量清单编制机器硬件信息一致的（以广州交易集团有限公司（广州公共资源交易中心）交易平台评标系统的检索信息为准）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60C72843">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F2713D2">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CDBF070">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C190C19">
            <w:pPr>
              <w:rPr>
                <w:rFonts w:hint="eastAsia" w:ascii="宋体" w:hAnsi="宋体" w:eastAsia="宋体" w:cs="宋体"/>
                <w:color w:val="auto"/>
                <w:szCs w:val="21"/>
                <w:highlight w:val="none"/>
              </w:rPr>
            </w:pPr>
          </w:p>
        </w:tc>
      </w:tr>
    </w:tbl>
    <w:p w14:paraId="097B4C17">
      <w:pPr>
        <w:ind w:firstLine="458"/>
        <w:rPr>
          <w:rFonts w:hint="eastAsia" w:ascii="宋体" w:hAnsi="宋体"/>
          <w:color w:val="auto"/>
          <w:szCs w:val="21"/>
          <w:highlight w:val="none"/>
        </w:rPr>
      </w:pPr>
      <w:r>
        <w:rPr>
          <w:rFonts w:hint="eastAsia" w:ascii="宋体" w:hAnsi="宋体"/>
          <w:color w:val="auto"/>
          <w:szCs w:val="21"/>
          <w:highlight w:val="none"/>
        </w:rPr>
        <w:t>注：</w:t>
      </w:r>
    </w:p>
    <w:p w14:paraId="1DC568AB">
      <w:pPr>
        <w:pStyle w:val="36"/>
        <w:ind w:firstLine="458"/>
        <w:rPr>
          <w:rFonts w:hint="eastAsia" w:ascii="宋体" w:hAnsi="宋体"/>
          <w:color w:val="auto"/>
          <w:szCs w:val="21"/>
          <w:highlight w:val="none"/>
        </w:rPr>
      </w:pPr>
      <w:r>
        <w:rPr>
          <w:rFonts w:hint="eastAsia" w:ascii="宋体" w:hAnsi="宋体"/>
          <w:color w:val="auto"/>
          <w:szCs w:val="21"/>
          <w:highlight w:val="none"/>
        </w:rPr>
        <w:t>1.本表使用招标文件范本，与范本内容不同之处均以下划线标明。</w:t>
      </w:r>
    </w:p>
    <w:p w14:paraId="2F1F67B1">
      <w:pPr>
        <w:pStyle w:val="36"/>
        <w:ind w:firstLine="458"/>
        <w:rPr>
          <w:rFonts w:hint="eastAsia"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33A42592">
      <w:pPr>
        <w:pStyle w:val="36"/>
        <w:ind w:firstLine="458"/>
        <w:rPr>
          <w:rFonts w:hint="eastAsia"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4B54C5AA">
      <w:pPr>
        <w:pStyle w:val="36"/>
        <w:ind w:firstLine="458"/>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3070114A">
      <w:pPr>
        <w:pStyle w:val="36"/>
        <w:ind w:firstLine="458"/>
        <w:rPr>
          <w:rFonts w:hint="eastAsia" w:ascii="宋体" w:hAnsi="宋体"/>
          <w:color w:val="auto"/>
          <w:szCs w:val="21"/>
          <w:highlight w:val="none"/>
        </w:rPr>
      </w:pPr>
    </w:p>
    <w:p w14:paraId="15994581">
      <w:pPr>
        <w:pStyle w:val="36"/>
        <w:ind w:firstLine="458"/>
        <w:rPr>
          <w:rFonts w:ascii="宋体" w:hAnsi="宋体"/>
          <w:color w:val="auto"/>
          <w:szCs w:val="21"/>
          <w:highlight w:val="none"/>
        </w:rPr>
        <w:sectPr>
          <w:endnotePr>
            <w:numFmt w:val="decimal"/>
          </w:endnotePr>
          <w:pgSz w:w="16838" w:h="11906" w:orient="landscape"/>
          <w:pgMar w:top="1440" w:right="1440" w:bottom="1440" w:left="1440"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color w:val="auto"/>
          <w:kern w:val="0"/>
          <w:szCs w:val="21"/>
          <w:highlight w:val="none"/>
        </w:rPr>
        <w:t>评委签名：</w:t>
      </w:r>
      <w:r>
        <w:rPr>
          <w:rFonts w:hint="eastAsia"/>
          <w:color w:val="auto"/>
          <w:kern w:val="0"/>
          <w:szCs w:val="21"/>
          <w:highlight w:val="none"/>
          <w:lang w:val="en-US" w:eastAsia="zh-CN"/>
        </w:rPr>
        <w:t xml:space="preserve">                                                                                    </w:t>
      </w:r>
      <w:r>
        <w:rPr>
          <w:rFonts w:hint="eastAsia"/>
          <w:color w:val="auto"/>
          <w:kern w:val="0"/>
          <w:szCs w:val="21"/>
          <w:highlight w:val="none"/>
        </w:rPr>
        <w:t>日期：</w:t>
      </w:r>
    </w:p>
    <w:p w14:paraId="3F517503">
      <w:pPr>
        <w:rPr>
          <w:b/>
          <w:bCs/>
          <w:color w:val="auto"/>
          <w:sz w:val="28"/>
          <w:szCs w:val="28"/>
          <w:highlight w:val="none"/>
        </w:rPr>
      </w:pPr>
      <w:r>
        <w:rPr>
          <w:rFonts w:hint="eastAsia"/>
          <w:b/>
          <w:bCs/>
          <w:color w:val="auto"/>
          <w:sz w:val="28"/>
          <w:szCs w:val="28"/>
          <w:highlight w:val="none"/>
        </w:rPr>
        <w:t>附表四</w:t>
      </w:r>
    </w:p>
    <w:p w14:paraId="7F078178">
      <w:pPr>
        <w:pStyle w:val="11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技术标详细审查评分表</w:t>
      </w:r>
    </w:p>
    <w:tbl>
      <w:tblPr>
        <w:tblStyle w:val="38"/>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770"/>
        <w:gridCol w:w="974"/>
        <w:gridCol w:w="978"/>
        <w:gridCol w:w="11774"/>
      </w:tblGrid>
      <w:tr w14:paraId="55E4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14:paraId="10BFA6CA">
            <w:pPr>
              <w:pStyle w:val="119"/>
              <w:jc w:val="center"/>
              <w:rPr>
                <w:rFonts w:hint="eastAsia" w:ascii="仿宋" w:hAnsi="仿宋" w:eastAsia="仿宋" w:cs="Times New Roman"/>
                <w:b/>
                <w:bCs/>
                <w:color w:val="auto"/>
                <w:sz w:val="32"/>
                <w:szCs w:val="32"/>
                <w:highlight w:val="none"/>
                <w:vertAlign w:val="baseline"/>
              </w:rPr>
            </w:pPr>
            <w:r>
              <w:rPr>
                <w:rFonts w:hint="eastAsia" w:ascii="宋体" w:hAnsi="宋体" w:eastAsia="宋体" w:cs="宋体"/>
                <w:b/>
                <w:bCs/>
                <w:color w:val="auto"/>
                <w:sz w:val="21"/>
                <w:szCs w:val="21"/>
                <w:highlight w:val="none"/>
              </w:rPr>
              <w:t>评分项目</w:t>
            </w:r>
          </w:p>
        </w:tc>
        <w:tc>
          <w:tcPr>
            <w:tcW w:w="487" w:type="pct"/>
            <w:gridSpan w:val="2"/>
            <w:vAlign w:val="center"/>
          </w:tcPr>
          <w:p w14:paraId="04DF731C">
            <w:pPr>
              <w:pStyle w:val="119"/>
              <w:jc w:val="center"/>
              <w:rPr>
                <w:rFonts w:hint="eastAsia" w:ascii="仿宋" w:hAnsi="仿宋" w:eastAsia="仿宋" w:cs="Times New Roman"/>
                <w:b/>
                <w:bCs/>
                <w:color w:val="auto"/>
                <w:sz w:val="32"/>
                <w:szCs w:val="32"/>
                <w:highlight w:val="none"/>
                <w:vertAlign w:val="baseline"/>
              </w:rPr>
            </w:pPr>
            <w:r>
              <w:rPr>
                <w:rFonts w:hint="eastAsia" w:ascii="宋体" w:hAnsi="宋体" w:eastAsia="宋体" w:cs="宋体"/>
                <w:b/>
                <w:bCs/>
                <w:color w:val="auto"/>
                <w:sz w:val="21"/>
                <w:szCs w:val="21"/>
                <w:highlight w:val="none"/>
              </w:rPr>
              <w:t>评分内容</w:t>
            </w:r>
          </w:p>
        </w:tc>
        <w:tc>
          <w:tcPr>
            <w:tcW w:w="272" w:type="pct"/>
            <w:vAlign w:val="center"/>
          </w:tcPr>
          <w:p w14:paraId="44E5C390">
            <w:pPr>
              <w:pStyle w:val="119"/>
              <w:jc w:val="center"/>
              <w:rPr>
                <w:rFonts w:hint="eastAsia" w:ascii="仿宋" w:hAnsi="仿宋" w:eastAsia="仿宋" w:cs="Times New Roman"/>
                <w:b/>
                <w:bCs/>
                <w:color w:val="auto"/>
                <w:sz w:val="32"/>
                <w:szCs w:val="32"/>
                <w:highlight w:val="none"/>
                <w:vertAlign w:val="baseline"/>
              </w:rPr>
            </w:pPr>
            <w:r>
              <w:rPr>
                <w:rFonts w:hint="eastAsia" w:ascii="宋体" w:hAnsi="宋体" w:eastAsia="宋体" w:cs="宋体"/>
                <w:b/>
                <w:bCs/>
                <w:color w:val="auto"/>
                <w:sz w:val="21"/>
                <w:szCs w:val="21"/>
                <w:highlight w:val="none"/>
              </w:rPr>
              <w:t>分值</w:t>
            </w:r>
          </w:p>
        </w:tc>
        <w:tc>
          <w:tcPr>
            <w:tcW w:w="3287" w:type="pct"/>
            <w:vAlign w:val="center"/>
          </w:tcPr>
          <w:p w14:paraId="21B72032">
            <w:pPr>
              <w:pStyle w:val="119"/>
              <w:ind w:firstLine="422" w:firstLineChars="200"/>
              <w:jc w:val="center"/>
              <w:rPr>
                <w:rFonts w:hint="eastAsia" w:ascii="仿宋" w:hAnsi="仿宋" w:eastAsia="仿宋" w:cs="Times New Roman"/>
                <w:b/>
                <w:color w:val="auto"/>
                <w:sz w:val="32"/>
                <w:szCs w:val="32"/>
                <w:highlight w:val="none"/>
                <w:vertAlign w:val="baseline"/>
              </w:rPr>
            </w:pPr>
            <w:r>
              <w:rPr>
                <w:rFonts w:hint="eastAsia" w:ascii="宋体" w:hAnsi="宋体" w:eastAsia="宋体" w:cs="宋体"/>
                <w:b/>
                <w:bCs/>
                <w:color w:val="auto"/>
                <w:sz w:val="21"/>
                <w:szCs w:val="21"/>
                <w:highlight w:val="none"/>
              </w:rPr>
              <w:t>评审标准</w:t>
            </w:r>
          </w:p>
        </w:tc>
      </w:tr>
      <w:tr w14:paraId="5059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restart"/>
            <w:vAlign w:val="top"/>
          </w:tcPr>
          <w:p w14:paraId="7CED92B1">
            <w:pPr>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、项目组织管理机构能力（</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0分）</w:t>
            </w:r>
          </w:p>
          <w:p w14:paraId="01366B05">
            <w:pPr>
              <w:spacing w:line="280" w:lineRule="exact"/>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 xml:space="preserve"> </w:t>
            </w:r>
          </w:p>
        </w:tc>
        <w:tc>
          <w:tcPr>
            <w:tcW w:w="215" w:type="pct"/>
            <w:vMerge w:val="restart"/>
            <w:vAlign w:val="top"/>
          </w:tcPr>
          <w:p w14:paraId="7FCAF2FB">
            <w:pPr>
              <w:widowControl/>
              <w:spacing w:line="280" w:lineRule="exact"/>
              <w:jc w:val="left"/>
              <w:rPr>
                <w:rFonts w:hint="eastAsia" w:ascii="仿宋" w:hAnsi="仿宋" w:eastAsia="仿宋" w:cs="Times New Roman"/>
                <w:b/>
                <w:color w:val="auto"/>
                <w:sz w:val="32"/>
                <w:szCs w:val="32"/>
                <w:highlight w:val="none"/>
                <w:vertAlign w:val="baseline"/>
              </w:rPr>
            </w:pPr>
            <w:r>
              <w:rPr>
                <w:rFonts w:hint="eastAsia" w:ascii="宋体" w:hAnsi="宋体" w:cs="宋体"/>
                <w:color w:val="auto"/>
                <w:kern w:val="0"/>
                <w:szCs w:val="21"/>
                <w:highlight w:val="none"/>
              </w:rPr>
              <w:t>项目管理机构</w:t>
            </w:r>
          </w:p>
        </w:tc>
        <w:tc>
          <w:tcPr>
            <w:tcW w:w="272" w:type="pct"/>
            <w:vAlign w:val="top"/>
          </w:tcPr>
          <w:p w14:paraId="140AEEC8">
            <w:pPr>
              <w:widowControl/>
              <w:spacing w:line="280" w:lineRule="exact"/>
              <w:jc w:val="left"/>
              <w:rPr>
                <w:color w:val="auto"/>
                <w:highlight w:val="none"/>
              </w:rPr>
            </w:pPr>
            <w:r>
              <w:rPr>
                <w:rFonts w:hint="eastAsia" w:ascii="宋体" w:hAnsi="宋体" w:cs="宋体"/>
                <w:color w:val="auto"/>
                <w:kern w:val="0"/>
                <w:szCs w:val="21"/>
                <w:highlight w:val="none"/>
              </w:rPr>
              <w:t>项目</w:t>
            </w:r>
            <w:r>
              <w:rPr>
                <w:rFonts w:hint="eastAsia" w:ascii="宋体" w:hAnsi="宋体" w:cs="宋体"/>
                <w:color w:val="auto"/>
                <w:szCs w:val="21"/>
                <w:highlight w:val="none"/>
              </w:rPr>
              <w:t>负责人</w:t>
            </w:r>
          </w:p>
        </w:tc>
        <w:tc>
          <w:tcPr>
            <w:tcW w:w="272" w:type="pct"/>
            <w:vAlign w:val="top"/>
          </w:tcPr>
          <w:p w14:paraId="042B5A2D">
            <w:pPr>
              <w:widowControl/>
              <w:spacing w:line="280" w:lineRule="exact"/>
              <w:jc w:val="center"/>
              <w:rPr>
                <w:rFonts w:hint="default" w:ascii="仿宋" w:hAnsi="仿宋" w:eastAsia="仿宋" w:cs="Times New Roman"/>
                <w:b/>
                <w:color w:val="auto"/>
                <w:sz w:val="32"/>
                <w:szCs w:val="32"/>
                <w:highlight w:val="none"/>
                <w:vertAlign w:val="baseline"/>
                <w:lang w:val="en-US"/>
              </w:rPr>
            </w:pPr>
            <w:r>
              <w:rPr>
                <w:rFonts w:hint="eastAsia" w:ascii="宋体" w:hAnsi="宋体" w:cs="宋体"/>
                <w:color w:val="auto"/>
                <w:szCs w:val="21"/>
                <w:highlight w:val="none"/>
                <w:lang w:val="en-US" w:eastAsia="zh-CN"/>
              </w:rPr>
              <w:t>30</w:t>
            </w:r>
          </w:p>
        </w:tc>
        <w:tc>
          <w:tcPr>
            <w:tcW w:w="3287" w:type="pct"/>
            <w:vAlign w:val="top"/>
          </w:tcPr>
          <w:p w14:paraId="5C2A7162">
            <w:pPr>
              <w:rPr>
                <w:rFonts w:hint="eastAsia" w:ascii="宋体" w:hAnsi="宋体" w:cs="宋体"/>
                <w:color w:val="auto"/>
                <w:szCs w:val="21"/>
                <w:highlight w:val="none"/>
              </w:rPr>
            </w:pPr>
            <w:r>
              <w:rPr>
                <w:rFonts w:hint="eastAsia"/>
                <w:color w:val="auto"/>
                <w:highlight w:val="none"/>
              </w:rPr>
              <w:t>①</w:t>
            </w:r>
            <w:r>
              <w:rPr>
                <w:rFonts w:hint="eastAsia" w:ascii="宋体" w:hAnsi="宋体" w:cs="宋体"/>
                <w:color w:val="auto"/>
                <w:szCs w:val="21"/>
                <w:highlight w:val="none"/>
              </w:rPr>
              <w:t>从业能力：具有市政公用工程类专业中级或以上技术职称，得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2D83E35B">
            <w:pP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②业绩：项目负责人自</w:t>
            </w:r>
            <w:r>
              <w:rPr>
                <w:rFonts w:hint="eastAsia" w:ascii="宋体" w:hAnsi="宋体" w:cs="宋体"/>
                <w:color w:val="auto"/>
                <w:szCs w:val="21"/>
                <w:highlight w:val="none"/>
                <w:u w:val="single"/>
                <w:lang w:val="en-US" w:eastAsia="zh-CN"/>
              </w:rPr>
              <w:t>2020</w:t>
            </w:r>
            <w:r>
              <w:rPr>
                <w:rFonts w:hint="eastAsia" w:ascii="宋体" w:hAnsi="宋体" w:cs="宋体"/>
                <w:color w:val="auto"/>
                <w:szCs w:val="21"/>
                <w:highlight w:val="none"/>
              </w:rPr>
              <w:t>年1月1日至今完成过质量合格的且工程造价金额大于或等于</w:t>
            </w:r>
            <w:r>
              <w:rPr>
                <w:rFonts w:hint="eastAsia" w:ascii="宋体" w:hAnsi="宋体" w:cs="宋体"/>
                <w:b/>
                <w:bCs/>
                <w:color w:val="auto"/>
                <w:szCs w:val="21"/>
                <w:highlight w:val="none"/>
                <w:u w:val="single"/>
                <w:lang w:val="en-US" w:eastAsia="zh-CN"/>
              </w:rPr>
              <w:t>1200</w:t>
            </w:r>
            <w:r>
              <w:rPr>
                <w:rFonts w:hint="eastAsia" w:ascii="宋体" w:hAnsi="宋体" w:cs="宋体"/>
                <w:color w:val="auto"/>
                <w:szCs w:val="21"/>
                <w:highlight w:val="none"/>
              </w:rPr>
              <w:t>万元的市政公用工程施工总承包或工程总承包施工部分业绩，得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 xml:space="preserve"> 分；本项最多得 </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 xml:space="preserve"> 分。</w:t>
            </w:r>
          </w:p>
        </w:tc>
      </w:tr>
      <w:tr w14:paraId="69CE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top"/>
          </w:tcPr>
          <w:p w14:paraId="44523F33">
            <w:pPr>
              <w:spacing w:line="280" w:lineRule="exact"/>
              <w:rPr>
                <w:rFonts w:hint="eastAsia" w:ascii="仿宋" w:hAnsi="仿宋" w:eastAsia="仿宋" w:cs="Times New Roman"/>
                <w:b/>
                <w:color w:val="auto"/>
                <w:sz w:val="32"/>
                <w:szCs w:val="32"/>
                <w:highlight w:val="none"/>
                <w:vertAlign w:val="baseline"/>
              </w:rPr>
            </w:pPr>
          </w:p>
        </w:tc>
        <w:tc>
          <w:tcPr>
            <w:tcW w:w="215" w:type="pct"/>
            <w:vMerge w:val="continue"/>
            <w:vAlign w:val="top"/>
          </w:tcPr>
          <w:p w14:paraId="06791AA8">
            <w:pPr>
              <w:widowControl/>
              <w:spacing w:line="280" w:lineRule="exact"/>
              <w:jc w:val="left"/>
              <w:rPr>
                <w:rFonts w:hint="eastAsia" w:ascii="仿宋" w:hAnsi="仿宋" w:eastAsia="仿宋" w:cs="Times New Roman"/>
                <w:b/>
                <w:color w:val="auto"/>
                <w:sz w:val="32"/>
                <w:szCs w:val="32"/>
                <w:highlight w:val="none"/>
                <w:vertAlign w:val="baseline"/>
              </w:rPr>
            </w:pPr>
          </w:p>
        </w:tc>
        <w:tc>
          <w:tcPr>
            <w:tcW w:w="272" w:type="pct"/>
            <w:vAlign w:val="top"/>
          </w:tcPr>
          <w:p w14:paraId="2588A6EF">
            <w:pPr>
              <w:widowControl/>
              <w:spacing w:line="280" w:lineRule="exact"/>
              <w:jc w:val="left"/>
              <w:rPr>
                <w:color w:val="auto"/>
                <w:highlight w:val="none"/>
              </w:rPr>
            </w:pPr>
            <w:r>
              <w:rPr>
                <w:rFonts w:hint="eastAsia" w:ascii="宋体" w:hAnsi="宋体" w:cs="宋体"/>
                <w:color w:val="auto"/>
                <w:szCs w:val="21"/>
                <w:highlight w:val="none"/>
              </w:rPr>
              <w:t>技术负责人</w:t>
            </w:r>
          </w:p>
        </w:tc>
        <w:tc>
          <w:tcPr>
            <w:tcW w:w="272" w:type="pct"/>
            <w:vAlign w:val="top"/>
          </w:tcPr>
          <w:p w14:paraId="39F2AEA3">
            <w:pPr>
              <w:widowControl/>
              <w:spacing w:line="280" w:lineRule="exact"/>
              <w:jc w:val="center"/>
              <w:rPr>
                <w:rFonts w:hint="default" w:ascii="仿宋" w:hAnsi="仿宋" w:eastAsia="仿宋" w:cs="Times New Roman"/>
                <w:b/>
                <w:color w:val="auto"/>
                <w:sz w:val="32"/>
                <w:szCs w:val="32"/>
                <w:highlight w:val="none"/>
                <w:vertAlign w:val="baseline"/>
                <w:lang w:val="en-US" w:eastAsia="zh-CN"/>
              </w:rPr>
            </w:pPr>
            <w:r>
              <w:rPr>
                <w:rFonts w:hint="eastAsia" w:ascii="宋体" w:hAnsi="宋体" w:eastAsia="仿宋" w:cs="宋体"/>
                <w:color w:val="auto"/>
                <w:szCs w:val="21"/>
                <w:highlight w:val="none"/>
                <w:lang w:val="en-US" w:eastAsia="zh-CN"/>
              </w:rPr>
              <w:t>20</w:t>
            </w:r>
          </w:p>
        </w:tc>
        <w:tc>
          <w:tcPr>
            <w:tcW w:w="3287" w:type="pct"/>
            <w:vAlign w:val="top"/>
          </w:tcPr>
          <w:p w14:paraId="4E7035CF">
            <w:pP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从业能力：具有市政公用工程类专业副高级或以上技术职称，得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r>
      <w:tr w14:paraId="014F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top"/>
          </w:tcPr>
          <w:p w14:paraId="21B21547">
            <w:pPr>
              <w:spacing w:line="280" w:lineRule="exact"/>
              <w:rPr>
                <w:rFonts w:hint="eastAsia" w:ascii="仿宋" w:hAnsi="仿宋" w:eastAsia="仿宋" w:cs="Times New Roman"/>
                <w:b/>
                <w:color w:val="auto"/>
                <w:sz w:val="32"/>
                <w:szCs w:val="32"/>
                <w:highlight w:val="none"/>
                <w:vertAlign w:val="baseline"/>
              </w:rPr>
            </w:pPr>
          </w:p>
        </w:tc>
        <w:tc>
          <w:tcPr>
            <w:tcW w:w="215" w:type="pct"/>
            <w:vMerge w:val="continue"/>
            <w:vAlign w:val="top"/>
          </w:tcPr>
          <w:p w14:paraId="59F72360">
            <w:pPr>
              <w:widowControl/>
              <w:spacing w:line="280" w:lineRule="exact"/>
              <w:jc w:val="left"/>
              <w:rPr>
                <w:rFonts w:hint="eastAsia" w:ascii="仿宋" w:hAnsi="仿宋" w:eastAsia="仿宋" w:cs="Times New Roman"/>
                <w:b/>
                <w:color w:val="auto"/>
                <w:sz w:val="32"/>
                <w:szCs w:val="32"/>
                <w:highlight w:val="none"/>
                <w:vertAlign w:val="baseline"/>
              </w:rPr>
            </w:pPr>
          </w:p>
        </w:tc>
        <w:tc>
          <w:tcPr>
            <w:tcW w:w="272" w:type="pct"/>
            <w:vAlign w:val="top"/>
          </w:tcPr>
          <w:p w14:paraId="37B368B0">
            <w:pPr>
              <w:widowControl/>
              <w:spacing w:line="280" w:lineRule="exact"/>
              <w:jc w:val="left"/>
              <w:rPr>
                <w:color w:val="auto"/>
                <w:highlight w:val="none"/>
              </w:rPr>
            </w:pPr>
            <w:r>
              <w:rPr>
                <w:rFonts w:hint="eastAsia" w:ascii="宋体" w:hAnsi="宋体" w:cs="宋体"/>
                <w:color w:val="auto"/>
                <w:szCs w:val="21"/>
                <w:highlight w:val="none"/>
              </w:rPr>
              <w:t>质量负责人</w:t>
            </w:r>
          </w:p>
        </w:tc>
        <w:tc>
          <w:tcPr>
            <w:tcW w:w="272" w:type="pct"/>
            <w:vAlign w:val="top"/>
          </w:tcPr>
          <w:p w14:paraId="26E67AF7">
            <w:pPr>
              <w:widowControl/>
              <w:spacing w:line="280" w:lineRule="exact"/>
              <w:jc w:val="center"/>
              <w:rPr>
                <w:rFonts w:hint="default" w:ascii="仿宋" w:hAnsi="仿宋" w:eastAsia="仿宋" w:cs="Times New Roman"/>
                <w:b/>
                <w:color w:val="auto"/>
                <w:sz w:val="32"/>
                <w:szCs w:val="32"/>
                <w:highlight w:val="none"/>
                <w:vertAlign w:val="baseline"/>
                <w:lang w:val="en-US"/>
              </w:rPr>
            </w:pPr>
            <w:r>
              <w:rPr>
                <w:rFonts w:hint="eastAsia" w:ascii="宋体" w:hAnsi="宋体" w:cs="宋体"/>
                <w:color w:val="auto"/>
                <w:szCs w:val="21"/>
                <w:highlight w:val="none"/>
                <w:lang w:val="en-US" w:eastAsia="zh-CN"/>
              </w:rPr>
              <w:t>10</w:t>
            </w:r>
          </w:p>
        </w:tc>
        <w:tc>
          <w:tcPr>
            <w:tcW w:w="3287" w:type="pct"/>
            <w:vAlign w:val="top"/>
          </w:tcPr>
          <w:p w14:paraId="73125109">
            <w:pP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从业能力：具有市政公用工程类专业中级或以上技术职称，得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00EF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top"/>
          </w:tcPr>
          <w:p w14:paraId="6A6BDEEA">
            <w:pPr>
              <w:spacing w:line="280" w:lineRule="exact"/>
              <w:rPr>
                <w:rFonts w:hint="eastAsia" w:ascii="仿宋" w:hAnsi="仿宋" w:eastAsia="仿宋" w:cs="Times New Roman"/>
                <w:b/>
                <w:color w:val="auto"/>
                <w:sz w:val="32"/>
                <w:szCs w:val="32"/>
                <w:highlight w:val="none"/>
                <w:vertAlign w:val="baseline"/>
              </w:rPr>
            </w:pPr>
          </w:p>
        </w:tc>
        <w:tc>
          <w:tcPr>
            <w:tcW w:w="215" w:type="pct"/>
            <w:vMerge w:val="continue"/>
            <w:vAlign w:val="top"/>
          </w:tcPr>
          <w:p w14:paraId="4DD41E31">
            <w:pPr>
              <w:widowControl/>
              <w:spacing w:line="280" w:lineRule="exact"/>
              <w:jc w:val="left"/>
              <w:rPr>
                <w:rFonts w:hint="eastAsia" w:ascii="仿宋" w:hAnsi="仿宋" w:eastAsia="仿宋" w:cs="Times New Roman"/>
                <w:b/>
                <w:color w:val="auto"/>
                <w:sz w:val="32"/>
                <w:szCs w:val="32"/>
                <w:highlight w:val="none"/>
                <w:vertAlign w:val="baseline"/>
              </w:rPr>
            </w:pPr>
          </w:p>
        </w:tc>
        <w:tc>
          <w:tcPr>
            <w:tcW w:w="272" w:type="pct"/>
            <w:vAlign w:val="top"/>
          </w:tcPr>
          <w:p w14:paraId="365725AA">
            <w:pPr>
              <w:widowControl/>
              <w:spacing w:line="280" w:lineRule="exact"/>
              <w:jc w:val="left"/>
              <w:rPr>
                <w:color w:val="auto"/>
                <w:highlight w:val="none"/>
              </w:rPr>
            </w:pPr>
            <w:r>
              <w:rPr>
                <w:rFonts w:hint="eastAsia" w:ascii="宋体" w:hAnsi="宋体" w:cs="宋体"/>
                <w:color w:val="auto"/>
                <w:szCs w:val="21"/>
                <w:highlight w:val="none"/>
              </w:rPr>
              <w:t>安全负责人</w:t>
            </w:r>
          </w:p>
        </w:tc>
        <w:tc>
          <w:tcPr>
            <w:tcW w:w="272" w:type="pct"/>
            <w:vAlign w:val="top"/>
          </w:tcPr>
          <w:p w14:paraId="206FC894">
            <w:pPr>
              <w:widowControl/>
              <w:spacing w:line="280" w:lineRule="exact"/>
              <w:jc w:val="center"/>
              <w:rPr>
                <w:rFonts w:hint="default" w:ascii="仿宋" w:hAnsi="仿宋" w:eastAsia="仿宋" w:cs="Times New Roman"/>
                <w:b/>
                <w:color w:val="auto"/>
                <w:sz w:val="32"/>
                <w:szCs w:val="32"/>
                <w:highlight w:val="none"/>
                <w:vertAlign w:val="baseline"/>
                <w:lang w:val="en-US"/>
              </w:rPr>
            </w:pPr>
            <w:r>
              <w:rPr>
                <w:rFonts w:hint="eastAsia" w:ascii="宋体" w:hAnsi="宋体" w:cs="宋体"/>
                <w:color w:val="auto"/>
                <w:szCs w:val="21"/>
                <w:highlight w:val="none"/>
                <w:lang w:val="en-US" w:eastAsia="zh-CN"/>
              </w:rPr>
              <w:t>10</w:t>
            </w:r>
          </w:p>
        </w:tc>
        <w:tc>
          <w:tcPr>
            <w:tcW w:w="3287" w:type="pct"/>
            <w:vAlign w:val="top"/>
          </w:tcPr>
          <w:p w14:paraId="3B6BFF7F">
            <w:pP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从业能力：具有安全工程专业中级或以上技术职称或市政公用工程类专业中级或以上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5E4B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top"/>
          </w:tcPr>
          <w:p w14:paraId="01AE5819">
            <w:pPr>
              <w:spacing w:line="280" w:lineRule="exact"/>
              <w:rPr>
                <w:rFonts w:hint="eastAsia" w:ascii="仿宋" w:hAnsi="仿宋" w:eastAsia="仿宋" w:cs="Times New Roman"/>
                <w:b/>
                <w:color w:val="auto"/>
                <w:sz w:val="32"/>
                <w:szCs w:val="32"/>
                <w:highlight w:val="none"/>
                <w:vertAlign w:val="baseline"/>
              </w:rPr>
            </w:pPr>
          </w:p>
        </w:tc>
        <w:tc>
          <w:tcPr>
            <w:tcW w:w="215" w:type="pct"/>
            <w:vMerge w:val="continue"/>
            <w:vAlign w:val="top"/>
          </w:tcPr>
          <w:p w14:paraId="0A55E37F">
            <w:pPr>
              <w:widowControl/>
              <w:spacing w:line="280" w:lineRule="exact"/>
              <w:jc w:val="left"/>
              <w:rPr>
                <w:rFonts w:hint="eastAsia" w:ascii="仿宋" w:hAnsi="仿宋" w:eastAsia="仿宋" w:cs="Times New Roman"/>
                <w:b/>
                <w:color w:val="auto"/>
                <w:sz w:val="32"/>
                <w:szCs w:val="32"/>
                <w:highlight w:val="none"/>
                <w:vertAlign w:val="baseline"/>
              </w:rPr>
            </w:pPr>
          </w:p>
        </w:tc>
        <w:tc>
          <w:tcPr>
            <w:tcW w:w="272" w:type="pct"/>
            <w:vAlign w:val="top"/>
          </w:tcPr>
          <w:p w14:paraId="0A2D6B32">
            <w:pPr>
              <w:widowControl/>
              <w:spacing w:line="280" w:lineRule="exact"/>
              <w:jc w:val="left"/>
              <w:rPr>
                <w:color w:val="auto"/>
                <w:highlight w:val="none"/>
              </w:rPr>
            </w:pPr>
            <w:r>
              <w:rPr>
                <w:rFonts w:hint="eastAsia" w:ascii="宋体" w:hAnsi="宋体" w:cs="宋体"/>
                <w:color w:val="auto"/>
                <w:szCs w:val="21"/>
                <w:highlight w:val="none"/>
              </w:rPr>
              <w:t>造价负责人</w:t>
            </w:r>
          </w:p>
        </w:tc>
        <w:tc>
          <w:tcPr>
            <w:tcW w:w="272" w:type="pct"/>
            <w:vAlign w:val="top"/>
          </w:tcPr>
          <w:p w14:paraId="5CC92FC8">
            <w:pPr>
              <w:widowControl/>
              <w:spacing w:line="280" w:lineRule="exact"/>
              <w:jc w:val="center"/>
              <w:rPr>
                <w:rFonts w:hint="default" w:ascii="仿宋" w:hAnsi="仿宋" w:eastAsia="仿宋" w:cs="Times New Roman"/>
                <w:b/>
                <w:color w:val="auto"/>
                <w:sz w:val="32"/>
                <w:szCs w:val="32"/>
                <w:highlight w:val="none"/>
                <w:vertAlign w:val="baseline"/>
                <w:lang w:val="en-US"/>
              </w:rPr>
            </w:pPr>
            <w:r>
              <w:rPr>
                <w:rFonts w:hint="eastAsia" w:ascii="宋体" w:hAnsi="宋体" w:cs="宋体"/>
                <w:color w:val="auto"/>
                <w:szCs w:val="21"/>
                <w:highlight w:val="none"/>
                <w:lang w:val="en-US" w:eastAsia="zh-CN"/>
              </w:rPr>
              <w:t>10</w:t>
            </w:r>
          </w:p>
        </w:tc>
        <w:tc>
          <w:tcPr>
            <w:tcW w:w="3287" w:type="pct"/>
            <w:vAlign w:val="top"/>
          </w:tcPr>
          <w:p w14:paraId="699CF9A8">
            <w:pP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从业能力：具有有效的注册造价师（或一级注册造价师）证书、或具有工程造价类专业副高级或以上技术职称，得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6DAD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pct"/>
            <w:gridSpan w:val="4"/>
            <w:vAlign w:val="top"/>
          </w:tcPr>
          <w:p w14:paraId="6CBBDED2">
            <w:pPr>
              <w:widowControl/>
              <w:spacing w:line="280" w:lineRule="exact"/>
              <w:jc w:val="center"/>
              <w:rPr>
                <w:rFonts w:hint="eastAsia" w:ascii="仿宋" w:hAnsi="仿宋" w:eastAsia="仿宋" w:cs="Times New Roman"/>
                <w:b/>
                <w:color w:val="auto"/>
                <w:sz w:val="32"/>
                <w:szCs w:val="32"/>
                <w:highlight w:val="none"/>
                <w:vertAlign w:val="baseline"/>
              </w:rPr>
            </w:pPr>
          </w:p>
        </w:tc>
        <w:tc>
          <w:tcPr>
            <w:tcW w:w="3287" w:type="pct"/>
            <w:vAlign w:val="top"/>
          </w:tcPr>
          <w:p w14:paraId="58088E26">
            <w:pPr>
              <w:rPr>
                <w:color w:val="auto"/>
                <w:highlight w:val="none"/>
              </w:rPr>
            </w:pPr>
            <w:r>
              <w:rPr>
                <w:rFonts w:hint="eastAsia"/>
                <w:color w:val="auto"/>
                <w:highlight w:val="none"/>
              </w:rPr>
              <w:t>注：①上述人员须提供身份证、毕业证书（大学专科（或以上）学历）及投标截止前一个月（</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lang w:val="en-US" w:eastAsia="zh-CN"/>
              </w:rPr>
              <w:t>或</w:t>
            </w:r>
            <w:r>
              <w:rPr>
                <w:rFonts w:hint="eastAsia"/>
                <w:color w:val="auto"/>
                <w:highlight w:val="none"/>
                <w:u w:val="single"/>
                <w:lang w:val="en-US" w:eastAsia="zh-CN"/>
              </w:rPr>
              <w:t>8</w:t>
            </w:r>
            <w:r>
              <w:rPr>
                <w:rFonts w:hint="eastAsia"/>
                <w:color w:val="auto"/>
                <w:highlight w:val="none"/>
              </w:rPr>
              <w:t>月）有效社保证明，且须按相应要求提供职称证、有效期内的注册证及有效期内的安全生产考核合格证（B类）或安全生产考核合格证（C类）或或建筑施工企业项目负责人安全生产考核合格证书或建筑施工企业专职安全生产管理人员安全生产考核合格证书（C3），所有资料为扫描件并加盖投标人电子公章；</w:t>
            </w:r>
          </w:p>
          <w:p w14:paraId="77551E98">
            <w:pPr>
              <w:ind w:firstLine="420" w:firstLineChars="200"/>
              <w:rPr>
                <w:color w:val="auto"/>
                <w:highlight w:val="none"/>
              </w:rPr>
            </w:pPr>
            <w:r>
              <w:rPr>
                <w:rFonts w:hint="eastAsia"/>
                <w:color w:val="auto"/>
                <w:highlight w:val="none"/>
              </w:rPr>
              <w:t>②项目负责人、技术负责人、质量负责人、安全负责人、造价负责人不得兼任，且安全负责人不能同时兼任专职安全员。</w:t>
            </w:r>
          </w:p>
          <w:p w14:paraId="435AC13A">
            <w:pPr>
              <w:ind w:firstLine="420" w:firstLineChars="200"/>
              <w:rPr>
                <w:bCs/>
                <w:color w:val="auto"/>
                <w:highlight w:val="none"/>
              </w:rPr>
            </w:pPr>
            <w:r>
              <w:rPr>
                <w:rFonts w:cs="Calibri"/>
                <w:bCs/>
                <w:color w:val="auto"/>
                <w:highlight w:val="none"/>
              </w:rPr>
              <w:t>③</w:t>
            </w:r>
            <w:r>
              <w:rPr>
                <w:rFonts w:hint="eastAsia"/>
                <w:bCs/>
                <w:color w:val="auto"/>
                <w:highlight w:val="none"/>
              </w:rPr>
              <w:t>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2793CFFA">
            <w:pPr>
              <w:ind w:firstLine="420" w:firstLineChars="200"/>
              <w:rPr>
                <w:rFonts w:hint="eastAsia" w:ascii="仿宋" w:hAnsi="仿宋" w:eastAsia="仿宋" w:cs="Times New Roman"/>
                <w:b/>
                <w:color w:val="auto"/>
                <w:sz w:val="32"/>
                <w:szCs w:val="32"/>
                <w:highlight w:val="none"/>
                <w:vertAlign w:val="baseline"/>
              </w:rPr>
            </w:pPr>
            <w:r>
              <w:rPr>
                <w:rFonts w:hint="eastAsia" w:ascii="宋体" w:hAnsi="宋体" w:cs="宋体"/>
                <w:color w:val="auto"/>
                <w:highlight w:val="none"/>
              </w:rPr>
              <w:t>④</w:t>
            </w:r>
            <w:r>
              <w:rPr>
                <w:rFonts w:hint="eastAsia"/>
                <w:color w:val="auto"/>
                <w:highlight w:val="non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r>
      <w:tr w14:paraId="2B77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restart"/>
            <w:vAlign w:val="top"/>
          </w:tcPr>
          <w:p w14:paraId="26154176">
            <w:pPr>
              <w:spacing w:line="280" w:lineRule="exact"/>
              <w:jc w:val="left"/>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、企业资信（20分）</w:t>
            </w:r>
          </w:p>
        </w:tc>
        <w:tc>
          <w:tcPr>
            <w:tcW w:w="487" w:type="pct"/>
            <w:gridSpan w:val="2"/>
            <w:vAlign w:val="top"/>
          </w:tcPr>
          <w:p w14:paraId="46DE0833">
            <w:pPr>
              <w:widowControl/>
              <w:spacing w:line="280" w:lineRule="exact"/>
              <w:jc w:val="left"/>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企业类似工程业绩</w:t>
            </w:r>
          </w:p>
        </w:tc>
        <w:tc>
          <w:tcPr>
            <w:tcW w:w="272" w:type="pct"/>
            <w:vAlign w:val="top"/>
          </w:tcPr>
          <w:p w14:paraId="49305E14">
            <w:pPr>
              <w:widowControl/>
              <w:spacing w:line="280" w:lineRule="exact"/>
              <w:jc w:val="cente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16</w:t>
            </w:r>
          </w:p>
        </w:tc>
        <w:tc>
          <w:tcPr>
            <w:tcW w:w="3287" w:type="pct"/>
            <w:vAlign w:val="top"/>
          </w:tcPr>
          <w:p w14:paraId="198C67EE">
            <w:pPr>
              <w:rPr>
                <w:rFonts w:hint="eastAsia" w:ascii="仿宋" w:hAnsi="仿宋" w:eastAsia="仿宋" w:cs="Times New Roman"/>
                <w:b/>
                <w:color w:val="auto"/>
                <w:sz w:val="32"/>
                <w:szCs w:val="32"/>
                <w:highlight w:val="none"/>
                <w:vertAlign w:val="baseline"/>
              </w:rPr>
            </w:pPr>
            <w:r>
              <w:rPr>
                <w:rFonts w:hint="eastAsia" w:ascii="宋体" w:hAnsi="宋体" w:cs="宋体"/>
                <w:color w:val="auto"/>
                <w:szCs w:val="21"/>
                <w:highlight w:val="none"/>
              </w:rPr>
              <w:t>投标人自</w:t>
            </w:r>
            <w:r>
              <w:rPr>
                <w:rFonts w:hint="eastAsia" w:ascii="宋体" w:hAnsi="宋体" w:cs="宋体"/>
                <w:color w:val="auto"/>
                <w:szCs w:val="21"/>
                <w:highlight w:val="none"/>
                <w:u w:val="single"/>
                <w:lang w:val="en-US" w:eastAsia="zh-CN"/>
              </w:rPr>
              <w:t>2022</w:t>
            </w:r>
            <w:r>
              <w:rPr>
                <w:rFonts w:hint="eastAsia" w:ascii="宋体" w:hAnsi="宋体" w:cs="宋体"/>
                <w:color w:val="auto"/>
                <w:szCs w:val="21"/>
                <w:highlight w:val="none"/>
              </w:rPr>
              <w:t>年1月1日至今完成过质量合格的且工程造价金额大于或等于</w:t>
            </w:r>
            <w:r>
              <w:rPr>
                <w:rFonts w:hint="eastAsia" w:ascii="宋体" w:hAnsi="宋体" w:cs="宋体"/>
                <w:color w:val="auto"/>
                <w:szCs w:val="21"/>
                <w:highlight w:val="none"/>
                <w:u w:val="single"/>
                <w:lang w:val="en-US" w:eastAsia="zh-CN"/>
              </w:rPr>
              <w:t>1200</w:t>
            </w:r>
            <w:r>
              <w:rPr>
                <w:rFonts w:hint="eastAsia" w:ascii="宋体" w:hAnsi="宋体" w:cs="宋体"/>
                <w:color w:val="auto"/>
                <w:szCs w:val="21"/>
                <w:highlight w:val="none"/>
              </w:rPr>
              <w:t>万元</w:t>
            </w:r>
            <w:r>
              <w:rPr>
                <w:rFonts w:hint="eastAsia"/>
                <w:color w:val="auto"/>
                <w:highlight w:val="none"/>
              </w:rPr>
              <w:t>的</w:t>
            </w:r>
            <w:r>
              <w:rPr>
                <w:rFonts w:hint="eastAsia" w:ascii="宋体" w:hAnsi="宋体" w:cs="宋体"/>
                <w:color w:val="auto"/>
                <w:szCs w:val="21"/>
                <w:highlight w:val="none"/>
              </w:rPr>
              <w:t>市政公用工</w:t>
            </w:r>
            <w:r>
              <w:rPr>
                <w:rFonts w:hint="eastAsia" w:ascii="宋体" w:hAnsi="宋体" w:cs="宋体"/>
                <w:color w:val="auto"/>
                <w:szCs w:val="21"/>
                <w:highlight w:val="none"/>
                <w:u w:val="none"/>
              </w:rPr>
              <w:t>程施工总承包或工程总承包施工部分业绩</w:t>
            </w:r>
            <w:r>
              <w:rPr>
                <w:rFonts w:hint="eastAsia" w:ascii="宋体" w:hAnsi="宋体" w:cs="宋体"/>
                <w:color w:val="auto"/>
                <w:szCs w:val="21"/>
                <w:highlight w:val="none"/>
              </w:rPr>
              <w:t>一项得</w:t>
            </w:r>
            <w:r>
              <w:rPr>
                <w:rFonts w:hint="eastAsia" w:ascii="宋体" w:hAnsi="宋体" w:cs="宋体"/>
                <w:color w:val="auto"/>
                <w:szCs w:val="21"/>
                <w:highlight w:val="none"/>
                <w:u w:val="none"/>
              </w:rPr>
              <w:t>8</w:t>
            </w:r>
            <w:r>
              <w:rPr>
                <w:rFonts w:hint="eastAsia" w:ascii="宋体" w:hAnsi="宋体" w:cs="宋体"/>
                <w:color w:val="auto"/>
                <w:szCs w:val="21"/>
                <w:highlight w:val="none"/>
              </w:rPr>
              <w:t>分，最多得16分。</w:t>
            </w:r>
          </w:p>
        </w:tc>
      </w:tr>
      <w:tr w14:paraId="62DC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top"/>
          </w:tcPr>
          <w:p w14:paraId="3E058F2A">
            <w:pPr>
              <w:spacing w:line="280" w:lineRule="exact"/>
              <w:jc w:val="center"/>
              <w:rPr>
                <w:rFonts w:hint="eastAsia" w:ascii="宋体" w:hAnsi="宋体" w:cs="宋体"/>
                <w:color w:val="auto"/>
                <w:szCs w:val="21"/>
                <w:highlight w:val="none"/>
                <w:lang w:val="en-US" w:eastAsia="zh-CN"/>
              </w:rPr>
            </w:pPr>
          </w:p>
        </w:tc>
        <w:tc>
          <w:tcPr>
            <w:tcW w:w="487" w:type="pct"/>
            <w:gridSpan w:val="2"/>
            <w:vAlign w:val="top"/>
          </w:tcPr>
          <w:p w14:paraId="4E30A51D">
            <w:pPr>
              <w:widowControl/>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第三方评价</w:t>
            </w:r>
          </w:p>
        </w:tc>
        <w:tc>
          <w:tcPr>
            <w:tcW w:w="272" w:type="pct"/>
            <w:vAlign w:val="top"/>
          </w:tcPr>
          <w:p w14:paraId="22DD8352">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287" w:type="pct"/>
            <w:vAlign w:val="top"/>
          </w:tcPr>
          <w:p w14:paraId="77EBD615">
            <w:pPr>
              <w:widowControl/>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w:t>
            </w:r>
            <w:r>
              <w:rPr>
                <w:rFonts w:hint="eastAsia" w:ascii="宋体" w:hAnsi="宋体" w:cs="宋体"/>
                <w:color w:val="auto"/>
                <w:szCs w:val="21"/>
                <w:highlight w:val="none"/>
                <w:u w:val="single"/>
                <w:lang w:val="en-US" w:eastAsia="zh-CN"/>
              </w:rPr>
              <w:t>2022</w:t>
            </w:r>
            <w:r>
              <w:rPr>
                <w:rFonts w:hint="eastAsia" w:ascii="宋体" w:hAnsi="宋体" w:cs="宋体"/>
                <w:color w:val="auto"/>
                <w:szCs w:val="21"/>
                <w:highlight w:val="none"/>
              </w:rPr>
              <w:t>年至今获得过税务机关评定的“A级纳税人”称号得4分；获得过税务机关评定的“B级纳税人”称号得2分；获得过税务机关评定的“M级纳税人”称号得1分。最多得4分。</w:t>
            </w:r>
          </w:p>
        </w:tc>
      </w:tr>
      <w:tr w14:paraId="0010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gridSpan w:val="3"/>
            <w:vAlign w:val="top"/>
          </w:tcPr>
          <w:p w14:paraId="1B2EC165">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合计（一+二）</w:t>
            </w:r>
          </w:p>
        </w:tc>
        <w:tc>
          <w:tcPr>
            <w:tcW w:w="272" w:type="pct"/>
            <w:vAlign w:val="top"/>
          </w:tcPr>
          <w:p w14:paraId="4306AC70">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100</w:t>
            </w:r>
          </w:p>
        </w:tc>
        <w:tc>
          <w:tcPr>
            <w:tcW w:w="3287" w:type="pct"/>
            <w:vAlign w:val="top"/>
          </w:tcPr>
          <w:p w14:paraId="078457DD">
            <w:pPr>
              <w:widowControl/>
              <w:jc w:val="center"/>
              <w:rPr>
                <w:rFonts w:hint="eastAsia" w:ascii="宋体" w:hAnsi="宋体" w:cs="宋体"/>
                <w:color w:val="auto"/>
                <w:szCs w:val="21"/>
                <w:highlight w:val="none"/>
              </w:rPr>
            </w:pPr>
          </w:p>
        </w:tc>
      </w:tr>
    </w:tbl>
    <w:p w14:paraId="671774FF">
      <w:pPr>
        <w:pStyle w:val="119"/>
        <w:ind w:firstLine="422" w:firstLineChars="200"/>
        <w:rPr>
          <w:rFonts w:hint="eastAsia" w:ascii="仿宋" w:hAnsi="仿宋" w:eastAsia="仿宋" w:cs="宋体"/>
          <w:b/>
          <w:color w:val="auto"/>
          <w:sz w:val="21"/>
          <w:szCs w:val="21"/>
          <w:highlight w:val="none"/>
        </w:rPr>
      </w:pPr>
    </w:p>
    <w:p w14:paraId="74FB89A5">
      <w:pPr>
        <w:pStyle w:val="119"/>
        <w:ind w:firstLine="422" w:firstLineChars="200"/>
        <w:rPr>
          <w:rFonts w:hint="eastAsia" w:ascii="仿宋" w:hAnsi="仿宋" w:eastAsia="仿宋" w:cs="宋体"/>
          <w:color w:val="auto"/>
          <w:sz w:val="21"/>
          <w:szCs w:val="21"/>
          <w:highlight w:val="none"/>
        </w:rPr>
      </w:pPr>
      <w:r>
        <w:rPr>
          <w:rFonts w:hint="eastAsia" w:ascii="仿宋" w:hAnsi="仿宋" w:eastAsia="仿宋" w:cs="宋体"/>
          <w:b/>
          <w:color w:val="auto"/>
          <w:sz w:val="21"/>
          <w:szCs w:val="21"/>
          <w:highlight w:val="none"/>
        </w:rPr>
        <w:t>备注</w:t>
      </w:r>
      <w:r>
        <w:rPr>
          <w:rFonts w:hint="eastAsia" w:ascii="仿宋" w:hAnsi="仿宋" w:eastAsia="仿宋" w:cs="宋体"/>
          <w:color w:val="auto"/>
          <w:sz w:val="21"/>
          <w:szCs w:val="21"/>
          <w:highlight w:val="none"/>
        </w:rPr>
        <w:t>：</w:t>
      </w:r>
    </w:p>
    <w:p w14:paraId="70DC77B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14:paraId="3925915D">
      <w:pPr>
        <w:pStyle w:val="119"/>
        <w:ind w:firstLine="36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2.项目负责人业绩：</w:t>
      </w:r>
    </w:p>
    <w:p w14:paraId="03EBD507">
      <w:pPr>
        <w:ind w:firstLine="420" w:firstLineChars="200"/>
        <w:rPr>
          <w:rFonts w:hint="eastAsia" w:ascii="仿宋" w:hAnsi="仿宋" w:eastAsia="仿宋" w:cs="仿宋"/>
          <w:color w:val="auto"/>
          <w:szCs w:val="21"/>
          <w:highlight w:val="none"/>
        </w:rPr>
      </w:pPr>
      <w:r>
        <w:rPr>
          <w:rFonts w:hint="eastAsia" w:ascii="仿宋" w:hAnsi="仿宋" w:eastAsia="仿宋" w:cs="宋体"/>
          <w:color w:val="auto"/>
          <w:szCs w:val="21"/>
          <w:highlight w:val="none"/>
        </w:rPr>
        <w:t>业绩需提供相关证明材料。</w:t>
      </w:r>
      <w:r>
        <w:rPr>
          <w:rFonts w:hint="eastAsia" w:ascii="仿宋" w:hAnsi="仿宋" w:eastAsia="仿宋" w:cs="仿宋"/>
          <w:color w:val="auto"/>
          <w:szCs w:val="21"/>
          <w:highlight w:val="none"/>
        </w:rPr>
        <w:t>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Pr>
          <w:rFonts w:hint="eastAsia" w:ascii="仿宋" w:hAnsi="仿宋" w:eastAsia="仿宋" w:cs="仿宋"/>
          <w:color w:val="auto"/>
          <w:szCs w:val="21"/>
          <w:highlight w:val="none"/>
          <w:u w:val="none"/>
        </w:rPr>
        <w:t>市政公用工程施工总承包</w:t>
      </w:r>
      <w:r>
        <w:rPr>
          <w:rFonts w:hint="eastAsia" w:ascii="仿宋" w:hAnsi="仿宋" w:eastAsia="仿宋" w:cs="仿宋"/>
          <w:color w:val="auto"/>
          <w:szCs w:val="21"/>
          <w:highlight w:val="none"/>
        </w:rPr>
        <w:t>资质方能承接的业绩。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54E9ECEA">
      <w:pPr>
        <w:pStyle w:val="119"/>
        <w:ind w:firstLine="422" w:firstLineChars="20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3.企业类似工程业绩：</w:t>
      </w:r>
    </w:p>
    <w:p w14:paraId="551964D2">
      <w:pPr>
        <w:pStyle w:val="119"/>
        <w:ind w:firstLine="36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市政公用工程施工总承包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168F29E6">
      <w:pPr>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4</w:t>
      </w:r>
      <w:r>
        <w:rPr>
          <w:rFonts w:hint="eastAsia" w:ascii="仿宋" w:hAnsi="仿宋" w:eastAsia="仿宋" w:cs="仿宋"/>
          <w:b/>
          <w:bCs/>
          <w:color w:val="auto"/>
          <w:szCs w:val="21"/>
          <w:highlight w:val="none"/>
        </w:rPr>
        <w:t>.第三方评价：</w:t>
      </w:r>
    </w:p>
    <w:p w14:paraId="1D203487">
      <w:pPr>
        <w:pStyle w:val="119"/>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7DF649C5">
      <w:pPr>
        <w:pStyle w:val="119"/>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14:paraId="6C78F4F6">
      <w:pPr>
        <w:pStyle w:val="119"/>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6.项目管理机构人员不得兼任。</w:t>
      </w:r>
    </w:p>
    <w:p w14:paraId="775A7EDE">
      <w:pPr>
        <w:pStyle w:val="119"/>
        <w:ind w:firstLine="42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除了项目组织管理机构能力可计算投标人的分公司（不具备独立法人）或投标人的分支机构（不具备独立法人）外，评分表内其他评分项目只计算投标人自身（不计算投标人的分公司、子公司和分支机构），否则不得分。</w:t>
      </w:r>
    </w:p>
    <w:p w14:paraId="65C21471">
      <w:pPr>
        <w:pStyle w:val="119"/>
        <w:ind w:firstLine="42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w:t>
      </w:r>
      <w:r>
        <w:rPr>
          <w:rFonts w:hint="eastAsia" w:ascii="仿宋" w:hAnsi="仿宋" w:eastAsia="仿宋" w:cs="宋体"/>
          <w:color w:val="auto"/>
          <w:sz w:val="21"/>
          <w:szCs w:val="21"/>
          <w:highlight w:val="none"/>
          <w:u w:val="none"/>
        </w:rPr>
        <w:t>若为联合体，评分内容只计算主办方得分</w:t>
      </w:r>
      <w:r>
        <w:rPr>
          <w:rFonts w:hint="eastAsia" w:ascii="仿宋" w:hAnsi="仿宋" w:eastAsia="仿宋" w:cs="仿宋"/>
          <w:color w:val="auto"/>
          <w:sz w:val="21"/>
          <w:szCs w:val="21"/>
          <w:highlight w:val="none"/>
          <w:u w:val="none"/>
        </w:rPr>
        <w:t>。</w:t>
      </w:r>
    </w:p>
    <w:p w14:paraId="6815F10C">
      <w:pPr>
        <w:pStyle w:val="119"/>
        <w:ind w:firstLine="42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9.投标人提供的网页信息截图或证明材料扫描件内容必须清晰可辨，如因网页信息截图或证明材料扫描件内容模糊导致评标时无法判断的，后果由投标人自负。</w:t>
      </w:r>
    </w:p>
    <w:p w14:paraId="10BE0BDA">
      <w:pPr>
        <w:rPr>
          <w:rFonts w:hint="eastAsia" w:eastAsia="宋体"/>
          <w:color w:val="auto"/>
          <w:szCs w:val="21"/>
          <w:highlight w:val="none"/>
          <w:lang w:val="en-US" w:eastAsia="zh-CN"/>
        </w:rPr>
      </w:pPr>
    </w:p>
    <w:p w14:paraId="679C8243">
      <w:pPr>
        <w:rPr>
          <w:rFonts w:hint="eastAsia"/>
          <w:b/>
          <w:bCs/>
          <w:color w:val="auto"/>
          <w:sz w:val="28"/>
          <w:szCs w:val="28"/>
          <w:highlight w:val="none"/>
        </w:rPr>
      </w:pPr>
      <w:r>
        <w:rPr>
          <w:rFonts w:hint="eastAsia" w:ascii="宋体" w:hAnsi="宋体" w:eastAsia="宋体" w:cs="宋体"/>
          <w:color w:val="auto"/>
          <w:kern w:val="0"/>
          <w:sz w:val="20"/>
          <w:szCs w:val="20"/>
          <w:highlight w:val="none"/>
          <w:u w:val="single"/>
          <w:lang w:val="en-US" w:eastAsia="zh-CN" w:bidi="ar-SA"/>
        </w:rPr>
        <w:br w:type="page"/>
      </w:r>
      <w:r>
        <w:rPr>
          <w:rFonts w:hint="eastAsia"/>
          <w:b/>
          <w:bCs/>
          <w:color w:val="auto"/>
          <w:sz w:val="28"/>
          <w:szCs w:val="28"/>
          <w:highlight w:val="none"/>
        </w:rPr>
        <w:t>附表</w:t>
      </w:r>
      <w:r>
        <w:rPr>
          <w:rFonts w:hint="eastAsia"/>
          <w:b/>
          <w:bCs/>
          <w:color w:val="auto"/>
          <w:sz w:val="28"/>
          <w:szCs w:val="28"/>
          <w:highlight w:val="none"/>
          <w:lang w:eastAsia="zh-CN"/>
        </w:rPr>
        <w:t>五</w:t>
      </w:r>
    </w:p>
    <w:p w14:paraId="6C33E095">
      <w:pPr>
        <w:jc w:val="center"/>
        <w:rPr>
          <w:b/>
          <w:bCs/>
          <w:color w:val="auto"/>
          <w:sz w:val="28"/>
          <w:szCs w:val="28"/>
          <w:highlight w:val="none"/>
        </w:rPr>
      </w:pPr>
      <w:r>
        <w:rPr>
          <w:rFonts w:hint="eastAsia"/>
          <w:b/>
          <w:bCs/>
          <w:color w:val="auto"/>
          <w:sz w:val="28"/>
          <w:szCs w:val="28"/>
          <w:highlight w:val="none"/>
        </w:rPr>
        <w:t>经济标评分表</w:t>
      </w:r>
    </w:p>
    <w:p w14:paraId="58719435">
      <w:pPr>
        <w:rPr>
          <w:color w:val="auto"/>
          <w:szCs w:val="21"/>
          <w:highlight w:val="none"/>
        </w:rPr>
      </w:pPr>
      <w:r>
        <w:rPr>
          <w:rFonts w:hint="eastAsia"/>
          <w:color w:val="auto"/>
          <w:szCs w:val="21"/>
          <w:highlight w:val="none"/>
        </w:rPr>
        <w:t>工程名称：</w:t>
      </w:r>
    </w:p>
    <w:tbl>
      <w:tblPr>
        <w:tblStyle w:val="37"/>
        <w:tblW w:w="14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3FB8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63A52557">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81350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621C1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5DF7C5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28D54B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0EDD9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4F53EE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AE644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45CF2A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F23A4E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2634D6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DBCF68">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31781BC">
            <w:pPr>
              <w:rPr>
                <w:rFonts w:ascii="宋体" w:hAnsi="宋体"/>
                <w:color w:val="auto"/>
                <w:szCs w:val="21"/>
                <w:highlight w:val="none"/>
              </w:rPr>
            </w:pPr>
          </w:p>
        </w:tc>
      </w:tr>
      <w:tr w14:paraId="7D5F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7ECBB1C9">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AFE2A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A3B16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DC377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0D04C1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9226BC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EE596F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0027F8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2276E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1C7A83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BCE80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5A4338E">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0F091F6">
            <w:pPr>
              <w:rPr>
                <w:rFonts w:ascii="宋体" w:hAnsi="宋体"/>
                <w:color w:val="auto"/>
                <w:szCs w:val="21"/>
                <w:highlight w:val="none"/>
              </w:rPr>
            </w:pPr>
          </w:p>
        </w:tc>
      </w:tr>
      <w:tr w14:paraId="524F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7825DB19">
            <w:pPr>
              <w:rPr>
                <w:rFonts w:ascii="宋体" w:hAnsi="宋体"/>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0A8095A2">
            <w:pPr>
              <w:rPr>
                <w:rFonts w:ascii="宋体" w:hAnsi="宋体"/>
                <w:color w:val="auto"/>
                <w:szCs w:val="21"/>
                <w:highlight w:val="none"/>
              </w:rPr>
            </w:pPr>
          </w:p>
        </w:tc>
      </w:tr>
      <w:tr w14:paraId="21E9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0C32F0E1">
            <w:pPr>
              <w:rPr>
                <w:rFonts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25C1F5A3">
            <w:pPr>
              <w:rPr>
                <w:rFonts w:ascii="宋体" w:hAnsi="宋体"/>
                <w:color w:val="auto"/>
                <w:szCs w:val="21"/>
                <w:highlight w:val="none"/>
              </w:rPr>
            </w:pPr>
          </w:p>
        </w:tc>
      </w:tr>
      <w:tr w14:paraId="5D94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18096215">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F8812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64BB2B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52B16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92869B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BAF4A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93F3FC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2539B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E615F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77740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9C8C3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9A591F">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3EC50FB">
            <w:pPr>
              <w:rPr>
                <w:rFonts w:ascii="宋体" w:hAnsi="宋体"/>
                <w:color w:val="auto"/>
                <w:szCs w:val="21"/>
                <w:highlight w:val="none"/>
              </w:rPr>
            </w:pPr>
          </w:p>
        </w:tc>
      </w:tr>
      <w:tr w14:paraId="5DCD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63223041">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D2F661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2FD2E8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35A617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BCA082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9DFE05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2FBB0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E47A3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AE027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CBCD0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01296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2287F37">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C1B6AC3">
            <w:pPr>
              <w:rPr>
                <w:rFonts w:ascii="宋体" w:hAnsi="宋体"/>
                <w:color w:val="auto"/>
                <w:szCs w:val="21"/>
                <w:highlight w:val="none"/>
              </w:rPr>
            </w:pPr>
          </w:p>
        </w:tc>
      </w:tr>
      <w:tr w14:paraId="715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7CB7BAE8">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4BA134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C230B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B007B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6DE0A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A9C6E7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E4C286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5E65C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93590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94534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A8402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A95671E">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42B5675">
            <w:pPr>
              <w:rPr>
                <w:rFonts w:ascii="宋体" w:hAnsi="宋体"/>
                <w:color w:val="auto"/>
                <w:szCs w:val="21"/>
                <w:highlight w:val="none"/>
              </w:rPr>
            </w:pPr>
          </w:p>
        </w:tc>
      </w:tr>
      <w:tr w14:paraId="699D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09D8AFB3">
            <w:pPr>
              <w:rPr>
                <w:rFonts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1515D5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1A056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AD2188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5F279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0D2B0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E6597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2AEB37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03F22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377ED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E0E073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47B6FA8">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A5FE802">
            <w:pPr>
              <w:rPr>
                <w:rFonts w:ascii="宋体" w:hAnsi="宋体"/>
                <w:color w:val="auto"/>
                <w:szCs w:val="21"/>
                <w:highlight w:val="none"/>
              </w:rPr>
            </w:pPr>
          </w:p>
        </w:tc>
      </w:tr>
    </w:tbl>
    <w:p w14:paraId="22425D91">
      <w:pPr>
        <w:rPr>
          <w:rFonts w:hint="eastAsia" w:eastAsia="宋体"/>
          <w:color w:val="auto"/>
          <w:szCs w:val="21"/>
          <w:highlight w:val="none"/>
          <w:lang w:val="en-US" w:eastAsia="zh-CN"/>
        </w:rPr>
      </w:pPr>
      <w:r>
        <w:rPr>
          <w:rFonts w:hint="eastAsia"/>
          <w:color w:val="auto"/>
          <w:szCs w:val="21"/>
          <w:highlight w:val="none"/>
        </w:rPr>
        <w:t>评委签名：</w:t>
      </w:r>
      <w:r>
        <w:rPr>
          <w:rFonts w:hint="eastAsia"/>
          <w:color w:val="auto"/>
          <w:szCs w:val="21"/>
          <w:highlight w:val="none"/>
          <w:lang w:val="en-US" w:eastAsia="zh-CN"/>
        </w:rPr>
        <w:t xml:space="preserve">             日期：</w:t>
      </w:r>
    </w:p>
    <w:p w14:paraId="09FCE0C7">
      <w:pPr>
        <w:rPr>
          <w:rFonts w:hint="eastAsia"/>
          <w:b/>
          <w:bCs/>
          <w:color w:val="auto"/>
          <w:sz w:val="28"/>
          <w:szCs w:val="28"/>
          <w:highlight w:val="none"/>
        </w:rPr>
      </w:pPr>
    </w:p>
    <w:p w14:paraId="041EC5B1">
      <w:pPr>
        <w:rPr>
          <w:rFonts w:hint="eastAsia"/>
          <w:b/>
          <w:bCs/>
          <w:color w:val="auto"/>
          <w:sz w:val="28"/>
          <w:szCs w:val="28"/>
          <w:highlight w:val="none"/>
        </w:rPr>
      </w:pPr>
    </w:p>
    <w:p w14:paraId="701E8C8D">
      <w:pPr>
        <w:rPr>
          <w:rFonts w:hint="eastAsia" w:eastAsia="宋体"/>
          <w:b/>
          <w:bCs/>
          <w:color w:val="auto"/>
          <w:sz w:val="28"/>
          <w:szCs w:val="28"/>
          <w:highlight w:val="none"/>
          <w:lang w:eastAsia="zh-CN"/>
        </w:rPr>
      </w:pPr>
      <w:r>
        <w:rPr>
          <w:rFonts w:hint="eastAsia"/>
          <w:b/>
          <w:bCs/>
          <w:color w:val="auto"/>
          <w:sz w:val="28"/>
          <w:szCs w:val="28"/>
          <w:highlight w:val="none"/>
        </w:rPr>
        <w:t>附表</w:t>
      </w:r>
      <w:r>
        <w:rPr>
          <w:rFonts w:hint="eastAsia"/>
          <w:b/>
          <w:bCs/>
          <w:color w:val="auto"/>
          <w:sz w:val="28"/>
          <w:szCs w:val="28"/>
          <w:highlight w:val="none"/>
          <w:lang w:val="en-US" w:eastAsia="zh-CN"/>
        </w:rPr>
        <w:t>六</w:t>
      </w:r>
    </w:p>
    <w:p w14:paraId="73B976C2">
      <w:pPr>
        <w:jc w:val="center"/>
        <w:rPr>
          <w:b/>
          <w:bCs/>
          <w:color w:val="auto"/>
          <w:sz w:val="28"/>
          <w:szCs w:val="28"/>
          <w:highlight w:val="none"/>
        </w:rPr>
      </w:pPr>
      <w:r>
        <w:rPr>
          <w:rFonts w:hint="eastAsia"/>
          <w:b/>
          <w:bCs/>
          <w:color w:val="auto"/>
          <w:sz w:val="28"/>
          <w:szCs w:val="28"/>
          <w:highlight w:val="none"/>
        </w:rPr>
        <w:t>算术复核表</w:t>
      </w:r>
    </w:p>
    <w:p w14:paraId="4E8143B7">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7"/>
        <w:tblW w:w="14820" w:type="dxa"/>
        <w:jc w:val="center"/>
        <w:tblLayout w:type="fixed"/>
        <w:tblCellMar>
          <w:top w:w="0" w:type="dxa"/>
          <w:left w:w="108" w:type="dxa"/>
          <w:bottom w:w="0" w:type="dxa"/>
          <w:right w:w="108" w:type="dxa"/>
        </w:tblCellMar>
      </w:tblPr>
      <w:tblGrid>
        <w:gridCol w:w="645"/>
        <w:gridCol w:w="4488"/>
        <w:gridCol w:w="1602"/>
        <w:gridCol w:w="1575"/>
        <w:gridCol w:w="1575"/>
        <w:gridCol w:w="1470"/>
        <w:gridCol w:w="3465"/>
      </w:tblGrid>
      <w:tr w14:paraId="574DDC71">
        <w:tblPrEx>
          <w:tblCellMar>
            <w:top w:w="0" w:type="dxa"/>
            <w:left w:w="108" w:type="dxa"/>
            <w:bottom w:w="0" w:type="dxa"/>
            <w:right w:w="108" w:type="dxa"/>
          </w:tblCellMar>
        </w:tblPrEx>
        <w:trPr>
          <w:trHeight w:val="705"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0B396FB9">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2C84CF0A">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377570A7">
            <w:pPr>
              <w:rPr>
                <w:rFonts w:ascii="宋体" w:hAnsi="宋体"/>
                <w:color w:val="auto"/>
                <w:kern w:val="0"/>
                <w:szCs w:val="21"/>
                <w:highlight w:val="none"/>
              </w:rPr>
            </w:pPr>
            <w:r>
              <w:rPr>
                <w:rFonts w:hint="eastAsia" w:ascii="宋体" w:hAnsi="宋体"/>
                <w:color w:val="auto"/>
                <w:kern w:val="0"/>
                <w:szCs w:val="21"/>
                <w:highlight w:val="none"/>
              </w:rPr>
              <w:t>修正前投标</w:t>
            </w:r>
          </w:p>
          <w:p w14:paraId="6CC3D6A4">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14:paraId="6E0AA1A7">
            <w:pPr>
              <w:rPr>
                <w:rFonts w:ascii="宋体" w:hAnsi="宋体"/>
                <w:color w:val="auto"/>
                <w:kern w:val="0"/>
                <w:szCs w:val="21"/>
                <w:highlight w:val="none"/>
              </w:rPr>
            </w:pPr>
            <w:r>
              <w:rPr>
                <w:rFonts w:hint="eastAsia" w:ascii="宋体" w:hAnsi="宋体"/>
                <w:color w:val="auto"/>
                <w:kern w:val="0"/>
                <w:szCs w:val="21"/>
                <w:highlight w:val="none"/>
              </w:rPr>
              <w:t>修正后投标</w:t>
            </w:r>
          </w:p>
          <w:p w14:paraId="688FE61F">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14:paraId="722CCC46">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782D1A8F">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3C28EA8B">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7F2725CF">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6E171FF5">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75FCF2BF">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noWrap w:val="0"/>
            <w:vAlign w:val="center"/>
          </w:tcPr>
          <w:p w14:paraId="18E04E6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10735D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ECE62EF">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8D581A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2BBD076">
            <w:pPr>
              <w:rPr>
                <w:rFonts w:ascii="宋体" w:hAnsi="宋体"/>
                <w:color w:val="auto"/>
                <w:kern w:val="0"/>
                <w:szCs w:val="21"/>
                <w:highlight w:val="none"/>
              </w:rPr>
            </w:pPr>
          </w:p>
        </w:tc>
      </w:tr>
      <w:tr w14:paraId="29A5B592">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3742ED45">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3CA63EEC">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noWrap w:val="0"/>
            <w:vAlign w:val="center"/>
          </w:tcPr>
          <w:p w14:paraId="494504D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1D7F89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812802D">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748A79C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27A0B02">
            <w:pPr>
              <w:rPr>
                <w:rFonts w:ascii="宋体" w:hAnsi="宋体"/>
                <w:color w:val="auto"/>
                <w:kern w:val="0"/>
                <w:szCs w:val="21"/>
                <w:highlight w:val="none"/>
              </w:rPr>
            </w:pPr>
          </w:p>
        </w:tc>
      </w:tr>
      <w:tr w14:paraId="49C88319">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1AA78EA1">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389E582B">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3635DA92">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72A75D5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BB6B65A">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3183FCC">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D6901C0">
            <w:pPr>
              <w:rPr>
                <w:rFonts w:ascii="宋体" w:hAnsi="宋体"/>
                <w:color w:val="auto"/>
                <w:kern w:val="0"/>
                <w:szCs w:val="21"/>
                <w:highlight w:val="none"/>
              </w:rPr>
            </w:pPr>
          </w:p>
        </w:tc>
      </w:tr>
      <w:tr w14:paraId="7084AD12">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743A8634">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C46D140">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22DA6E01">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0EF71A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C0D0223">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7FE26BC2">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907806F">
            <w:pPr>
              <w:rPr>
                <w:rFonts w:ascii="宋体" w:hAnsi="宋体"/>
                <w:color w:val="auto"/>
                <w:kern w:val="0"/>
                <w:szCs w:val="21"/>
                <w:highlight w:val="none"/>
              </w:rPr>
            </w:pPr>
          </w:p>
        </w:tc>
      </w:tr>
      <w:tr w14:paraId="0E3F39D2">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68AEB4DD">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2FDA5C97">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68C247E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3875E6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8D929AD">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18C9F24">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D7B221A">
            <w:pPr>
              <w:rPr>
                <w:rFonts w:ascii="宋体" w:hAnsi="宋体"/>
                <w:color w:val="auto"/>
                <w:kern w:val="0"/>
                <w:szCs w:val="21"/>
                <w:highlight w:val="none"/>
              </w:rPr>
            </w:pPr>
          </w:p>
        </w:tc>
      </w:tr>
      <w:tr w14:paraId="75B82D12">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3A7A3BC6">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7C80642D">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noWrap w:val="0"/>
            <w:vAlign w:val="center"/>
          </w:tcPr>
          <w:p w14:paraId="0AB289E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E979121">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C29E525">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9C3BCB6">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26527B8">
            <w:pPr>
              <w:rPr>
                <w:rFonts w:ascii="宋体" w:hAnsi="宋体"/>
                <w:color w:val="auto"/>
                <w:kern w:val="0"/>
                <w:szCs w:val="21"/>
                <w:highlight w:val="none"/>
              </w:rPr>
            </w:pPr>
          </w:p>
        </w:tc>
      </w:tr>
      <w:tr w14:paraId="592E32BE">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noWrap w:val="0"/>
            <w:vAlign w:val="center"/>
          </w:tcPr>
          <w:p w14:paraId="34988587">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39E616E">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72E93D9A">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AE5124B">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3652FC29">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9DB1691">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BB72E7B">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2AD18F41">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7988B831">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33961669">
      <w:pPr>
        <w:spacing w:line="360" w:lineRule="auto"/>
        <w:jc w:val="center"/>
        <w:rPr>
          <w:rFonts w:hint="eastAsia" w:ascii="Calibri" w:hAnsi="Calibri"/>
          <w:b/>
          <w:color w:val="auto"/>
          <w:sz w:val="28"/>
          <w:szCs w:val="28"/>
          <w:highlight w:val="none"/>
        </w:rPr>
      </w:pPr>
    </w:p>
    <w:p w14:paraId="750A8783">
      <w:pPr>
        <w:spacing w:line="360" w:lineRule="auto"/>
        <w:jc w:val="center"/>
        <w:rPr>
          <w:rFonts w:hint="eastAsia" w:ascii="Calibri" w:hAnsi="Calibri"/>
          <w:b/>
          <w:color w:val="auto"/>
          <w:sz w:val="28"/>
          <w:szCs w:val="28"/>
          <w:highlight w:val="none"/>
        </w:rPr>
      </w:pPr>
    </w:p>
    <w:p w14:paraId="6010E912">
      <w:pPr>
        <w:spacing w:line="360" w:lineRule="auto"/>
        <w:jc w:val="center"/>
        <w:rPr>
          <w:rFonts w:ascii="Calibri" w:hAnsi="Calibri"/>
          <w:b/>
          <w:color w:val="auto"/>
          <w:sz w:val="28"/>
          <w:szCs w:val="28"/>
          <w:highlight w:val="none"/>
        </w:rPr>
      </w:pPr>
      <w:r>
        <w:rPr>
          <w:rFonts w:hint="eastAsia" w:ascii="Calibri" w:hAnsi="Calibri"/>
          <w:b/>
          <w:color w:val="auto"/>
          <w:sz w:val="28"/>
          <w:szCs w:val="28"/>
          <w:highlight w:val="none"/>
        </w:rPr>
        <w:t>算术复核表</w:t>
      </w:r>
    </w:p>
    <w:p w14:paraId="7472B4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4297"/>
        <w:gridCol w:w="2330"/>
        <w:gridCol w:w="3101"/>
        <w:gridCol w:w="3423"/>
      </w:tblGrid>
      <w:tr w14:paraId="7461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6AE6E33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14:paraId="15573AF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14:paraId="1CA6D74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原投标报价（A）</w:t>
            </w:r>
          </w:p>
        </w:tc>
        <w:tc>
          <w:tcPr>
            <w:tcW w:w="3101" w:type="dxa"/>
            <w:tcBorders>
              <w:top w:val="single" w:color="auto" w:sz="4" w:space="0"/>
              <w:left w:val="single" w:color="auto" w:sz="4" w:space="0"/>
              <w:bottom w:val="single" w:color="auto" w:sz="4" w:space="0"/>
              <w:right w:val="single" w:color="auto" w:sz="4" w:space="0"/>
            </w:tcBorders>
            <w:noWrap w:val="0"/>
            <w:vAlign w:val="top"/>
          </w:tcPr>
          <w:p w14:paraId="096A985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top"/>
          </w:tcPr>
          <w:p w14:paraId="56EFE91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误差率（r=|A-B|/A*100%）</w:t>
            </w:r>
          </w:p>
        </w:tc>
      </w:tr>
      <w:tr w14:paraId="6B1F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55E8BAF3">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94FAD6E">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5E1F20F">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E90BC83">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D2D1352">
            <w:pPr>
              <w:spacing w:line="360" w:lineRule="auto"/>
              <w:rPr>
                <w:rFonts w:hint="eastAsia" w:ascii="宋体" w:hAnsi="宋体" w:eastAsia="宋体" w:cs="宋体"/>
                <w:color w:val="auto"/>
                <w:sz w:val="24"/>
                <w:szCs w:val="24"/>
                <w:highlight w:val="none"/>
              </w:rPr>
            </w:pPr>
          </w:p>
        </w:tc>
      </w:tr>
      <w:tr w14:paraId="6186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3FD8D17C">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50695547">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5A86080F">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1646E68">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971F6CC">
            <w:pPr>
              <w:spacing w:line="360" w:lineRule="auto"/>
              <w:rPr>
                <w:rFonts w:hint="eastAsia" w:ascii="宋体" w:hAnsi="宋体" w:eastAsia="宋体" w:cs="宋体"/>
                <w:color w:val="auto"/>
                <w:sz w:val="24"/>
                <w:szCs w:val="24"/>
                <w:highlight w:val="none"/>
              </w:rPr>
            </w:pPr>
          </w:p>
        </w:tc>
      </w:tr>
      <w:tr w14:paraId="2197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5419E256">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CD6E6E3">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00E9D2F">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90FB0D2">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CF2E854">
            <w:pPr>
              <w:spacing w:line="360" w:lineRule="auto"/>
              <w:rPr>
                <w:rFonts w:hint="eastAsia" w:ascii="宋体" w:hAnsi="宋体" w:eastAsia="宋体" w:cs="宋体"/>
                <w:color w:val="auto"/>
                <w:sz w:val="24"/>
                <w:szCs w:val="24"/>
                <w:highlight w:val="none"/>
              </w:rPr>
            </w:pPr>
          </w:p>
        </w:tc>
      </w:tr>
      <w:tr w14:paraId="0AAA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71DFA9FD">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0C096CF">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B58A28A">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2B23ECB">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36CD6BF">
            <w:pPr>
              <w:spacing w:line="360" w:lineRule="auto"/>
              <w:rPr>
                <w:rFonts w:hint="eastAsia" w:ascii="宋体" w:hAnsi="宋体" w:eastAsia="宋体" w:cs="宋体"/>
                <w:color w:val="auto"/>
                <w:sz w:val="24"/>
                <w:szCs w:val="24"/>
                <w:highlight w:val="none"/>
              </w:rPr>
            </w:pPr>
          </w:p>
        </w:tc>
      </w:tr>
      <w:tr w14:paraId="5D21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5997E0F7">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BD7DD52">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42505A28">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6016AA69">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09866A6">
            <w:pPr>
              <w:spacing w:line="360" w:lineRule="auto"/>
              <w:rPr>
                <w:rFonts w:hint="eastAsia" w:ascii="宋体" w:hAnsi="宋体" w:eastAsia="宋体" w:cs="宋体"/>
                <w:color w:val="auto"/>
                <w:sz w:val="24"/>
                <w:szCs w:val="24"/>
                <w:highlight w:val="none"/>
              </w:rPr>
            </w:pPr>
          </w:p>
        </w:tc>
      </w:tr>
      <w:tr w14:paraId="20F5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444018E1">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494AF6DF">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21FDB69">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1E3CD74">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C0E9518">
            <w:pPr>
              <w:spacing w:line="360" w:lineRule="auto"/>
              <w:rPr>
                <w:rFonts w:hint="eastAsia" w:ascii="宋体" w:hAnsi="宋体" w:eastAsia="宋体" w:cs="宋体"/>
                <w:color w:val="auto"/>
                <w:sz w:val="24"/>
                <w:szCs w:val="24"/>
                <w:highlight w:val="none"/>
              </w:rPr>
            </w:pPr>
          </w:p>
        </w:tc>
      </w:tr>
      <w:tr w14:paraId="0D9E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6C087116">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4C307766">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198DA40">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94F3686">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13AAE84A">
            <w:pPr>
              <w:spacing w:line="360" w:lineRule="auto"/>
              <w:rPr>
                <w:rFonts w:hint="eastAsia" w:ascii="宋体" w:hAnsi="宋体" w:eastAsia="宋体" w:cs="宋体"/>
                <w:color w:val="auto"/>
                <w:sz w:val="24"/>
                <w:szCs w:val="24"/>
                <w:highlight w:val="none"/>
              </w:rPr>
            </w:pPr>
          </w:p>
        </w:tc>
      </w:tr>
      <w:tr w14:paraId="7816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529B8901">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85573FF">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9842A8C">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13ED7E83">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8B60D99">
            <w:pPr>
              <w:spacing w:line="360" w:lineRule="auto"/>
              <w:rPr>
                <w:rFonts w:hint="eastAsia" w:ascii="宋体" w:hAnsi="宋体" w:eastAsia="宋体" w:cs="宋体"/>
                <w:color w:val="auto"/>
                <w:sz w:val="24"/>
                <w:szCs w:val="24"/>
                <w:highlight w:val="none"/>
              </w:rPr>
            </w:pPr>
          </w:p>
        </w:tc>
      </w:tr>
      <w:tr w14:paraId="16BC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tcBorders>
              <w:top w:val="single" w:color="auto" w:sz="4" w:space="0"/>
              <w:left w:val="single" w:color="auto" w:sz="4" w:space="0"/>
              <w:bottom w:val="single" w:color="auto" w:sz="4" w:space="0"/>
              <w:right w:val="single" w:color="auto" w:sz="4" w:space="0"/>
            </w:tcBorders>
            <w:noWrap w:val="0"/>
            <w:vAlign w:val="top"/>
          </w:tcPr>
          <w:p w14:paraId="28C9F071">
            <w:pPr>
              <w:spacing w:line="360" w:lineRule="auto"/>
              <w:rPr>
                <w:rFonts w:hint="eastAsia" w:ascii="宋体" w:hAnsi="宋体" w:eastAsia="宋体" w:cs="宋体"/>
                <w:color w:val="auto"/>
                <w:sz w:val="24"/>
                <w:szCs w:val="24"/>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497B363A">
            <w:pPr>
              <w:spacing w:line="360" w:lineRule="auto"/>
              <w:rPr>
                <w:rFonts w:hint="eastAsia" w:ascii="宋体" w:hAnsi="宋体" w:eastAsia="宋体" w:cs="宋体"/>
                <w:color w:val="auto"/>
                <w:sz w:val="24"/>
                <w:szCs w:val="24"/>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535D869F">
            <w:pPr>
              <w:spacing w:line="360" w:lineRule="auto"/>
              <w:rPr>
                <w:rFonts w:hint="eastAsia" w:ascii="宋体" w:hAnsi="宋体" w:eastAsia="宋体" w:cs="宋体"/>
                <w:color w:val="auto"/>
                <w:sz w:val="24"/>
                <w:szCs w:val="24"/>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482B0FF8">
            <w:pPr>
              <w:spacing w:line="360" w:lineRule="auto"/>
              <w:rPr>
                <w:rFonts w:hint="eastAsia" w:ascii="宋体" w:hAnsi="宋体" w:eastAsia="宋体" w:cs="宋体"/>
                <w:color w:val="auto"/>
                <w:sz w:val="24"/>
                <w:szCs w:val="24"/>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135CAE49">
            <w:pPr>
              <w:spacing w:line="360" w:lineRule="auto"/>
              <w:rPr>
                <w:rFonts w:hint="eastAsia" w:ascii="宋体" w:hAnsi="宋体" w:eastAsia="宋体" w:cs="宋体"/>
                <w:color w:val="auto"/>
                <w:sz w:val="24"/>
                <w:szCs w:val="24"/>
                <w:highlight w:val="none"/>
              </w:rPr>
            </w:pPr>
          </w:p>
        </w:tc>
      </w:tr>
    </w:tbl>
    <w:p w14:paraId="2168715E">
      <w:pPr>
        <w:spacing w:line="360" w:lineRule="auto"/>
        <w:rPr>
          <w:rFonts w:hint="eastAsia" w:ascii="宋体" w:hAnsi="宋体" w:eastAsia="宋体" w:cs="宋体"/>
          <w:b w:val="0"/>
          <w:bCs w:val="0"/>
          <w:color w:val="auto"/>
          <w:sz w:val="24"/>
          <w:szCs w:val="24"/>
          <w:highlight w:val="none"/>
        </w:rPr>
      </w:pPr>
    </w:p>
    <w:p w14:paraId="21611F44">
      <w:pPr>
        <w:spacing w:line="360" w:lineRule="auto"/>
        <w:rPr>
          <w:rFonts w:hint="eastAsia" w:ascii="宋体" w:hAnsi="宋体" w:eastAsia="宋体" w:cs="宋体"/>
          <w:b w:val="0"/>
          <w:bCs w:val="0"/>
          <w:color w:val="auto"/>
          <w:sz w:val="24"/>
          <w:szCs w:val="24"/>
          <w:highlight w:val="none"/>
        </w:rPr>
      </w:pPr>
    </w:p>
    <w:p w14:paraId="442F018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评委签名：</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日期：</w:t>
      </w:r>
    </w:p>
    <w:p w14:paraId="0006DF23">
      <w:pPr>
        <w:rPr>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40" w:right="1080" w:bottom="1440" w:left="1080" w:header="851" w:footer="907" w:gutter="0"/>
          <w:pgBorders>
            <w:top w:val="none" w:sz="0" w:space="0"/>
            <w:left w:val="none" w:sz="0" w:space="0"/>
            <w:bottom w:val="none" w:sz="0" w:space="0"/>
            <w:right w:val="none" w:sz="0" w:space="0"/>
          </w:pgBorders>
          <w:pgNumType w:fmt="numberInDash"/>
          <w:cols w:space="720" w:num="1"/>
          <w:titlePg/>
          <w:docGrid w:type="lines" w:linePitch="312" w:charSpace="0"/>
        </w:sectPr>
      </w:pPr>
    </w:p>
    <w:p w14:paraId="562A5419">
      <w:pPr>
        <w:rPr>
          <w:rFonts w:ascii="宋体" w:hAnsi="宋体"/>
          <w:b/>
          <w:bCs/>
          <w:color w:val="auto"/>
          <w:sz w:val="28"/>
          <w:szCs w:val="28"/>
          <w:highlight w:val="none"/>
        </w:rPr>
      </w:pPr>
      <w:r>
        <w:rPr>
          <w:rFonts w:hint="eastAsia" w:ascii="宋体" w:hAnsi="宋体"/>
          <w:b/>
          <w:bCs/>
          <w:color w:val="auto"/>
          <w:sz w:val="28"/>
          <w:szCs w:val="28"/>
          <w:highlight w:val="none"/>
        </w:rPr>
        <w:t>附表</w:t>
      </w:r>
      <w:r>
        <w:rPr>
          <w:rFonts w:hint="eastAsia" w:ascii="宋体" w:hAnsi="宋体"/>
          <w:b/>
          <w:bCs/>
          <w:color w:val="auto"/>
          <w:sz w:val="28"/>
          <w:szCs w:val="28"/>
          <w:highlight w:val="none"/>
          <w:lang w:val="en-US" w:eastAsia="zh-CN"/>
        </w:rPr>
        <w:t>七</w:t>
      </w:r>
      <w:r>
        <w:rPr>
          <w:rFonts w:hint="eastAsia" w:ascii="宋体" w:hAnsi="宋体"/>
          <w:b/>
          <w:bCs/>
          <w:color w:val="auto"/>
          <w:sz w:val="28"/>
          <w:szCs w:val="28"/>
          <w:highlight w:val="none"/>
        </w:rPr>
        <w:t xml:space="preserve">  </w:t>
      </w:r>
    </w:p>
    <w:p w14:paraId="47C2EA44">
      <w:pPr>
        <w:jc w:val="center"/>
        <w:rPr>
          <w:rFonts w:hint="eastAsia" w:ascii="宋体" w:hAnsi="宋体" w:cs="宋体"/>
          <w:b/>
          <w:bCs/>
          <w:color w:val="auto"/>
          <w:sz w:val="28"/>
          <w:szCs w:val="28"/>
          <w:highlight w:val="none"/>
        </w:rPr>
      </w:pPr>
      <w:bookmarkStart w:id="74" w:name="_Toc28757"/>
      <w:r>
        <w:rPr>
          <w:rFonts w:hint="eastAsia" w:ascii="宋体" w:hAnsi="宋体" w:cs="宋体"/>
          <w:b/>
          <w:bCs/>
          <w:color w:val="auto"/>
          <w:sz w:val="28"/>
          <w:szCs w:val="28"/>
          <w:highlight w:val="none"/>
        </w:rPr>
        <w:t>定标因素表（定标阶段用表）</w:t>
      </w:r>
    </w:p>
    <w:p w14:paraId="108C105D">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 xml:space="preserve"> </w:t>
      </w:r>
    </w:p>
    <w:tbl>
      <w:tblPr>
        <w:tblStyle w:val="37"/>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35"/>
        <w:gridCol w:w="678"/>
        <w:gridCol w:w="7185"/>
      </w:tblGrid>
      <w:tr w14:paraId="0E8D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06AE371">
            <w:pPr>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序号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32F311B">
            <w:pPr>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评价项目</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4557B49">
            <w:pPr>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65245B8C">
            <w:pPr>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定标评价的内容</w:t>
            </w:r>
          </w:p>
        </w:tc>
      </w:tr>
      <w:tr w14:paraId="644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8" w:type="dxa"/>
            <w:vMerge w:val="restart"/>
            <w:tcBorders>
              <w:top w:val="single" w:color="auto" w:sz="4" w:space="0"/>
              <w:left w:val="single" w:color="auto" w:sz="4" w:space="0"/>
              <w:right w:val="single" w:color="auto" w:sz="4" w:space="0"/>
            </w:tcBorders>
            <w:noWrap w:val="0"/>
            <w:vAlign w:val="center"/>
          </w:tcPr>
          <w:p w14:paraId="06CB5A04">
            <w:pPr>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color="auto" w:fill="FFFFFF"/>
              </w:rPr>
              <w:t>1</w:t>
            </w:r>
          </w:p>
        </w:tc>
        <w:tc>
          <w:tcPr>
            <w:tcW w:w="735" w:type="dxa"/>
            <w:vMerge w:val="restart"/>
            <w:tcBorders>
              <w:top w:val="single" w:color="auto" w:sz="4" w:space="0"/>
              <w:left w:val="single" w:color="auto" w:sz="4" w:space="0"/>
              <w:right w:val="single" w:color="auto" w:sz="4" w:space="0"/>
            </w:tcBorders>
            <w:noWrap w:val="0"/>
            <w:vAlign w:val="center"/>
          </w:tcPr>
          <w:p w14:paraId="36DDF6B4">
            <w:pPr>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shd w:val="clear" w:color="auto" w:fill="FFFFFF"/>
              </w:rPr>
              <w:t>方案因素</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shd w:val="clear" w:color="auto" w:fill="FFFFFF"/>
                <w:lang w:val="en-US" w:eastAsia="zh-CN"/>
              </w:rPr>
              <w:t>100</w:t>
            </w:r>
            <w:r>
              <w:rPr>
                <w:rFonts w:hint="eastAsia" w:ascii="宋体" w:hAnsi="宋体" w:eastAsia="宋体" w:cs="宋体"/>
                <w:b w:val="0"/>
                <w:bCs w:val="0"/>
                <w:color w:val="auto"/>
                <w:sz w:val="21"/>
                <w:szCs w:val="21"/>
                <w:highlight w:val="none"/>
                <w:shd w:val="clear" w:color="auto" w:fill="FFFFFF"/>
                <w:lang w:eastAsia="zh-CN"/>
              </w:rPr>
              <w: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E137E57">
            <w:pPr>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shd w:val="clear" w:color="auto" w:fill="FFFFFF"/>
                <w:lang w:val="en-US" w:eastAsia="zh-CN"/>
              </w:rPr>
              <w:t>25</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454B449E">
            <w:pPr>
              <w:pStyle w:val="19"/>
              <w:spacing w:line="240" w:lineRule="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zh-CN"/>
              </w:rPr>
              <w:t>对拟投入本项目的团队配置进行评审：</w:t>
            </w:r>
            <w:r>
              <w:rPr>
                <w:rFonts w:hint="eastAsia" w:ascii="宋体" w:hAnsi="宋体" w:eastAsia="宋体" w:cs="宋体"/>
                <w:b w:val="0"/>
                <w:bCs w:val="0"/>
                <w:color w:val="auto"/>
                <w:sz w:val="21"/>
                <w:szCs w:val="21"/>
                <w:highlight w:val="none"/>
                <w:shd w:val="clear" w:color="auto" w:fill="FFFFFF"/>
                <w:lang w:val="en-US" w:eastAsia="zh-CN"/>
              </w:rPr>
              <w:t xml:space="preserve"> </w:t>
            </w:r>
          </w:p>
          <w:p w14:paraId="2B66730A">
            <w:pPr>
              <w:spacing w:line="240" w:lineRule="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shd w:val="clear" w:color="auto" w:fill="FFFFFF"/>
                <w:lang w:val="zh-CN"/>
              </w:rPr>
              <w:t>（团队配置应能体现投入充分满足项目需求的管理力量和技术力量，包括不限于：人员资质、专业匹配度、类似项目经验、团队稳定性等内容）</w:t>
            </w:r>
          </w:p>
          <w:p w14:paraId="0BBDCE40">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优得</w:t>
            </w:r>
            <w:r>
              <w:rPr>
                <w:rFonts w:hint="eastAsia" w:ascii="宋体" w:hAnsi="宋体" w:eastAsia="宋体" w:cs="宋体"/>
                <w:b/>
                <w:bCs/>
                <w:color w:val="auto"/>
                <w:sz w:val="21"/>
                <w:szCs w:val="21"/>
                <w:highlight w:val="none"/>
                <w:u w:val="single"/>
                <w:shd w:val="clear" w:color="auto" w:fill="FFFFFF"/>
                <w:lang w:val="en-US" w:eastAsia="zh-CN"/>
              </w:rPr>
              <w:t>[19，25</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04899C88">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良得</w:t>
            </w:r>
            <w:r>
              <w:rPr>
                <w:rFonts w:hint="eastAsia" w:ascii="宋体" w:hAnsi="宋体" w:eastAsia="宋体" w:cs="宋体"/>
                <w:b/>
                <w:bCs/>
                <w:color w:val="auto"/>
                <w:sz w:val="21"/>
                <w:szCs w:val="21"/>
                <w:highlight w:val="none"/>
                <w:u w:val="single"/>
                <w:shd w:val="clear" w:color="auto" w:fill="FFFFFF"/>
                <w:lang w:val="en-US" w:eastAsia="zh-CN"/>
              </w:rPr>
              <w:t>[12，18</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5267F7E8">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中得</w:t>
            </w:r>
            <w:r>
              <w:rPr>
                <w:rFonts w:hint="eastAsia" w:ascii="宋体" w:hAnsi="宋体" w:eastAsia="宋体" w:cs="宋体"/>
                <w:b/>
                <w:bCs/>
                <w:color w:val="auto"/>
                <w:sz w:val="21"/>
                <w:szCs w:val="21"/>
                <w:highlight w:val="none"/>
                <w:u w:val="single"/>
                <w:shd w:val="clear" w:color="auto" w:fill="FFFFFF"/>
                <w:lang w:val="en-US" w:eastAsia="zh-CN"/>
              </w:rPr>
              <w:t>[5，11</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654DA44E">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eastAsia="zh-CN"/>
              </w:rPr>
              <w:t>差得</w:t>
            </w:r>
            <w:r>
              <w:rPr>
                <w:rFonts w:hint="eastAsia" w:ascii="宋体" w:hAnsi="宋体" w:eastAsia="宋体" w:cs="宋体"/>
                <w:b/>
                <w:bCs/>
                <w:color w:val="auto"/>
                <w:sz w:val="21"/>
                <w:szCs w:val="21"/>
                <w:highlight w:val="none"/>
                <w:u w:val="single"/>
                <w:shd w:val="clear" w:color="auto" w:fill="FFFFFF"/>
                <w:lang w:val="en-US" w:eastAsia="zh-CN"/>
              </w:rPr>
              <w:t>[1，4</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41DDC5B4">
            <w:pPr>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color="auto" w:fill="FFFFFF"/>
              </w:rPr>
              <w:t>不满足或</w:t>
            </w:r>
            <w:r>
              <w:rPr>
                <w:rFonts w:hint="eastAsia" w:ascii="宋体" w:hAnsi="宋体" w:eastAsia="宋体" w:cs="宋体"/>
                <w:b w:val="0"/>
                <w:bCs w:val="0"/>
                <w:color w:val="auto"/>
                <w:sz w:val="21"/>
                <w:szCs w:val="21"/>
                <w:highlight w:val="none"/>
                <w:shd w:val="clear" w:color="auto" w:fill="FFFFFF"/>
                <w:lang w:val="zh-CN"/>
              </w:rPr>
              <w:t>未能按要求</w:t>
            </w:r>
            <w:r>
              <w:rPr>
                <w:rFonts w:hint="eastAsia" w:ascii="宋体" w:hAnsi="宋体" w:eastAsia="宋体" w:cs="宋体"/>
                <w:b w:val="0"/>
                <w:bCs w:val="0"/>
                <w:color w:val="auto"/>
                <w:sz w:val="21"/>
                <w:szCs w:val="21"/>
                <w:highlight w:val="none"/>
                <w:shd w:val="clear" w:color="auto" w:fill="FFFFFF"/>
              </w:rPr>
              <w:t>提供相关资料</w:t>
            </w:r>
            <w:r>
              <w:rPr>
                <w:rFonts w:hint="eastAsia" w:ascii="宋体" w:hAnsi="宋体" w:eastAsia="宋体" w:cs="宋体"/>
                <w:b w:val="0"/>
                <w:bCs w:val="0"/>
                <w:color w:val="auto"/>
                <w:sz w:val="21"/>
                <w:szCs w:val="21"/>
                <w:highlight w:val="none"/>
                <w:shd w:val="clear" w:color="auto" w:fill="FFFFFF"/>
                <w:lang w:val="zh-CN"/>
              </w:rPr>
              <w:t>得0分。</w:t>
            </w:r>
          </w:p>
        </w:tc>
      </w:tr>
      <w:tr w14:paraId="2B3B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8" w:type="dxa"/>
            <w:vMerge w:val="continue"/>
            <w:tcBorders>
              <w:left w:val="single" w:color="auto" w:sz="4" w:space="0"/>
              <w:right w:val="single" w:color="auto" w:sz="4" w:space="0"/>
            </w:tcBorders>
            <w:noWrap w:val="0"/>
            <w:vAlign w:val="center"/>
          </w:tcPr>
          <w:p w14:paraId="1AC6E93E">
            <w:pPr>
              <w:spacing w:line="240" w:lineRule="auto"/>
              <w:jc w:val="center"/>
              <w:rPr>
                <w:rFonts w:hint="eastAsia" w:ascii="宋体" w:hAnsi="宋体" w:eastAsia="宋体" w:cs="宋体"/>
                <w:b w:val="0"/>
                <w:bCs w:val="0"/>
                <w:color w:val="auto"/>
                <w:sz w:val="21"/>
                <w:szCs w:val="21"/>
                <w:highlight w:val="none"/>
                <w:shd w:val="clear" w:color="auto" w:fill="FFFFFF"/>
              </w:rPr>
            </w:pPr>
          </w:p>
        </w:tc>
        <w:tc>
          <w:tcPr>
            <w:tcW w:w="735" w:type="dxa"/>
            <w:vMerge w:val="continue"/>
            <w:tcBorders>
              <w:left w:val="single" w:color="auto" w:sz="4" w:space="0"/>
              <w:right w:val="single" w:color="auto" w:sz="4" w:space="0"/>
            </w:tcBorders>
            <w:noWrap w:val="0"/>
            <w:vAlign w:val="center"/>
          </w:tcPr>
          <w:p w14:paraId="3AF23B5B">
            <w:pPr>
              <w:spacing w:line="240" w:lineRule="auto"/>
              <w:jc w:val="center"/>
              <w:rPr>
                <w:rFonts w:hint="eastAsia" w:ascii="宋体" w:hAnsi="宋体" w:eastAsia="宋体" w:cs="宋体"/>
                <w:b w:val="0"/>
                <w:bCs w:val="0"/>
                <w:color w:val="auto"/>
                <w:sz w:val="21"/>
                <w:szCs w:val="21"/>
                <w:highlight w:val="none"/>
                <w:shd w:val="clear" w:color="auto" w:fill="FFFFFF"/>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1F016DBD">
            <w:pPr>
              <w:spacing w:line="240" w:lineRule="auto"/>
              <w:jc w:val="center"/>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69BB7B3C">
            <w:pPr>
              <w:pStyle w:val="19"/>
              <w:spacing w:line="240" w:lineRule="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lang w:eastAsia="zh-CN"/>
              </w:rPr>
              <w:t>对本项目施工管理措施进行</w:t>
            </w:r>
            <w:r>
              <w:rPr>
                <w:rFonts w:hint="eastAsia" w:ascii="宋体" w:hAnsi="宋体" w:eastAsia="宋体" w:cs="宋体"/>
                <w:b w:val="0"/>
                <w:bCs w:val="0"/>
                <w:color w:val="auto"/>
                <w:sz w:val="21"/>
                <w:szCs w:val="21"/>
                <w:highlight w:val="none"/>
                <w:shd w:val="clear" w:color="auto" w:fill="FFFFFF"/>
                <w:lang w:val="zh-CN"/>
              </w:rPr>
              <w:t>评审：</w:t>
            </w:r>
            <w:r>
              <w:rPr>
                <w:rFonts w:hint="eastAsia" w:ascii="宋体" w:hAnsi="宋体" w:eastAsia="宋体" w:cs="宋体"/>
                <w:b w:val="0"/>
                <w:bCs w:val="0"/>
                <w:color w:val="auto"/>
                <w:sz w:val="21"/>
                <w:szCs w:val="21"/>
                <w:highlight w:val="none"/>
                <w:shd w:val="clear" w:color="auto" w:fill="FFFFFF"/>
                <w:lang w:val="en-US" w:eastAsia="zh-CN"/>
              </w:rPr>
              <w:t xml:space="preserve"> </w:t>
            </w:r>
          </w:p>
          <w:p w14:paraId="7FB1AD59">
            <w:pPr>
              <w:spacing w:line="240" w:lineRule="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shd w:val="clear" w:color="auto" w:fill="FFFFFF"/>
                <w:lang w:val="zh-CN"/>
              </w:rPr>
              <w:t>（</w:t>
            </w:r>
            <w:r>
              <w:rPr>
                <w:rFonts w:hint="eastAsia" w:ascii="宋体" w:hAnsi="宋体" w:eastAsia="宋体" w:cs="宋体"/>
                <w:b w:val="0"/>
                <w:bCs w:val="0"/>
                <w:color w:val="auto"/>
                <w:kern w:val="0"/>
                <w:sz w:val="21"/>
                <w:szCs w:val="21"/>
                <w:highlight w:val="none"/>
                <w:lang w:eastAsia="zh-CN"/>
              </w:rPr>
              <w:t>施工管理措施应根据本项目实际、结合企业优势编制，应响应项目需求、具备</w:t>
            </w:r>
            <w:r>
              <w:rPr>
                <w:rFonts w:hint="eastAsia" w:ascii="宋体" w:hAnsi="宋体" w:eastAsia="宋体" w:cs="宋体"/>
                <w:b w:val="0"/>
                <w:bCs w:val="0"/>
                <w:color w:val="auto"/>
                <w:sz w:val="21"/>
                <w:szCs w:val="21"/>
                <w:highlight w:val="none"/>
                <w:shd w:val="clear" w:color="auto" w:fill="FFFFFF"/>
                <w:lang w:val="zh-CN"/>
              </w:rPr>
              <w:t>针对性、可行性、创新性</w:t>
            </w:r>
            <w:r>
              <w:rPr>
                <w:rFonts w:hint="eastAsia" w:ascii="宋体" w:hAnsi="宋体" w:eastAsia="宋体" w:cs="宋体"/>
                <w:b w:val="0"/>
                <w:bCs w:val="0"/>
                <w:color w:val="auto"/>
                <w:kern w:val="0"/>
                <w:sz w:val="21"/>
                <w:szCs w:val="21"/>
                <w:highlight w:val="none"/>
                <w:lang w:eastAsia="zh-CN"/>
              </w:rPr>
              <w:t>。包括不限于：</w:t>
            </w:r>
            <w:r>
              <w:rPr>
                <w:rFonts w:hint="eastAsia" w:ascii="宋体" w:hAnsi="宋体" w:eastAsia="宋体" w:cs="宋体"/>
                <w:b w:val="0"/>
                <w:bCs w:val="0"/>
                <w:color w:val="auto"/>
                <w:sz w:val="21"/>
                <w:szCs w:val="21"/>
                <w:highlight w:val="none"/>
                <w:shd w:val="clear" w:color="auto" w:fill="FFFFFF"/>
                <w:lang w:val="zh-CN"/>
              </w:rPr>
              <w:t>确保本工程质量、安全、进度目标的管理措施、危大分部分项管理措施、技术难点解决措施、应急响应措施等内容）</w:t>
            </w:r>
          </w:p>
          <w:p w14:paraId="6776951D">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优得</w:t>
            </w:r>
            <w:r>
              <w:rPr>
                <w:rFonts w:hint="eastAsia" w:ascii="宋体" w:hAnsi="宋体" w:eastAsia="宋体" w:cs="宋体"/>
                <w:b/>
                <w:bCs/>
                <w:color w:val="auto"/>
                <w:sz w:val="21"/>
                <w:szCs w:val="21"/>
                <w:highlight w:val="none"/>
                <w:u w:val="single"/>
                <w:shd w:val="clear" w:color="auto" w:fill="FFFFFF"/>
                <w:lang w:val="en-US" w:eastAsia="zh-CN"/>
              </w:rPr>
              <w:t>[19，25</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0629D941">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良得</w:t>
            </w:r>
            <w:r>
              <w:rPr>
                <w:rFonts w:hint="eastAsia" w:ascii="宋体" w:hAnsi="宋体" w:eastAsia="宋体" w:cs="宋体"/>
                <w:b/>
                <w:bCs/>
                <w:color w:val="auto"/>
                <w:sz w:val="21"/>
                <w:szCs w:val="21"/>
                <w:highlight w:val="none"/>
                <w:u w:val="single"/>
                <w:shd w:val="clear" w:color="auto" w:fill="FFFFFF"/>
                <w:lang w:val="en-US" w:eastAsia="zh-CN"/>
              </w:rPr>
              <w:t>[12，18</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4437D7AE">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中得</w:t>
            </w:r>
            <w:r>
              <w:rPr>
                <w:rFonts w:hint="eastAsia" w:ascii="宋体" w:hAnsi="宋体" w:eastAsia="宋体" w:cs="宋体"/>
                <w:b/>
                <w:bCs/>
                <w:color w:val="auto"/>
                <w:sz w:val="21"/>
                <w:szCs w:val="21"/>
                <w:highlight w:val="none"/>
                <w:u w:val="single"/>
                <w:shd w:val="clear" w:color="auto" w:fill="FFFFFF"/>
                <w:lang w:val="en-US" w:eastAsia="zh-CN"/>
              </w:rPr>
              <w:t>[5，11</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3703BF6E">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eastAsia="zh-CN"/>
              </w:rPr>
              <w:t>差得</w:t>
            </w:r>
            <w:r>
              <w:rPr>
                <w:rFonts w:hint="eastAsia" w:ascii="宋体" w:hAnsi="宋体" w:eastAsia="宋体" w:cs="宋体"/>
                <w:b/>
                <w:bCs/>
                <w:color w:val="auto"/>
                <w:sz w:val="21"/>
                <w:szCs w:val="21"/>
                <w:highlight w:val="none"/>
                <w:u w:val="single"/>
                <w:shd w:val="clear" w:color="auto" w:fill="FFFFFF"/>
                <w:lang w:val="en-US" w:eastAsia="zh-CN"/>
              </w:rPr>
              <w:t>[1，4</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262647F2">
            <w:pPr>
              <w:spacing w:line="240" w:lineRule="auto"/>
              <w:jc w:val="left"/>
              <w:rPr>
                <w:rFonts w:hint="eastAsia" w:ascii="宋体" w:hAnsi="宋体" w:eastAsia="宋体" w:cs="宋体"/>
                <w:b w:val="0"/>
                <w:bCs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rPr>
              <w:t>不满足或</w:t>
            </w:r>
            <w:r>
              <w:rPr>
                <w:rFonts w:hint="eastAsia" w:ascii="宋体" w:hAnsi="宋体" w:eastAsia="宋体" w:cs="宋体"/>
                <w:b w:val="0"/>
                <w:bCs w:val="0"/>
                <w:color w:val="auto"/>
                <w:sz w:val="21"/>
                <w:szCs w:val="21"/>
                <w:highlight w:val="none"/>
                <w:shd w:val="clear" w:color="auto" w:fill="FFFFFF"/>
                <w:lang w:val="zh-CN"/>
              </w:rPr>
              <w:t>未能按要求</w:t>
            </w:r>
            <w:r>
              <w:rPr>
                <w:rFonts w:hint="eastAsia" w:ascii="宋体" w:hAnsi="宋体" w:eastAsia="宋体" w:cs="宋体"/>
                <w:b w:val="0"/>
                <w:bCs w:val="0"/>
                <w:color w:val="auto"/>
                <w:sz w:val="21"/>
                <w:szCs w:val="21"/>
                <w:highlight w:val="none"/>
                <w:shd w:val="clear" w:color="auto" w:fill="FFFFFF"/>
              </w:rPr>
              <w:t>提供相关资料</w:t>
            </w:r>
            <w:r>
              <w:rPr>
                <w:rFonts w:hint="eastAsia" w:ascii="宋体" w:hAnsi="宋体" w:eastAsia="宋体" w:cs="宋体"/>
                <w:b w:val="0"/>
                <w:bCs w:val="0"/>
                <w:color w:val="auto"/>
                <w:sz w:val="21"/>
                <w:szCs w:val="21"/>
                <w:highlight w:val="none"/>
                <w:shd w:val="clear" w:color="auto" w:fill="FFFFFF"/>
                <w:lang w:val="zh-CN"/>
              </w:rPr>
              <w:t>得0分。</w:t>
            </w:r>
          </w:p>
        </w:tc>
      </w:tr>
      <w:tr w14:paraId="2EB5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8" w:type="dxa"/>
            <w:vMerge w:val="continue"/>
            <w:tcBorders>
              <w:left w:val="single" w:color="auto" w:sz="4" w:space="0"/>
              <w:right w:val="single" w:color="auto" w:sz="4" w:space="0"/>
            </w:tcBorders>
            <w:noWrap w:val="0"/>
            <w:vAlign w:val="center"/>
          </w:tcPr>
          <w:p w14:paraId="65756DBE">
            <w:pPr>
              <w:spacing w:line="240" w:lineRule="auto"/>
              <w:jc w:val="center"/>
              <w:rPr>
                <w:rFonts w:hint="eastAsia" w:ascii="宋体" w:hAnsi="宋体" w:eastAsia="宋体" w:cs="宋体"/>
                <w:b w:val="0"/>
                <w:bCs w:val="0"/>
                <w:color w:val="auto"/>
                <w:sz w:val="21"/>
                <w:szCs w:val="21"/>
                <w:highlight w:val="none"/>
                <w:shd w:val="clear" w:color="auto" w:fill="FFFFFF"/>
              </w:rPr>
            </w:pPr>
          </w:p>
        </w:tc>
        <w:tc>
          <w:tcPr>
            <w:tcW w:w="735" w:type="dxa"/>
            <w:vMerge w:val="continue"/>
            <w:tcBorders>
              <w:left w:val="single" w:color="auto" w:sz="4" w:space="0"/>
              <w:right w:val="single" w:color="auto" w:sz="4" w:space="0"/>
            </w:tcBorders>
            <w:noWrap w:val="0"/>
            <w:vAlign w:val="center"/>
          </w:tcPr>
          <w:p w14:paraId="0AEF5DBA">
            <w:pPr>
              <w:spacing w:line="240" w:lineRule="auto"/>
              <w:jc w:val="center"/>
              <w:rPr>
                <w:rFonts w:hint="eastAsia" w:ascii="宋体" w:hAnsi="宋体" w:eastAsia="宋体" w:cs="宋体"/>
                <w:b w:val="0"/>
                <w:bCs w:val="0"/>
                <w:color w:val="auto"/>
                <w:sz w:val="21"/>
                <w:szCs w:val="21"/>
                <w:highlight w:val="none"/>
                <w:shd w:val="clear" w:color="auto" w:fill="FFFFFF"/>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70A16FBE">
            <w:pPr>
              <w:spacing w:line="240" w:lineRule="auto"/>
              <w:jc w:val="center"/>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19F44BB8">
            <w:pPr>
              <w:spacing w:line="240" w:lineRule="auto"/>
              <w:jc w:val="left"/>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zh-CN"/>
              </w:rPr>
              <w:t>对本项目成本控制措施</w:t>
            </w:r>
            <w:r>
              <w:rPr>
                <w:rFonts w:hint="eastAsia" w:ascii="宋体" w:hAnsi="宋体" w:eastAsia="宋体" w:cs="宋体"/>
                <w:b w:val="0"/>
                <w:bCs w:val="0"/>
                <w:color w:val="auto"/>
                <w:kern w:val="0"/>
                <w:sz w:val="21"/>
                <w:szCs w:val="21"/>
                <w:highlight w:val="none"/>
                <w:lang w:eastAsia="zh-CN"/>
              </w:rPr>
              <w:t>进行</w:t>
            </w:r>
            <w:r>
              <w:rPr>
                <w:rFonts w:hint="eastAsia" w:ascii="宋体" w:hAnsi="宋体" w:eastAsia="宋体" w:cs="宋体"/>
                <w:b w:val="0"/>
                <w:bCs w:val="0"/>
                <w:color w:val="auto"/>
                <w:sz w:val="21"/>
                <w:szCs w:val="21"/>
                <w:highlight w:val="none"/>
                <w:shd w:val="clear" w:color="auto" w:fill="FFFFFF"/>
                <w:lang w:val="zh-CN"/>
              </w:rPr>
              <w:t>评审：</w:t>
            </w:r>
            <w:r>
              <w:rPr>
                <w:rFonts w:hint="eastAsia" w:ascii="宋体" w:hAnsi="宋体" w:eastAsia="宋体" w:cs="宋体"/>
                <w:b w:val="0"/>
                <w:bCs w:val="0"/>
                <w:color w:val="auto"/>
                <w:sz w:val="21"/>
                <w:szCs w:val="21"/>
                <w:highlight w:val="none"/>
                <w:shd w:val="clear" w:color="auto" w:fill="FFFFFF"/>
                <w:lang w:val="en-US" w:eastAsia="zh-CN"/>
              </w:rPr>
              <w:t xml:space="preserve"> </w:t>
            </w:r>
          </w:p>
          <w:p w14:paraId="3B9473A4">
            <w:pPr>
              <w:spacing w:line="240" w:lineRule="auto"/>
              <w:jc w:val="left"/>
              <w:rPr>
                <w:rFonts w:hint="eastAsia" w:ascii="宋体" w:hAnsi="宋体" w:eastAsia="宋体" w:cs="宋体"/>
                <w:b w:val="0"/>
                <w:bCs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lang w:val="zh-CN"/>
              </w:rPr>
              <w:t>（成本控制措施包括不限于：成本控制目标、变更管理措施、成本控制风险防范措施等）</w:t>
            </w:r>
          </w:p>
          <w:p w14:paraId="2C9463BA">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优得</w:t>
            </w:r>
            <w:r>
              <w:rPr>
                <w:rFonts w:hint="eastAsia" w:ascii="宋体" w:hAnsi="宋体" w:eastAsia="宋体" w:cs="宋体"/>
                <w:b/>
                <w:bCs/>
                <w:color w:val="auto"/>
                <w:sz w:val="21"/>
                <w:szCs w:val="21"/>
                <w:highlight w:val="none"/>
                <w:u w:val="single"/>
                <w:shd w:val="clear" w:color="auto" w:fill="FFFFFF"/>
                <w:lang w:val="en-US" w:eastAsia="zh-CN"/>
              </w:rPr>
              <w:t>[19，25</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5FBCE9E7">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良得</w:t>
            </w:r>
            <w:r>
              <w:rPr>
                <w:rFonts w:hint="eastAsia" w:ascii="宋体" w:hAnsi="宋体" w:eastAsia="宋体" w:cs="宋体"/>
                <w:b/>
                <w:bCs/>
                <w:color w:val="auto"/>
                <w:sz w:val="21"/>
                <w:szCs w:val="21"/>
                <w:highlight w:val="none"/>
                <w:u w:val="single"/>
                <w:shd w:val="clear" w:color="auto" w:fill="FFFFFF"/>
                <w:lang w:val="en-US" w:eastAsia="zh-CN"/>
              </w:rPr>
              <w:t>[12，18</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37F996FA">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中得</w:t>
            </w:r>
            <w:r>
              <w:rPr>
                <w:rFonts w:hint="eastAsia" w:ascii="宋体" w:hAnsi="宋体" w:eastAsia="宋体" w:cs="宋体"/>
                <w:b/>
                <w:bCs/>
                <w:color w:val="auto"/>
                <w:sz w:val="21"/>
                <w:szCs w:val="21"/>
                <w:highlight w:val="none"/>
                <w:u w:val="single"/>
                <w:shd w:val="clear" w:color="auto" w:fill="FFFFFF"/>
                <w:lang w:val="en-US" w:eastAsia="zh-CN"/>
              </w:rPr>
              <w:t>[5，11</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2BE64B64">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eastAsia="zh-CN"/>
              </w:rPr>
              <w:t>差得</w:t>
            </w:r>
            <w:r>
              <w:rPr>
                <w:rFonts w:hint="eastAsia" w:ascii="宋体" w:hAnsi="宋体" w:eastAsia="宋体" w:cs="宋体"/>
                <w:b/>
                <w:bCs/>
                <w:color w:val="auto"/>
                <w:sz w:val="21"/>
                <w:szCs w:val="21"/>
                <w:highlight w:val="none"/>
                <w:u w:val="single"/>
                <w:shd w:val="clear" w:color="auto" w:fill="FFFFFF"/>
                <w:lang w:val="en-US" w:eastAsia="zh-CN"/>
              </w:rPr>
              <w:t>[1，4</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5AA7F5D5">
            <w:pPr>
              <w:pStyle w:val="19"/>
              <w:spacing w:line="240" w:lineRule="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shd w:val="clear" w:color="auto" w:fill="FFFFFF"/>
              </w:rPr>
              <w:t>不满足或</w:t>
            </w:r>
            <w:r>
              <w:rPr>
                <w:rFonts w:hint="eastAsia" w:ascii="宋体" w:hAnsi="宋体" w:eastAsia="宋体" w:cs="宋体"/>
                <w:b w:val="0"/>
                <w:bCs w:val="0"/>
                <w:color w:val="auto"/>
                <w:sz w:val="21"/>
                <w:szCs w:val="21"/>
                <w:highlight w:val="none"/>
                <w:shd w:val="clear" w:color="auto" w:fill="FFFFFF"/>
                <w:lang w:val="zh-CN"/>
              </w:rPr>
              <w:t>未能按要求</w:t>
            </w:r>
            <w:r>
              <w:rPr>
                <w:rFonts w:hint="eastAsia" w:ascii="宋体" w:hAnsi="宋体" w:eastAsia="宋体" w:cs="宋体"/>
                <w:b w:val="0"/>
                <w:bCs w:val="0"/>
                <w:color w:val="auto"/>
                <w:sz w:val="21"/>
                <w:szCs w:val="21"/>
                <w:highlight w:val="none"/>
                <w:shd w:val="clear" w:color="auto" w:fill="FFFFFF"/>
              </w:rPr>
              <w:t>提供相关资料</w:t>
            </w:r>
            <w:r>
              <w:rPr>
                <w:rFonts w:hint="eastAsia" w:ascii="宋体" w:hAnsi="宋体" w:eastAsia="宋体" w:cs="宋体"/>
                <w:b w:val="0"/>
                <w:bCs w:val="0"/>
                <w:color w:val="auto"/>
                <w:sz w:val="21"/>
                <w:szCs w:val="21"/>
                <w:highlight w:val="none"/>
                <w:shd w:val="clear" w:color="auto" w:fill="FFFFFF"/>
                <w:lang w:val="zh-CN"/>
              </w:rPr>
              <w:t>得0分。</w:t>
            </w:r>
          </w:p>
        </w:tc>
      </w:tr>
      <w:tr w14:paraId="6AC9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8" w:type="dxa"/>
            <w:vMerge w:val="continue"/>
            <w:tcBorders>
              <w:left w:val="single" w:color="auto" w:sz="4" w:space="0"/>
              <w:right w:val="single" w:color="auto" w:sz="4" w:space="0"/>
            </w:tcBorders>
            <w:noWrap w:val="0"/>
            <w:vAlign w:val="center"/>
          </w:tcPr>
          <w:p w14:paraId="3F2C8577">
            <w:pPr>
              <w:spacing w:line="240" w:lineRule="auto"/>
              <w:jc w:val="center"/>
              <w:rPr>
                <w:rFonts w:hint="eastAsia" w:ascii="宋体" w:hAnsi="宋体" w:eastAsia="宋体" w:cs="宋体"/>
                <w:b w:val="0"/>
                <w:bCs w:val="0"/>
                <w:color w:val="auto"/>
                <w:sz w:val="21"/>
                <w:szCs w:val="21"/>
                <w:highlight w:val="none"/>
                <w:shd w:val="clear" w:color="auto" w:fill="FFFFFF"/>
              </w:rPr>
            </w:pPr>
          </w:p>
        </w:tc>
        <w:tc>
          <w:tcPr>
            <w:tcW w:w="735" w:type="dxa"/>
            <w:vMerge w:val="continue"/>
            <w:tcBorders>
              <w:left w:val="single" w:color="auto" w:sz="4" w:space="0"/>
              <w:right w:val="single" w:color="auto" w:sz="4" w:space="0"/>
            </w:tcBorders>
            <w:noWrap w:val="0"/>
            <w:vAlign w:val="center"/>
          </w:tcPr>
          <w:p w14:paraId="6EBD40DB">
            <w:pPr>
              <w:spacing w:line="240" w:lineRule="auto"/>
              <w:jc w:val="center"/>
              <w:rPr>
                <w:rFonts w:hint="eastAsia" w:ascii="宋体" w:hAnsi="宋体" w:eastAsia="宋体" w:cs="宋体"/>
                <w:b w:val="0"/>
                <w:bCs w:val="0"/>
                <w:color w:val="auto"/>
                <w:sz w:val="21"/>
                <w:szCs w:val="21"/>
                <w:highlight w:val="none"/>
                <w:shd w:val="clear" w:color="auto" w:fill="FFFFFF"/>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4717E777">
            <w:pPr>
              <w:spacing w:line="240" w:lineRule="auto"/>
              <w:jc w:val="center"/>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shd w:val="clear" w:color="auto" w:fill="FFFFFF"/>
                <w:lang w:val="en-US" w:eastAsia="zh-CN"/>
              </w:rPr>
              <w:t>25</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01009138">
            <w:pPr>
              <w:spacing w:line="24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对本项目资金管理</w:t>
            </w:r>
            <w:r>
              <w:rPr>
                <w:rFonts w:hint="eastAsia" w:ascii="宋体" w:hAnsi="宋体" w:eastAsia="宋体" w:cs="宋体"/>
                <w:b w:val="0"/>
                <w:bCs w:val="0"/>
                <w:color w:val="auto"/>
                <w:sz w:val="21"/>
                <w:szCs w:val="21"/>
                <w:highlight w:val="none"/>
              </w:rPr>
              <w:t>措施</w:t>
            </w:r>
            <w:r>
              <w:rPr>
                <w:rFonts w:hint="eastAsia" w:ascii="宋体" w:hAnsi="宋体" w:eastAsia="宋体" w:cs="宋体"/>
                <w:b w:val="0"/>
                <w:bCs w:val="0"/>
                <w:color w:val="auto"/>
                <w:sz w:val="21"/>
                <w:szCs w:val="21"/>
                <w:highlight w:val="none"/>
                <w:lang w:eastAsia="zh-CN"/>
              </w:rPr>
              <w:t>进行评审：</w:t>
            </w:r>
          </w:p>
          <w:p w14:paraId="07751A25">
            <w:pPr>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（资金管理</w:t>
            </w:r>
            <w:r>
              <w:rPr>
                <w:rFonts w:hint="eastAsia" w:ascii="宋体" w:hAnsi="宋体" w:eastAsia="宋体" w:cs="宋体"/>
                <w:b w:val="0"/>
                <w:bCs w:val="0"/>
                <w:color w:val="auto"/>
                <w:sz w:val="21"/>
                <w:szCs w:val="21"/>
                <w:highlight w:val="none"/>
              </w:rPr>
              <w:t>措施</w:t>
            </w:r>
            <w:r>
              <w:rPr>
                <w:rFonts w:hint="eastAsia" w:ascii="宋体" w:hAnsi="宋体" w:eastAsia="宋体" w:cs="宋体"/>
                <w:b w:val="0"/>
                <w:bCs w:val="0"/>
                <w:color w:val="auto"/>
                <w:sz w:val="21"/>
                <w:szCs w:val="21"/>
                <w:highlight w:val="none"/>
                <w:lang w:eastAsia="zh-CN"/>
              </w:rPr>
              <w:t>包括不限于：工程款专款专用、</w:t>
            </w:r>
            <w:r>
              <w:rPr>
                <w:rFonts w:hint="eastAsia" w:ascii="宋体" w:hAnsi="宋体" w:eastAsia="宋体" w:cs="宋体"/>
                <w:b w:val="0"/>
                <w:bCs w:val="0"/>
                <w:color w:val="auto"/>
                <w:sz w:val="21"/>
                <w:szCs w:val="21"/>
                <w:highlight w:val="none"/>
              </w:rPr>
              <w:t>项目资金投入规划</w:t>
            </w:r>
            <w:r>
              <w:rPr>
                <w:rFonts w:hint="eastAsia" w:ascii="宋体" w:hAnsi="宋体" w:eastAsia="宋体" w:cs="宋体"/>
                <w:b w:val="0"/>
                <w:bCs w:val="0"/>
                <w:color w:val="auto"/>
                <w:sz w:val="21"/>
                <w:szCs w:val="21"/>
                <w:highlight w:val="none"/>
                <w:lang w:eastAsia="zh-CN"/>
              </w:rPr>
              <w:t>、农民工工资保障、</w:t>
            </w:r>
            <w:r>
              <w:rPr>
                <w:rFonts w:hint="eastAsia" w:ascii="宋体" w:hAnsi="宋体" w:eastAsia="宋体" w:cs="宋体"/>
                <w:b w:val="0"/>
                <w:bCs w:val="0"/>
                <w:color w:val="auto"/>
                <w:sz w:val="21"/>
                <w:szCs w:val="21"/>
                <w:highlight w:val="none"/>
              </w:rPr>
              <w:t>应急周转资金制度、工程款支付担保</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措施</w:t>
            </w:r>
            <w:r>
              <w:rPr>
                <w:rFonts w:hint="eastAsia" w:ascii="宋体" w:hAnsi="宋体" w:eastAsia="宋体" w:cs="宋体"/>
                <w:b w:val="0"/>
                <w:bCs w:val="0"/>
                <w:color w:val="auto"/>
                <w:sz w:val="21"/>
                <w:szCs w:val="21"/>
                <w:highlight w:val="none"/>
                <w:lang w:eastAsia="zh-CN"/>
              </w:rPr>
              <w:t>等）</w:t>
            </w:r>
          </w:p>
          <w:p w14:paraId="47659B2B">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优得</w:t>
            </w:r>
            <w:r>
              <w:rPr>
                <w:rFonts w:hint="eastAsia" w:ascii="宋体" w:hAnsi="宋体" w:eastAsia="宋体" w:cs="宋体"/>
                <w:b/>
                <w:bCs/>
                <w:color w:val="auto"/>
                <w:sz w:val="21"/>
                <w:szCs w:val="21"/>
                <w:highlight w:val="none"/>
                <w:u w:val="single"/>
                <w:shd w:val="clear" w:color="auto" w:fill="FFFFFF"/>
                <w:lang w:val="en-US" w:eastAsia="zh-CN"/>
              </w:rPr>
              <w:t>[19，25</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6F33D47E">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良得</w:t>
            </w:r>
            <w:r>
              <w:rPr>
                <w:rFonts w:hint="eastAsia" w:ascii="宋体" w:hAnsi="宋体" w:eastAsia="宋体" w:cs="宋体"/>
                <w:b/>
                <w:bCs/>
                <w:color w:val="auto"/>
                <w:sz w:val="21"/>
                <w:szCs w:val="21"/>
                <w:highlight w:val="none"/>
                <w:u w:val="single"/>
                <w:shd w:val="clear" w:color="auto" w:fill="FFFFFF"/>
                <w:lang w:val="en-US" w:eastAsia="zh-CN"/>
              </w:rPr>
              <w:t>[12，18</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734D80B9">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val="zh-CN"/>
              </w:rPr>
              <w:t>中得</w:t>
            </w:r>
            <w:r>
              <w:rPr>
                <w:rFonts w:hint="eastAsia" w:ascii="宋体" w:hAnsi="宋体" w:eastAsia="宋体" w:cs="宋体"/>
                <w:b/>
                <w:bCs/>
                <w:color w:val="auto"/>
                <w:sz w:val="21"/>
                <w:szCs w:val="21"/>
                <w:highlight w:val="none"/>
                <w:u w:val="single"/>
                <w:shd w:val="clear" w:color="auto" w:fill="FFFFFF"/>
                <w:lang w:val="en-US" w:eastAsia="zh-CN"/>
              </w:rPr>
              <w:t>[5，11</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70417E81">
            <w:pPr>
              <w:spacing w:line="240" w:lineRule="auto"/>
              <w:jc w:val="left"/>
              <w:rPr>
                <w:rFonts w:hint="eastAsia" w:ascii="宋体" w:hAnsi="宋体" w:eastAsia="宋体" w:cs="宋体"/>
                <w:b/>
                <w:bCs/>
                <w:color w:val="auto"/>
                <w:sz w:val="21"/>
                <w:szCs w:val="21"/>
                <w:highlight w:val="none"/>
                <w:u w:val="single"/>
                <w:shd w:val="clear" w:color="auto" w:fill="FFFFFF"/>
                <w:lang w:val="zh-CN"/>
              </w:rPr>
            </w:pPr>
            <w:r>
              <w:rPr>
                <w:rFonts w:hint="eastAsia" w:ascii="宋体" w:hAnsi="宋体" w:eastAsia="宋体" w:cs="宋体"/>
                <w:b/>
                <w:bCs/>
                <w:color w:val="auto"/>
                <w:sz w:val="21"/>
                <w:szCs w:val="21"/>
                <w:highlight w:val="none"/>
                <w:u w:val="single"/>
                <w:shd w:val="clear" w:color="auto" w:fill="FFFFFF"/>
                <w:lang w:eastAsia="zh-CN"/>
              </w:rPr>
              <w:t>差得</w:t>
            </w:r>
            <w:r>
              <w:rPr>
                <w:rFonts w:hint="eastAsia" w:ascii="宋体" w:hAnsi="宋体" w:eastAsia="宋体" w:cs="宋体"/>
                <w:b/>
                <w:bCs/>
                <w:color w:val="auto"/>
                <w:sz w:val="21"/>
                <w:szCs w:val="21"/>
                <w:highlight w:val="none"/>
                <w:u w:val="single"/>
                <w:shd w:val="clear" w:color="auto" w:fill="FFFFFF"/>
                <w:lang w:val="en-US" w:eastAsia="zh-CN"/>
              </w:rPr>
              <w:t>[1，4</w:t>
            </w:r>
            <w:r>
              <w:rPr>
                <w:rFonts w:hint="eastAsia" w:ascii="宋体" w:hAnsi="宋体" w:cs="宋体"/>
                <w:b/>
                <w:bCs/>
                <w:color w:val="auto"/>
                <w:sz w:val="21"/>
                <w:szCs w:val="21"/>
                <w:highlight w:val="none"/>
                <w:u w:val="single"/>
              </w:rPr>
              <w:t>]</w:t>
            </w:r>
            <w:r>
              <w:rPr>
                <w:rFonts w:hint="eastAsia" w:ascii="宋体" w:hAnsi="宋体" w:eastAsia="宋体" w:cs="宋体"/>
                <w:b/>
                <w:bCs/>
                <w:color w:val="auto"/>
                <w:sz w:val="21"/>
                <w:szCs w:val="21"/>
                <w:highlight w:val="none"/>
                <w:u w:val="single"/>
                <w:shd w:val="clear" w:color="auto" w:fill="FFFFFF"/>
                <w:lang w:val="zh-CN"/>
              </w:rPr>
              <w:t>分。</w:t>
            </w:r>
          </w:p>
          <w:p w14:paraId="362819C0">
            <w:pPr>
              <w:spacing w:line="240" w:lineRule="auto"/>
              <w:jc w:val="left"/>
              <w:rPr>
                <w:rFonts w:hint="eastAsia" w:ascii="宋体" w:hAnsi="宋体" w:eastAsia="宋体" w:cs="宋体"/>
                <w:b w:val="0"/>
                <w:bCs w:val="0"/>
                <w:color w:val="auto"/>
                <w:kern w:val="2"/>
                <w:sz w:val="21"/>
                <w:szCs w:val="21"/>
                <w:highlight w:val="none"/>
                <w:shd w:val="clear" w:color="auto" w:fill="FFFFFF"/>
                <w:lang w:val="zh-CN" w:eastAsia="zh-CN" w:bidi="ar-SA"/>
              </w:rPr>
            </w:pPr>
            <w:r>
              <w:rPr>
                <w:rFonts w:hint="eastAsia" w:ascii="宋体" w:hAnsi="宋体" w:eastAsia="宋体" w:cs="宋体"/>
                <w:b w:val="0"/>
                <w:bCs w:val="0"/>
                <w:color w:val="auto"/>
                <w:sz w:val="21"/>
                <w:szCs w:val="21"/>
                <w:highlight w:val="none"/>
                <w:shd w:val="clear" w:color="auto" w:fill="FFFFFF"/>
              </w:rPr>
              <w:t>不满足或</w:t>
            </w:r>
            <w:r>
              <w:rPr>
                <w:rFonts w:hint="eastAsia" w:ascii="宋体" w:hAnsi="宋体" w:eastAsia="宋体" w:cs="宋体"/>
                <w:b w:val="0"/>
                <w:bCs w:val="0"/>
                <w:color w:val="auto"/>
                <w:sz w:val="21"/>
                <w:szCs w:val="21"/>
                <w:highlight w:val="none"/>
                <w:shd w:val="clear" w:color="auto" w:fill="FFFFFF"/>
                <w:lang w:val="zh-CN"/>
              </w:rPr>
              <w:t>未能按要求</w:t>
            </w:r>
            <w:r>
              <w:rPr>
                <w:rFonts w:hint="eastAsia" w:ascii="宋体" w:hAnsi="宋体" w:eastAsia="宋体" w:cs="宋体"/>
                <w:b w:val="0"/>
                <w:bCs w:val="0"/>
                <w:color w:val="auto"/>
                <w:sz w:val="21"/>
                <w:szCs w:val="21"/>
                <w:highlight w:val="none"/>
                <w:shd w:val="clear" w:color="auto" w:fill="FFFFFF"/>
              </w:rPr>
              <w:t>提供相关资料</w:t>
            </w:r>
            <w:r>
              <w:rPr>
                <w:rFonts w:hint="eastAsia" w:ascii="宋体" w:hAnsi="宋体" w:eastAsia="宋体" w:cs="宋体"/>
                <w:b w:val="0"/>
                <w:bCs w:val="0"/>
                <w:color w:val="auto"/>
                <w:sz w:val="21"/>
                <w:szCs w:val="21"/>
                <w:highlight w:val="none"/>
                <w:shd w:val="clear" w:color="auto" w:fill="FFFFFF"/>
                <w:lang w:val="zh-CN"/>
              </w:rPr>
              <w:t>得0分。</w:t>
            </w:r>
          </w:p>
        </w:tc>
      </w:tr>
      <w:tr w14:paraId="11BF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A93C512">
            <w:pPr>
              <w:spacing w:line="240" w:lineRule="auto"/>
              <w:jc w:val="center"/>
              <w:rPr>
                <w:rFonts w:hint="eastAsia" w:ascii="宋体" w:hAnsi="宋体" w:eastAsia="宋体" w:cs="宋体"/>
                <w:b w:val="0"/>
                <w:bCs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A2944BA">
            <w:pPr>
              <w:spacing w:line="240" w:lineRule="auto"/>
              <w:jc w:val="center"/>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价格因素</w:t>
            </w:r>
          </w:p>
          <w:p w14:paraId="3DB72408">
            <w:pPr>
              <w:spacing w:line="240" w:lineRule="auto"/>
              <w:jc w:val="center"/>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shd w:val="clear" w:color="auto" w:fill="FFFFFF"/>
                <w:lang w:val="en-US" w:eastAsia="zh-CN"/>
              </w:rPr>
              <w:t>100</w:t>
            </w:r>
            <w:r>
              <w:rPr>
                <w:rFonts w:hint="eastAsia" w:ascii="宋体" w:hAnsi="宋体" w:eastAsia="宋体" w:cs="宋体"/>
                <w:b w:val="0"/>
                <w:bCs w:val="0"/>
                <w:color w:val="auto"/>
                <w:sz w:val="21"/>
                <w:szCs w:val="21"/>
                <w:highlight w:val="none"/>
                <w:shd w:val="clear" w:color="auto" w:fill="FFFFFF"/>
                <w:lang w:eastAsia="zh-CN"/>
              </w:rPr>
              <w: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56828985">
            <w:pPr>
              <w:spacing w:line="240" w:lineRule="auto"/>
              <w:jc w:val="center"/>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100</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7CC6CFA1">
            <w:pPr>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定标委员会对</w:t>
            </w:r>
            <w:r>
              <w:rPr>
                <w:rFonts w:hint="eastAsia" w:ascii="宋体" w:hAnsi="宋体" w:cs="宋体"/>
                <w:b w:val="0"/>
                <w:bCs w:val="0"/>
                <w:color w:val="auto"/>
                <w:sz w:val="21"/>
                <w:szCs w:val="21"/>
                <w:highlight w:val="none"/>
                <w:lang w:eastAsia="zh-CN"/>
              </w:rPr>
              <w:t>合格中标候选人</w:t>
            </w:r>
            <w:r>
              <w:rPr>
                <w:rFonts w:hint="eastAsia" w:ascii="宋体" w:hAnsi="宋体" w:eastAsia="宋体" w:cs="宋体"/>
                <w:b w:val="0"/>
                <w:bCs w:val="0"/>
                <w:color w:val="auto"/>
                <w:sz w:val="21"/>
                <w:szCs w:val="21"/>
                <w:highlight w:val="none"/>
              </w:rPr>
              <w:t>投标报价进行打分，</w:t>
            </w:r>
            <w:r>
              <w:rPr>
                <w:rFonts w:hint="eastAsia" w:ascii="宋体" w:hAnsi="宋体" w:eastAsia="宋体" w:cs="宋体"/>
                <w:color w:val="auto"/>
                <w:szCs w:val="21"/>
                <w:highlight w:val="none"/>
              </w:rPr>
              <w:t>以合格中标候选人中投标报价高于成本警示价的最低投标报价为定标基准价（如合格中标候选人的投标报价均等于成本警示价的，则以成本警示价为定标基准价）</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Cs w:val="21"/>
                <w:highlight w:val="none"/>
              </w:rPr>
              <w:t>投标报价等于定标基准价时得100分。</w:t>
            </w:r>
            <w:r>
              <w:rPr>
                <w:rFonts w:hint="eastAsia" w:ascii="宋体" w:hAnsi="宋体" w:eastAsia="宋体" w:cs="宋体"/>
                <w:b w:val="0"/>
                <w:bCs w:val="0"/>
                <w:color w:val="auto"/>
                <w:sz w:val="21"/>
                <w:szCs w:val="21"/>
                <w:highlight w:val="none"/>
              </w:rPr>
              <w:t>投标报价比定标基准价每高1%扣1.5分；每低1%扣1.0分，扣至0分为止。得出价格因素得分，分数出现小数点时，保留小数点后二位，第三位小数四舍五入。</w:t>
            </w:r>
          </w:p>
        </w:tc>
      </w:tr>
      <w:tr w14:paraId="3D0C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48" w:type="dxa"/>
            <w:tcBorders>
              <w:left w:val="single" w:color="auto" w:sz="4" w:space="0"/>
              <w:right w:val="single" w:color="auto" w:sz="4" w:space="0"/>
            </w:tcBorders>
            <w:noWrap w:val="0"/>
            <w:vAlign w:val="center"/>
          </w:tcPr>
          <w:p w14:paraId="4D15A25C">
            <w:pPr>
              <w:spacing w:line="240" w:lineRule="auto"/>
              <w:jc w:val="center"/>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合计</w:t>
            </w:r>
          </w:p>
        </w:tc>
        <w:tc>
          <w:tcPr>
            <w:tcW w:w="735" w:type="dxa"/>
            <w:tcBorders>
              <w:left w:val="single" w:color="auto" w:sz="4" w:space="0"/>
              <w:right w:val="single" w:color="auto" w:sz="4" w:space="0"/>
            </w:tcBorders>
            <w:noWrap w:val="0"/>
            <w:vAlign w:val="center"/>
          </w:tcPr>
          <w:p w14:paraId="2B1431A0">
            <w:pPr>
              <w:spacing w:line="240" w:lineRule="auto"/>
              <w:jc w:val="center"/>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定标因素得分</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117877D5">
            <w:pPr>
              <w:spacing w:line="240" w:lineRule="auto"/>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100</w:t>
            </w:r>
          </w:p>
        </w:tc>
        <w:tc>
          <w:tcPr>
            <w:tcW w:w="7185" w:type="dxa"/>
            <w:tcBorders>
              <w:top w:val="single" w:color="auto" w:sz="4" w:space="0"/>
              <w:left w:val="single" w:color="auto" w:sz="4" w:space="0"/>
              <w:right w:val="single" w:color="auto" w:sz="4" w:space="0"/>
            </w:tcBorders>
            <w:noWrap w:val="0"/>
            <w:vAlign w:val="center"/>
          </w:tcPr>
          <w:p w14:paraId="7FF14E2D">
            <w:pPr>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总得分（100分）=</w:t>
            </w:r>
            <w:r>
              <w:rPr>
                <w:rFonts w:hint="eastAsia" w:ascii="宋体" w:hAnsi="宋体" w:eastAsia="宋体" w:cs="宋体"/>
                <w:b w:val="0"/>
                <w:bCs w:val="0"/>
                <w:color w:val="auto"/>
                <w:sz w:val="21"/>
                <w:szCs w:val="21"/>
                <w:highlight w:val="none"/>
                <w:shd w:val="clear" w:color="auto" w:fill="FFFFFF"/>
              </w:rPr>
              <w:t>定标</w:t>
            </w:r>
            <w:r>
              <w:rPr>
                <w:rFonts w:hint="eastAsia" w:ascii="宋体" w:hAnsi="宋体" w:eastAsia="宋体" w:cs="宋体"/>
                <w:b w:val="0"/>
                <w:bCs w:val="0"/>
                <w:color w:val="auto"/>
                <w:sz w:val="21"/>
                <w:szCs w:val="21"/>
                <w:highlight w:val="none"/>
                <w:shd w:val="clear" w:color="auto" w:fill="FFFFFF"/>
                <w:lang w:val="zh-CN"/>
              </w:rPr>
              <w:t>方案</w:t>
            </w:r>
            <w:r>
              <w:rPr>
                <w:rFonts w:hint="eastAsia" w:ascii="宋体" w:hAnsi="宋体" w:eastAsia="宋体" w:cs="宋体"/>
                <w:b w:val="0"/>
                <w:bCs w:val="0"/>
                <w:color w:val="auto"/>
                <w:sz w:val="21"/>
                <w:szCs w:val="21"/>
                <w:highlight w:val="none"/>
              </w:rPr>
              <w:t>得分（100分）*</w:t>
            </w:r>
            <w:r>
              <w:rPr>
                <w:rFonts w:hint="eastAsia" w:ascii="宋体" w:hAnsi="宋体" w:eastAsia="宋体" w:cs="宋体"/>
                <w:b w:val="0"/>
                <w:bCs w:val="0"/>
                <w:color w:val="auto"/>
                <w:sz w:val="21"/>
                <w:szCs w:val="21"/>
                <w:highlight w:val="none"/>
                <w:shd w:val="clear" w:color="auto" w:fill="FFFFFF"/>
              </w:rPr>
              <w:t>定标</w:t>
            </w:r>
            <w:r>
              <w:rPr>
                <w:rFonts w:hint="eastAsia" w:ascii="宋体" w:hAnsi="宋体" w:eastAsia="宋体" w:cs="宋体"/>
                <w:b w:val="0"/>
                <w:bCs w:val="0"/>
                <w:color w:val="auto"/>
                <w:sz w:val="21"/>
                <w:szCs w:val="21"/>
                <w:highlight w:val="none"/>
                <w:shd w:val="clear" w:color="auto" w:fill="FFFFFF"/>
                <w:lang w:val="zh-CN"/>
              </w:rPr>
              <w:t>方案</w:t>
            </w:r>
            <w:r>
              <w:rPr>
                <w:rFonts w:hint="eastAsia" w:ascii="宋体" w:hAnsi="宋体" w:eastAsia="宋体" w:cs="宋体"/>
                <w:b w:val="0"/>
                <w:bCs w:val="0"/>
                <w:color w:val="auto"/>
                <w:sz w:val="21"/>
                <w:szCs w:val="21"/>
                <w:highlight w:val="none"/>
              </w:rPr>
              <w:t>权重（70%）+价格因素得分（100分）*价格因素权重（30%）。</w:t>
            </w:r>
          </w:p>
        </w:tc>
      </w:tr>
    </w:tbl>
    <w:p w14:paraId="5B97045C">
      <w:pPr>
        <w:rPr>
          <w:rFonts w:hint="eastAsia"/>
          <w:color w:val="auto"/>
          <w:highlight w:val="none"/>
        </w:rPr>
      </w:pPr>
    </w:p>
    <w:p w14:paraId="563BF77B">
      <w:pPr>
        <w:snapToGrid w:val="0"/>
        <w:spacing w:line="360" w:lineRule="auto"/>
        <w:jc w:val="left"/>
        <w:outlineLvl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p w14:paraId="040C5D04">
      <w:pPr>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1、分值范围的解释:定标委员会对方案因素评审时，定标因素表中“【*，*】”等分值，以整数进行评分（如1.0、2.0、3.0等，以此类推）。“【”、“】”表示含本数。</w:t>
      </w:r>
    </w:p>
    <w:p w14:paraId="69591FD1">
      <w:pPr>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2、合格中标候选人方案因素得分为所有定标委员会成员对同一投标人评分相加去掉一个最高分和一个最低分后的算术平均值</w:t>
      </w:r>
      <w:r>
        <w:rPr>
          <w:rFonts w:hint="eastAsia" w:ascii="宋体" w:hAnsi="宋体" w:cs="宋体"/>
          <w:color w:val="auto"/>
          <w:sz w:val="21"/>
          <w:szCs w:val="21"/>
          <w:highlight w:val="none"/>
        </w:rPr>
        <w:t>（分数出现小数点时，保留小数点后二位，第三位小数四舍五入）</w:t>
      </w:r>
      <w:r>
        <w:rPr>
          <w:rFonts w:hint="eastAsia" w:ascii="宋体" w:hAnsi="宋体" w:eastAsia="宋体" w:cs="宋体"/>
          <w:color w:val="auto"/>
          <w:szCs w:val="21"/>
          <w:highlight w:val="none"/>
        </w:rPr>
        <w:t>。</w:t>
      </w:r>
    </w:p>
    <w:p w14:paraId="584F910E">
      <w:pPr>
        <w:snapToGrid w:val="0"/>
        <w:spacing w:line="360" w:lineRule="auto"/>
        <w:jc w:val="left"/>
        <w:outlineLvl w:val="2"/>
        <w:rPr>
          <w:rFonts w:hint="eastAsia" w:ascii="宋体" w:hAnsi="宋体" w:cs="宋体"/>
          <w:color w:val="auto"/>
          <w:sz w:val="24"/>
          <w:szCs w:val="24"/>
          <w:highlight w:val="none"/>
        </w:rPr>
      </w:pPr>
    </w:p>
    <w:p w14:paraId="0E954842">
      <w:pPr>
        <w:snapToGrid w:val="0"/>
        <w:spacing w:line="360" w:lineRule="auto"/>
        <w:jc w:val="left"/>
        <w:outlineLvl w:val="2"/>
        <w:rPr>
          <w:rFonts w:hint="default" w:ascii="宋体" w:hAnsi="宋体" w:eastAsia="宋体" w:cs="宋体"/>
          <w:color w:val="auto"/>
          <w:sz w:val="24"/>
          <w:szCs w:val="24"/>
          <w:highlight w:val="none"/>
          <w:lang w:val="en-US" w:eastAsia="zh-CN"/>
        </w:rPr>
      </w:pPr>
    </w:p>
    <w:p w14:paraId="642C7243">
      <w:pPr>
        <w:snapToGrid w:val="0"/>
        <w:spacing w:line="360" w:lineRule="auto"/>
        <w:jc w:val="left"/>
        <w:outlineLvl w:val="2"/>
        <w:rPr>
          <w:rFonts w:hint="eastAsia" w:ascii="宋体" w:hAnsi="宋体" w:cs="宋体"/>
          <w:color w:val="auto"/>
          <w:sz w:val="24"/>
          <w:szCs w:val="24"/>
          <w:highlight w:val="none"/>
        </w:rPr>
      </w:pPr>
    </w:p>
    <w:p w14:paraId="420902D1">
      <w:pPr>
        <w:snapToGrid w:val="0"/>
        <w:spacing w:line="360" w:lineRule="auto"/>
        <w:jc w:val="left"/>
        <w:outlineLvl w:val="2"/>
        <w:rPr>
          <w:rFonts w:hint="eastAsia" w:ascii="宋体" w:hAnsi="宋体" w:cs="宋体"/>
          <w:color w:val="auto"/>
          <w:sz w:val="24"/>
          <w:szCs w:val="24"/>
          <w:highlight w:val="none"/>
        </w:rPr>
      </w:pPr>
    </w:p>
    <w:p w14:paraId="39229A36">
      <w:pPr>
        <w:snapToGrid w:val="0"/>
        <w:spacing w:line="360" w:lineRule="auto"/>
        <w:jc w:val="left"/>
        <w:outlineLvl w:val="2"/>
        <w:rPr>
          <w:rFonts w:hint="eastAsia" w:ascii="宋体" w:hAnsi="宋体" w:cs="宋体"/>
          <w:b/>
          <w:bCs/>
          <w:color w:val="auto"/>
          <w:sz w:val="28"/>
          <w:szCs w:val="28"/>
          <w:highlight w:val="none"/>
        </w:rPr>
      </w:pPr>
    </w:p>
    <w:p w14:paraId="052DA930">
      <w:pPr>
        <w:snapToGrid w:val="0"/>
        <w:spacing w:line="360" w:lineRule="auto"/>
        <w:jc w:val="left"/>
        <w:outlineLvl w:val="2"/>
        <w:rPr>
          <w:rFonts w:hint="eastAsia" w:ascii="宋体" w:hAnsi="宋体" w:cs="宋体"/>
          <w:b/>
          <w:bCs/>
          <w:color w:val="auto"/>
          <w:sz w:val="28"/>
          <w:szCs w:val="28"/>
          <w:highlight w:val="none"/>
        </w:rPr>
      </w:pPr>
    </w:p>
    <w:p w14:paraId="17F0FD0E">
      <w:pPr>
        <w:snapToGrid w:val="0"/>
        <w:spacing w:line="360" w:lineRule="auto"/>
        <w:jc w:val="left"/>
        <w:outlineLvl w:val="2"/>
        <w:rPr>
          <w:rFonts w:hint="eastAsia" w:ascii="宋体" w:hAnsi="宋体" w:cs="宋体"/>
          <w:b/>
          <w:bCs/>
          <w:color w:val="auto"/>
          <w:sz w:val="28"/>
          <w:szCs w:val="28"/>
          <w:highlight w:val="none"/>
        </w:rPr>
      </w:pPr>
    </w:p>
    <w:p w14:paraId="0DD4773C">
      <w:pPr>
        <w:snapToGrid w:val="0"/>
        <w:spacing w:line="360" w:lineRule="auto"/>
        <w:jc w:val="left"/>
        <w:outlineLvl w:val="2"/>
        <w:rPr>
          <w:rFonts w:hint="eastAsia" w:ascii="宋体" w:hAnsi="宋体" w:cs="宋体"/>
          <w:b/>
          <w:bCs/>
          <w:color w:val="auto"/>
          <w:sz w:val="28"/>
          <w:szCs w:val="28"/>
          <w:highlight w:val="none"/>
        </w:rPr>
      </w:pPr>
    </w:p>
    <w:p w14:paraId="7CE7D8C3">
      <w:pPr>
        <w:snapToGrid w:val="0"/>
        <w:spacing w:line="360" w:lineRule="auto"/>
        <w:jc w:val="left"/>
        <w:outlineLvl w:val="2"/>
        <w:rPr>
          <w:rFonts w:hint="eastAsia" w:ascii="宋体" w:hAnsi="宋体" w:cs="宋体"/>
          <w:b/>
          <w:bCs/>
          <w:color w:val="auto"/>
          <w:sz w:val="28"/>
          <w:szCs w:val="28"/>
          <w:highlight w:val="none"/>
        </w:rPr>
      </w:pPr>
    </w:p>
    <w:p w14:paraId="20D91D16">
      <w:pPr>
        <w:snapToGrid w:val="0"/>
        <w:spacing w:line="360" w:lineRule="auto"/>
        <w:jc w:val="left"/>
        <w:outlineLvl w:val="2"/>
        <w:rPr>
          <w:rFonts w:hint="eastAsia" w:ascii="宋体" w:hAnsi="宋体" w:cs="宋体"/>
          <w:b/>
          <w:bCs/>
          <w:color w:val="auto"/>
          <w:sz w:val="28"/>
          <w:szCs w:val="28"/>
          <w:highlight w:val="none"/>
        </w:rPr>
      </w:pPr>
    </w:p>
    <w:p w14:paraId="28839C75">
      <w:pPr>
        <w:snapToGrid w:val="0"/>
        <w:spacing w:line="360" w:lineRule="auto"/>
        <w:jc w:val="left"/>
        <w:outlineLvl w:val="2"/>
        <w:rPr>
          <w:rFonts w:hint="eastAsia" w:ascii="宋体" w:hAnsi="宋体" w:cs="宋体"/>
          <w:b/>
          <w:bCs/>
          <w:color w:val="auto"/>
          <w:sz w:val="28"/>
          <w:szCs w:val="28"/>
          <w:highlight w:val="none"/>
        </w:rPr>
      </w:pPr>
    </w:p>
    <w:p w14:paraId="53E80F0E">
      <w:pPr>
        <w:snapToGrid w:val="0"/>
        <w:spacing w:line="360" w:lineRule="auto"/>
        <w:jc w:val="left"/>
        <w:outlineLvl w:val="2"/>
        <w:rPr>
          <w:rFonts w:hint="eastAsia" w:ascii="宋体" w:hAnsi="宋体" w:cs="宋体"/>
          <w:b/>
          <w:bCs/>
          <w:color w:val="auto"/>
          <w:sz w:val="28"/>
          <w:szCs w:val="28"/>
          <w:highlight w:val="none"/>
        </w:rPr>
      </w:pPr>
    </w:p>
    <w:p w14:paraId="5474875C">
      <w:pPr>
        <w:snapToGrid w:val="0"/>
        <w:spacing w:line="360" w:lineRule="auto"/>
        <w:jc w:val="left"/>
        <w:outlineLvl w:val="2"/>
        <w:rPr>
          <w:rFonts w:hint="eastAsia" w:ascii="宋体" w:hAnsi="宋体" w:cs="宋体"/>
          <w:b/>
          <w:bCs/>
          <w:color w:val="auto"/>
          <w:sz w:val="28"/>
          <w:szCs w:val="28"/>
          <w:highlight w:val="none"/>
        </w:rPr>
      </w:pPr>
    </w:p>
    <w:p w14:paraId="3C186D53">
      <w:pPr>
        <w:snapToGrid w:val="0"/>
        <w:spacing w:line="360" w:lineRule="auto"/>
        <w:jc w:val="left"/>
        <w:outlineLvl w:val="2"/>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附表</w:t>
      </w:r>
      <w:r>
        <w:rPr>
          <w:rFonts w:hint="eastAsia" w:ascii="宋体" w:hAnsi="宋体" w:cs="宋体"/>
          <w:b/>
          <w:bCs/>
          <w:color w:val="auto"/>
          <w:sz w:val="28"/>
          <w:szCs w:val="28"/>
          <w:highlight w:val="none"/>
          <w:lang w:val="en-US" w:eastAsia="zh-CN"/>
        </w:rPr>
        <w:t>八</w:t>
      </w:r>
    </w:p>
    <w:p w14:paraId="56C684AC">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定标阶段（方案因素）评审得分表</w:t>
      </w:r>
    </w:p>
    <w:p w14:paraId="6D6B3BED">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（定标委员个人用表）</w:t>
      </w:r>
    </w:p>
    <w:p w14:paraId="59F563E1">
      <w:pP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bl>
      <w:tblPr>
        <w:tblStyle w:val="37"/>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182"/>
        <w:gridCol w:w="1480"/>
        <w:gridCol w:w="1136"/>
      </w:tblGrid>
      <w:tr w14:paraId="50F8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23" w:type="dxa"/>
            <w:tcBorders>
              <w:top w:val="single" w:color="auto" w:sz="4" w:space="0"/>
              <w:left w:val="single" w:color="auto" w:sz="4" w:space="0"/>
              <w:bottom w:val="single" w:color="auto" w:sz="4" w:space="0"/>
              <w:right w:val="single" w:color="auto" w:sz="4" w:space="0"/>
            </w:tcBorders>
            <w:noWrap w:val="0"/>
            <w:vAlign w:val="center"/>
          </w:tcPr>
          <w:p w14:paraId="2490BF33">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合格中标候选人名称</w:t>
            </w:r>
          </w:p>
        </w:tc>
        <w:tc>
          <w:tcPr>
            <w:tcW w:w="5182" w:type="dxa"/>
            <w:tcBorders>
              <w:top w:val="single" w:color="auto" w:sz="4" w:space="0"/>
              <w:left w:val="single" w:color="auto" w:sz="4" w:space="0"/>
              <w:bottom w:val="single" w:color="auto" w:sz="4" w:space="0"/>
              <w:right w:val="single" w:color="auto" w:sz="4" w:space="0"/>
            </w:tcBorders>
            <w:noWrap w:val="0"/>
            <w:vAlign w:val="center"/>
          </w:tcPr>
          <w:p w14:paraId="5F36DB5A">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评语</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611E497">
            <w:pPr>
              <w:spacing w:line="36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评价内容</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4EE20A9D">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得分</w:t>
            </w:r>
          </w:p>
        </w:tc>
      </w:tr>
      <w:tr w14:paraId="0FEB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323" w:type="dxa"/>
            <w:vMerge w:val="restart"/>
            <w:tcBorders>
              <w:top w:val="single" w:color="auto" w:sz="4" w:space="0"/>
              <w:left w:val="single" w:color="auto" w:sz="4" w:space="0"/>
              <w:right w:val="single" w:color="auto" w:sz="4" w:space="0"/>
            </w:tcBorders>
            <w:noWrap w:val="0"/>
            <w:vAlign w:val="center"/>
          </w:tcPr>
          <w:p w14:paraId="2B795817">
            <w:pPr>
              <w:spacing w:line="360" w:lineRule="atLeast"/>
              <w:jc w:val="center"/>
              <w:rPr>
                <w:rFonts w:ascii="宋体" w:hAnsi="宋体" w:eastAsia="宋体" w:cs="宋体"/>
                <w:color w:val="auto"/>
                <w:sz w:val="24"/>
                <w:highlight w:val="none"/>
              </w:rPr>
            </w:pPr>
          </w:p>
        </w:tc>
        <w:tc>
          <w:tcPr>
            <w:tcW w:w="5182" w:type="dxa"/>
            <w:vMerge w:val="restart"/>
            <w:tcBorders>
              <w:top w:val="single" w:color="auto" w:sz="4" w:space="0"/>
              <w:left w:val="single" w:color="auto" w:sz="4" w:space="0"/>
              <w:right w:val="single" w:color="auto" w:sz="4" w:space="0"/>
            </w:tcBorders>
            <w:noWrap w:val="0"/>
            <w:vAlign w:val="center"/>
          </w:tcPr>
          <w:p w14:paraId="369AEAA7">
            <w:pPr>
              <w:spacing w:line="360" w:lineRule="atLeast"/>
              <w:jc w:val="center"/>
              <w:rPr>
                <w:rFonts w:ascii="宋体" w:hAnsi="宋体" w:eastAsia="宋体" w:cs="宋体"/>
                <w:color w:val="auto"/>
                <w:sz w:val="24"/>
                <w:highlight w:val="none"/>
              </w:rPr>
            </w:pPr>
          </w:p>
        </w:tc>
        <w:tc>
          <w:tcPr>
            <w:tcW w:w="1480" w:type="dxa"/>
            <w:tcBorders>
              <w:top w:val="single" w:color="auto" w:sz="4" w:space="0"/>
              <w:left w:val="single" w:color="auto" w:sz="4" w:space="0"/>
              <w:right w:val="single" w:color="auto" w:sz="4" w:space="0"/>
            </w:tcBorders>
            <w:noWrap w:val="0"/>
            <w:vAlign w:val="center"/>
          </w:tcPr>
          <w:p w14:paraId="48C2A427">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对拟投入本项目的团队配置评审得分</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2FC3389B">
            <w:pPr>
              <w:spacing w:line="360" w:lineRule="atLeast"/>
              <w:jc w:val="center"/>
              <w:rPr>
                <w:rFonts w:ascii="宋体" w:hAnsi="宋体" w:eastAsia="宋体" w:cs="宋体"/>
                <w:color w:val="auto"/>
                <w:sz w:val="24"/>
                <w:highlight w:val="none"/>
              </w:rPr>
            </w:pPr>
          </w:p>
        </w:tc>
      </w:tr>
      <w:tr w14:paraId="5CB0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323" w:type="dxa"/>
            <w:vMerge w:val="continue"/>
            <w:tcBorders>
              <w:left w:val="single" w:color="auto" w:sz="4" w:space="0"/>
              <w:right w:val="single" w:color="auto" w:sz="4" w:space="0"/>
            </w:tcBorders>
            <w:noWrap w:val="0"/>
            <w:vAlign w:val="center"/>
          </w:tcPr>
          <w:p w14:paraId="2487E095">
            <w:pPr>
              <w:spacing w:line="360" w:lineRule="atLeast"/>
              <w:jc w:val="center"/>
              <w:rPr>
                <w:rFonts w:ascii="宋体" w:hAnsi="宋体" w:eastAsia="宋体" w:cs="宋体"/>
                <w:color w:val="auto"/>
                <w:sz w:val="24"/>
                <w:highlight w:val="none"/>
              </w:rPr>
            </w:pPr>
          </w:p>
        </w:tc>
        <w:tc>
          <w:tcPr>
            <w:tcW w:w="5182" w:type="dxa"/>
            <w:vMerge w:val="continue"/>
            <w:tcBorders>
              <w:left w:val="single" w:color="auto" w:sz="4" w:space="0"/>
              <w:right w:val="single" w:color="auto" w:sz="4" w:space="0"/>
            </w:tcBorders>
            <w:noWrap w:val="0"/>
            <w:vAlign w:val="center"/>
          </w:tcPr>
          <w:p w14:paraId="36419472">
            <w:pPr>
              <w:spacing w:line="360" w:lineRule="atLeast"/>
              <w:jc w:val="center"/>
              <w:rPr>
                <w:rFonts w:ascii="宋体" w:hAnsi="宋体" w:eastAsia="宋体" w:cs="宋体"/>
                <w:color w:val="auto"/>
                <w:sz w:val="24"/>
                <w:highlight w:val="none"/>
              </w:rPr>
            </w:pPr>
          </w:p>
        </w:tc>
        <w:tc>
          <w:tcPr>
            <w:tcW w:w="1480" w:type="dxa"/>
            <w:tcBorders>
              <w:left w:val="single" w:color="auto" w:sz="4" w:space="0"/>
              <w:right w:val="single" w:color="auto" w:sz="4" w:space="0"/>
            </w:tcBorders>
            <w:noWrap w:val="0"/>
            <w:vAlign w:val="center"/>
          </w:tcPr>
          <w:p w14:paraId="37A87814">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对本项目施工管理措施评审得分</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1F09C3F3">
            <w:pPr>
              <w:spacing w:line="360" w:lineRule="atLeast"/>
              <w:jc w:val="center"/>
              <w:rPr>
                <w:rFonts w:ascii="宋体" w:hAnsi="宋体" w:eastAsia="宋体" w:cs="宋体"/>
                <w:color w:val="auto"/>
                <w:sz w:val="24"/>
                <w:highlight w:val="none"/>
              </w:rPr>
            </w:pPr>
          </w:p>
        </w:tc>
      </w:tr>
      <w:tr w14:paraId="5550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323" w:type="dxa"/>
            <w:vMerge w:val="continue"/>
            <w:tcBorders>
              <w:left w:val="single" w:color="auto" w:sz="4" w:space="0"/>
              <w:right w:val="single" w:color="auto" w:sz="4" w:space="0"/>
            </w:tcBorders>
            <w:noWrap w:val="0"/>
            <w:vAlign w:val="center"/>
          </w:tcPr>
          <w:p w14:paraId="3FB42F97">
            <w:pPr>
              <w:spacing w:line="360" w:lineRule="atLeast"/>
              <w:jc w:val="center"/>
              <w:rPr>
                <w:rFonts w:ascii="宋体" w:hAnsi="宋体" w:eastAsia="宋体" w:cs="宋体"/>
                <w:color w:val="auto"/>
                <w:sz w:val="24"/>
                <w:highlight w:val="none"/>
              </w:rPr>
            </w:pPr>
          </w:p>
        </w:tc>
        <w:tc>
          <w:tcPr>
            <w:tcW w:w="5182" w:type="dxa"/>
            <w:vMerge w:val="continue"/>
            <w:tcBorders>
              <w:left w:val="single" w:color="auto" w:sz="4" w:space="0"/>
              <w:right w:val="single" w:color="auto" w:sz="4" w:space="0"/>
            </w:tcBorders>
            <w:noWrap w:val="0"/>
            <w:vAlign w:val="center"/>
          </w:tcPr>
          <w:p w14:paraId="4DA70E45">
            <w:pPr>
              <w:spacing w:line="360" w:lineRule="atLeast"/>
              <w:jc w:val="center"/>
              <w:rPr>
                <w:rFonts w:ascii="宋体" w:hAnsi="宋体" w:eastAsia="宋体" w:cs="宋体"/>
                <w:color w:val="auto"/>
                <w:sz w:val="24"/>
                <w:highlight w:val="none"/>
              </w:rPr>
            </w:pPr>
          </w:p>
        </w:tc>
        <w:tc>
          <w:tcPr>
            <w:tcW w:w="1480" w:type="dxa"/>
            <w:tcBorders>
              <w:left w:val="single" w:color="auto" w:sz="4" w:space="0"/>
              <w:right w:val="single" w:color="auto" w:sz="4" w:space="0"/>
            </w:tcBorders>
            <w:noWrap w:val="0"/>
            <w:vAlign w:val="center"/>
          </w:tcPr>
          <w:p w14:paraId="2C215D26">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对本项目成本控制措施评审得分</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D5AD9CD">
            <w:pPr>
              <w:spacing w:line="360" w:lineRule="atLeast"/>
              <w:jc w:val="center"/>
              <w:rPr>
                <w:rFonts w:ascii="宋体" w:hAnsi="宋体" w:eastAsia="宋体" w:cs="宋体"/>
                <w:color w:val="auto"/>
                <w:sz w:val="24"/>
                <w:highlight w:val="none"/>
              </w:rPr>
            </w:pPr>
          </w:p>
        </w:tc>
      </w:tr>
      <w:tr w14:paraId="64FB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323" w:type="dxa"/>
            <w:vMerge w:val="continue"/>
            <w:tcBorders>
              <w:left w:val="single" w:color="auto" w:sz="4" w:space="0"/>
              <w:right w:val="single" w:color="auto" w:sz="4" w:space="0"/>
            </w:tcBorders>
            <w:noWrap w:val="0"/>
            <w:vAlign w:val="center"/>
          </w:tcPr>
          <w:p w14:paraId="5D1C0E0B">
            <w:pPr>
              <w:spacing w:line="360" w:lineRule="atLeast"/>
              <w:jc w:val="center"/>
              <w:rPr>
                <w:rFonts w:ascii="宋体" w:hAnsi="宋体" w:eastAsia="宋体" w:cs="宋体"/>
                <w:color w:val="auto"/>
                <w:sz w:val="24"/>
                <w:highlight w:val="none"/>
              </w:rPr>
            </w:pPr>
          </w:p>
        </w:tc>
        <w:tc>
          <w:tcPr>
            <w:tcW w:w="5182" w:type="dxa"/>
            <w:vMerge w:val="continue"/>
            <w:tcBorders>
              <w:left w:val="single" w:color="auto" w:sz="4" w:space="0"/>
              <w:right w:val="single" w:color="auto" w:sz="4" w:space="0"/>
            </w:tcBorders>
            <w:noWrap w:val="0"/>
            <w:vAlign w:val="center"/>
          </w:tcPr>
          <w:p w14:paraId="463555F4">
            <w:pPr>
              <w:spacing w:line="360" w:lineRule="atLeast"/>
              <w:jc w:val="center"/>
              <w:rPr>
                <w:rFonts w:ascii="宋体" w:hAnsi="宋体" w:eastAsia="宋体" w:cs="宋体"/>
                <w:color w:val="auto"/>
                <w:sz w:val="24"/>
                <w:highlight w:val="none"/>
              </w:rPr>
            </w:pPr>
          </w:p>
        </w:tc>
        <w:tc>
          <w:tcPr>
            <w:tcW w:w="1480" w:type="dxa"/>
            <w:tcBorders>
              <w:left w:val="single" w:color="auto" w:sz="4" w:space="0"/>
              <w:right w:val="single" w:color="auto" w:sz="4" w:space="0"/>
            </w:tcBorders>
            <w:noWrap w:val="0"/>
            <w:vAlign w:val="center"/>
          </w:tcPr>
          <w:p w14:paraId="68C0B2CB">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对本项目资金管理措施评审得分</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6E57BA53">
            <w:pPr>
              <w:spacing w:line="360" w:lineRule="atLeast"/>
              <w:jc w:val="center"/>
              <w:rPr>
                <w:rFonts w:ascii="宋体" w:hAnsi="宋体" w:eastAsia="宋体" w:cs="宋体"/>
                <w:color w:val="auto"/>
                <w:sz w:val="24"/>
                <w:highlight w:val="none"/>
              </w:rPr>
            </w:pPr>
          </w:p>
        </w:tc>
      </w:tr>
      <w:tr w14:paraId="13E0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85" w:type="dxa"/>
            <w:gridSpan w:val="3"/>
            <w:tcBorders>
              <w:left w:val="single" w:color="auto" w:sz="4" w:space="0"/>
              <w:bottom w:val="single" w:color="auto" w:sz="4" w:space="0"/>
              <w:right w:val="single" w:color="auto" w:sz="4" w:space="0"/>
            </w:tcBorders>
            <w:noWrap w:val="0"/>
            <w:vAlign w:val="center"/>
          </w:tcPr>
          <w:p w14:paraId="691D32BE">
            <w:pPr>
              <w:spacing w:line="360" w:lineRule="atLeas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方案因素个人评分</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370C3950">
            <w:pPr>
              <w:spacing w:line="360" w:lineRule="atLeast"/>
              <w:jc w:val="center"/>
              <w:rPr>
                <w:rFonts w:ascii="宋体" w:hAnsi="宋体" w:eastAsia="宋体" w:cs="宋体"/>
                <w:color w:val="auto"/>
                <w:sz w:val="24"/>
                <w:highlight w:val="none"/>
              </w:rPr>
            </w:pPr>
          </w:p>
        </w:tc>
      </w:tr>
    </w:tbl>
    <w:p w14:paraId="13B6D34F">
      <w:pPr>
        <w:spacing w:line="360" w:lineRule="atLeast"/>
        <w:ind w:right="42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FD285E9">
      <w:pPr>
        <w:spacing w:line="360" w:lineRule="atLeast"/>
        <w:ind w:right="-2"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表格用于定标阶段方案因素评审计分，对进入定标阶段的全部合格中标候选人，由定标委员会各成员分别按照上表独立撰写评语、打分；方案因素个人评分＝对拟投入本项目的团队配置评审得分+对本项目施工管理措施评审得分+对本项目成本控制措施评审得分+对本项目资金管理措施评审得分。</w:t>
      </w:r>
    </w:p>
    <w:p w14:paraId="2E69CDD6">
      <w:pPr>
        <w:spacing w:line="36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2、定标委员会各成员对所有进入定标程序的合格中标候选人按《定标因素表（定标阶段用表）》方案因素评分标准进行打分。</w:t>
      </w:r>
    </w:p>
    <w:p w14:paraId="6474C348">
      <w:pPr>
        <w:spacing w:line="360" w:lineRule="atLeast"/>
        <w:ind w:left="210"/>
        <w:jc w:val="left"/>
        <w:rPr>
          <w:rFonts w:ascii="宋体" w:hAnsi="宋体" w:eastAsia="宋体"/>
          <w:smallCaps/>
          <w:color w:val="auto"/>
          <w:sz w:val="20"/>
          <w:highlight w:val="none"/>
        </w:rPr>
      </w:pPr>
    </w:p>
    <w:p w14:paraId="6FD04CB7">
      <w:pPr>
        <w:autoSpaceDE w:val="0"/>
        <w:autoSpaceDN w:val="0"/>
        <w:adjustRightInd w:val="0"/>
        <w:spacing w:line="240" w:lineRule="exact"/>
        <w:rPr>
          <w:rFonts w:ascii="宋体" w:hAnsi="宋体" w:eastAsia="宋体" w:cs="宋体"/>
          <w:color w:val="auto"/>
          <w:sz w:val="24"/>
          <w:szCs w:val="24"/>
          <w:highlight w:val="none"/>
        </w:rPr>
      </w:pPr>
    </w:p>
    <w:p w14:paraId="4C7E98B5">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定标委员会成员签名：</w:t>
      </w:r>
    </w:p>
    <w:p w14:paraId="598E7B8E">
      <w:pPr>
        <w:autoSpaceDE w:val="0"/>
        <w:autoSpaceDN w:val="0"/>
        <w:adjustRightInd w:val="0"/>
        <w:spacing w:line="240" w:lineRule="exact"/>
        <w:rPr>
          <w:rFonts w:ascii="宋体" w:hAnsi="宋体" w:eastAsia="宋体" w:cs="宋体"/>
          <w:color w:val="auto"/>
          <w:sz w:val="24"/>
          <w:szCs w:val="24"/>
          <w:highlight w:val="none"/>
        </w:rPr>
      </w:pPr>
    </w:p>
    <w:p w14:paraId="26CF7C59">
      <w:pPr>
        <w:snapToGrid w:val="0"/>
        <w:spacing w:line="360" w:lineRule="auto"/>
        <w:ind w:firstLine="5460" w:firstLineChars="2600"/>
        <w:jc w:val="left"/>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8917C28">
      <w:pPr>
        <w:snapToGrid/>
        <w:spacing w:line="240" w:lineRule="auto"/>
        <w:jc w:val="left"/>
        <w:outlineLvl w:val="9"/>
        <w:rPr>
          <w:rFonts w:hint="default" w:ascii="宋体" w:hAnsi="宋体" w:eastAsia="宋体" w:cs="宋体"/>
          <w:b/>
          <w:bCs/>
          <w:color w:val="auto"/>
          <w:sz w:val="28"/>
          <w:szCs w:val="28"/>
          <w:highlight w:val="none"/>
          <w:lang w:val="en-US" w:eastAsia="zh-CN"/>
        </w:rPr>
      </w:pPr>
      <w:r>
        <w:rPr>
          <w:rFonts w:hint="eastAsia" w:ascii="宋体" w:hAnsi="宋体" w:cs="宋体"/>
          <w:color w:val="auto"/>
          <w:sz w:val="24"/>
          <w:szCs w:val="24"/>
          <w:highlight w:val="none"/>
        </w:rPr>
        <w:br w:type="page"/>
      </w:r>
      <w:r>
        <w:rPr>
          <w:rFonts w:hint="eastAsia" w:ascii="宋体" w:hAnsi="宋体" w:cs="宋体"/>
          <w:b/>
          <w:bCs/>
          <w:color w:val="auto"/>
          <w:sz w:val="28"/>
          <w:szCs w:val="28"/>
          <w:highlight w:val="none"/>
        </w:rPr>
        <w:t>附表</w:t>
      </w:r>
      <w:r>
        <w:rPr>
          <w:rFonts w:hint="eastAsia" w:ascii="宋体" w:hAnsi="宋体" w:cs="宋体"/>
          <w:b/>
          <w:bCs/>
          <w:color w:val="auto"/>
          <w:sz w:val="28"/>
          <w:szCs w:val="28"/>
          <w:highlight w:val="none"/>
          <w:lang w:val="en-US" w:eastAsia="zh-CN"/>
        </w:rPr>
        <w:t>九</w:t>
      </w:r>
    </w:p>
    <w:p w14:paraId="1DBFFFD6">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定标阶段（方案因素）得分汇总表</w:t>
      </w:r>
    </w:p>
    <w:p w14:paraId="288F7CEE">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（定标委员会汇总用表）</w:t>
      </w:r>
    </w:p>
    <w:p w14:paraId="368126C2">
      <w:pPr>
        <w:rPr>
          <w:rFonts w:ascii="宋体" w:hAnsi="宋体" w:eastAsia="宋体"/>
          <w:color w:val="auto"/>
          <w:highlight w:val="none"/>
        </w:rPr>
      </w:pPr>
    </w:p>
    <w:p w14:paraId="5E810631">
      <w:pP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bl>
      <w:tblPr>
        <w:tblStyle w:val="37"/>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1"/>
        <w:gridCol w:w="992"/>
        <w:gridCol w:w="992"/>
        <w:gridCol w:w="992"/>
        <w:gridCol w:w="992"/>
        <w:gridCol w:w="992"/>
        <w:gridCol w:w="993"/>
      </w:tblGrid>
      <w:tr w14:paraId="6A80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CEE7909">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7220A62D">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合格中标候选人名称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676B0B">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评分人1方案因素个人评分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3E5C469">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评分人2方案因素个人评分</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D69D728">
            <w:pPr>
              <w:jc w:val="center"/>
              <w:rPr>
                <w:rFonts w:ascii="宋体" w:hAnsi="宋体" w:eastAsia="宋体"/>
                <w:b/>
                <w:color w:val="auto"/>
                <w:szCs w:val="21"/>
                <w:highlight w:val="none"/>
              </w:rPr>
            </w:pPr>
            <w:r>
              <w:rPr>
                <w:rFonts w:hint="eastAsia" w:ascii="宋体" w:hAnsi="宋体" w:eastAsia="宋体"/>
                <w:b/>
                <w:color w:val="auto"/>
                <w:szCs w:val="21"/>
                <w:highlight w:val="none"/>
              </w:rPr>
              <w:t>评分人3方案因素个人评分</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51F2009">
            <w:pPr>
              <w:jc w:val="center"/>
              <w:rPr>
                <w:rFonts w:ascii="宋体" w:hAnsi="宋体" w:eastAsia="宋体"/>
                <w:b/>
                <w:color w:val="auto"/>
                <w:szCs w:val="21"/>
                <w:highlight w:val="none"/>
              </w:rPr>
            </w:pPr>
            <w:r>
              <w:rPr>
                <w:rFonts w:hint="eastAsia" w:ascii="宋体" w:hAnsi="宋体" w:eastAsia="宋体"/>
                <w:b/>
                <w:color w:val="auto"/>
                <w:szCs w:val="21"/>
                <w:highlight w:val="none"/>
              </w:rPr>
              <w:t>评分人4方案因素个人评分</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8E8D75F">
            <w:pPr>
              <w:jc w:val="center"/>
              <w:rPr>
                <w:rFonts w:ascii="宋体" w:hAnsi="宋体" w:eastAsia="宋体"/>
                <w:b/>
                <w:color w:val="auto"/>
                <w:szCs w:val="21"/>
                <w:highlight w:val="none"/>
              </w:rPr>
            </w:pPr>
            <w:r>
              <w:rPr>
                <w:rFonts w:hint="eastAsia" w:ascii="宋体" w:hAnsi="宋体" w:eastAsia="宋体"/>
                <w:b/>
                <w:color w:val="auto"/>
                <w:szCs w:val="21"/>
                <w:highlight w:val="none"/>
              </w:rPr>
              <w:t>评分人5方案因素个人评分</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47EC0F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方案因素得分</w:t>
            </w:r>
          </w:p>
        </w:tc>
      </w:tr>
      <w:tr w14:paraId="6617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D0ED73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4492801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E9915C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3E96FE0">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EF34947">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711547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B03CE82">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06BD635">
            <w:pPr>
              <w:jc w:val="center"/>
              <w:rPr>
                <w:rFonts w:ascii="宋体" w:hAnsi="宋体" w:eastAsia="宋体" w:cs="宋体"/>
                <w:color w:val="auto"/>
                <w:szCs w:val="21"/>
                <w:highlight w:val="none"/>
              </w:rPr>
            </w:pPr>
          </w:p>
        </w:tc>
      </w:tr>
      <w:tr w14:paraId="3680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5E35F5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21B48AE2">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73273B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A51520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4A6496D">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0F536ED">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C1CADBA">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0E20D9E">
            <w:pPr>
              <w:jc w:val="center"/>
              <w:rPr>
                <w:rFonts w:ascii="宋体" w:hAnsi="宋体" w:eastAsia="宋体" w:cs="宋体"/>
                <w:color w:val="auto"/>
                <w:szCs w:val="21"/>
                <w:highlight w:val="none"/>
              </w:rPr>
            </w:pPr>
          </w:p>
        </w:tc>
      </w:tr>
      <w:tr w14:paraId="1BA2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339E3A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01D1FA9C">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27E989">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6B1C74">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BD7B864">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135F175">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E8CB397">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8F5F1F9">
            <w:pPr>
              <w:jc w:val="center"/>
              <w:rPr>
                <w:rFonts w:ascii="宋体" w:hAnsi="宋体" w:eastAsia="宋体" w:cs="宋体"/>
                <w:color w:val="auto"/>
                <w:szCs w:val="21"/>
                <w:highlight w:val="none"/>
              </w:rPr>
            </w:pPr>
          </w:p>
        </w:tc>
      </w:tr>
      <w:tr w14:paraId="5FB4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A10208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2B88AD52">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6CC569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915FD09">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9F2C50E">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E32596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0ECECE3">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42AAD9B">
            <w:pPr>
              <w:jc w:val="center"/>
              <w:rPr>
                <w:rFonts w:ascii="宋体" w:hAnsi="宋体" w:eastAsia="宋体" w:cs="宋体"/>
                <w:color w:val="auto"/>
                <w:szCs w:val="21"/>
                <w:highlight w:val="none"/>
              </w:rPr>
            </w:pPr>
          </w:p>
        </w:tc>
      </w:tr>
      <w:tr w14:paraId="2F4F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6301CB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52A6AEE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0252512">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F8989E">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6CFE52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A5BF3D8">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028CBBA">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B4EE2B3">
            <w:pPr>
              <w:jc w:val="center"/>
              <w:rPr>
                <w:rFonts w:ascii="宋体" w:hAnsi="宋体" w:eastAsia="宋体" w:cs="宋体"/>
                <w:color w:val="auto"/>
                <w:szCs w:val="21"/>
                <w:highlight w:val="none"/>
              </w:rPr>
            </w:pPr>
          </w:p>
        </w:tc>
      </w:tr>
    </w:tbl>
    <w:p w14:paraId="728A03FE">
      <w:pPr>
        <w:spacing w:line="360" w:lineRule="atLeast"/>
        <w:ind w:right="42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备注：1、定标委员会成员个人定标方案因素评分满分为100分。</w:t>
      </w:r>
    </w:p>
    <w:p w14:paraId="59074639">
      <w:pPr>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2、合格中标候选人定标方案得分为所有定标委员会成员对同一投标人的</w:t>
      </w:r>
      <w:r>
        <w:rPr>
          <w:rFonts w:hint="eastAsia" w:ascii="宋体" w:hAnsi="宋体" w:eastAsia="宋体" w:cs="宋体"/>
          <w:b/>
          <w:color w:val="auto"/>
          <w:szCs w:val="21"/>
          <w:highlight w:val="none"/>
          <w:u w:val="single"/>
        </w:rPr>
        <w:t>评分去掉一个最高分和一个最低分后计取的算术平均分（分数出现小数点时，保留小数点后二位，第三位小数四舍五入）。</w:t>
      </w:r>
    </w:p>
    <w:bookmarkEnd w:id="74"/>
    <w:p w14:paraId="29E820F7">
      <w:pPr>
        <w:pStyle w:val="8"/>
        <w:ind w:firstLine="0" w:firstLineChars="0"/>
        <w:rPr>
          <w:rFonts w:hint="eastAsia"/>
          <w:color w:val="auto"/>
          <w:highlight w:val="none"/>
        </w:rPr>
      </w:pPr>
    </w:p>
    <w:p w14:paraId="278A96C9">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14:paraId="14DF4D4B">
      <w:pPr>
        <w:spacing w:line="360" w:lineRule="exact"/>
        <w:ind w:right="-325" w:rightChars="-155" w:firstLine="480"/>
        <w:jc w:val="right"/>
        <w:rPr>
          <w:rFonts w:hint="eastAsia" w:hAnsi="宋体" w:cs="宋体"/>
          <w:color w:val="auto"/>
          <w:szCs w:val="21"/>
          <w:highlight w:val="none"/>
        </w:rPr>
      </w:pPr>
      <w:r>
        <w:rPr>
          <w:rFonts w:hint="eastAsia" w:hAnsi="宋体" w:cs="宋体"/>
          <w:color w:val="auto"/>
          <w:szCs w:val="21"/>
          <w:highlight w:val="none"/>
        </w:rPr>
        <w:t>日期：     年   月   日</w:t>
      </w:r>
    </w:p>
    <w:p w14:paraId="1747ECF8">
      <w:pPr>
        <w:pStyle w:val="119"/>
        <w:rPr>
          <w:rFonts w:ascii="仿宋" w:hAnsi="仿宋" w:eastAsia="仿宋" w:cs="仿宋"/>
          <w:color w:val="auto"/>
          <w:sz w:val="21"/>
          <w:szCs w:val="21"/>
          <w:highlight w:val="none"/>
        </w:rPr>
      </w:pPr>
    </w:p>
    <w:p w14:paraId="78B323DC">
      <w:pPr>
        <w:pStyle w:val="8"/>
        <w:rPr>
          <w:color w:val="auto"/>
          <w:highlight w:val="none"/>
        </w:rPr>
        <w:sectPr>
          <w:headerReference r:id="rId14" w:type="first"/>
          <w:footerReference r:id="rId16" w:type="first"/>
          <w:headerReference r:id="rId13" w:type="default"/>
          <w:footerReference r:id="rId15" w:type="default"/>
          <w:pgSz w:w="11906" w:h="16838"/>
          <w:pgMar w:top="1440" w:right="1080" w:bottom="1440" w:left="1080" w:header="851" w:footer="680" w:gutter="0"/>
          <w:pgNumType w:fmt="numberInDash"/>
          <w:cols w:space="720" w:num="1"/>
          <w:docGrid w:type="lines" w:linePitch="312" w:charSpace="0"/>
        </w:sectPr>
      </w:pPr>
    </w:p>
    <w:p w14:paraId="53F76D7F">
      <w:pPr>
        <w:spacing w:line="360" w:lineRule="auto"/>
        <w:outlineLvl w:val="1"/>
        <w:rPr>
          <w:rFonts w:hint="eastAsia" w:ascii="宋体" w:hAnsi="宋体" w:eastAsia="宋体" w:cs="宋体"/>
          <w:b/>
          <w:bCs/>
          <w:color w:val="auto"/>
          <w:sz w:val="28"/>
          <w:szCs w:val="28"/>
          <w:highlight w:val="none"/>
          <w:lang w:eastAsia="zh-CN"/>
        </w:rPr>
      </w:pPr>
      <w:bookmarkStart w:id="75" w:name="_Toc20676"/>
      <w:r>
        <w:rPr>
          <w:rFonts w:hint="eastAsia" w:ascii="宋体" w:hAnsi="宋体" w:cs="宋体"/>
          <w:b/>
          <w:bCs/>
          <w:color w:val="auto"/>
          <w:sz w:val="28"/>
          <w:szCs w:val="28"/>
          <w:highlight w:val="none"/>
        </w:rPr>
        <w:t>附表</w:t>
      </w:r>
      <w:r>
        <w:rPr>
          <w:rFonts w:hint="eastAsia" w:ascii="宋体" w:hAnsi="宋体" w:cs="宋体"/>
          <w:b/>
          <w:bCs/>
          <w:color w:val="auto"/>
          <w:sz w:val="28"/>
          <w:szCs w:val="28"/>
          <w:highlight w:val="none"/>
          <w:lang w:val="en-US" w:eastAsia="zh-CN"/>
        </w:rPr>
        <w:t>十</w:t>
      </w:r>
    </w:p>
    <w:p w14:paraId="1787A9E3">
      <w:pPr>
        <w:jc w:val="center"/>
        <w:rPr>
          <w:rFonts w:ascii="宋体" w:hAnsi="宋体" w:eastAsia="宋体" w:cs="宋体"/>
          <w:b/>
          <w:color w:val="auto"/>
          <w:sz w:val="30"/>
          <w:szCs w:val="30"/>
          <w:highlight w:val="none"/>
        </w:rPr>
      </w:pPr>
      <w:bookmarkStart w:id="76" w:name="_Toc27918"/>
      <w:r>
        <w:rPr>
          <w:rFonts w:hint="eastAsia" w:ascii="宋体" w:hAnsi="宋体" w:eastAsia="宋体" w:cs="宋体"/>
          <w:b/>
          <w:color w:val="auto"/>
          <w:sz w:val="30"/>
          <w:szCs w:val="30"/>
          <w:highlight w:val="none"/>
        </w:rPr>
        <w:t>定标阶段（价格因素）评审得分表</w:t>
      </w:r>
    </w:p>
    <w:p w14:paraId="7A0CFF09">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（定标委员会汇总用表）</w:t>
      </w:r>
    </w:p>
    <w:p w14:paraId="46B8956A">
      <w:pP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357"/>
        <w:gridCol w:w="1680"/>
        <w:gridCol w:w="1680"/>
        <w:gridCol w:w="1528"/>
        <w:gridCol w:w="885"/>
        <w:gridCol w:w="1170"/>
      </w:tblGrid>
      <w:tr w14:paraId="4731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3" w:type="pct"/>
            <w:tcBorders>
              <w:top w:val="single" w:color="auto" w:sz="4" w:space="0"/>
              <w:left w:val="single" w:color="auto" w:sz="4" w:space="0"/>
              <w:bottom w:val="single" w:color="auto" w:sz="4" w:space="0"/>
              <w:right w:val="single" w:color="auto" w:sz="4" w:space="0"/>
            </w:tcBorders>
            <w:noWrap w:val="0"/>
            <w:vAlign w:val="center"/>
          </w:tcPr>
          <w:p w14:paraId="3D5059A3">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1183" w:type="pct"/>
            <w:tcBorders>
              <w:top w:val="single" w:color="auto" w:sz="4" w:space="0"/>
              <w:left w:val="single" w:color="auto" w:sz="4" w:space="0"/>
              <w:bottom w:val="single" w:color="auto" w:sz="4" w:space="0"/>
              <w:right w:val="single" w:color="auto" w:sz="4" w:space="0"/>
            </w:tcBorders>
            <w:noWrap w:val="0"/>
            <w:vAlign w:val="center"/>
          </w:tcPr>
          <w:p w14:paraId="3840A9F9">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合格中标候选人名称</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30E43DE1">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投标报价PT（元）</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0C884ABD">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定标参考价PC（元）</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4F36EB5A">
            <w:pPr>
              <w:widowControl/>
              <w:ind w:left="-42" w:leftChars="-20" w:right="-42" w:rightChars="-20"/>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偏差(（PT-PC）/PC）（%）</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52CD714D">
            <w:pPr>
              <w:widowControl/>
              <w:ind w:left="-42" w:leftChars="-20" w:right="-42" w:rightChars="-20"/>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减分（A）</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6BAB6DCB">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价格因素得分</w:t>
            </w:r>
            <w:r>
              <w:rPr>
                <w:rFonts w:ascii="宋体" w:hAnsi="宋体" w:eastAsia="宋体" w:cs="宋体"/>
                <w:b/>
                <w:bCs/>
                <w:color w:val="auto"/>
                <w:kern w:val="0"/>
                <w:szCs w:val="21"/>
                <w:highlight w:val="none"/>
                <w:lang w:bidi="ar"/>
              </w:rPr>
              <w:t>(I=100-A)</w:t>
            </w:r>
          </w:p>
        </w:tc>
      </w:tr>
      <w:tr w14:paraId="1F2E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noWrap w:val="0"/>
            <w:vAlign w:val="center"/>
          </w:tcPr>
          <w:p w14:paraId="378DB4D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83" w:type="pct"/>
            <w:tcBorders>
              <w:top w:val="single" w:color="auto" w:sz="4" w:space="0"/>
              <w:left w:val="single" w:color="auto" w:sz="4" w:space="0"/>
              <w:bottom w:val="single" w:color="auto" w:sz="4" w:space="0"/>
              <w:right w:val="single" w:color="auto" w:sz="4" w:space="0"/>
            </w:tcBorders>
            <w:noWrap w:val="0"/>
            <w:vAlign w:val="center"/>
          </w:tcPr>
          <w:p w14:paraId="785049DF">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11EB16B6">
            <w:pPr>
              <w:jc w:val="center"/>
              <w:rPr>
                <w:rFonts w:ascii="宋体" w:hAnsi="宋体" w:eastAsia="宋体" w:cs="宋体"/>
                <w:color w:val="auto"/>
                <w:szCs w:val="21"/>
                <w:highlight w:val="none"/>
              </w:rPr>
            </w:pPr>
          </w:p>
        </w:tc>
        <w:tc>
          <w:tcPr>
            <w:tcW w:w="843" w:type="pct"/>
            <w:vMerge w:val="restart"/>
            <w:tcBorders>
              <w:top w:val="single" w:color="auto" w:sz="4" w:space="0"/>
              <w:left w:val="single" w:color="auto" w:sz="4" w:space="0"/>
              <w:right w:val="single" w:color="auto" w:sz="4" w:space="0"/>
            </w:tcBorders>
            <w:noWrap w:val="0"/>
            <w:vAlign w:val="center"/>
          </w:tcPr>
          <w:p w14:paraId="798DEEA8">
            <w:pPr>
              <w:jc w:val="center"/>
              <w:rPr>
                <w:rFonts w:ascii="宋体" w:hAnsi="宋体" w:eastAsia="宋体" w:cs="宋体"/>
                <w:color w:val="auto"/>
                <w:szCs w:val="21"/>
                <w:highlight w:val="none"/>
              </w:rPr>
            </w:pPr>
          </w:p>
        </w:tc>
        <w:tc>
          <w:tcPr>
            <w:tcW w:w="767" w:type="pct"/>
            <w:tcBorders>
              <w:top w:val="single" w:color="auto" w:sz="4" w:space="0"/>
              <w:left w:val="single" w:color="auto" w:sz="4" w:space="0"/>
              <w:right w:val="single" w:color="auto" w:sz="4" w:space="0"/>
            </w:tcBorders>
            <w:noWrap w:val="0"/>
            <w:vAlign w:val="center"/>
          </w:tcPr>
          <w:p w14:paraId="3C0E71F7">
            <w:pPr>
              <w:jc w:val="center"/>
              <w:rPr>
                <w:rFonts w:ascii="宋体" w:hAnsi="宋体" w:eastAsia="宋体" w:cs="宋体"/>
                <w:color w:val="auto"/>
                <w:szCs w:val="21"/>
                <w:highlight w:val="none"/>
              </w:rPr>
            </w:pPr>
          </w:p>
        </w:tc>
        <w:tc>
          <w:tcPr>
            <w:tcW w:w="444" w:type="pct"/>
            <w:tcBorders>
              <w:top w:val="single" w:color="auto" w:sz="4" w:space="0"/>
              <w:left w:val="single" w:color="auto" w:sz="4" w:space="0"/>
              <w:right w:val="single" w:color="auto" w:sz="4" w:space="0"/>
            </w:tcBorders>
            <w:noWrap w:val="0"/>
            <w:vAlign w:val="center"/>
          </w:tcPr>
          <w:p w14:paraId="7F284289">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3C5C94B3">
            <w:pPr>
              <w:jc w:val="center"/>
              <w:rPr>
                <w:rFonts w:ascii="宋体" w:hAnsi="宋体" w:eastAsia="宋体" w:cs="宋体"/>
                <w:color w:val="auto"/>
                <w:szCs w:val="21"/>
                <w:highlight w:val="none"/>
              </w:rPr>
            </w:pPr>
          </w:p>
        </w:tc>
      </w:tr>
      <w:tr w14:paraId="7465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noWrap w:val="0"/>
            <w:vAlign w:val="center"/>
          </w:tcPr>
          <w:p w14:paraId="3C2299E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83" w:type="pct"/>
            <w:tcBorders>
              <w:top w:val="single" w:color="auto" w:sz="4" w:space="0"/>
              <w:left w:val="single" w:color="auto" w:sz="4" w:space="0"/>
              <w:bottom w:val="single" w:color="auto" w:sz="4" w:space="0"/>
              <w:right w:val="single" w:color="auto" w:sz="4" w:space="0"/>
            </w:tcBorders>
            <w:noWrap w:val="0"/>
            <w:vAlign w:val="center"/>
          </w:tcPr>
          <w:p w14:paraId="1905187E">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71B4DFA3">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noWrap w:val="0"/>
            <w:vAlign w:val="center"/>
          </w:tcPr>
          <w:p w14:paraId="55F294AD">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noWrap w:val="0"/>
            <w:vAlign w:val="center"/>
          </w:tcPr>
          <w:p w14:paraId="27D047DA">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noWrap w:val="0"/>
            <w:vAlign w:val="center"/>
          </w:tcPr>
          <w:p w14:paraId="534BFF92">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04381428">
            <w:pPr>
              <w:jc w:val="center"/>
              <w:rPr>
                <w:rFonts w:ascii="宋体" w:hAnsi="宋体" w:eastAsia="宋体" w:cs="宋体"/>
                <w:color w:val="auto"/>
                <w:szCs w:val="21"/>
                <w:highlight w:val="none"/>
              </w:rPr>
            </w:pPr>
          </w:p>
        </w:tc>
      </w:tr>
      <w:tr w14:paraId="1F7F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noWrap w:val="0"/>
            <w:vAlign w:val="center"/>
          </w:tcPr>
          <w:p w14:paraId="6260A74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3" w:type="pct"/>
            <w:tcBorders>
              <w:top w:val="single" w:color="auto" w:sz="4" w:space="0"/>
              <w:left w:val="single" w:color="auto" w:sz="4" w:space="0"/>
              <w:bottom w:val="single" w:color="auto" w:sz="4" w:space="0"/>
              <w:right w:val="single" w:color="auto" w:sz="4" w:space="0"/>
            </w:tcBorders>
            <w:noWrap w:val="0"/>
            <w:vAlign w:val="center"/>
          </w:tcPr>
          <w:p w14:paraId="2539010E">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133D3592">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noWrap w:val="0"/>
            <w:vAlign w:val="center"/>
          </w:tcPr>
          <w:p w14:paraId="0CBE40D9">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noWrap w:val="0"/>
            <w:vAlign w:val="center"/>
          </w:tcPr>
          <w:p w14:paraId="1F5FFBC3">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noWrap w:val="0"/>
            <w:vAlign w:val="center"/>
          </w:tcPr>
          <w:p w14:paraId="28BFB7EB">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6C503D36">
            <w:pPr>
              <w:jc w:val="center"/>
              <w:rPr>
                <w:rFonts w:ascii="宋体" w:hAnsi="宋体" w:eastAsia="宋体" w:cs="宋体"/>
                <w:color w:val="auto"/>
                <w:szCs w:val="21"/>
                <w:highlight w:val="none"/>
              </w:rPr>
            </w:pPr>
          </w:p>
        </w:tc>
      </w:tr>
      <w:tr w14:paraId="5BDC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noWrap w:val="0"/>
            <w:vAlign w:val="center"/>
          </w:tcPr>
          <w:p w14:paraId="3E3D765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83" w:type="pct"/>
            <w:tcBorders>
              <w:top w:val="single" w:color="auto" w:sz="4" w:space="0"/>
              <w:left w:val="single" w:color="auto" w:sz="4" w:space="0"/>
              <w:bottom w:val="single" w:color="auto" w:sz="4" w:space="0"/>
              <w:right w:val="single" w:color="auto" w:sz="4" w:space="0"/>
            </w:tcBorders>
            <w:noWrap w:val="0"/>
            <w:vAlign w:val="center"/>
          </w:tcPr>
          <w:p w14:paraId="0F50B8F9">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1181CA43">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noWrap w:val="0"/>
            <w:vAlign w:val="center"/>
          </w:tcPr>
          <w:p w14:paraId="6222507F">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noWrap w:val="0"/>
            <w:vAlign w:val="center"/>
          </w:tcPr>
          <w:p w14:paraId="04E5262D">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noWrap w:val="0"/>
            <w:vAlign w:val="center"/>
          </w:tcPr>
          <w:p w14:paraId="38F53361">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48EF8F14">
            <w:pPr>
              <w:jc w:val="center"/>
              <w:rPr>
                <w:rFonts w:ascii="宋体" w:hAnsi="宋体" w:eastAsia="宋体" w:cs="宋体"/>
                <w:color w:val="auto"/>
                <w:szCs w:val="21"/>
                <w:highlight w:val="none"/>
              </w:rPr>
            </w:pPr>
          </w:p>
        </w:tc>
      </w:tr>
      <w:tr w14:paraId="635D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noWrap w:val="0"/>
            <w:vAlign w:val="center"/>
          </w:tcPr>
          <w:p w14:paraId="0D14370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3" w:type="pct"/>
            <w:tcBorders>
              <w:top w:val="single" w:color="auto" w:sz="4" w:space="0"/>
              <w:left w:val="single" w:color="auto" w:sz="4" w:space="0"/>
              <w:bottom w:val="single" w:color="auto" w:sz="4" w:space="0"/>
              <w:right w:val="single" w:color="auto" w:sz="4" w:space="0"/>
            </w:tcBorders>
            <w:noWrap w:val="0"/>
            <w:vAlign w:val="center"/>
          </w:tcPr>
          <w:p w14:paraId="70694F8C">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7C614E85">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noWrap w:val="0"/>
            <w:vAlign w:val="center"/>
          </w:tcPr>
          <w:p w14:paraId="41BC2F26">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noWrap w:val="0"/>
            <w:vAlign w:val="center"/>
          </w:tcPr>
          <w:p w14:paraId="466D4584">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noWrap w:val="0"/>
            <w:vAlign w:val="center"/>
          </w:tcPr>
          <w:p w14:paraId="5CF16C22">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noWrap w:val="0"/>
            <w:vAlign w:val="center"/>
          </w:tcPr>
          <w:p w14:paraId="631B2328">
            <w:pPr>
              <w:jc w:val="center"/>
              <w:rPr>
                <w:rFonts w:ascii="宋体" w:hAnsi="宋体" w:eastAsia="宋体" w:cs="宋体"/>
                <w:color w:val="auto"/>
                <w:szCs w:val="21"/>
                <w:highlight w:val="none"/>
              </w:rPr>
            </w:pPr>
          </w:p>
        </w:tc>
      </w:tr>
    </w:tbl>
    <w:p w14:paraId="2693C377">
      <w:pPr>
        <w:spacing w:line="300" w:lineRule="exact"/>
        <w:ind w:right="-325" w:rightChars="-155"/>
        <w:rPr>
          <w:rFonts w:ascii="宋体" w:hAnsi="宋体" w:eastAsia="宋体" w:cs="宋体"/>
          <w:color w:val="auto"/>
          <w:szCs w:val="21"/>
          <w:highlight w:val="none"/>
        </w:rPr>
      </w:pPr>
      <w:r>
        <w:rPr>
          <w:rFonts w:hint="eastAsia" w:ascii="宋体" w:hAnsi="宋体" w:eastAsia="宋体" w:cs="宋体"/>
          <w:color w:val="auto"/>
          <w:szCs w:val="21"/>
          <w:highlight w:val="none"/>
        </w:rPr>
        <w:t>备注：定标委员会对</w:t>
      </w:r>
      <w:r>
        <w:rPr>
          <w:rFonts w:hint="eastAsia" w:ascii="宋体" w:hAnsi="宋体" w:cs="宋体"/>
          <w:color w:val="auto"/>
          <w:szCs w:val="21"/>
          <w:highlight w:val="none"/>
          <w:lang w:eastAsia="zh-CN"/>
        </w:rPr>
        <w:t>合格中标候选人</w:t>
      </w:r>
      <w:r>
        <w:rPr>
          <w:rFonts w:hint="eastAsia" w:ascii="宋体" w:hAnsi="宋体" w:eastAsia="宋体" w:cs="宋体"/>
          <w:color w:val="auto"/>
          <w:szCs w:val="21"/>
          <w:highlight w:val="none"/>
        </w:rPr>
        <w:t>投标报价进行打分，以合格中标候选人中最低的投标报价且高于成本警示价的为定标基准价（如合格中标候选人的投标报价均等于成本警示价的，则以成本警示价为定标基准价），</w:t>
      </w:r>
      <w:r>
        <w:rPr>
          <w:rFonts w:hint="eastAsia" w:ascii="宋体" w:hAnsi="宋体" w:eastAsia="宋体" w:cs="宋体"/>
          <w:b/>
          <w:color w:val="auto"/>
          <w:szCs w:val="21"/>
          <w:highlight w:val="none"/>
          <w:u w:val="single"/>
        </w:rPr>
        <w:t>投标报价等于定标基准价时得</w:t>
      </w:r>
      <w:r>
        <w:rPr>
          <w:rFonts w:hint="eastAsia" w:ascii="宋体" w:hAnsi="宋体" w:eastAsia="宋体" w:cs="宋体"/>
          <w:color w:val="auto"/>
          <w:szCs w:val="21"/>
          <w:highlight w:val="none"/>
        </w:rPr>
        <w:t>100分</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投标报价比定标基准价每高1%扣1.5分；每低1%扣1.0分，扣至0分为止。得出价格因素得分，分数出现小数点时，保留小数点后二位，第三位小数四舍五入。</w:t>
      </w:r>
    </w:p>
    <w:p w14:paraId="265A9F4D">
      <w:pPr>
        <w:spacing w:line="300" w:lineRule="exact"/>
        <w:ind w:right="-325" w:rightChars="-155"/>
        <w:rPr>
          <w:rFonts w:ascii="宋体" w:hAnsi="宋体" w:eastAsia="宋体" w:cs="宋体"/>
          <w:color w:val="auto"/>
          <w:szCs w:val="21"/>
          <w:highlight w:val="none"/>
        </w:rPr>
      </w:pPr>
    </w:p>
    <w:p w14:paraId="4C868D4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                                    日期：     年   月   日</w:t>
      </w:r>
    </w:p>
    <w:p w14:paraId="140183ED">
      <w:pPr>
        <w:rPr>
          <w:rFonts w:hint="eastAsia" w:ascii="宋体" w:hAnsi="宋体" w:eastAsia="宋体" w:cs="宋体"/>
          <w:color w:val="auto"/>
          <w:szCs w:val="21"/>
          <w:highlight w:val="none"/>
        </w:rPr>
      </w:pPr>
    </w:p>
    <w:p w14:paraId="5AE97507">
      <w:pPr>
        <w:rPr>
          <w:rFonts w:hint="eastAsia" w:ascii="宋体" w:hAnsi="宋体" w:eastAsia="宋体" w:cs="宋体"/>
          <w:color w:val="auto"/>
          <w:szCs w:val="21"/>
          <w:highlight w:val="none"/>
        </w:rPr>
      </w:pPr>
    </w:p>
    <w:p w14:paraId="56E21D1B">
      <w:pPr>
        <w:rPr>
          <w:rFonts w:hint="eastAsia" w:ascii="宋体" w:hAnsi="宋体" w:eastAsia="宋体" w:cs="宋体"/>
          <w:color w:val="auto"/>
          <w:szCs w:val="21"/>
          <w:highlight w:val="none"/>
        </w:rPr>
        <w:sectPr>
          <w:pgSz w:w="11906" w:h="16838"/>
          <w:pgMar w:top="1440" w:right="1080" w:bottom="1440" w:left="1080" w:header="851" w:footer="992" w:gutter="0"/>
          <w:cols w:space="720" w:num="1"/>
          <w:docGrid w:linePitch="312" w:charSpace="0"/>
        </w:sectPr>
      </w:pPr>
    </w:p>
    <w:bookmarkEnd w:id="76"/>
    <w:p w14:paraId="7728DC5A">
      <w:pPr>
        <w:spacing w:line="360" w:lineRule="auto"/>
        <w:outlineLvl w:val="1"/>
        <w:rPr>
          <w:rFonts w:hint="eastAsia" w:ascii="宋体" w:hAnsi="宋体" w:cs="宋体"/>
          <w:b/>
          <w:bCs/>
          <w:color w:val="auto"/>
          <w:sz w:val="28"/>
          <w:szCs w:val="28"/>
          <w:highlight w:val="none"/>
          <w:lang w:val="en-US" w:eastAsia="zh-CN"/>
        </w:rPr>
      </w:pPr>
      <w:bookmarkStart w:id="77" w:name="_Toc12255"/>
      <w:r>
        <w:rPr>
          <w:rFonts w:hint="eastAsia" w:ascii="宋体" w:hAnsi="宋体" w:cs="宋体"/>
          <w:b/>
          <w:bCs/>
          <w:color w:val="auto"/>
          <w:sz w:val="28"/>
          <w:szCs w:val="28"/>
          <w:highlight w:val="none"/>
        </w:rPr>
        <w:t>附表</w:t>
      </w:r>
      <w:bookmarkEnd w:id="77"/>
      <w:r>
        <w:rPr>
          <w:rFonts w:hint="eastAsia" w:ascii="宋体" w:hAnsi="宋体" w:cs="宋体"/>
          <w:b/>
          <w:bCs/>
          <w:color w:val="auto"/>
          <w:sz w:val="28"/>
          <w:szCs w:val="28"/>
          <w:highlight w:val="none"/>
          <w:lang w:val="en-US" w:eastAsia="zh-CN"/>
        </w:rPr>
        <w:t>十一</w:t>
      </w:r>
    </w:p>
    <w:p w14:paraId="7DD36304">
      <w:pPr>
        <w:spacing w:line="360" w:lineRule="auto"/>
        <w:ind w:firstLine="3654" w:firstLineChars="1300"/>
        <w:outlineLvl w:val="1"/>
        <w:rPr>
          <w:rFonts w:hint="eastAsia"/>
          <w:b/>
          <w:bCs/>
          <w:color w:val="auto"/>
          <w:sz w:val="28"/>
          <w:szCs w:val="28"/>
          <w:highlight w:val="none"/>
        </w:rPr>
      </w:pPr>
      <w:bookmarkStart w:id="78" w:name="_Toc3110"/>
      <w:r>
        <w:rPr>
          <w:rFonts w:hint="eastAsia" w:ascii="宋体" w:hAnsi="宋体" w:cs="宋体"/>
          <w:b/>
          <w:bCs/>
          <w:color w:val="auto"/>
          <w:sz w:val="28"/>
          <w:szCs w:val="28"/>
          <w:highlight w:val="none"/>
        </w:rPr>
        <w:t>定标因素得分汇总及排序表</w:t>
      </w:r>
      <w:bookmarkEnd w:id="78"/>
      <w:r>
        <w:rPr>
          <w:rFonts w:hint="eastAsia" w:ascii="宋体" w:hAnsi="宋体"/>
          <w:b/>
          <w:bCs/>
          <w:color w:val="auto"/>
          <w:sz w:val="28"/>
          <w:szCs w:val="28"/>
          <w:highlight w:val="none"/>
        </w:rPr>
        <w:t>（定标委员会汇总用表）</w:t>
      </w:r>
    </w:p>
    <w:p w14:paraId="49673AAB">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171"/>
        <w:gridCol w:w="1190"/>
        <w:gridCol w:w="889"/>
        <w:gridCol w:w="1187"/>
        <w:gridCol w:w="1340"/>
        <w:gridCol w:w="893"/>
        <w:gridCol w:w="1190"/>
        <w:gridCol w:w="1856"/>
        <w:gridCol w:w="1313"/>
      </w:tblGrid>
      <w:tr w14:paraId="7902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6D809F97">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序号</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681AF731">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lang w:val="zh-CN"/>
              </w:rPr>
              <w:t>合格中标候选人名称</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03536AD">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方案因素得分</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624535BE">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42E50605">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权重得分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6D4206E0">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价格因素得分</w:t>
            </w:r>
          </w:p>
        </w:tc>
        <w:tc>
          <w:tcPr>
            <w:tcW w:w="291" w:type="pct"/>
            <w:tcBorders>
              <w:top w:val="single" w:color="auto" w:sz="4" w:space="0"/>
              <w:left w:val="single" w:color="auto" w:sz="4" w:space="0"/>
              <w:bottom w:val="single" w:color="auto" w:sz="4" w:space="0"/>
              <w:right w:val="single" w:color="auto" w:sz="4" w:space="0"/>
            </w:tcBorders>
            <w:noWrap w:val="0"/>
            <w:vAlign w:val="center"/>
          </w:tcPr>
          <w:p w14:paraId="0AF172F3">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2EAA9A97">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权重得分</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33701BC6">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总得分</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7A9E6A4C">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排序</w:t>
            </w:r>
          </w:p>
        </w:tc>
      </w:tr>
      <w:tr w14:paraId="073C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5242C77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1</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5DD101A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0ACB3B34">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1610DFE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70</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2132A008">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00817D6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4DA7399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01A8AB3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3CF9893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2AF921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4364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6D8D8FB8">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2</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5860725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442C200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6731A3A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7C061A8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0AD8BD7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19E6BAB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4B50479">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015C990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3553524">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5814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1ED9376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3</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3472F03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6D93051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21C906A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2CA0374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4FCC25C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1AD0341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A0ACB4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3A93D41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5D84416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673C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7005A28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4</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0D5ADA6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D699ED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5B084B9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5552DE5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04D9A6B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1FD757B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6A9EE9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05150D9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682D922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6C2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6E04CEB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5</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042ED4B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4D5058D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68F9AE5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01BB75A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2969993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582FDDE4">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0AFC5E2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48FAC9E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5D5526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bl>
    <w:p w14:paraId="568232B1">
      <w:pPr>
        <w:ind w:right="420"/>
        <w:rPr>
          <w:rFonts w:hint="eastAsia" w:ascii="宋体" w:hAnsi="宋体" w:cs="宋体"/>
          <w:color w:val="auto"/>
          <w:szCs w:val="20"/>
          <w:highlight w:val="none"/>
        </w:rPr>
      </w:pPr>
      <w:r>
        <w:rPr>
          <w:rFonts w:hint="eastAsia" w:ascii="宋体" w:hAnsi="宋体" w:cs="宋体"/>
          <w:color w:val="auto"/>
          <w:szCs w:val="20"/>
          <w:highlight w:val="none"/>
        </w:rPr>
        <w:t>备注：</w:t>
      </w:r>
    </w:p>
    <w:p w14:paraId="036E0665">
      <w:pPr>
        <w:ind w:left="0" w:leftChars="0" w:firstLine="0" w:firstLineChars="0"/>
        <w:rPr>
          <w:rFonts w:hint="eastAsia" w:ascii="宋体" w:hAnsi="宋体" w:cs="宋体"/>
          <w:color w:val="auto"/>
          <w:szCs w:val="20"/>
          <w:highlight w:val="none"/>
        </w:rPr>
      </w:pPr>
      <w:r>
        <w:rPr>
          <w:rFonts w:hint="eastAsia" w:ascii="宋体" w:hAnsi="宋体" w:cs="宋体"/>
          <w:color w:val="auto"/>
          <w:szCs w:val="20"/>
          <w:highlight w:val="none"/>
        </w:rPr>
        <w:t>1、</w:t>
      </w:r>
      <w:r>
        <w:rPr>
          <w:rFonts w:hint="eastAsia" w:hAnsi="宋体" w:cs="宋体"/>
          <w:color w:val="auto"/>
          <w:highlight w:val="none"/>
        </w:rPr>
        <w:t>若合格中标候选人总得分相同且影响定标排序的，以</w:t>
      </w:r>
      <w:r>
        <w:rPr>
          <w:rFonts w:hint="eastAsia" w:hAnsi="宋体" w:cs="宋体"/>
          <w:color w:val="auto"/>
          <w:highlight w:val="none"/>
          <w:lang w:val="en-US" w:eastAsia="zh-CN"/>
        </w:rPr>
        <w:t>定标阶段定标</w:t>
      </w:r>
      <w:r>
        <w:rPr>
          <w:rFonts w:hint="eastAsia" w:hAnsi="宋体" w:cs="宋体"/>
          <w:color w:val="auto"/>
          <w:highlight w:val="none"/>
        </w:rPr>
        <w:t>方案因素得分高的排前；若</w:t>
      </w:r>
      <w:r>
        <w:rPr>
          <w:rFonts w:hint="eastAsia" w:hAnsi="宋体" w:cs="宋体"/>
          <w:color w:val="auto"/>
          <w:highlight w:val="none"/>
          <w:lang w:val="en-US" w:eastAsia="zh-CN"/>
        </w:rPr>
        <w:t>定标阶段定标</w:t>
      </w:r>
      <w:r>
        <w:rPr>
          <w:rFonts w:hint="eastAsia" w:hAnsi="宋体" w:cs="宋体"/>
          <w:color w:val="auto"/>
          <w:highlight w:val="none"/>
        </w:rPr>
        <w:t>方案因素得分仍相同的，以</w:t>
      </w:r>
      <w:r>
        <w:rPr>
          <w:rFonts w:hint="eastAsia" w:hAnsi="宋体" w:cs="宋体"/>
          <w:color w:val="auto"/>
          <w:highlight w:val="none"/>
          <w:lang w:val="en-US" w:eastAsia="zh-CN"/>
        </w:rPr>
        <w:t>投标报价低</w:t>
      </w:r>
      <w:r>
        <w:rPr>
          <w:rFonts w:hint="eastAsia" w:hAnsi="宋体" w:cs="宋体"/>
          <w:color w:val="auto"/>
          <w:highlight w:val="none"/>
        </w:rPr>
        <w:t>的排前，若</w:t>
      </w:r>
      <w:r>
        <w:rPr>
          <w:rFonts w:hint="eastAsia" w:hAnsi="宋体" w:cs="宋体"/>
          <w:color w:val="auto"/>
          <w:highlight w:val="none"/>
          <w:lang w:val="en-US" w:eastAsia="zh-CN"/>
        </w:rPr>
        <w:t>投标报价</w:t>
      </w:r>
      <w:r>
        <w:rPr>
          <w:rFonts w:hint="eastAsia" w:hAnsi="宋体" w:cs="宋体"/>
          <w:color w:val="auto"/>
          <w:highlight w:val="none"/>
        </w:rPr>
        <w:t>仍相同的，由定标委员会投票确定排序。</w:t>
      </w:r>
      <w:r>
        <w:rPr>
          <w:rFonts w:hint="eastAsia" w:ascii="宋体" w:hAnsi="宋体" w:eastAsia="宋体" w:cs="宋体"/>
          <w:color w:val="auto"/>
          <w:highlight w:val="none"/>
        </w:rPr>
        <w:t>记名投票方式确定排序的具体操作步骤为：由定标委员会对出现该情况的合格中标候选人采取记名投票的方式确定，按得票数高低进行排序，以得票数高的排前，根据得票数高低确定合格中标人排序。</w:t>
      </w:r>
    </w:p>
    <w:p w14:paraId="113ED114">
      <w:pPr>
        <w:ind w:firstLine="0" w:firstLineChars="0"/>
        <w:rPr>
          <w:rFonts w:hint="eastAsia" w:ascii="宋体" w:hAnsi="宋体" w:cs="宋体"/>
          <w:bCs/>
          <w:color w:val="auto"/>
          <w:szCs w:val="21"/>
          <w:highlight w:val="none"/>
        </w:rPr>
      </w:pPr>
      <w:r>
        <w:rPr>
          <w:rFonts w:hint="eastAsia" w:ascii="宋体" w:hAnsi="宋体" w:cs="宋体"/>
          <w:color w:val="auto"/>
          <w:szCs w:val="21"/>
          <w:highlight w:val="none"/>
        </w:rPr>
        <w:t>2、</w:t>
      </w:r>
      <w:r>
        <w:rPr>
          <w:rFonts w:hint="eastAsia" w:hAnsi="宋体" w:cs="宋体"/>
          <w:color w:val="auto"/>
          <w:highlight w:val="none"/>
        </w:rPr>
        <w:t>总得分（100分）=</w:t>
      </w:r>
      <w:r>
        <w:rPr>
          <w:rFonts w:hint="eastAsia" w:hAnsi="宋体" w:cs="宋体"/>
          <w:color w:val="auto"/>
          <w:highlight w:val="none"/>
          <w:lang w:val="en-US" w:eastAsia="zh-CN"/>
        </w:rPr>
        <w:t>定标</w:t>
      </w:r>
      <w:r>
        <w:rPr>
          <w:rFonts w:hint="eastAsia" w:hAnsi="宋体" w:cs="宋体"/>
          <w:color w:val="auto"/>
          <w:highlight w:val="none"/>
        </w:rPr>
        <w:t>方案因素</w:t>
      </w:r>
      <w:r>
        <w:rPr>
          <w:rFonts w:hint="eastAsia" w:ascii="宋体" w:hAnsi="宋体" w:cs="宋体"/>
          <w:color w:val="auto"/>
          <w:szCs w:val="20"/>
          <w:highlight w:val="none"/>
        </w:rPr>
        <w:t>得分（100分）*</w:t>
      </w:r>
      <w:r>
        <w:rPr>
          <w:rFonts w:hint="eastAsia" w:hAnsi="宋体" w:cs="宋体"/>
          <w:color w:val="auto"/>
          <w:highlight w:val="none"/>
          <w:lang w:val="en-US" w:eastAsia="zh-CN"/>
        </w:rPr>
        <w:t>定标</w:t>
      </w:r>
      <w:r>
        <w:rPr>
          <w:rFonts w:hint="eastAsia" w:hAnsi="宋体" w:cs="宋体"/>
          <w:color w:val="auto"/>
          <w:highlight w:val="none"/>
        </w:rPr>
        <w:t>方案因素</w:t>
      </w:r>
      <w:r>
        <w:rPr>
          <w:rFonts w:hint="eastAsia" w:ascii="宋体" w:hAnsi="宋体" w:cs="宋体"/>
          <w:color w:val="auto"/>
          <w:szCs w:val="20"/>
          <w:highlight w:val="none"/>
        </w:rPr>
        <w:t>权重（70%）+价格因素得分（100分）*价格因素权重（30%）</w:t>
      </w:r>
      <w:r>
        <w:rPr>
          <w:rFonts w:hint="eastAsia" w:hAnsi="宋体" w:cs="宋体"/>
          <w:color w:val="auto"/>
          <w:highlight w:val="none"/>
        </w:rPr>
        <w:t>（若分数出现小数点时，保留小数点后二位，第三位小数四舍五入）</w:t>
      </w:r>
      <w:r>
        <w:rPr>
          <w:rFonts w:hint="eastAsia" w:ascii="宋体" w:hAnsi="宋体" w:cs="宋体"/>
          <w:color w:val="auto"/>
          <w:szCs w:val="20"/>
          <w:highlight w:val="none"/>
        </w:rPr>
        <w:t>。</w:t>
      </w:r>
    </w:p>
    <w:p w14:paraId="47C79D60">
      <w:pPr>
        <w:spacing w:line="360" w:lineRule="exact"/>
        <w:ind w:right="-325" w:rightChars="-155"/>
        <w:jc w:val="left"/>
        <w:rPr>
          <w:rFonts w:hint="eastAsia" w:ascii="宋体" w:hAnsi="宋体" w:cs="宋体"/>
          <w:bCs/>
          <w:color w:val="auto"/>
          <w:highlight w:val="none"/>
        </w:rPr>
      </w:pPr>
    </w:p>
    <w:p w14:paraId="27EE41E9">
      <w:pPr>
        <w:spacing w:line="360" w:lineRule="exact"/>
        <w:ind w:right="-325" w:rightChars="-155"/>
        <w:jc w:val="left"/>
        <w:rPr>
          <w:rFonts w:ascii="宋体" w:hAnsi="宋体" w:cs="宋体"/>
          <w:color w:val="auto"/>
          <w:szCs w:val="21"/>
          <w:highlight w:val="none"/>
        </w:rPr>
        <w:sectPr>
          <w:headerReference r:id="rId17" w:type="default"/>
          <w:footerReference r:id="rId18" w:type="default"/>
          <w:pgSz w:w="16838" w:h="11906" w:orient="landscape"/>
          <w:pgMar w:top="1440" w:right="1080" w:bottom="1440" w:left="1080" w:header="851" w:footer="680" w:gutter="0"/>
          <w:pgNumType w:fmt="numberInDash"/>
          <w:cols w:space="720" w:num="1"/>
          <w:docGrid w:type="lines" w:linePitch="312" w:charSpace="0"/>
        </w:sectPr>
      </w:pPr>
      <w:r>
        <w:rPr>
          <w:rFonts w:hint="eastAsia" w:ascii="宋体" w:hAnsi="宋体" w:cs="宋体"/>
          <w:bCs/>
          <w:color w:val="auto"/>
          <w:highlight w:val="none"/>
        </w:rPr>
        <w:t>定标委员会全体成员签名：                                                                      日期：  年  月  日</w:t>
      </w:r>
    </w:p>
    <w:bookmarkEnd w:id="75"/>
    <w:p w14:paraId="3DF1526F">
      <w:pPr>
        <w:spacing w:line="360" w:lineRule="auto"/>
        <w:outlineLvl w:val="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附表</w:t>
      </w:r>
      <w:r>
        <w:rPr>
          <w:rFonts w:hint="eastAsia" w:ascii="宋体" w:hAnsi="宋体" w:cs="宋体"/>
          <w:b/>
          <w:bCs/>
          <w:color w:val="auto"/>
          <w:sz w:val="28"/>
          <w:szCs w:val="28"/>
          <w:highlight w:val="none"/>
          <w:lang w:val="en-US" w:eastAsia="zh-CN"/>
        </w:rPr>
        <w:t>十二</w:t>
      </w:r>
    </w:p>
    <w:p w14:paraId="67541178">
      <w:pPr>
        <w:snapToGrid w:val="0"/>
        <w:spacing w:line="360" w:lineRule="auto"/>
        <w:ind w:firstLine="843" w:firstLineChars="300"/>
        <w:jc w:val="center"/>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组第</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轮）附加投票表（如有）</w:t>
      </w:r>
    </w:p>
    <w:p w14:paraId="072AABF7">
      <w:pPr>
        <w:snapToGrid w:val="0"/>
        <w:spacing w:line="360" w:lineRule="auto"/>
        <w:ind w:firstLine="843" w:firstLineChars="300"/>
        <w:jc w:val="center"/>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（定标委员会个人用表）</w:t>
      </w:r>
    </w:p>
    <w:p w14:paraId="6696CB12">
      <w:pPr>
        <w:jc w:val="center"/>
        <w:rPr>
          <w:rFonts w:hint="eastAsia" w:ascii="宋体" w:hAnsi="宋体" w:cs="宋体"/>
          <w:b/>
          <w:color w:val="auto"/>
          <w:sz w:val="30"/>
          <w:szCs w:val="30"/>
          <w:highlight w:val="none"/>
        </w:rPr>
      </w:pPr>
    </w:p>
    <w:p w14:paraId="39A18FC1">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69F8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63A8704F">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7D888CC">
            <w:pPr>
              <w:spacing w:line="600" w:lineRule="exact"/>
              <w:jc w:val="center"/>
              <w:rPr>
                <w:rFonts w:hint="eastAsia" w:ascii="宋体" w:hAnsi="宋体" w:cs="宋体"/>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0CCF2EB">
            <w:pPr>
              <w:spacing w:line="600" w:lineRule="exact"/>
              <w:jc w:val="center"/>
              <w:rPr>
                <w:rFonts w:hint="eastAsia" w:ascii="宋体" w:hAnsi="宋体" w:cs="宋体"/>
                <w:color w:val="auto"/>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29E18592">
            <w:pPr>
              <w:spacing w:line="600" w:lineRule="exact"/>
              <w:jc w:val="center"/>
              <w:rPr>
                <w:rFonts w:hint="eastAsia" w:ascii="宋体" w:hAnsi="宋体" w:cs="宋体"/>
                <w:color w:val="auto"/>
                <w:sz w:val="24"/>
                <w:highlight w:val="none"/>
              </w:rPr>
            </w:pPr>
          </w:p>
        </w:tc>
      </w:tr>
      <w:tr w14:paraId="1662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24D04842">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C55D9D">
            <w:pPr>
              <w:spacing w:line="600" w:lineRule="exact"/>
              <w:jc w:val="center"/>
              <w:rPr>
                <w:rFonts w:hint="eastAsia" w:ascii="宋体" w:hAnsi="宋体" w:cs="宋体"/>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209419D">
            <w:pPr>
              <w:spacing w:line="600" w:lineRule="exact"/>
              <w:jc w:val="center"/>
              <w:rPr>
                <w:rFonts w:hint="eastAsia" w:ascii="宋体" w:hAnsi="宋体" w:cs="宋体"/>
                <w:color w:val="auto"/>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6D7C5D43">
            <w:pPr>
              <w:spacing w:line="600" w:lineRule="exact"/>
              <w:jc w:val="center"/>
              <w:rPr>
                <w:rFonts w:hint="eastAsia" w:ascii="宋体" w:hAnsi="宋体" w:cs="宋体"/>
                <w:color w:val="auto"/>
                <w:sz w:val="24"/>
                <w:highlight w:val="none"/>
              </w:rPr>
            </w:pPr>
          </w:p>
        </w:tc>
      </w:tr>
    </w:tbl>
    <w:p w14:paraId="7862BD15">
      <w:pPr>
        <w:spacing w:line="360" w:lineRule="auto"/>
        <w:ind w:right="420"/>
        <w:rPr>
          <w:rFonts w:hint="eastAsia" w:ascii="宋体" w:hAnsi="宋体" w:cs="宋体"/>
          <w:color w:val="auto"/>
          <w:sz w:val="24"/>
          <w:highlight w:val="none"/>
        </w:rPr>
      </w:pPr>
    </w:p>
    <w:p w14:paraId="31978FD6">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p>
    <w:p w14:paraId="6C5B2192">
      <w:pPr>
        <w:numPr>
          <w:ilvl w:val="0"/>
          <w:numId w:val="10"/>
        </w:numPr>
        <w:spacing w:line="360" w:lineRule="auto"/>
        <w:ind w:left="0" w:hanging="7" w:firstLineChars="0"/>
        <w:rPr>
          <w:rFonts w:hint="eastAsia" w:ascii="宋体" w:hAnsi="宋体" w:cs="宋体"/>
          <w:color w:val="auto"/>
          <w:szCs w:val="21"/>
          <w:highlight w:val="none"/>
        </w:rPr>
      </w:pPr>
      <w:r>
        <w:rPr>
          <w:rFonts w:hint="eastAsia" w:ascii="宋体" w:hAnsi="宋体" w:cs="宋体"/>
          <w:color w:val="auto"/>
          <w:szCs w:val="21"/>
          <w:highlight w:val="none"/>
        </w:rPr>
        <w:t>若出现总得分、定标阶段定标方案因素得分、价格因素得分均相同的情况，按总分、定标阶段定标方案因素得分、价格因素得分相同的合格中标候选人为一组，由高至低依次分组，总分高的组别为第一组，以此类推，出现总分、定标阶段定标方案因素得分、价格因素得分相同情况的有   组，本组为第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名合格中标候选人，总分为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分，分别为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7280DD">
      <w:pPr>
        <w:numPr>
          <w:ilvl w:val="0"/>
          <w:numId w:val="0"/>
        </w:numPr>
        <w:spacing w:line="360" w:lineRule="auto"/>
        <w:ind w:left="-7"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2、由定标委员会成员进行附加投票，票决意见分别为“投票”或“不投票”，各定标委员会</w:t>
      </w:r>
      <w:r>
        <w:rPr>
          <w:rFonts w:hint="eastAsia" w:ascii="宋体" w:hAnsi="宋体" w:eastAsia="宋体" w:cs="宋体"/>
          <w:color w:val="auto"/>
          <w:szCs w:val="21"/>
          <w:highlight w:val="none"/>
        </w:rPr>
        <w:t>成员只有1票表决权（即只能对其中一名合格中标候选人“投票”），票决意见为“投票”</w:t>
      </w:r>
      <w:r>
        <w:rPr>
          <w:rFonts w:hint="eastAsia" w:ascii="宋体" w:hAnsi="宋体" w:cs="宋体"/>
          <w:color w:val="auto"/>
          <w:szCs w:val="21"/>
          <w:highlight w:val="none"/>
        </w:rPr>
        <w:t>的，用</w:t>
      </w:r>
      <w:r>
        <w:rPr>
          <w:rFonts w:hint="eastAsia" w:ascii="宋体" w:hAnsi="宋体" w:cs="宋体"/>
          <w:b/>
          <w:color w:val="auto"/>
          <w:szCs w:val="21"/>
          <w:highlight w:val="none"/>
        </w:rPr>
        <w:t>“○”</w:t>
      </w:r>
      <w:r>
        <w:rPr>
          <w:rFonts w:hint="eastAsia" w:ascii="宋体" w:hAnsi="宋体" w:cs="宋体"/>
          <w:color w:val="auto"/>
          <w:szCs w:val="21"/>
          <w:highlight w:val="none"/>
        </w:rPr>
        <w:t>表示；票决意见为“不投票”，用</w:t>
      </w:r>
      <w:r>
        <w:rPr>
          <w:rFonts w:hint="eastAsia" w:ascii="宋体" w:hAnsi="宋体" w:cs="宋体"/>
          <w:b/>
          <w:color w:val="auto"/>
          <w:szCs w:val="21"/>
          <w:highlight w:val="none"/>
        </w:rPr>
        <w:t>“×”</w:t>
      </w:r>
      <w:r>
        <w:rPr>
          <w:rFonts w:hint="eastAsia" w:ascii="宋体" w:hAnsi="宋体" w:cs="宋体"/>
          <w:color w:val="auto"/>
          <w:szCs w:val="21"/>
          <w:highlight w:val="none"/>
        </w:rPr>
        <w:t>表示。</w:t>
      </w:r>
    </w:p>
    <w:p w14:paraId="3DCD2123">
      <w:pPr>
        <w:numPr>
          <w:ilvl w:val="0"/>
          <w:numId w:val="0"/>
        </w:numPr>
        <w:spacing w:line="360" w:lineRule="auto"/>
        <w:ind w:left="-7"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3、若汇总出现得票数相同的情况按此表进行第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轮票决确定排序。</w:t>
      </w:r>
    </w:p>
    <w:p w14:paraId="1B714808">
      <w:pPr>
        <w:rPr>
          <w:rFonts w:hint="eastAsia" w:ascii="宋体" w:hAnsi="宋体" w:cs="宋体"/>
          <w:color w:val="auto"/>
          <w:sz w:val="24"/>
          <w:highlight w:val="none"/>
        </w:rPr>
      </w:pPr>
    </w:p>
    <w:p w14:paraId="285DA9BD">
      <w:pPr>
        <w:rPr>
          <w:rFonts w:hint="eastAsia" w:ascii="宋体" w:hAnsi="宋体" w:cs="宋体"/>
          <w:color w:val="auto"/>
          <w:sz w:val="24"/>
          <w:highlight w:val="none"/>
        </w:rPr>
      </w:pPr>
    </w:p>
    <w:p w14:paraId="45211BF6">
      <w:pPr>
        <w:rPr>
          <w:rFonts w:hint="eastAsia" w:ascii="宋体" w:hAnsi="宋体" w:cs="宋体"/>
          <w:color w:val="auto"/>
          <w:highlight w:val="none"/>
        </w:rPr>
      </w:pPr>
    </w:p>
    <w:p w14:paraId="0A564591">
      <w:pPr>
        <w:snapToGrid w:val="0"/>
        <w:spacing w:line="360" w:lineRule="atLeast"/>
        <w:jc w:val="left"/>
        <w:outlineLvl w:val="2"/>
        <w:rPr>
          <w:rFonts w:hint="eastAsia" w:ascii="宋体" w:hAnsi="宋体" w:cs="宋体"/>
          <w:color w:val="auto"/>
          <w:szCs w:val="21"/>
          <w:highlight w:val="none"/>
        </w:rPr>
      </w:pPr>
      <w:r>
        <w:rPr>
          <w:rFonts w:hint="eastAsia" w:ascii="宋体" w:hAnsi="宋体" w:cs="宋体"/>
          <w:color w:val="auto"/>
          <w:szCs w:val="21"/>
          <w:highlight w:val="none"/>
        </w:rPr>
        <w:t>定标委员签名：</w:t>
      </w:r>
    </w:p>
    <w:p w14:paraId="0ECC1A79">
      <w:pPr>
        <w:snapToGrid w:val="0"/>
        <w:spacing w:line="360" w:lineRule="atLeast"/>
        <w:jc w:val="left"/>
        <w:outlineLvl w:val="2"/>
        <w:rPr>
          <w:rFonts w:ascii="宋体" w:hAnsi="宋体" w:cs="宋体"/>
          <w:color w:val="auto"/>
          <w:szCs w:val="21"/>
          <w:highlight w:val="none"/>
        </w:rPr>
        <w:sectPr>
          <w:headerReference r:id="rId20" w:type="first"/>
          <w:footerReference r:id="rId22" w:type="first"/>
          <w:headerReference r:id="rId19" w:type="default"/>
          <w:footerReference r:id="rId21" w:type="default"/>
          <w:pgSz w:w="11906" w:h="16838"/>
          <w:pgMar w:top="1440" w:right="1080" w:bottom="1440" w:left="1080" w:header="851" w:footer="907" w:gutter="0"/>
          <w:pgNumType w:fmt="numberInDash"/>
          <w:cols w:space="720" w:num="1"/>
          <w:docGrid w:type="lines" w:linePitch="312" w:charSpace="0"/>
        </w:sectPr>
      </w:pPr>
      <w:r>
        <w:rPr>
          <w:rFonts w:hint="eastAsia" w:ascii="宋体" w:hAnsi="宋体" w:cs="宋体"/>
          <w:color w:val="auto"/>
          <w:szCs w:val="21"/>
          <w:highlight w:val="none"/>
        </w:rPr>
        <w:t>日期：     年   月   日</w:t>
      </w:r>
    </w:p>
    <w:p w14:paraId="4F49F76F">
      <w:pPr>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附表</w:t>
      </w:r>
      <w:r>
        <w:rPr>
          <w:rFonts w:hint="eastAsia" w:ascii="宋体" w:hAnsi="宋体" w:cs="宋体"/>
          <w:b/>
          <w:bCs/>
          <w:color w:val="auto"/>
          <w:sz w:val="28"/>
          <w:szCs w:val="28"/>
          <w:highlight w:val="none"/>
          <w:lang w:val="en-US" w:eastAsia="zh-CN"/>
        </w:rPr>
        <w:t>十三</w:t>
      </w:r>
    </w:p>
    <w:p w14:paraId="55EE2DB6">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组第</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轮）附加投票统计表（如有）</w:t>
      </w:r>
    </w:p>
    <w:p w14:paraId="7961A885">
      <w:pPr>
        <w:pStyle w:val="30"/>
        <w:jc w:val="center"/>
        <w:rPr>
          <w:rFonts w:hint="eastAsia"/>
          <w:b/>
          <w:bCs/>
          <w:color w:val="auto"/>
          <w:sz w:val="28"/>
          <w:szCs w:val="28"/>
          <w:highlight w:val="none"/>
        </w:rPr>
      </w:pPr>
      <w:r>
        <w:rPr>
          <w:rFonts w:hint="eastAsia" w:ascii="宋体" w:hAnsi="宋体" w:cs="宋体"/>
          <w:b/>
          <w:bCs/>
          <w:color w:val="auto"/>
          <w:sz w:val="28"/>
          <w:szCs w:val="28"/>
          <w:highlight w:val="none"/>
        </w:rPr>
        <w:t>（定标委员会汇总用表）</w:t>
      </w:r>
    </w:p>
    <w:p w14:paraId="36FBE1B0">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35"/>
        <w:gridCol w:w="955"/>
        <w:gridCol w:w="945"/>
        <w:gridCol w:w="945"/>
        <w:gridCol w:w="945"/>
      </w:tblGrid>
      <w:tr w14:paraId="4EE3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7CF24B7B">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6C520DE9">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731CA51">
            <w:pPr>
              <w:jc w:val="center"/>
              <w:rPr>
                <w:rFonts w:hint="eastAsia" w:ascii="宋体" w:hAnsi="宋体" w:cs="宋体"/>
                <w:b/>
                <w:color w:val="auto"/>
                <w:szCs w:val="21"/>
                <w:highlight w:val="none"/>
              </w:rPr>
            </w:pPr>
            <w:r>
              <w:rPr>
                <w:rFonts w:hint="eastAsia" w:ascii="宋体" w:hAnsi="宋体" w:cs="宋体"/>
                <w:b/>
                <w:color w:val="auto"/>
                <w:szCs w:val="21"/>
                <w:highlight w:val="none"/>
              </w:rPr>
              <w:t>定标因素得分排序</w:t>
            </w:r>
          </w:p>
        </w:tc>
        <w:tc>
          <w:tcPr>
            <w:tcW w:w="955" w:type="dxa"/>
            <w:tcBorders>
              <w:top w:val="single" w:color="auto" w:sz="4" w:space="0"/>
              <w:left w:val="single" w:color="auto" w:sz="4" w:space="0"/>
              <w:bottom w:val="single" w:color="auto" w:sz="4" w:space="0"/>
              <w:right w:val="single" w:color="auto" w:sz="4" w:space="0"/>
            </w:tcBorders>
            <w:noWrap w:val="0"/>
            <w:vAlign w:val="top"/>
          </w:tcPr>
          <w:p w14:paraId="51E079E9">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0DA6A7D">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4E1FFC7">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F79AB98">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轮排序</w:t>
            </w:r>
          </w:p>
        </w:tc>
      </w:tr>
      <w:tr w14:paraId="66B8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16A3C21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78598D7F">
            <w:pPr>
              <w:jc w:val="center"/>
              <w:rPr>
                <w:rFonts w:hint="eastAsia" w:ascii="宋体" w:hAnsi="宋体" w:cs="宋体"/>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0F58811">
            <w:pPr>
              <w:jc w:val="center"/>
              <w:rPr>
                <w:rFonts w:hint="eastAsia"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39A7786">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DDB8547">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5C060E2">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5C1936D">
            <w:pPr>
              <w:jc w:val="center"/>
              <w:rPr>
                <w:rFonts w:hint="eastAsia" w:ascii="宋体" w:hAnsi="宋体" w:cs="宋体"/>
                <w:color w:val="auto"/>
                <w:szCs w:val="21"/>
                <w:highlight w:val="none"/>
              </w:rPr>
            </w:pPr>
          </w:p>
        </w:tc>
      </w:tr>
      <w:tr w14:paraId="76E5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305A2C3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390CE9F3">
            <w:pPr>
              <w:jc w:val="center"/>
              <w:rPr>
                <w:rFonts w:hint="eastAsia" w:ascii="宋体" w:hAnsi="宋体" w:cs="宋体"/>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B49064F">
            <w:pPr>
              <w:jc w:val="center"/>
              <w:rPr>
                <w:rFonts w:hint="eastAsia"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4F38311">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A81FBE5">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7F90809">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575D4B9">
            <w:pPr>
              <w:jc w:val="center"/>
              <w:rPr>
                <w:rFonts w:hint="eastAsia" w:ascii="宋体" w:hAnsi="宋体" w:cs="宋体"/>
                <w:color w:val="auto"/>
                <w:szCs w:val="21"/>
                <w:highlight w:val="none"/>
              </w:rPr>
            </w:pPr>
          </w:p>
        </w:tc>
      </w:tr>
      <w:tr w14:paraId="0FAE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3930C9FC">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587BEFE6">
            <w:pPr>
              <w:jc w:val="center"/>
              <w:rPr>
                <w:rFonts w:hint="eastAsia" w:ascii="宋体" w:hAnsi="宋体" w:cs="宋体"/>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65BD9CF">
            <w:pPr>
              <w:jc w:val="center"/>
              <w:rPr>
                <w:rFonts w:hint="eastAsia"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84F4213">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84FC5BD">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760613D">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FA31D73">
            <w:pPr>
              <w:jc w:val="center"/>
              <w:rPr>
                <w:rFonts w:hint="eastAsia" w:ascii="宋体" w:hAnsi="宋体" w:cs="宋体"/>
                <w:color w:val="auto"/>
                <w:szCs w:val="21"/>
                <w:highlight w:val="none"/>
              </w:rPr>
            </w:pPr>
          </w:p>
        </w:tc>
      </w:tr>
    </w:tbl>
    <w:p w14:paraId="715BD1FB">
      <w:pPr>
        <w:spacing w:line="600" w:lineRule="exact"/>
        <w:ind w:right="-9"/>
        <w:jc w:val="center"/>
        <w:rPr>
          <w:rFonts w:hint="eastAsia" w:ascii="宋体" w:hAnsi="宋体" w:cs="宋体"/>
          <w:color w:val="auto"/>
          <w:sz w:val="24"/>
          <w:highlight w:val="none"/>
        </w:rPr>
      </w:pPr>
    </w:p>
    <w:p w14:paraId="04B779D9">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备注：按得票数由多至少，在延续定标因素得分排序的基础上进行排序，票数多的排序靠前，得票数相同的合格中标候选人进行再次票决确定排序。</w:t>
      </w:r>
    </w:p>
    <w:p w14:paraId="3F2E6259">
      <w:pPr>
        <w:spacing w:line="360" w:lineRule="auto"/>
        <w:ind w:right="420"/>
        <w:rPr>
          <w:rFonts w:hint="eastAsia" w:ascii="宋体" w:hAnsi="宋体" w:cs="宋体"/>
          <w:color w:val="auto"/>
          <w:highlight w:val="none"/>
        </w:rPr>
      </w:pPr>
    </w:p>
    <w:p w14:paraId="79244B52">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 xml:space="preserve">定标委员会全体成员签名：  </w:t>
      </w:r>
    </w:p>
    <w:p w14:paraId="0CF59A56">
      <w:pPr>
        <w:spacing w:line="360" w:lineRule="exact"/>
        <w:ind w:right="-325" w:rightChars="-155"/>
        <w:jc w:val="left"/>
        <w:rPr>
          <w:rFonts w:ascii="宋体" w:hAnsi="宋体" w:cs="宋体"/>
          <w:color w:val="auto"/>
          <w:szCs w:val="21"/>
          <w:highlight w:val="none"/>
        </w:rPr>
        <w:sectPr>
          <w:headerReference r:id="rId24" w:type="first"/>
          <w:footerReference r:id="rId26" w:type="first"/>
          <w:headerReference r:id="rId23" w:type="default"/>
          <w:footerReference r:id="rId25" w:type="default"/>
          <w:pgSz w:w="11906" w:h="16838"/>
          <w:pgMar w:top="1440" w:right="1080" w:bottom="1440" w:left="1080" w:header="851" w:footer="680" w:gutter="0"/>
          <w:pgNumType w:fmt="numberInDash"/>
          <w:cols w:space="720" w:num="1"/>
          <w:docGrid w:type="lines" w:linePitch="312" w:charSpace="0"/>
        </w:sectPr>
      </w:pPr>
      <w:r>
        <w:rPr>
          <w:rFonts w:hint="eastAsia" w:ascii="宋体" w:hAnsi="宋体" w:cs="宋体"/>
          <w:color w:val="auto"/>
          <w:szCs w:val="21"/>
          <w:highlight w:val="none"/>
        </w:rPr>
        <w:t>日期：     年   月   日</w:t>
      </w:r>
    </w:p>
    <w:p w14:paraId="5677A0E1">
      <w:pPr>
        <w:rPr>
          <w:rFonts w:hint="eastAsia" w:ascii="宋体" w:hAnsi="Courier New" w:eastAsia="宋体"/>
          <w:b/>
          <w:bCs/>
          <w:color w:val="auto"/>
          <w:kern w:val="0"/>
          <w:sz w:val="28"/>
          <w:szCs w:val="28"/>
          <w:highlight w:val="none"/>
          <w:lang w:eastAsia="zh-CN"/>
        </w:rPr>
      </w:pPr>
      <w:r>
        <w:rPr>
          <w:rFonts w:hint="eastAsia" w:ascii="宋体" w:hAnsi="Courier New"/>
          <w:b/>
          <w:bCs/>
          <w:color w:val="auto"/>
          <w:kern w:val="0"/>
          <w:sz w:val="28"/>
          <w:szCs w:val="28"/>
          <w:highlight w:val="none"/>
        </w:rPr>
        <w:t>附表</w:t>
      </w:r>
      <w:r>
        <w:rPr>
          <w:rFonts w:hint="eastAsia" w:ascii="宋体" w:hAnsi="Courier New"/>
          <w:b/>
          <w:bCs/>
          <w:color w:val="auto"/>
          <w:kern w:val="0"/>
          <w:sz w:val="28"/>
          <w:szCs w:val="28"/>
          <w:highlight w:val="none"/>
          <w:lang w:val="en-US" w:eastAsia="zh-CN"/>
        </w:rPr>
        <w:t>十四</w:t>
      </w:r>
    </w:p>
    <w:p w14:paraId="0A47F1C0">
      <w:pPr>
        <w:jc w:val="center"/>
        <w:rPr>
          <w:rFonts w:hint="eastAsia" w:ascii="宋体" w:hAnsi="宋体"/>
          <w:b/>
          <w:bCs/>
          <w:color w:val="auto"/>
          <w:sz w:val="28"/>
          <w:szCs w:val="28"/>
          <w:highlight w:val="none"/>
        </w:rPr>
      </w:pPr>
      <w:r>
        <w:rPr>
          <w:rFonts w:hint="eastAsia" w:ascii="宋体" w:hAnsi="宋体"/>
          <w:b/>
          <w:bCs/>
          <w:color w:val="auto"/>
          <w:sz w:val="28"/>
          <w:szCs w:val="28"/>
          <w:highlight w:val="none"/>
        </w:rPr>
        <w:t>定标情况汇总表（定标阶段）</w:t>
      </w:r>
    </w:p>
    <w:p w14:paraId="4349A6B0">
      <w:pPr>
        <w:pStyle w:val="30"/>
        <w:rPr>
          <w:rFonts w:hint="eastAsia"/>
          <w:color w:val="auto"/>
          <w:highlight w:val="none"/>
        </w:rPr>
      </w:pPr>
    </w:p>
    <w:p w14:paraId="5364EE01">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37"/>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3434"/>
        <w:gridCol w:w="1433"/>
        <w:gridCol w:w="1411"/>
        <w:gridCol w:w="2257"/>
      </w:tblGrid>
      <w:tr w14:paraId="4DFD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78518249">
            <w:pPr>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1879" w:type="pct"/>
            <w:tcBorders>
              <w:top w:val="single" w:color="auto" w:sz="4" w:space="0"/>
              <w:left w:val="nil"/>
              <w:bottom w:val="single" w:color="auto" w:sz="4" w:space="0"/>
              <w:right w:val="single" w:color="auto" w:sz="4" w:space="0"/>
            </w:tcBorders>
            <w:noWrap w:val="0"/>
            <w:vAlign w:val="center"/>
          </w:tcPr>
          <w:p w14:paraId="0210535B">
            <w:pPr>
              <w:jc w:val="center"/>
              <w:rPr>
                <w:rFonts w:ascii="宋体" w:hAnsi="宋体" w:cs="宋体"/>
                <w:b/>
                <w:color w:val="auto"/>
                <w:szCs w:val="24"/>
                <w:highlight w:val="none"/>
              </w:rPr>
            </w:pPr>
            <w:r>
              <w:rPr>
                <w:rFonts w:hint="eastAsia" w:ascii="宋体" w:hAnsi="宋体" w:cs="宋体"/>
                <w:b/>
                <w:color w:val="auto"/>
                <w:szCs w:val="24"/>
                <w:highlight w:val="none"/>
              </w:rPr>
              <w:t>合格中标候选人名称</w:t>
            </w:r>
          </w:p>
        </w:tc>
        <w:tc>
          <w:tcPr>
            <w:tcW w:w="784" w:type="pct"/>
            <w:tcBorders>
              <w:top w:val="single" w:color="auto" w:sz="4" w:space="0"/>
              <w:left w:val="nil"/>
              <w:bottom w:val="single" w:color="auto" w:sz="4" w:space="0"/>
              <w:right w:val="single" w:color="auto" w:sz="4" w:space="0"/>
            </w:tcBorders>
            <w:noWrap w:val="0"/>
            <w:vAlign w:val="center"/>
          </w:tcPr>
          <w:p w14:paraId="1F8F8E12">
            <w:pPr>
              <w:jc w:val="center"/>
              <w:rPr>
                <w:rFonts w:ascii="宋体" w:hAnsi="宋体" w:cs="宋体"/>
                <w:b/>
                <w:color w:val="auto"/>
                <w:szCs w:val="24"/>
                <w:highlight w:val="none"/>
              </w:rPr>
            </w:pPr>
            <w:r>
              <w:rPr>
                <w:rFonts w:hint="eastAsia" w:ascii="宋体" w:hAnsi="宋体" w:cs="宋体"/>
                <w:b/>
                <w:color w:val="auto"/>
                <w:szCs w:val="24"/>
                <w:highlight w:val="none"/>
              </w:rPr>
              <w:t>总得分</w:t>
            </w:r>
          </w:p>
        </w:tc>
        <w:tc>
          <w:tcPr>
            <w:tcW w:w="772" w:type="pct"/>
            <w:tcBorders>
              <w:top w:val="single" w:color="auto" w:sz="4" w:space="0"/>
              <w:left w:val="nil"/>
              <w:bottom w:val="single" w:color="auto" w:sz="4" w:space="0"/>
              <w:right w:val="single" w:color="auto" w:sz="4" w:space="0"/>
            </w:tcBorders>
            <w:noWrap w:val="0"/>
            <w:vAlign w:val="top"/>
          </w:tcPr>
          <w:p w14:paraId="0F6ED937">
            <w:pPr>
              <w:jc w:val="center"/>
              <w:rPr>
                <w:rFonts w:hint="eastAsia" w:ascii="宋体" w:hAnsi="宋体" w:cs="宋体"/>
                <w:b/>
                <w:color w:val="auto"/>
                <w:szCs w:val="24"/>
                <w:highlight w:val="none"/>
              </w:rPr>
            </w:pPr>
            <w:r>
              <w:rPr>
                <w:rFonts w:hint="eastAsia" w:ascii="宋体" w:hAnsi="宋体" w:cs="宋体"/>
                <w:b/>
                <w:color w:val="auto"/>
                <w:szCs w:val="24"/>
                <w:highlight w:val="none"/>
              </w:rPr>
              <w:t>附加得票数</w:t>
            </w:r>
          </w:p>
          <w:p w14:paraId="75328D80">
            <w:pPr>
              <w:jc w:val="center"/>
              <w:rPr>
                <w:rFonts w:hint="eastAsia" w:ascii="宋体" w:hAnsi="宋体" w:cs="宋体"/>
                <w:b/>
                <w:color w:val="auto"/>
                <w:szCs w:val="24"/>
                <w:highlight w:val="none"/>
              </w:rPr>
            </w:pPr>
            <w:r>
              <w:rPr>
                <w:rFonts w:hint="eastAsia" w:ascii="宋体" w:hAnsi="宋体" w:cs="宋体"/>
                <w:b/>
                <w:color w:val="auto"/>
                <w:szCs w:val="24"/>
                <w:highlight w:val="none"/>
              </w:rPr>
              <w:t>（如有）</w:t>
            </w:r>
          </w:p>
        </w:tc>
        <w:tc>
          <w:tcPr>
            <w:tcW w:w="1235" w:type="pct"/>
            <w:tcBorders>
              <w:top w:val="single" w:color="auto" w:sz="4" w:space="0"/>
              <w:left w:val="nil"/>
              <w:bottom w:val="single" w:color="auto" w:sz="4" w:space="0"/>
              <w:right w:val="single" w:color="auto" w:sz="4" w:space="0"/>
            </w:tcBorders>
            <w:noWrap w:val="0"/>
            <w:vAlign w:val="center"/>
          </w:tcPr>
          <w:p w14:paraId="43134685">
            <w:pPr>
              <w:jc w:val="center"/>
              <w:rPr>
                <w:rFonts w:hint="eastAsia" w:ascii="宋体" w:hAnsi="宋体" w:cs="宋体"/>
                <w:b/>
                <w:color w:val="auto"/>
                <w:szCs w:val="24"/>
                <w:highlight w:val="none"/>
              </w:rPr>
            </w:pPr>
            <w:r>
              <w:rPr>
                <w:rFonts w:hint="eastAsia" w:ascii="宋体" w:hAnsi="宋体" w:cs="宋体"/>
                <w:b/>
                <w:color w:val="auto"/>
                <w:szCs w:val="24"/>
                <w:highlight w:val="none"/>
              </w:rPr>
              <w:t>是否被确定为中标人</w:t>
            </w:r>
          </w:p>
        </w:tc>
      </w:tr>
      <w:tr w14:paraId="7CC8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5658A247">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79" w:type="pct"/>
            <w:tcBorders>
              <w:top w:val="single" w:color="auto" w:sz="4" w:space="0"/>
              <w:left w:val="nil"/>
              <w:bottom w:val="single" w:color="auto" w:sz="4" w:space="0"/>
              <w:right w:val="single" w:color="auto" w:sz="4" w:space="0"/>
            </w:tcBorders>
            <w:noWrap w:val="0"/>
            <w:vAlign w:val="center"/>
          </w:tcPr>
          <w:p w14:paraId="1DD708BD">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368300C8">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79C14F6D">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1683B391">
            <w:pPr>
              <w:jc w:val="center"/>
              <w:rPr>
                <w:rFonts w:ascii="宋体" w:hAnsi="宋体" w:cs="宋体"/>
                <w:color w:val="auto"/>
                <w:sz w:val="24"/>
                <w:szCs w:val="24"/>
                <w:highlight w:val="none"/>
              </w:rPr>
            </w:pPr>
          </w:p>
        </w:tc>
      </w:tr>
      <w:tr w14:paraId="0DF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1EE08FA0">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79" w:type="pct"/>
            <w:tcBorders>
              <w:top w:val="single" w:color="auto" w:sz="4" w:space="0"/>
              <w:left w:val="nil"/>
              <w:bottom w:val="single" w:color="auto" w:sz="4" w:space="0"/>
              <w:right w:val="single" w:color="auto" w:sz="4" w:space="0"/>
            </w:tcBorders>
            <w:noWrap w:val="0"/>
            <w:vAlign w:val="center"/>
          </w:tcPr>
          <w:p w14:paraId="49E66C51">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64BE4A49">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18F88602">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44AFD95D">
            <w:pPr>
              <w:jc w:val="center"/>
              <w:rPr>
                <w:rFonts w:ascii="宋体" w:hAnsi="宋体" w:cs="宋体"/>
                <w:color w:val="auto"/>
                <w:sz w:val="24"/>
                <w:szCs w:val="24"/>
                <w:highlight w:val="none"/>
              </w:rPr>
            </w:pPr>
          </w:p>
        </w:tc>
      </w:tr>
      <w:tr w14:paraId="7BD7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398D4796">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79" w:type="pct"/>
            <w:tcBorders>
              <w:top w:val="single" w:color="auto" w:sz="4" w:space="0"/>
              <w:left w:val="nil"/>
              <w:bottom w:val="single" w:color="auto" w:sz="4" w:space="0"/>
              <w:right w:val="single" w:color="auto" w:sz="4" w:space="0"/>
            </w:tcBorders>
            <w:noWrap w:val="0"/>
            <w:vAlign w:val="center"/>
          </w:tcPr>
          <w:p w14:paraId="6FE2EF97">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427E4B2E">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52633466">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2CF4593D">
            <w:pPr>
              <w:jc w:val="center"/>
              <w:rPr>
                <w:rFonts w:ascii="宋体" w:hAnsi="宋体" w:cs="宋体"/>
                <w:color w:val="auto"/>
                <w:sz w:val="24"/>
                <w:szCs w:val="24"/>
                <w:highlight w:val="none"/>
              </w:rPr>
            </w:pPr>
          </w:p>
        </w:tc>
      </w:tr>
      <w:tr w14:paraId="5D75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3C46C88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879" w:type="pct"/>
            <w:tcBorders>
              <w:top w:val="single" w:color="auto" w:sz="4" w:space="0"/>
              <w:left w:val="nil"/>
              <w:bottom w:val="single" w:color="auto" w:sz="4" w:space="0"/>
              <w:right w:val="single" w:color="auto" w:sz="4" w:space="0"/>
            </w:tcBorders>
            <w:noWrap w:val="0"/>
            <w:vAlign w:val="center"/>
          </w:tcPr>
          <w:p w14:paraId="7D086198">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4674B8D2">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1E7E2B15">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34EC6E17">
            <w:pPr>
              <w:jc w:val="center"/>
              <w:rPr>
                <w:rFonts w:ascii="宋体" w:hAnsi="宋体" w:cs="宋体"/>
                <w:color w:val="auto"/>
                <w:sz w:val="24"/>
                <w:szCs w:val="24"/>
                <w:highlight w:val="none"/>
              </w:rPr>
            </w:pPr>
          </w:p>
        </w:tc>
      </w:tr>
      <w:tr w14:paraId="3202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1C60CE0C">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879" w:type="pct"/>
            <w:tcBorders>
              <w:top w:val="single" w:color="auto" w:sz="4" w:space="0"/>
              <w:left w:val="nil"/>
              <w:bottom w:val="single" w:color="auto" w:sz="4" w:space="0"/>
              <w:right w:val="single" w:color="auto" w:sz="4" w:space="0"/>
            </w:tcBorders>
            <w:noWrap w:val="0"/>
            <w:vAlign w:val="center"/>
          </w:tcPr>
          <w:p w14:paraId="274946CA">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02A3DD9D">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4BAA0B2B">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214FC9CD">
            <w:pPr>
              <w:jc w:val="center"/>
              <w:rPr>
                <w:rFonts w:ascii="宋体" w:hAnsi="宋体" w:cs="宋体"/>
                <w:color w:val="auto"/>
                <w:sz w:val="24"/>
                <w:szCs w:val="24"/>
                <w:highlight w:val="none"/>
              </w:rPr>
            </w:pPr>
          </w:p>
        </w:tc>
      </w:tr>
    </w:tbl>
    <w:p w14:paraId="4EE27FCF">
      <w:pPr>
        <w:rPr>
          <w:rFonts w:hint="eastAsia" w:ascii="宋体" w:hAnsi="宋体" w:cs="宋体"/>
          <w:color w:val="auto"/>
          <w:szCs w:val="21"/>
          <w:highlight w:val="none"/>
        </w:rPr>
      </w:pPr>
      <w:r>
        <w:rPr>
          <w:rFonts w:hint="eastAsia" w:ascii="宋体" w:hAnsi="宋体" w:cs="宋体"/>
          <w:color w:val="auto"/>
          <w:szCs w:val="21"/>
          <w:highlight w:val="none"/>
        </w:rPr>
        <w:t>注：得分最高的合格中标候选人直接确定为中标人。</w:t>
      </w:r>
    </w:p>
    <w:p w14:paraId="288E585C">
      <w:pPr>
        <w:spacing w:line="400" w:lineRule="exact"/>
        <w:rPr>
          <w:rFonts w:hint="eastAsia" w:ascii="宋体" w:hAnsi="宋体"/>
          <w:color w:val="auto"/>
          <w:szCs w:val="21"/>
          <w:highlight w:val="none"/>
        </w:rPr>
      </w:pPr>
    </w:p>
    <w:p w14:paraId="56D24337">
      <w:pPr>
        <w:spacing w:line="400" w:lineRule="exact"/>
        <w:rPr>
          <w:rFonts w:hint="eastAsia" w:ascii="宋体" w:hAnsi="宋体"/>
          <w:color w:val="auto"/>
          <w:szCs w:val="21"/>
          <w:highlight w:val="none"/>
        </w:rPr>
      </w:pPr>
    </w:p>
    <w:p w14:paraId="7307EE52">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 xml:space="preserve">定标委员会全体成员签名：  </w:t>
      </w:r>
    </w:p>
    <w:p w14:paraId="4B56CB8D">
      <w:pPr>
        <w:spacing w:line="360" w:lineRule="exact"/>
        <w:ind w:right="-325" w:rightChars="-155" w:firstLine="480"/>
        <w:jc w:val="left"/>
        <w:rPr>
          <w:color w:val="auto"/>
          <w:highlight w:val="none"/>
        </w:rPr>
      </w:pPr>
      <w:r>
        <w:rPr>
          <w:rFonts w:hint="eastAsia" w:ascii="宋体" w:hAnsi="宋体" w:cs="宋体"/>
          <w:color w:val="auto"/>
          <w:szCs w:val="21"/>
          <w:highlight w:val="none"/>
        </w:rPr>
        <w:t xml:space="preserve">日期：     年   月  </w:t>
      </w:r>
      <w:r>
        <w:rPr>
          <w:rFonts w:hint="eastAsia" w:ascii="宋体" w:hAnsi="宋体" w:cs="宋体"/>
          <w:color w:val="auto"/>
          <w:szCs w:val="21"/>
          <w:highlight w:val="none"/>
          <w:lang w:val="en-US" w:eastAsia="zh-CN"/>
        </w:rPr>
        <w:t xml:space="preserve">  日</w:t>
      </w:r>
      <w:r>
        <w:rPr>
          <w:rFonts w:hint="eastAsia" w:hAnsi="宋体" w:cs="宋体"/>
          <w:color w:val="auto"/>
          <w:szCs w:val="21"/>
          <w:highlight w:val="none"/>
        </w:rPr>
        <w:t xml:space="preserve">   </w:t>
      </w:r>
    </w:p>
    <w:p w14:paraId="0CC077EB">
      <w:pPr>
        <w:jc w:val="both"/>
        <w:rPr>
          <w:rFonts w:hint="eastAsia"/>
          <w:color w:val="auto"/>
          <w:sz w:val="28"/>
          <w:szCs w:val="28"/>
          <w:highlight w:val="none"/>
        </w:rPr>
      </w:pPr>
    </w:p>
    <w:p w14:paraId="120C72E5">
      <w:pPr>
        <w:jc w:val="both"/>
        <w:rPr>
          <w:rFonts w:hint="eastAsia"/>
          <w:color w:val="auto"/>
          <w:sz w:val="28"/>
          <w:szCs w:val="28"/>
          <w:highlight w:val="none"/>
        </w:rPr>
      </w:pPr>
    </w:p>
    <w:p w14:paraId="34056FA9">
      <w:pPr>
        <w:jc w:val="left"/>
        <w:rPr>
          <w:rFonts w:hint="eastAsia"/>
          <w:color w:val="auto"/>
          <w:sz w:val="28"/>
          <w:szCs w:val="28"/>
          <w:highlight w:val="none"/>
        </w:rPr>
      </w:pPr>
      <w:r>
        <w:rPr>
          <w:rFonts w:hint="eastAsia"/>
          <w:color w:val="auto"/>
          <w:sz w:val="28"/>
          <w:szCs w:val="28"/>
          <w:highlight w:val="none"/>
        </w:rPr>
        <w:br w:type="page"/>
      </w:r>
    </w:p>
    <w:p w14:paraId="60A4036B">
      <w:pPr>
        <w:jc w:val="left"/>
        <w:rPr>
          <w:rFonts w:hint="default" w:eastAsia="宋体"/>
          <w:b/>
          <w:color w:val="auto"/>
          <w:kern w:val="0"/>
          <w:sz w:val="44"/>
          <w:szCs w:val="44"/>
          <w:highlight w:val="none"/>
          <w:lang w:val="en-US"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十五</w:t>
      </w:r>
    </w:p>
    <w:p w14:paraId="5422376D">
      <w:pPr>
        <w:jc w:val="center"/>
        <w:rPr>
          <w:rFonts w:hint="eastAsia"/>
          <w:b/>
          <w:color w:val="auto"/>
          <w:kern w:val="0"/>
          <w:sz w:val="44"/>
          <w:szCs w:val="44"/>
          <w:highlight w:val="none"/>
        </w:rPr>
      </w:pPr>
      <w:r>
        <w:rPr>
          <w:rFonts w:hint="eastAsia"/>
          <w:b/>
          <w:color w:val="auto"/>
          <w:kern w:val="0"/>
          <w:sz w:val="44"/>
          <w:szCs w:val="44"/>
          <w:highlight w:val="none"/>
        </w:rPr>
        <w:t>评标委员会成员声明</w:t>
      </w:r>
    </w:p>
    <w:p w14:paraId="24FFDA4E">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3CEE9C34">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项目的评标工作，作出郑重声明：</w:t>
      </w:r>
    </w:p>
    <w:p w14:paraId="2E996EC4">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CAECCF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3CF59D8">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3B62424">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1B4E420">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4E9B6B2">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610EAFEE">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p>
    <w:p w14:paraId="4D77A264">
      <w:pPr>
        <w:pStyle w:val="36"/>
        <w:rPr>
          <w:color w:val="auto"/>
          <w:highlight w:val="none"/>
        </w:rPr>
        <w:sectPr>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olor w:val="auto"/>
          <w:sz w:val="24"/>
          <w:szCs w:val="24"/>
          <w:highlight w:val="none"/>
        </w:rPr>
        <w:t xml:space="preserve">                             声明人：</w:t>
      </w:r>
      <w:r>
        <w:rPr>
          <w:rFonts w:hint="eastAsia" w:ascii="宋体" w:hAnsi="宋体" w:eastAsia="宋体"/>
          <w:color w:val="auto"/>
          <w:sz w:val="24"/>
          <w:szCs w:val="24"/>
          <w:highlight w:val="none"/>
          <w:u w:val="single"/>
        </w:rPr>
        <w:t xml:space="preserve">（签名）  </w:t>
      </w:r>
    </w:p>
    <w:p w14:paraId="29DADD99">
      <w:pPr>
        <w:pStyle w:val="2"/>
        <w:jc w:val="center"/>
        <w:rPr>
          <w:rFonts w:hint="eastAsia" w:eastAsia="宋体"/>
          <w:b/>
          <w:bCs/>
          <w:color w:val="auto"/>
          <w:highlight w:val="none"/>
          <w:lang w:eastAsia="zh-CN"/>
        </w:rPr>
      </w:pPr>
      <w:bookmarkStart w:id="79" w:name="_Toc15112"/>
      <w:bookmarkStart w:id="80" w:name="_Toc14904"/>
      <w:bookmarkStart w:id="81" w:name="_Toc2272566"/>
      <w:bookmarkStart w:id="82" w:name="_Toc21525511"/>
      <w:bookmarkStart w:id="83" w:name="_Toc25611"/>
      <w:r>
        <w:rPr>
          <w:rFonts w:hint="eastAsia"/>
          <w:b/>
          <w:bCs/>
          <w:color w:val="auto"/>
          <w:highlight w:val="none"/>
          <w:lang w:val="en-US" w:eastAsia="zh-CN"/>
        </w:rPr>
        <w:t xml:space="preserve">第三章 </w:t>
      </w:r>
      <w:r>
        <w:rPr>
          <w:rFonts w:hint="eastAsia"/>
          <w:b/>
          <w:bCs/>
          <w:color w:val="auto"/>
          <w:highlight w:val="none"/>
        </w:rPr>
        <w:t>合同条款</w:t>
      </w:r>
      <w:r>
        <w:rPr>
          <w:rFonts w:hint="eastAsia"/>
          <w:b/>
          <w:bCs/>
          <w:color w:val="auto"/>
          <w:highlight w:val="none"/>
          <w:lang w:eastAsia="zh-CN"/>
        </w:rPr>
        <w:t>及格式</w:t>
      </w:r>
    </w:p>
    <w:p w14:paraId="4F5C2506">
      <w:pPr>
        <w:spacing w:line="360" w:lineRule="auto"/>
        <w:rPr>
          <w:rFonts w:hint="eastAsia" w:ascii="宋体" w:hAnsi="宋体" w:eastAsia="宋体" w:cs="宋体"/>
          <w:color w:val="auto"/>
          <w:szCs w:val="21"/>
          <w:highlight w:val="none"/>
          <w:lang w:val="en-US" w:eastAsia="zh-CN"/>
        </w:rPr>
      </w:pPr>
      <w:bookmarkStart w:id="84" w:name="_Toc504659100"/>
      <w:bookmarkStart w:id="85" w:name="_Toc504053942"/>
      <w:bookmarkStart w:id="86" w:name="_Toc5789"/>
      <w:bookmarkStart w:id="87" w:name="_Toc500249621"/>
      <w:r>
        <w:rPr>
          <w:rFonts w:hint="eastAsia" w:ascii="宋体" w:hAnsi="宋体" w:eastAsia="宋体" w:cs="宋体"/>
          <w:color w:val="auto"/>
          <w:szCs w:val="21"/>
          <w:highlight w:val="none"/>
        </w:rPr>
        <w:t>合同编号：中新知建管施[</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号/</w:t>
      </w:r>
    </w:p>
    <w:p w14:paraId="74730883">
      <w:pPr>
        <w:spacing w:line="360" w:lineRule="auto"/>
        <w:rPr>
          <w:rFonts w:ascii="宋体" w:hAnsi="宋体" w:eastAsia="宋体" w:cs="宋体"/>
          <w:color w:val="auto"/>
          <w:highlight w:val="none"/>
        </w:rPr>
      </w:pPr>
      <w:r>
        <w:rPr>
          <w:rFonts w:hint="eastAsia" w:ascii="宋体" w:hAnsi="宋体" w:eastAsia="宋体" w:cs="宋体"/>
          <w:color w:val="auto"/>
          <w:sz w:val="30"/>
          <w:szCs w:val="24"/>
          <w:highlight w:val="none"/>
        </w:rPr>
        <w:drawing>
          <wp:anchor distT="0" distB="0" distL="114300" distR="114300" simplePos="0" relativeHeight="251660288" behindDoc="1" locked="0" layoutInCell="1" allowOverlap="1">
            <wp:simplePos x="0" y="0"/>
            <wp:positionH relativeFrom="column">
              <wp:posOffset>29210</wp:posOffset>
            </wp:positionH>
            <wp:positionV relativeFrom="paragraph">
              <wp:posOffset>83820</wp:posOffset>
            </wp:positionV>
            <wp:extent cx="4730115" cy="1774190"/>
            <wp:effectExtent l="0" t="0" r="13335" b="16510"/>
            <wp:wrapNone/>
            <wp:docPr id="41" name="图片 2"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descr="说明: D:\我的文档\Documents\Tencent Files\294312491\FileRecv\SSGKC Inline_Colour Logo.jpg"/>
                    <pic:cNvPicPr>
                      <a:picLocks noChangeAspect="1"/>
                    </pic:cNvPicPr>
                  </pic:nvPicPr>
                  <pic:blipFill>
                    <a:blip r:embed="rId34"/>
                    <a:stretch>
                      <a:fillRect/>
                    </a:stretch>
                  </pic:blipFill>
                  <pic:spPr>
                    <a:xfrm>
                      <a:off x="0" y="0"/>
                      <a:ext cx="4730115" cy="1774190"/>
                    </a:xfrm>
                    <a:prstGeom prst="rect">
                      <a:avLst/>
                    </a:prstGeom>
                    <a:noFill/>
                    <a:ln>
                      <a:noFill/>
                    </a:ln>
                  </pic:spPr>
                </pic:pic>
              </a:graphicData>
            </a:graphic>
          </wp:anchor>
        </w:drawing>
      </w:r>
    </w:p>
    <w:p w14:paraId="506ABE18">
      <w:pPr>
        <w:spacing w:line="360" w:lineRule="auto"/>
        <w:rPr>
          <w:rFonts w:ascii="宋体" w:hAnsi="宋体" w:eastAsia="宋体" w:cs="宋体"/>
          <w:color w:val="auto"/>
          <w:highlight w:val="none"/>
        </w:rPr>
      </w:pPr>
    </w:p>
    <w:p w14:paraId="33AD4CE7">
      <w:pPr>
        <w:spacing w:line="360" w:lineRule="auto"/>
        <w:rPr>
          <w:rFonts w:ascii="宋体" w:hAnsi="宋体" w:eastAsia="宋体" w:cs="宋体"/>
          <w:color w:val="auto"/>
          <w:highlight w:val="none"/>
        </w:rPr>
      </w:pPr>
    </w:p>
    <w:p w14:paraId="424D8DEA">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14:paraId="2F09F2E3">
      <w:pPr>
        <w:spacing w:line="360" w:lineRule="auto"/>
        <w:jc w:val="center"/>
        <w:rPr>
          <w:rFonts w:hint="eastAsia" w:ascii="宋体" w:hAnsi="宋体" w:eastAsia="宋体" w:cs="宋体"/>
          <w:b/>
          <w:color w:val="auto"/>
          <w:sz w:val="84"/>
          <w:szCs w:val="84"/>
          <w:highlight w:val="none"/>
        </w:rPr>
      </w:pPr>
    </w:p>
    <w:p w14:paraId="5C5A9413">
      <w:pPr>
        <w:spacing w:line="360" w:lineRule="auto"/>
        <w:jc w:val="center"/>
        <w:rPr>
          <w:rFonts w:ascii="宋体" w:hAnsi="宋体" w:eastAsia="宋体" w:cs="宋体"/>
          <w:b/>
          <w:color w:val="auto"/>
          <w:sz w:val="84"/>
          <w:szCs w:val="84"/>
          <w:highlight w:val="none"/>
        </w:rPr>
      </w:pPr>
      <w:r>
        <w:rPr>
          <w:rFonts w:hint="eastAsia" w:ascii="宋体" w:hAnsi="宋体" w:eastAsia="宋体" w:cs="宋体"/>
          <w:b/>
          <w:color w:val="auto"/>
          <w:sz w:val="84"/>
          <w:szCs w:val="84"/>
          <w:highlight w:val="none"/>
        </w:rPr>
        <w:t>建设工程施工合同</w:t>
      </w:r>
    </w:p>
    <w:p w14:paraId="6642D06E">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项目名称：</w:t>
      </w:r>
      <w:r>
        <w:rPr>
          <w:rFonts w:hint="eastAsia" w:ascii="宋体" w:hAnsi="宋体" w:eastAsia="宋体" w:cs="宋体"/>
          <w:color w:val="auto"/>
          <w:sz w:val="21"/>
          <w:szCs w:val="21"/>
          <w:highlight w:val="none"/>
          <w:u w:val="single"/>
          <w:lang w:val="en-US" w:eastAsia="zh-CN"/>
        </w:rPr>
        <w:t xml:space="preserve"> </w:t>
      </w:r>
    </w:p>
    <w:p w14:paraId="67C1A5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发包人：</w:t>
      </w:r>
      <w:r>
        <w:rPr>
          <w:rFonts w:hint="eastAsia" w:ascii="宋体" w:hAnsi="宋体" w:eastAsia="宋体" w:cs="宋体"/>
          <w:color w:val="auto"/>
          <w:sz w:val="21"/>
          <w:szCs w:val="21"/>
          <w:highlight w:val="none"/>
          <w:u w:val="single"/>
        </w:rPr>
        <w:t>中新广州知识城财政投资建设项目管理中心</w:t>
      </w:r>
    </w:p>
    <w:p w14:paraId="282C8DB7">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承包人：</w:t>
      </w:r>
      <w:r>
        <w:rPr>
          <w:rFonts w:hint="eastAsia" w:ascii="宋体" w:hAnsi="宋体" w:eastAsia="宋体" w:cs="宋体"/>
          <w:color w:val="auto"/>
          <w:sz w:val="21"/>
          <w:szCs w:val="21"/>
          <w:highlight w:val="none"/>
          <w:u w:val="single"/>
          <w:lang w:val="en-US" w:eastAsia="zh-CN"/>
        </w:rPr>
        <w:t xml:space="preserve"> </w:t>
      </w:r>
    </w:p>
    <w:p w14:paraId="4F4B8023">
      <w:pPr>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合同签订日期：</w:t>
      </w:r>
      <w:r>
        <w:rPr>
          <w:rFonts w:hint="eastAsia" w:ascii="宋体" w:hAnsi="宋体" w:eastAsia="宋体" w:cs="宋体"/>
          <w:color w:val="auto"/>
          <w:sz w:val="21"/>
          <w:szCs w:val="21"/>
          <w:highlight w:val="none"/>
          <w:u w:val="single"/>
          <w:lang w:val="en-US" w:eastAsia="zh-CN"/>
        </w:rPr>
        <w:t xml:space="preserve">202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0D6C97F5">
      <w:pPr>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drawing>
          <wp:anchor distT="0" distB="0" distL="114300" distR="114300" simplePos="0" relativeHeight="251662336" behindDoc="0" locked="0" layoutInCell="1" allowOverlap="0">
            <wp:simplePos x="0" y="0"/>
            <wp:positionH relativeFrom="column">
              <wp:posOffset>-685800</wp:posOffset>
            </wp:positionH>
            <wp:positionV relativeFrom="paragraph">
              <wp:posOffset>1182370</wp:posOffset>
            </wp:positionV>
            <wp:extent cx="7539990" cy="2764790"/>
            <wp:effectExtent l="0" t="0" r="3810" b="16510"/>
            <wp:wrapSquare wrapText="bothSides"/>
            <wp:docPr id="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pic:cNvPicPr>
                      <a:picLocks noChangeAspect="1"/>
                    </pic:cNvPicPr>
                  </pic:nvPicPr>
                  <pic:blipFill>
                    <a:blip r:embed="rId35"/>
                    <a:stretch>
                      <a:fillRect/>
                    </a:stretch>
                  </pic:blipFill>
                  <pic:spPr>
                    <a:xfrm>
                      <a:off x="0" y="0"/>
                      <a:ext cx="7539990" cy="2764790"/>
                    </a:xfrm>
                    <a:prstGeom prst="rect">
                      <a:avLst/>
                    </a:prstGeom>
                    <a:noFill/>
                    <a:ln>
                      <a:noFill/>
                    </a:ln>
                  </pic:spPr>
                </pic:pic>
              </a:graphicData>
            </a:graphic>
          </wp:anchor>
        </w:drawing>
      </w:r>
      <w:r>
        <w:rPr>
          <w:rFonts w:hint="eastAsia" w:ascii="宋体" w:hAnsi="宋体" w:eastAsia="宋体" w:cs="宋体"/>
          <w:color w:val="auto"/>
          <w:sz w:val="21"/>
          <w:szCs w:val="21"/>
          <w:highlight w:val="none"/>
        </w:rPr>
        <w:t xml:space="preserve">          签订地点：</w:t>
      </w:r>
      <w:r>
        <w:rPr>
          <w:rFonts w:hint="eastAsia" w:ascii="宋体" w:hAnsi="宋体" w:eastAsia="宋体" w:cs="宋体"/>
          <w:color w:val="auto"/>
          <w:sz w:val="21"/>
          <w:szCs w:val="21"/>
          <w:highlight w:val="none"/>
          <w:u w:val="single"/>
        </w:rPr>
        <w:t>广州市黄埔区</w:t>
      </w:r>
    </w:p>
    <w:p w14:paraId="1F15A67D">
      <w:pPr>
        <w:spacing w:line="360" w:lineRule="auto"/>
        <w:ind w:left="-197" w:leftChars="-94"/>
        <w:jc w:val="center"/>
        <w:rPr>
          <w:rFonts w:ascii="宋体" w:hAnsi="宋体" w:eastAsia="宋体" w:cs="宋体"/>
          <w:color w:val="auto"/>
          <w:sz w:val="30"/>
          <w:szCs w:val="24"/>
          <w:highlight w:val="none"/>
        </w:rPr>
        <w:sectPr>
          <w:headerReference r:id="rId27" w:type="default"/>
          <w:footerReference r:id="rId28" w:type="default"/>
          <w:pgSz w:w="11906" w:h="16838"/>
          <w:pgMar w:top="1440" w:right="1080" w:bottom="1440" w:left="1080" w:header="850" w:footer="907" w:gutter="0"/>
          <w:pgBorders>
            <w:top w:val="none" w:sz="0" w:space="0"/>
            <w:left w:val="none" w:sz="0" w:space="0"/>
            <w:bottom w:val="none" w:sz="0" w:space="0"/>
            <w:right w:val="none" w:sz="0" w:space="0"/>
          </w:pgBorders>
          <w:pgNumType w:fmt="numberInDash"/>
          <w:cols w:space="720" w:num="1"/>
          <w:docGrid w:type="lines" w:linePitch="408" w:charSpace="0"/>
        </w:sectPr>
      </w:pPr>
    </w:p>
    <w:p w14:paraId="0E5D5C5B">
      <w:pPr>
        <w:spacing w:line="360" w:lineRule="auto"/>
        <w:jc w:val="center"/>
        <w:rPr>
          <w:rFonts w:hint="eastAsia" w:ascii="宋体" w:hAnsi="宋体" w:eastAsia="宋体" w:cs="宋体"/>
          <w:b/>
          <w:color w:val="auto"/>
          <w:sz w:val="24"/>
          <w:highlight w:val="none"/>
        </w:rPr>
      </w:pPr>
    </w:p>
    <w:p w14:paraId="6BFDAA2D">
      <w:pPr>
        <w:spacing w:line="360" w:lineRule="auto"/>
        <w:jc w:val="center"/>
        <w:rPr>
          <w:rFonts w:hint="eastAsia" w:ascii="宋体" w:hAnsi="宋体" w:eastAsia="宋体" w:cs="宋体"/>
          <w:b/>
          <w:color w:val="auto"/>
          <w:sz w:val="24"/>
          <w:highlight w:val="none"/>
        </w:rPr>
      </w:pPr>
    </w:p>
    <w:p w14:paraId="07C64C1A">
      <w:pPr>
        <w:spacing w:line="360" w:lineRule="auto"/>
        <w:jc w:val="center"/>
        <w:rPr>
          <w:rFonts w:ascii="宋体" w:hAnsi="宋体" w:eastAsia="宋体" w:cs="宋体"/>
          <w:b/>
          <w:bCs/>
          <w:color w:val="auto"/>
          <w:sz w:val="24"/>
          <w:highlight w:val="none"/>
        </w:rPr>
      </w:pPr>
      <w:r>
        <w:rPr>
          <w:rFonts w:hint="eastAsia" w:ascii="宋体" w:hAnsi="宋体" w:eastAsia="宋体" w:cs="宋体"/>
          <w:b/>
          <w:color w:val="auto"/>
          <w:sz w:val="24"/>
          <w:highlight w:val="none"/>
        </w:rPr>
        <w:t>第一部分   协议书</w:t>
      </w:r>
    </w:p>
    <w:p w14:paraId="76CDECB4">
      <w:pPr>
        <w:spacing w:line="360" w:lineRule="auto"/>
        <w:ind w:firstLine="420" w:firstLineChars="200"/>
        <w:rPr>
          <w:rFonts w:hint="eastAsia" w:ascii="宋体" w:hAnsi="宋体" w:eastAsia="宋体" w:cs="宋体"/>
          <w:color w:val="auto"/>
          <w:szCs w:val="21"/>
          <w:highlight w:val="none"/>
        </w:rPr>
      </w:pPr>
    </w:p>
    <w:p w14:paraId="2A8AFD1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中新广州知识城财政投资建设项目管理中心</w:t>
      </w:r>
      <w:r>
        <w:rPr>
          <w:rFonts w:hint="eastAsia" w:ascii="宋体" w:hAnsi="宋体" w:eastAsia="宋体" w:cs="宋体"/>
          <w:color w:val="auto"/>
          <w:szCs w:val="21"/>
          <w:highlight w:val="none"/>
        </w:rPr>
        <w:t>。</w:t>
      </w:r>
    </w:p>
    <w:p w14:paraId="5C1F31C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olor w:val="auto"/>
          <w:sz w:val="24"/>
          <w:highlight w:val="none"/>
          <w:u w:val="single"/>
          <w:lang w:val="en-US" w:eastAsia="zh-CN"/>
        </w:rPr>
        <w:t xml:space="preserve"> </w:t>
      </w:r>
      <w:r>
        <w:rPr>
          <w:rFonts w:hint="eastAsia" w:ascii="宋体" w:hAnsi="宋体" w:eastAsia="宋体" w:cs="宋体"/>
          <w:color w:val="auto"/>
          <w:szCs w:val="21"/>
          <w:highlight w:val="none"/>
        </w:rPr>
        <w:t>。</w:t>
      </w:r>
    </w:p>
    <w:p w14:paraId="142F08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依照《中华人民共和国民法典》、《中华人民共和国建筑法》及其他有关法律、行政法规，遵循平等、自愿、公平和诚实信用的原则，双方就本建设工程施工事项协商一致，订立本合同。</w:t>
      </w:r>
    </w:p>
    <w:p w14:paraId="59CB77B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一、工程概况</w:t>
      </w:r>
    </w:p>
    <w:p w14:paraId="6654D3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bCs/>
          <w:color w:val="auto"/>
          <w:sz w:val="24"/>
          <w:highlight w:val="none"/>
          <w:u w:val="single"/>
          <w:lang w:val="en-US" w:eastAsia="zh-CN"/>
        </w:rPr>
        <w:t xml:space="preserve"> </w:t>
      </w:r>
      <w:r>
        <w:rPr>
          <w:rFonts w:hint="eastAsia" w:ascii="宋体" w:hAnsi="宋体" w:eastAsia="宋体" w:cs="宋体"/>
          <w:bCs/>
          <w:color w:val="auto"/>
          <w:szCs w:val="21"/>
          <w:highlight w:val="none"/>
        </w:rPr>
        <w:t>。</w:t>
      </w:r>
    </w:p>
    <w:p w14:paraId="2266B0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工程地点：</w:t>
      </w:r>
      <w:r>
        <w:rPr>
          <w:rFonts w:hint="eastAsia" w:ascii="宋体" w:hAnsi="宋体" w:eastAsia="宋体" w:cs="宋体"/>
          <w:bCs/>
          <w:color w:val="auto"/>
          <w:szCs w:val="21"/>
          <w:highlight w:val="none"/>
          <w:u w:val="single"/>
        </w:rPr>
        <w:t>广州市黄埔区</w:t>
      </w:r>
      <w:r>
        <w:rPr>
          <w:rFonts w:hint="eastAsia" w:ascii="宋体" w:hAnsi="宋体" w:eastAsia="宋体" w:cs="宋体"/>
          <w:bCs/>
          <w:color w:val="auto"/>
          <w:szCs w:val="21"/>
          <w:highlight w:val="none"/>
        </w:rPr>
        <w:t>。</w:t>
      </w:r>
    </w:p>
    <w:p w14:paraId="4E92F2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工程内容：</w:t>
      </w:r>
      <w:r>
        <w:rPr>
          <w:rFonts w:hint="eastAsia" w:ascii="宋体" w:hAnsi="宋体" w:eastAsia="宋体"/>
          <w:color w:val="auto"/>
          <w:sz w:val="24"/>
          <w:highlight w:val="none"/>
          <w:u w:val="single"/>
          <w:lang w:val="en-US" w:eastAsia="zh-CN"/>
        </w:rPr>
        <w:t xml:space="preserve">            </w:t>
      </w:r>
      <w:r>
        <w:rPr>
          <w:rFonts w:hint="eastAsia" w:ascii="宋体" w:hAnsi="宋体" w:eastAsia="宋体" w:cs="宋体"/>
          <w:color w:val="auto"/>
          <w:szCs w:val="21"/>
          <w:highlight w:val="none"/>
          <w:u w:val="single"/>
        </w:rPr>
        <w:t>。具体以招标工程量清单及</w:t>
      </w:r>
      <w:r>
        <w:rPr>
          <w:rFonts w:hint="eastAsia" w:ascii="宋体" w:hAnsi="宋体" w:eastAsia="宋体" w:cs="宋体"/>
          <w:color w:val="auto"/>
          <w:szCs w:val="21"/>
          <w:highlight w:val="none"/>
          <w:u w:val="single"/>
          <w:lang w:val="en-US" w:eastAsia="zh-CN"/>
        </w:rPr>
        <w:t>施工</w:t>
      </w:r>
      <w:r>
        <w:rPr>
          <w:rFonts w:hint="eastAsia" w:ascii="宋体" w:hAnsi="宋体" w:eastAsia="宋体" w:cs="宋体"/>
          <w:color w:val="auto"/>
          <w:szCs w:val="21"/>
          <w:highlight w:val="none"/>
          <w:u w:val="single"/>
        </w:rPr>
        <w:t>图纸为准。</w:t>
      </w:r>
    </w:p>
    <w:p w14:paraId="5617E2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建设业主有权根据工程实施情况，对承包人的承包范围和承包工程量进行适当调整</w:t>
      </w:r>
      <w:r>
        <w:rPr>
          <w:rFonts w:hint="eastAsia" w:ascii="宋体" w:hAnsi="宋体" w:eastAsia="宋体" w:cs="宋体"/>
          <w:color w:val="auto"/>
          <w:szCs w:val="21"/>
          <w:highlight w:val="none"/>
        </w:rPr>
        <w:t>。</w:t>
      </w:r>
    </w:p>
    <w:p w14:paraId="5974BF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工程立项批准文号：</w:t>
      </w:r>
      <w:r>
        <w:rPr>
          <w:rFonts w:hint="eastAsia" w:ascii="宋体" w:hAnsi="宋体" w:eastAsia="宋体"/>
          <w:color w:val="auto"/>
          <w:sz w:val="24"/>
          <w:highlight w:val="none"/>
          <w:u w:val="single"/>
          <w:lang w:val="en-US" w:eastAsia="zh-CN"/>
        </w:rPr>
        <w:t xml:space="preserve">              </w:t>
      </w:r>
      <w:r>
        <w:rPr>
          <w:rFonts w:hint="eastAsia" w:ascii="宋体" w:hAnsi="宋体" w:eastAsia="宋体" w:cs="宋体"/>
          <w:color w:val="auto"/>
          <w:szCs w:val="21"/>
          <w:highlight w:val="none"/>
        </w:rPr>
        <w:t>。</w:t>
      </w:r>
    </w:p>
    <w:p w14:paraId="6D7126C4">
      <w:pPr>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资金来源：</w:t>
      </w:r>
      <w:r>
        <w:rPr>
          <w:rFonts w:hint="eastAsia" w:ascii="宋体" w:hAnsi="宋体" w:eastAsia="宋体" w:cs="宋体"/>
          <w:color w:val="auto"/>
          <w:szCs w:val="21"/>
          <w:highlight w:val="none"/>
          <w:u w:val="single"/>
        </w:rPr>
        <w:t>财政投资</w:t>
      </w:r>
      <w:r>
        <w:rPr>
          <w:rFonts w:hint="eastAsia" w:ascii="宋体" w:hAnsi="宋体" w:eastAsia="宋体" w:cs="宋体"/>
          <w:color w:val="auto"/>
          <w:szCs w:val="21"/>
          <w:highlight w:val="none"/>
        </w:rPr>
        <w:t>。</w:t>
      </w:r>
    </w:p>
    <w:p w14:paraId="4214ACB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二、工程承包范围及承包方式</w:t>
      </w:r>
    </w:p>
    <w:p w14:paraId="77F4D4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（一）承包范围：</w:t>
      </w:r>
      <w:r>
        <w:rPr>
          <w:rFonts w:hint="eastAsia" w:ascii="宋体" w:hAnsi="宋体" w:eastAsia="宋体" w:cs="宋体"/>
          <w:color w:val="auto"/>
          <w:szCs w:val="21"/>
          <w:highlight w:val="none"/>
          <w:u w:val="single"/>
        </w:rPr>
        <w:t>按发包人确认的施工图纸、图纸会审纪录和有关变更文件、资料、招标文件、承包人投标文件以及双方签订的有关协议所包含的内容</w:t>
      </w:r>
      <w:r>
        <w:rPr>
          <w:rFonts w:hint="eastAsia" w:ascii="宋体" w:hAnsi="宋体" w:eastAsia="宋体" w:cs="宋体"/>
          <w:color w:val="auto"/>
          <w:szCs w:val="21"/>
          <w:highlight w:val="none"/>
        </w:rPr>
        <w:t>。</w:t>
      </w:r>
    </w:p>
    <w:p w14:paraId="467015F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（二）承包方式：</w:t>
      </w:r>
      <w:r>
        <w:rPr>
          <w:rFonts w:hint="eastAsia" w:ascii="宋体" w:hAnsi="宋体" w:eastAsia="宋体" w:cs="宋体"/>
          <w:color w:val="auto"/>
          <w:szCs w:val="21"/>
          <w:highlight w:val="none"/>
          <w:u w:val="single"/>
        </w:rPr>
        <w:t>包工、包料、包工期、包质量、包安全、包文明施工，包承包范围内工程验收通过、包移交、包结算、包资料整理、包竣工图编制、包总承包管理和现场整体组织、包专业协调及配合、包保修。综合单价包干，措施项目费（除施工围蔽费用外）包干，施工围蔽清单综合单价包干，工程量按实计量。</w:t>
      </w:r>
    </w:p>
    <w:p w14:paraId="0B6A3D2C">
      <w:pP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三、合同工期</w:t>
      </w:r>
    </w:p>
    <w:p w14:paraId="673D7A8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暂定开工日期：</w:t>
      </w:r>
      <w:r>
        <w:rPr>
          <w:rFonts w:hint="eastAsia" w:ascii="宋体" w:hAnsi="宋体" w:eastAsia="宋体"/>
          <w:color w:val="auto"/>
          <w:sz w:val="24"/>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7A07E68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暂定竣工日期：</w:t>
      </w:r>
      <w:r>
        <w:rPr>
          <w:rFonts w:hint="eastAsia" w:ascii="宋体" w:hAnsi="宋体" w:eastAsia="宋体"/>
          <w:color w:val="auto"/>
          <w:sz w:val="24"/>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1429542B">
      <w:pPr>
        <w:spacing w:line="360" w:lineRule="auto"/>
        <w:ind w:firstLine="420" w:firstLineChars="200"/>
        <w:rPr>
          <w:rFonts w:ascii="宋体" w:hAnsi="宋体" w:eastAsia="宋体" w:cs="宋体"/>
          <w:strike/>
          <w:color w:val="auto"/>
          <w:szCs w:val="21"/>
          <w:highlight w:val="none"/>
        </w:rPr>
      </w:pPr>
      <w:r>
        <w:rPr>
          <w:rFonts w:hint="eastAsia" w:ascii="宋体" w:hAnsi="宋体" w:eastAsia="宋体" w:cs="宋体"/>
          <w:color w:val="auto"/>
          <w:szCs w:val="21"/>
          <w:highlight w:val="none"/>
        </w:rPr>
        <w:t>合同工期为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日历天。实际开工日期以批准的开工报告为准。</w:t>
      </w:r>
    </w:p>
    <w:p w14:paraId="4B6CD484">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四、质量标准</w:t>
      </w:r>
    </w:p>
    <w:p w14:paraId="127B50C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工程质量标准：</w:t>
      </w:r>
      <w:r>
        <w:rPr>
          <w:rFonts w:hint="eastAsia" w:ascii="宋体" w:hAnsi="宋体" w:eastAsia="宋体" w:cs="宋体"/>
          <w:color w:val="auto"/>
          <w:szCs w:val="21"/>
          <w:highlight w:val="none"/>
          <w:u w:val="single"/>
        </w:rPr>
        <w:t>（要按本工程投标文件承诺的等级填写）。</w:t>
      </w:r>
    </w:p>
    <w:p w14:paraId="7CA58391">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rPr>
        <w:t>符合设计图纸要求和国家</w:t>
      </w:r>
      <w:r>
        <w:rPr>
          <w:rFonts w:hint="eastAsia" w:ascii="宋体" w:hAnsi="宋体" w:eastAsia="宋体" w:cs="宋体"/>
          <w:color w:val="auto"/>
          <w:szCs w:val="21"/>
          <w:highlight w:val="none"/>
        </w:rPr>
        <w:t>、省、市相关法律法规规定要求</w:t>
      </w:r>
      <w:r>
        <w:rPr>
          <w:rFonts w:ascii="宋体" w:hAnsi="宋体" w:eastAsia="宋体" w:cs="宋体"/>
          <w:color w:val="auto"/>
          <w:szCs w:val="21"/>
          <w:highlight w:val="none"/>
        </w:rPr>
        <w:t>及行业颁发的工程质量合格标准</w:t>
      </w:r>
      <w:r>
        <w:rPr>
          <w:rFonts w:hint="eastAsia" w:ascii="宋体" w:hAnsi="宋体" w:eastAsia="宋体" w:cs="宋体"/>
          <w:color w:val="auto"/>
          <w:szCs w:val="21"/>
          <w:highlight w:val="none"/>
        </w:rPr>
        <w:t>。</w:t>
      </w:r>
    </w:p>
    <w:p w14:paraId="338955D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五、合同价款</w:t>
      </w:r>
    </w:p>
    <w:p w14:paraId="6F8CCC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snapToGrid w:val="0"/>
          <w:color w:val="auto"/>
          <w:kern w:val="0"/>
          <w:szCs w:val="21"/>
          <w:highlight w:val="none"/>
        </w:rPr>
        <w:t>合同价款暂定为￥</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u w:val="single"/>
        </w:rPr>
        <w:t>元</w:t>
      </w:r>
      <w:r>
        <w:rPr>
          <w:rFonts w:hint="eastAsia" w:ascii="宋体" w:hAnsi="宋体" w:eastAsia="宋体" w:cs="宋体"/>
          <w:bCs/>
          <w:snapToGrid w:val="0"/>
          <w:color w:val="auto"/>
          <w:kern w:val="0"/>
          <w:szCs w:val="21"/>
          <w:highlight w:val="none"/>
        </w:rPr>
        <w:t>（大写：人民币</w:t>
      </w:r>
      <w:r>
        <w:rPr>
          <w:rFonts w:hint="eastAsia" w:ascii="宋体" w:hAnsi="宋体" w:eastAsia="宋体"/>
          <w:bCs/>
          <w:snapToGrid w:val="0"/>
          <w:color w:val="auto"/>
          <w:kern w:val="0"/>
          <w:sz w:val="24"/>
          <w:highlight w:val="none"/>
          <w:u w:val="single"/>
          <w:lang w:val="en-US" w:eastAsia="zh-CN"/>
        </w:rPr>
        <w:t xml:space="preserve">        </w:t>
      </w:r>
      <w:r>
        <w:rPr>
          <w:rFonts w:hint="eastAsia" w:ascii="宋体" w:hAnsi="宋体" w:eastAsia="宋体" w:cs="宋体"/>
          <w:bCs/>
          <w:snapToGrid w:val="0"/>
          <w:color w:val="auto"/>
          <w:kern w:val="0"/>
          <w:szCs w:val="21"/>
          <w:highlight w:val="none"/>
        </w:rPr>
        <w:t>），其中绿色施工安全防护措施费</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rPr>
        <w:t>元</w:t>
      </w:r>
      <w:r>
        <w:rPr>
          <w:rFonts w:ascii="宋体" w:hAnsi="宋体" w:eastAsia="宋体" w:cs="宋体"/>
          <w:bCs/>
          <w:snapToGrid w:val="0"/>
          <w:color w:val="auto"/>
          <w:kern w:val="0"/>
          <w:szCs w:val="21"/>
          <w:highlight w:val="none"/>
        </w:rPr>
        <w:t>,暂列金为</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rPr>
        <w:t>元、暂估价</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rPr>
        <w:t>元，人工费</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rPr>
        <w:t>元，工人工资比例为</w:t>
      </w:r>
      <w:r>
        <w:rPr>
          <w:rFonts w:hint="eastAsia" w:ascii="宋体" w:hAnsi="宋体" w:eastAsia="宋体" w:cs="宋体"/>
          <w:bCs/>
          <w:snapToGrid w:val="0"/>
          <w:color w:val="auto"/>
          <w:kern w:val="0"/>
          <w:szCs w:val="21"/>
          <w:highlight w:val="none"/>
          <w:u w:val="single"/>
          <w:lang w:val="en-US" w:eastAsia="zh-CN"/>
        </w:rPr>
        <w:t xml:space="preserve">  % </w:t>
      </w:r>
      <w:r>
        <w:rPr>
          <w:rFonts w:hint="eastAsia" w:ascii="宋体" w:hAnsi="宋体" w:eastAsia="宋体" w:cs="宋体"/>
          <w:bCs/>
          <w:snapToGrid w:val="0"/>
          <w:color w:val="auto"/>
          <w:kern w:val="0"/>
          <w:szCs w:val="21"/>
          <w:highlight w:val="none"/>
        </w:rPr>
        <w:t>。</w:t>
      </w:r>
      <w:r>
        <w:rPr>
          <w:rFonts w:hint="eastAsia" w:ascii="宋体" w:hAnsi="宋体" w:eastAsia="宋体" w:cs="宋体"/>
          <w:color w:val="auto"/>
          <w:szCs w:val="21"/>
          <w:highlight w:val="none"/>
        </w:rPr>
        <w:t>工程结算价款以广州开发区财政局审定结算为准。</w:t>
      </w:r>
      <w:r>
        <w:rPr>
          <w:rFonts w:ascii="宋体" w:hAnsi="宋体" w:eastAsia="宋体" w:cs="宋体"/>
          <w:color w:val="auto"/>
          <w:szCs w:val="21"/>
          <w:highlight w:val="none"/>
        </w:rPr>
        <w:t>如遇审计部门审计发现本合同结算价款存在超付的情形，</w:t>
      </w:r>
      <w:r>
        <w:rPr>
          <w:rFonts w:hint="eastAsia" w:ascii="宋体" w:hAnsi="宋体" w:eastAsia="宋体" w:cs="宋体"/>
          <w:bCs/>
          <w:color w:val="auto"/>
          <w:szCs w:val="21"/>
          <w:highlight w:val="none"/>
          <w:u w:val="single"/>
        </w:rPr>
        <w:t>发包人</w:t>
      </w:r>
      <w:r>
        <w:rPr>
          <w:rFonts w:ascii="宋体" w:hAnsi="宋体" w:eastAsia="宋体" w:cs="宋体"/>
          <w:color w:val="auto"/>
          <w:szCs w:val="21"/>
          <w:highlight w:val="none"/>
        </w:rPr>
        <w:t>有权据实要求</w:t>
      </w:r>
      <w:r>
        <w:rPr>
          <w:rFonts w:hint="eastAsia" w:ascii="宋体" w:hAnsi="宋体" w:eastAsia="宋体" w:cs="宋体"/>
          <w:color w:val="auto"/>
          <w:szCs w:val="21"/>
          <w:highlight w:val="none"/>
        </w:rPr>
        <w:t>承包人</w:t>
      </w:r>
      <w:r>
        <w:rPr>
          <w:rFonts w:ascii="宋体" w:hAnsi="宋体" w:eastAsia="宋体" w:cs="宋体"/>
          <w:color w:val="auto"/>
          <w:szCs w:val="21"/>
          <w:highlight w:val="none"/>
        </w:rPr>
        <w:t>返还该部分款项。</w:t>
      </w:r>
    </w:p>
    <w:p w14:paraId="707F5F9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六、组成合同的文件</w:t>
      </w:r>
    </w:p>
    <w:p w14:paraId="2DEF18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组成本合同的文件包括：</w:t>
      </w:r>
    </w:p>
    <w:p w14:paraId="647F28E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1.本合同履行期间发包人与承包人双方签订的补充合同（协议）或修正文件；</w:t>
      </w:r>
    </w:p>
    <w:p w14:paraId="149030B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2.本合同协议书</w:t>
      </w:r>
      <w:r>
        <w:rPr>
          <w:rFonts w:hint="eastAsia" w:ascii="宋体" w:hAnsi="宋体" w:eastAsia="宋体" w:cs="宋体"/>
          <w:color w:val="auto"/>
          <w:szCs w:val="21"/>
          <w:highlight w:val="none"/>
        </w:rPr>
        <w:t>；</w:t>
      </w:r>
    </w:p>
    <w:p w14:paraId="4523630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3.国家、广东省、广州市、广州开发区、</w:t>
      </w:r>
      <w:r>
        <w:rPr>
          <w:rFonts w:hint="eastAsia" w:ascii="宋体" w:hAnsi="宋体" w:eastAsia="宋体" w:cs="宋体"/>
          <w:color w:val="auto"/>
          <w:szCs w:val="21"/>
          <w:highlight w:val="none"/>
        </w:rPr>
        <w:t>黄埔</w:t>
      </w:r>
      <w:r>
        <w:rPr>
          <w:rFonts w:ascii="宋体" w:hAnsi="宋体" w:eastAsia="宋体" w:cs="宋体"/>
          <w:color w:val="auto"/>
          <w:szCs w:val="21"/>
          <w:highlight w:val="none"/>
        </w:rPr>
        <w:t>区关于本工程施工的有关文件（发包人在收到后尽快通报给承包人）；</w:t>
      </w:r>
    </w:p>
    <w:p w14:paraId="29E2A5B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建设业主</w:t>
      </w:r>
      <w:r>
        <w:rPr>
          <w:rFonts w:ascii="宋体" w:hAnsi="宋体" w:eastAsia="宋体" w:cs="宋体"/>
          <w:color w:val="auto"/>
          <w:szCs w:val="21"/>
          <w:highlight w:val="none"/>
        </w:rPr>
        <w:t>针对本工程建设管理的各项制度、规定；</w:t>
      </w:r>
    </w:p>
    <w:p w14:paraId="296E3EA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5.中标通知书</w:t>
      </w:r>
      <w:r>
        <w:rPr>
          <w:rFonts w:hint="eastAsia" w:ascii="宋体" w:hAnsi="宋体" w:eastAsia="宋体" w:cs="宋体"/>
          <w:color w:val="auto"/>
          <w:szCs w:val="21"/>
          <w:highlight w:val="none"/>
        </w:rPr>
        <w:t>；</w:t>
      </w:r>
    </w:p>
    <w:p w14:paraId="30A2EF8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6.本合同专用条款</w:t>
      </w:r>
      <w:r>
        <w:rPr>
          <w:rFonts w:hint="eastAsia" w:ascii="宋体" w:hAnsi="宋体" w:eastAsia="宋体" w:cs="宋体"/>
          <w:color w:val="auto"/>
          <w:szCs w:val="21"/>
          <w:highlight w:val="none"/>
        </w:rPr>
        <w:t>；</w:t>
      </w:r>
    </w:p>
    <w:p w14:paraId="22C4C52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7.招标文件及附件（包括补充、修改、澄清文件及答疑纪要等）</w:t>
      </w:r>
      <w:r>
        <w:rPr>
          <w:rFonts w:hint="eastAsia" w:ascii="宋体" w:hAnsi="宋体" w:eastAsia="宋体" w:cs="宋体"/>
          <w:color w:val="auto"/>
          <w:szCs w:val="21"/>
          <w:highlight w:val="none"/>
        </w:rPr>
        <w:t>；</w:t>
      </w:r>
    </w:p>
    <w:p w14:paraId="1454AD2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8.本合同通用条款</w:t>
      </w:r>
      <w:r>
        <w:rPr>
          <w:rFonts w:hint="eastAsia" w:ascii="宋体" w:hAnsi="宋体" w:eastAsia="宋体" w:cs="宋体"/>
          <w:color w:val="auto"/>
          <w:szCs w:val="21"/>
          <w:highlight w:val="none"/>
        </w:rPr>
        <w:t>；</w:t>
      </w:r>
    </w:p>
    <w:p w14:paraId="3B0D3A3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9.投标文件及附件</w:t>
      </w:r>
      <w:r>
        <w:rPr>
          <w:rFonts w:hint="eastAsia" w:ascii="宋体" w:hAnsi="宋体" w:eastAsia="宋体" w:cs="宋体"/>
          <w:color w:val="auto"/>
          <w:szCs w:val="21"/>
          <w:highlight w:val="none"/>
        </w:rPr>
        <w:t>；</w:t>
      </w:r>
    </w:p>
    <w:p w14:paraId="5A26E19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10.标准、规范和其他有关技术文件</w:t>
      </w:r>
      <w:r>
        <w:rPr>
          <w:rFonts w:hint="eastAsia" w:ascii="宋体" w:hAnsi="宋体" w:eastAsia="宋体" w:cs="宋体"/>
          <w:color w:val="auto"/>
          <w:szCs w:val="21"/>
          <w:highlight w:val="none"/>
        </w:rPr>
        <w:t>；</w:t>
      </w:r>
    </w:p>
    <w:p w14:paraId="2B90B4F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11.图纸</w:t>
      </w:r>
      <w:r>
        <w:rPr>
          <w:rFonts w:hint="eastAsia" w:ascii="宋体" w:hAnsi="宋体" w:eastAsia="宋体" w:cs="宋体"/>
          <w:color w:val="auto"/>
          <w:szCs w:val="21"/>
          <w:highlight w:val="none"/>
        </w:rPr>
        <w:t>；</w:t>
      </w:r>
    </w:p>
    <w:p w14:paraId="0CDC7E2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12.工程量清单</w:t>
      </w:r>
      <w:r>
        <w:rPr>
          <w:rFonts w:hint="eastAsia" w:ascii="宋体" w:hAnsi="宋体" w:eastAsia="宋体" w:cs="宋体"/>
          <w:color w:val="auto"/>
          <w:szCs w:val="21"/>
          <w:highlight w:val="none"/>
        </w:rPr>
        <w:t>；</w:t>
      </w:r>
    </w:p>
    <w:p w14:paraId="39EB8FB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13.合同附件（</w:t>
      </w:r>
      <w:r>
        <w:rPr>
          <w:rFonts w:hint="eastAsia" w:ascii="宋体" w:hAnsi="宋体" w:eastAsia="宋体" w:cs="宋体"/>
          <w:color w:val="auto"/>
          <w:szCs w:val="21"/>
          <w:highlight w:val="none"/>
        </w:rPr>
        <w:t>建设工程质量保修书、《施工单位投入本工程管理架构表》、《中新广州知识城建设项目现场管理指引》、《共管工程款使用监管办法》（实施共管时）、《安全责任书》、《工程建设廉政协议书》等）；</w:t>
      </w:r>
    </w:p>
    <w:p w14:paraId="741124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双方有关工程的洽商、变更等书面协议或文件视为本合同的组成部分。</w:t>
      </w:r>
    </w:p>
    <w:p w14:paraId="387734A5">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七、协议书中有关词语含义与本合同第二部分《通用条款》中分别赋予它们的定义相同。</w:t>
      </w:r>
    </w:p>
    <w:p w14:paraId="1B2DD79E">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八、承包人向发包人承诺按照合同约定进行施工、竣工并在质量保修期内承担工程质量保修责任。</w:t>
      </w:r>
    </w:p>
    <w:p w14:paraId="059936E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九、发包人向承包人承诺按照合同约定的期限和方式支付合同价款及其他应当支付的款项。</w:t>
      </w:r>
      <w:r>
        <w:rPr>
          <w:rFonts w:ascii="宋体" w:hAnsi="宋体" w:eastAsia="宋体" w:cs="宋体"/>
          <w:color w:val="auto"/>
          <w:szCs w:val="21"/>
          <w:highlight w:val="none"/>
        </w:rPr>
        <w:t>为保证工程款专款专用和合理使用，本项目建安工程预付款（扣除工人工资款项，以下简称“工程预付款”）采用共管方式支出，在经由</w:t>
      </w:r>
      <w:r>
        <w:rPr>
          <w:rFonts w:hint="eastAsia" w:ascii="宋体" w:hAnsi="宋体" w:eastAsia="宋体" w:cs="宋体"/>
          <w:color w:val="auto"/>
          <w:szCs w:val="21"/>
          <w:highlight w:val="none"/>
        </w:rPr>
        <w:t>发包</w:t>
      </w:r>
      <w:r>
        <w:rPr>
          <w:rFonts w:ascii="宋体" w:hAnsi="宋体" w:eastAsia="宋体" w:cs="宋体"/>
          <w:color w:val="auto"/>
          <w:szCs w:val="21"/>
          <w:highlight w:val="none"/>
        </w:rPr>
        <w:t>人、</w:t>
      </w:r>
      <w:r>
        <w:rPr>
          <w:rFonts w:hint="eastAsia" w:ascii="宋体" w:hAnsi="宋体" w:eastAsia="宋体" w:cs="宋体"/>
          <w:color w:val="auto"/>
          <w:szCs w:val="21"/>
          <w:highlight w:val="none"/>
        </w:rPr>
        <w:t>承包</w:t>
      </w:r>
      <w:r>
        <w:rPr>
          <w:rFonts w:ascii="宋体" w:hAnsi="宋体" w:eastAsia="宋体" w:cs="宋体"/>
          <w:color w:val="auto"/>
          <w:szCs w:val="21"/>
          <w:highlight w:val="none"/>
        </w:rPr>
        <w:t>人双方协商一致后选择的银行设立</w:t>
      </w:r>
      <w:r>
        <w:rPr>
          <w:rFonts w:hint="eastAsia" w:ascii="宋体" w:hAnsi="宋体" w:eastAsia="宋体" w:cs="宋体"/>
          <w:color w:val="auto"/>
          <w:szCs w:val="21"/>
          <w:highlight w:val="none"/>
        </w:rPr>
        <w:t>发包人</w:t>
      </w:r>
      <w:r>
        <w:rPr>
          <w:rFonts w:ascii="宋体" w:hAnsi="宋体" w:eastAsia="宋体" w:cs="宋体"/>
          <w:color w:val="auto"/>
          <w:szCs w:val="21"/>
          <w:highlight w:val="none"/>
        </w:rPr>
        <w:t>、</w:t>
      </w:r>
      <w:r>
        <w:rPr>
          <w:rFonts w:hint="eastAsia" w:ascii="宋体" w:hAnsi="宋体" w:eastAsia="宋体" w:cs="宋体"/>
          <w:color w:val="auto"/>
          <w:szCs w:val="21"/>
          <w:highlight w:val="none"/>
        </w:rPr>
        <w:t>承包</w:t>
      </w:r>
      <w:r>
        <w:rPr>
          <w:rFonts w:ascii="宋体" w:hAnsi="宋体" w:eastAsia="宋体" w:cs="宋体"/>
          <w:color w:val="auto"/>
          <w:szCs w:val="21"/>
          <w:highlight w:val="none"/>
        </w:rPr>
        <w:t>人、银行三方共管银行账户，专用于本项目工程预付款的收支。</w:t>
      </w:r>
      <w:r>
        <w:rPr>
          <w:rFonts w:hint="eastAsia" w:ascii="宋体" w:hAnsi="宋体" w:eastAsia="宋体" w:cs="宋体"/>
          <w:color w:val="auto"/>
          <w:szCs w:val="21"/>
          <w:highlight w:val="none"/>
        </w:rPr>
        <w:t>发包</w:t>
      </w:r>
      <w:r>
        <w:rPr>
          <w:rFonts w:ascii="宋体" w:hAnsi="宋体" w:eastAsia="宋体" w:cs="宋体"/>
          <w:color w:val="auto"/>
          <w:szCs w:val="21"/>
          <w:highlight w:val="none"/>
        </w:rPr>
        <w:t>人按</w:t>
      </w:r>
      <w:r>
        <w:rPr>
          <w:rFonts w:hint="eastAsia" w:ascii="宋体" w:hAnsi="宋体" w:eastAsia="宋体" w:cs="宋体"/>
          <w:color w:val="auto"/>
          <w:szCs w:val="21"/>
          <w:highlight w:val="none"/>
        </w:rPr>
        <w:t>本</w:t>
      </w:r>
      <w:r>
        <w:rPr>
          <w:rFonts w:ascii="宋体" w:hAnsi="宋体" w:eastAsia="宋体" w:cs="宋体"/>
          <w:color w:val="auto"/>
          <w:szCs w:val="21"/>
          <w:highlight w:val="none"/>
        </w:rPr>
        <w:t>合同约定支付的工程预付款应直接支付至该账户并专款专用。具体实施方式按本</w:t>
      </w:r>
      <w:r>
        <w:rPr>
          <w:rFonts w:hint="eastAsia" w:ascii="宋体" w:hAnsi="宋体" w:eastAsia="宋体" w:cs="宋体"/>
          <w:color w:val="auto"/>
          <w:szCs w:val="21"/>
          <w:highlight w:val="none"/>
        </w:rPr>
        <w:t>合同</w:t>
      </w:r>
      <w:r>
        <w:rPr>
          <w:rFonts w:ascii="宋体" w:hAnsi="宋体" w:eastAsia="宋体" w:cs="宋体"/>
          <w:color w:val="auto"/>
          <w:szCs w:val="21"/>
          <w:highlight w:val="none"/>
        </w:rPr>
        <w:t>附件《共管工程款使用监管办法》（详见附件）及各方另行签订的《工程资金共管协议》执行。 工程预付款中的工人工资部分，仍按</w:t>
      </w:r>
      <w:r>
        <w:rPr>
          <w:rFonts w:hint="eastAsia" w:ascii="宋体" w:hAnsi="宋体" w:eastAsia="宋体" w:cs="宋体"/>
          <w:color w:val="auto"/>
          <w:szCs w:val="21"/>
          <w:highlight w:val="none"/>
        </w:rPr>
        <w:t>本</w:t>
      </w:r>
      <w:r>
        <w:rPr>
          <w:rFonts w:ascii="宋体" w:hAnsi="宋体" w:eastAsia="宋体" w:cs="宋体"/>
          <w:color w:val="auto"/>
          <w:szCs w:val="21"/>
          <w:highlight w:val="none"/>
        </w:rPr>
        <w:t>合同关于工人工资支付及管理的约定执行。</w:t>
      </w:r>
    </w:p>
    <w:p w14:paraId="7B260D23">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十、承包人在本项目中存在《广州开发区财政投资建设项目管理中心拒绝投标资格惩戒措施清单》应予惩戒事实情形的，将被拒绝一定时期内参与发包人后续工程投标。惩戒期限</w:t>
      </w:r>
      <w:r>
        <w:rPr>
          <w:rFonts w:ascii="宋体" w:hAnsi="宋体" w:eastAsia="宋体" w:cs="宋体"/>
          <w:b/>
          <w:bCs/>
          <w:color w:val="auto"/>
          <w:szCs w:val="21"/>
          <w:highlight w:val="none"/>
        </w:rPr>
        <w:t>3个月起，情形严重的，可视严重程度延长对承包人的拒绝投标时限，最长不超过3年。</w:t>
      </w:r>
    </w:p>
    <w:p w14:paraId="5800E59C">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十一、合同生效</w:t>
      </w:r>
    </w:p>
    <w:p w14:paraId="4FA76C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olor w:val="auto"/>
          <w:sz w:val="24"/>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49E2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广州市黄埔区</w:t>
      </w:r>
    </w:p>
    <w:p w14:paraId="5A7FACC5">
      <w:pPr>
        <w:pStyle w:val="15"/>
        <w:spacing w:before="88" w:line="360" w:lineRule="auto"/>
        <w:ind w:right="258" w:firstLine="420" w:firstLineChars="200"/>
        <w:jc w:val="both"/>
        <w:rPr>
          <w:rFonts w:hint="eastAsia" w:ascii="宋体" w:hAnsi="宋体" w:cs="宋体"/>
          <w:b/>
          <w:bCs/>
          <w:color w:val="auto"/>
          <w:spacing w:val="3"/>
          <w:sz w:val="24"/>
          <w:szCs w:val="24"/>
          <w:highlight w:val="none"/>
        </w:rPr>
      </w:pPr>
      <w:r>
        <w:rPr>
          <w:rFonts w:hint="eastAsia" w:ascii="宋体" w:hAnsi="宋体" w:eastAsia="宋体" w:cs="宋体"/>
          <w:color w:val="auto"/>
          <w:szCs w:val="21"/>
          <w:highlight w:val="none"/>
        </w:rPr>
        <w:t>本合同双方约定：</w:t>
      </w:r>
      <w:r>
        <w:rPr>
          <w:rFonts w:hint="eastAsia" w:ascii="宋体" w:hAnsi="宋体" w:eastAsia="宋体" w:cs="宋体"/>
          <w:color w:val="auto"/>
          <w:szCs w:val="21"/>
          <w:highlight w:val="none"/>
          <w:u w:val="single"/>
        </w:rPr>
        <w:t>双方签名、盖章</w:t>
      </w:r>
      <w:r>
        <w:rPr>
          <w:rFonts w:hint="eastAsia" w:ascii="宋体" w:hAnsi="宋体" w:eastAsia="宋体" w:cs="宋体"/>
          <w:color w:val="auto"/>
          <w:szCs w:val="21"/>
          <w:highlight w:val="none"/>
        </w:rPr>
        <w:t>后生效。</w:t>
      </w:r>
    </w:p>
    <w:p w14:paraId="57230950">
      <w:pPr>
        <w:pStyle w:val="15"/>
        <w:spacing w:before="88" w:line="360" w:lineRule="auto"/>
        <w:ind w:right="258"/>
        <w:jc w:val="both"/>
        <w:rPr>
          <w:rFonts w:ascii="宋体" w:hAnsi="宋体" w:cs="黑体"/>
          <w:color w:val="auto"/>
          <w:spacing w:val="3"/>
          <w:sz w:val="24"/>
          <w:szCs w:val="24"/>
          <w:highlight w:val="none"/>
        </w:rPr>
      </w:pPr>
      <w:r>
        <w:rPr>
          <w:rFonts w:hint="eastAsia" w:ascii="宋体" w:hAnsi="宋体" w:cs="宋体"/>
          <w:b/>
          <w:bCs/>
          <w:color w:val="auto"/>
          <w:spacing w:val="3"/>
          <w:sz w:val="24"/>
          <w:szCs w:val="24"/>
          <w:highlight w:val="none"/>
        </w:rPr>
        <w:t>附件：《广州开发区财政投资建设项目管理中心拒绝投标资格惩戒措施清单》</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986"/>
        <w:gridCol w:w="1580"/>
        <w:gridCol w:w="3611"/>
      </w:tblGrid>
      <w:tr w14:paraId="232B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92" w:type="pct"/>
            <w:noWrap w:val="0"/>
            <w:vAlign w:val="top"/>
          </w:tcPr>
          <w:p w14:paraId="2D632007">
            <w:pPr>
              <w:pStyle w:val="15"/>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序号</w:t>
            </w:r>
          </w:p>
        </w:tc>
        <w:tc>
          <w:tcPr>
            <w:tcW w:w="2001" w:type="pct"/>
            <w:noWrap w:val="0"/>
            <w:vAlign w:val="center"/>
          </w:tcPr>
          <w:p w14:paraId="5F007AAD">
            <w:pPr>
              <w:pStyle w:val="15"/>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拒绝投标情形</w:t>
            </w:r>
          </w:p>
        </w:tc>
        <w:tc>
          <w:tcPr>
            <w:tcW w:w="793" w:type="pct"/>
            <w:noWrap w:val="0"/>
            <w:vAlign w:val="center"/>
          </w:tcPr>
          <w:p w14:paraId="4D609F2E">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惩戒期限</w:t>
            </w:r>
          </w:p>
        </w:tc>
        <w:tc>
          <w:tcPr>
            <w:tcW w:w="1813" w:type="pct"/>
            <w:noWrap w:val="0"/>
            <w:vAlign w:val="center"/>
          </w:tcPr>
          <w:p w14:paraId="6429627F">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政策依据</w:t>
            </w:r>
          </w:p>
        </w:tc>
      </w:tr>
      <w:tr w14:paraId="0472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92" w:type="pct"/>
            <w:noWrap w:val="0"/>
            <w:vAlign w:val="center"/>
          </w:tcPr>
          <w:p w14:paraId="509C84C6">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w:t>
            </w:r>
          </w:p>
        </w:tc>
        <w:tc>
          <w:tcPr>
            <w:tcW w:w="2001" w:type="pct"/>
            <w:noWrap w:val="0"/>
            <w:vAlign w:val="center"/>
          </w:tcPr>
          <w:p w14:paraId="2587D063">
            <w:pPr>
              <w:pStyle w:val="15"/>
              <w:spacing w:before="88" w:line="240" w:lineRule="auto"/>
              <w:ind w:right="258"/>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将中标工程转包或者违法分包的。</w:t>
            </w:r>
          </w:p>
        </w:tc>
        <w:tc>
          <w:tcPr>
            <w:tcW w:w="793" w:type="pct"/>
            <w:noWrap w:val="0"/>
            <w:vAlign w:val="center"/>
          </w:tcPr>
          <w:p w14:paraId="449E056C">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top"/>
          </w:tcPr>
          <w:p w14:paraId="7431E6A1">
            <w:pPr>
              <w:spacing w:line="240" w:lineRule="auto"/>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广州市建设工程施工招标文件范本修改表（2024年11月）</w:t>
            </w:r>
          </w:p>
        </w:tc>
      </w:tr>
      <w:tr w14:paraId="1B9B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0B5A157D">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w:t>
            </w:r>
          </w:p>
        </w:tc>
        <w:tc>
          <w:tcPr>
            <w:tcW w:w="2001" w:type="pct"/>
            <w:noWrap w:val="0"/>
            <w:vAlign w:val="center"/>
          </w:tcPr>
          <w:p w14:paraId="767AC476">
            <w:pPr>
              <w:snapToGrid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在中标工程中不执行质量、安全生产相关规定的，造成质量或安全事故的。</w:t>
            </w:r>
          </w:p>
        </w:tc>
        <w:tc>
          <w:tcPr>
            <w:tcW w:w="793" w:type="pct"/>
            <w:noWrap w:val="0"/>
            <w:vAlign w:val="center"/>
          </w:tcPr>
          <w:p w14:paraId="17F56146">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top"/>
          </w:tcPr>
          <w:p w14:paraId="7B8FC1EE">
            <w:pPr>
              <w:spacing w:line="240" w:lineRule="auto"/>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广州市建设工程施工招标文件范本修改表（2024年11月）</w:t>
            </w:r>
          </w:p>
        </w:tc>
      </w:tr>
      <w:tr w14:paraId="0964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450580A0">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p>
        </w:tc>
        <w:tc>
          <w:tcPr>
            <w:tcW w:w="2001" w:type="pct"/>
            <w:noWrap w:val="0"/>
            <w:vAlign w:val="center"/>
          </w:tcPr>
          <w:p w14:paraId="02C565D6">
            <w:pPr>
              <w:pStyle w:val="15"/>
              <w:spacing w:before="88" w:line="240" w:lineRule="auto"/>
              <w:ind w:right="258"/>
              <w:jc w:val="left"/>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sz w:val="21"/>
                <w:szCs w:val="21"/>
                <w:highlight w:val="none"/>
                <w:lang w:eastAsia="en-US"/>
              </w:rPr>
              <w:t>出让投标资格的</w:t>
            </w:r>
            <w:r>
              <w:rPr>
                <w:rFonts w:hint="eastAsia" w:ascii="宋体" w:hAnsi="宋体" w:eastAsia="宋体" w:cs="宋体"/>
                <w:snapToGrid w:val="0"/>
                <w:color w:val="auto"/>
                <w:sz w:val="21"/>
                <w:szCs w:val="21"/>
                <w:highlight w:val="none"/>
              </w:rPr>
              <w:t>。</w:t>
            </w:r>
          </w:p>
        </w:tc>
        <w:tc>
          <w:tcPr>
            <w:tcW w:w="793" w:type="pct"/>
            <w:noWrap w:val="0"/>
            <w:vAlign w:val="center"/>
          </w:tcPr>
          <w:p w14:paraId="31A9600C">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top"/>
          </w:tcPr>
          <w:p w14:paraId="30090565">
            <w:pPr>
              <w:spacing w:line="240" w:lineRule="auto"/>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广州市建设工程施工招标文件范本修改表（2024年11月）</w:t>
            </w:r>
          </w:p>
        </w:tc>
      </w:tr>
      <w:tr w14:paraId="03B4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798ECB50">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w:t>
            </w:r>
          </w:p>
        </w:tc>
        <w:tc>
          <w:tcPr>
            <w:tcW w:w="2001" w:type="pct"/>
            <w:noWrap w:val="0"/>
            <w:vAlign w:val="center"/>
          </w:tcPr>
          <w:p w14:paraId="0AA98719">
            <w:pPr>
              <w:pStyle w:val="15"/>
              <w:spacing w:before="88" w:line="240" w:lineRule="auto"/>
              <w:ind w:right="258"/>
              <w:jc w:val="left"/>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存在围标或串标情形的。</w:t>
            </w:r>
          </w:p>
        </w:tc>
        <w:tc>
          <w:tcPr>
            <w:tcW w:w="793" w:type="pct"/>
            <w:noWrap w:val="0"/>
            <w:vAlign w:val="center"/>
          </w:tcPr>
          <w:p w14:paraId="456CD753">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top"/>
          </w:tcPr>
          <w:p w14:paraId="594A5EC1">
            <w:pPr>
              <w:spacing w:line="240" w:lineRule="auto"/>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广州市建设工程施工招标文件范本修改表（2024年11月）</w:t>
            </w:r>
          </w:p>
        </w:tc>
      </w:tr>
      <w:tr w14:paraId="5076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77A67B63">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w:t>
            </w:r>
          </w:p>
        </w:tc>
        <w:tc>
          <w:tcPr>
            <w:tcW w:w="2001" w:type="pct"/>
            <w:noWrap w:val="0"/>
            <w:vAlign w:val="center"/>
          </w:tcPr>
          <w:p w14:paraId="59799057">
            <w:pPr>
              <w:pStyle w:val="15"/>
              <w:spacing w:before="88" w:line="240" w:lineRule="auto"/>
              <w:ind w:right="258"/>
              <w:jc w:val="left"/>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spacing w:val="3"/>
                <w:sz w:val="21"/>
                <w:szCs w:val="21"/>
                <w:highlight w:val="none"/>
              </w:rPr>
              <w:t>在投标文件中提供虚假材料的。</w:t>
            </w:r>
          </w:p>
        </w:tc>
        <w:tc>
          <w:tcPr>
            <w:tcW w:w="793" w:type="pct"/>
            <w:noWrap w:val="0"/>
            <w:vAlign w:val="center"/>
          </w:tcPr>
          <w:p w14:paraId="3E1EA4B1">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top"/>
          </w:tcPr>
          <w:p w14:paraId="610BD939">
            <w:pPr>
              <w:spacing w:line="240" w:lineRule="auto"/>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广州市建设工程施工招标文件范本修改表（2024年11月）</w:t>
            </w:r>
          </w:p>
        </w:tc>
      </w:tr>
      <w:tr w14:paraId="62B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2B30674C">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p>
        </w:tc>
        <w:tc>
          <w:tcPr>
            <w:tcW w:w="2001" w:type="pct"/>
            <w:noWrap w:val="0"/>
            <w:vAlign w:val="center"/>
          </w:tcPr>
          <w:p w14:paraId="6313AEDB">
            <w:pPr>
              <w:spacing w:line="240" w:lineRule="auto"/>
              <w:jc w:val="left"/>
              <w:rPr>
                <w:rFonts w:hint="eastAsia" w:ascii="宋体" w:hAnsi="宋体" w:eastAsia="宋体" w:cs="宋体"/>
                <w:snapToGrid w:val="0"/>
                <w:color w:val="auto"/>
                <w:spacing w:val="3"/>
                <w:kern w:val="0"/>
                <w:sz w:val="21"/>
                <w:szCs w:val="21"/>
                <w:highlight w:val="none"/>
              </w:rPr>
            </w:pPr>
            <w:r>
              <w:rPr>
                <w:rFonts w:hint="eastAsia" w:ascii="宋体" w:hAnsi="宋体" w:eastAsia="宋体" w:cs="宋体"/>
                <w:color w:val="auto"/>
                <w:sz w:val="21"/>
                <w:szCs w:val="21"/>
                <w:highlight w:val="none"/>
              </w:rPr>
              <w:t>存在少放、不放业绩、奖项等客观评审资料，减少自身竞争力情形的。</w:t>
            </w:r>
          </w:p>
        </w:tc>
        <w:tc>
          <w:tcPr>
            <w:tcW w:w="793" w:type="pct"/>
            <w:noWrap w:val="0"/>
            <w:vAlign w:val="center"/>
          </w:tcPr>
          <w:p w14:paraId="6FE85D93">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6EA1893E">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广州市建设工程施工招标文件范本修改表（2024年11月）</w:t>
            </w:r>
          </w:p>
        </w:tc>
      </w:tr>
      <w:tr w14:paraId="02D5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5EF05F7D">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7</w:t>
            </w:r>
          </w:p>
        </w:tc>
        <w:tc>
          <w:tcPr>
            <w:tcW w:w="2001" w:type="pct"/>
            <w:noWrap w:val="0"/>
            <w:vAlign w:val="center"/>
          </w:tcPr>
          <w:p w14:paraId="059D9BE1">
            <w:pPr>
              <w:spacing w:line="240" w:lineRule="auto"/>
              <w:jc w:val="left"/>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spacing w:val="3"/>
                <w:kern w:val="0"/>
                <w:sz w:val="21"/>
                <w:szCs w:val="21"/>
                <w:highlight w:val="none"/>
              </w:rPr>
              <w:t>存在行贿情形的。</w:t>
            </w:r>
          </w:p>
        </w:tc>
        <w:tc>
          <w:tcPr>
            <w:tcW w:w="793" w:type="pct"/>
            <w:noWrap w:val="0"/>
            <w:vAlign w:val="center"/>
          </w:tcPr>
          <w:p w14:paraId="36095F0E">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top"/>
          </w:tcPr>
          <w:p w14:paraId="2B139978">
            <w:pPr>
              <w:spacing w:line="240" w:lineRule="auto"/>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广州市建设工程施工招标文件范本修改表（2024年11月）</w:t>
            </w:r>
          </w:p>
        </w:tc>
      </w:tr>
      <w:tr w14:paraId="7F2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92" w:type="pct"/>
            <w:noWrap w:val="0"/>
            <w:vAlign w:val="center"/>
          </w:tcPr>
          <w:p w14:paraId="30B81BB4">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8</w:t>
            </w:r>
          </w:p>
        </w:tc>
        <w:tc>
          <w:tcPr>
            <w:tcW w:w="2001" w:type="pct"/>
            <w:noWrap w:val="0"/>
            <w:vAlign w:val="center"/>
          </w:tcPr>
          <w:p w14:paraId="26E0722C">
            <w:pPr>
              <w:pStyle w:val="15"/>
              <w:spacing w:before="88" w:line="240" w:lineRule="auto"/>
              <w:ind w:right="258"/>
              <w:jc w:val="left"/>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拖欠农民工工资的。</w:t>
            </w:r>
          </w:p>
        </w:tc>
        <w:tc>
          <w:tcPr>
            <w:tcW w:w="793" w:type="pct"/>
            <w:noWrap w:val="0"/>
            <w:vAlign w:val="center"/>
          </w:tcPr>
          <w:p w14:paraId="51F6197D">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7CAEA7D8">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广州市建设工程施工招标文件范本修改表（2024年11月）</w:t>
            </w:r>
          </w:p>
        </w:tc>
      </w:tr>
      <w:tr w14:paraId="29D3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1F015EC7">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9</w:t>
            </w:r>
          </w:p>
        </w:tc>
        <w:tc>
          <w:tcPr>
            <w:tcW w:w="2001" w:type="pct"/>
            <w:noWrap w:val="0"/>
            <w:vAlign w:val="center"/>
          </w:tcPr>
          <w:p w14:paraId="0B3B0E3A">
            <w:pPr>
              <w:pStyle w:val="15"/>
              <w:spacing w:before="88" w:line="240" w:lineRule="auto"/>
              <w:ind w:right="258"/>
              <w:jc w:val="left"/>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未按照国家、省、市有关建筑施工实名制管理和工人工资支付分账管理的规定执行，被行政监管部门处罚的。</w:t>
            </w:r>
          </w:p>
        </w:tc>
        <w:tc>
          <w:tcPr>
            <w:tcW w:w="793" w:type="pct"/>
            <w:noWrap w:val="0"/>
            <w:vAlign w:val="center"/>
          </w:tcPr>
          <w:p w14:paraId="591C4C05">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7E0CCA62">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广州市建设工程施工招标文件范本修改表（2024年11月）</w:t>
            </w:r>
          </w:p>
        </w:tc>
      </w:tr>
      <w:tr w14:paraId="6458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92" w:type="pct"/>
            <w:noWrap w:val="0"/>
            <w:vAlign w:val="center"/>
          </w:tcPr>
          <w:p w14:paraId="7AD2CD70">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10</w:t>
            </w:r>
          </w:p>
        </w:tc>
        <w:tc>
          <w:tcPr>
            <w:tcW w:w="2001" w:type="pct"/>
            <w:noWrap w:val="0"/>
            <w:vAlign w:val="center"/>
          </w:tcPr>
          <w:p w14:paraId="4ED709A1">
            <w:pPr>
              <w:pStyle w:val="15"/>
              <w:spacing w:before="88" w:line="240" w:lineRule="auto"/>
              <w:ind w:right="258"/>
              <w:jc w:val="left"/>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在项目实施过程中选取的专业分包单位或劳务企业或劳务班组长与投标承诺不一致的（如有）。</w:t>
            </w:r>
          </w:p>
        </w:tc>
        <w:tc>
          <w:tcPr>
            <w:tcW w:w="793" w:type="pct"/>
            <w:noWrap w:val="0"/>
            <w:vAlign w:val="center"/>
          </w:tcPr>
          <w:p w14:paraId="71D307FC">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30EED20C">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广州市建设工程施工招标文件范本修改表（2024年11月）</w:t>
            </w:r>
          </w:p>
        </w:tc>
      </w:tr>
      <w:tr w14:paraId="04DB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51613EA3">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11</w:t>
            </w:r>
          </w:p>
        </w:tc>
        <w:tc>
          <w:tcPr>
            <w:tcW w:w="2001" w:type="pct"/>
            <w:noWrap w:val="0"/>
            <w:vAlign w:val="center"/>
          </w:tcPr>
          <w:p w14:paraId="49E56CDE">
            <w:pPr>
              <w:spacing w:line="240" w:lineRule="auto"/>
              <w:jc w:val="left"/>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中标人未按规定购买安全生产责任保险的。</w:t>
            </w:r>
          </w:p>
        </w:tc>
        <w:tc>
          <w:tcPr>
            <w:tcW w:w="793" w:type="pct"/>
            <w:noWrap w:val="0"/>
            <w:vAlign w:val="center"/>
          </w:tcPr>
          <w:p w14:paraId="3C9C0FD1">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09DD3809">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广州开发区建设工程招投标管理办公室印发的 《于施工项目招投标环节严格落实安全生产要求的指引》关（2021年第4期）</w:t>
            </w:r>
          </w:p>
        </w:tc>
      </w:tr>
      <w:tr w14:paraId="511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6B6C1E2B">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12</w:t>
            </w:r>
          </w:p>
        </w:tc>
        <w:tc>
          <w:tcPr>
            <w:tcW w:w="2001" w:type="pct"/>
            <w:noWrap w:val="0"/>
            <w:vAlign w:val="center"/>
          </w:tcPr>
          <w:p w14:paraId="39907B4F">
            <w:pPr>
              <w:spacing w:line="240" w:lineRule="auto"/>
              <w:jc w:val="left"/>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承包人在项目实施过程中因不诚信或不充分履约达到合同列明的拒绝投标程度的。</w:t>
            </w:r>
          </w:p>
        </w:tc>
        <w:tc>
          <w:tcPr>
            <w:tcW w:w="793" w:type="pct"/>
            <w:noWrap w:val="0"/>
            <w:vAlign w:val="center"/>
          </w:tcPr>
          <w:p w14:paraId="111D2CC1">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3407E22D">
            <w:pPr>
              <w:widowControl/>
              <w:spacing w:line="240" w:lineRule="auto"/>
              <w:jc w:val="left"/>
              <w:rPr>
                <w:rFonts w:hint="eastAsia" w:ascii="宋体" w:hAnsi="宋体" w:eastAsia="宋体" w:cs="宋体"/>
                <w:color w:val="auto"/>
                <w:spacing w:val="3"/>
                <w:kern w:val="0"/>
                <w:sz w:val="21"/>
                <w:szCs w:val="21"/>
                <w:highlight w:val="none"/>
              </w:rPr>
            </w:pPr>
            <w:r>
              <w:rPr>
                <w:rFonts w:hint="eastAsia" w:ascii="宋体" w:hAnsi="宋体" w:eastAsia="宋体" w:cs="宋体"/>
                <w:color w:val="auto"/>
                <w:spacing w:val="3"/>
                <w:kern w:val="0"/>
                <w:sz w:val="21"/>
                <w:szCs w:val="21"/>
                <w:highlight w:val="none"/>
              </w:rPr>
              <w:t>《广州市工程建设项目招标投标管理办法》</w:t>
            </w:r>
          </w:p>
          <w:p w14:paraId="30823936">
            <w:pPr>
              <w:pStyle w:val="15"/>
              <w:spacing w:before="88" w:line="240" w:lineRule="auto"/>
              <w:ind w:right="258"/>
              <w:jc w:val="center"/>
              <w:rPr>
                <w:rFonts w:hint="eastAsia" w:ascii="宋体" w:hAnsi="宋体" w:eastAsia="宋体" w:cs="宋体"/>
                <w:color w:val="auto"/>
                <w:spacing w:val="3"/>
                <w:sz w:val="21"/>
                <w:szCs w:val="21"/>
                <w:highlight w:val="none"/>
              </w:rPr>
            </w:pPr>
          </w:p>
        </w:tc>
      </w:tr>
      <w:tr w14:paraId="23C0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6E19793C">
            <w:pPr>
              <w:pStyle w:val="15"/>
              <w:tabs>
                <w:tab w:val="left" w:pos="0"/>
              </w:tabs>
              <w:spacing w:before="88" w:line="240" w:lineRule="auto"/>
              <w:ind w:right="258"/>
              <w:jc w:val="center"/>
              <w:rPr>
                <w:rFonts w:hint="default"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13</w:t>
            </w:r>
          </w:p>
        </w:tc>
        <w:tc>
          <w:tcPr>
            <w:tcW w:w="2001" w:type="pct"/>
            <w:noWrap w:val="0"/>
            <w:vAlign w:val="center"/>
          </w:tcPr>
          <w:p w14:paraId="06B88F37">
            <w:pPr>
              <w:spacing w:line="240" w:lineRule="auto"/>
              <w:jc w:val="left"/>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承包人在本项目投标时拟派的专职安全员在其他项目中有任职且在本项目开工前未完成更换确保专职安全员只在本项目上任职的</w:t>
            </w:r>
            <w:r>
              <w:rPr>
                <w:rFonts w:hint="eastAsia" w:ascii="宋体" w:hAnsi="宋体" w:cs="宋体"/>
                <w:snapToGrid w:val="0"/>
                <w:color w:val="auto"/>
                <w:spacing w:val="3"/>
                <w:kern w:val="0"/>
                <w:sz w:val="21"/>
                <w:szCs w:val="21"/>
                <w:highlight w:val="none"/>
                <w:lang w:eastAsia="zh-CN"/>
              </w:rPr>
              <w:t>。</w:t>
            </w:r>
          </w:p>
        </w:tc>
        <w:tc>
          <w:tcPr>
            <w:tcW w:w="793" w:type="pct"/>
            <w:noWrap w:val="0"/>
            <w:vAlign w:val="center"/>
          </w:tcPr>
          <w:p w14:paraId="5B2F5250">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6D02F034">
            <w:pPr>
              <w:pStyle w:val="15"/>
              <w:spacing w:before="88" w:line="240" w:lineRule="auto"/>
              <w:ind w:right="258"/>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广州市建设工程施工招标文件范本修改表（2025年7月）</w:t>
            </w:r>
          </w:p>
        </w:tc>
      </w:tr>
      <w:tr w14:paraId="3DCC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14:paraId="1659214C">
            <w:pPr>
              <w:pStyle w:val="15"/>
              <w:tabs>
                <w:tab w:val="left" w:pos="0"/>
              </w:tabs>
              <w:spacing w:before="88" w:line="240" w:lineRule="auto"/>
              <w:ind w:right="258"/>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1</w:t>
            </w:r>
            <w:r>
              <w:rPr>
                <w:rFonts w:hint="eastAsia" w:ascii="宋体" w:hAnsi="宋体" w:cs="宋体"/>
                <w:color w:val="auto"/>
                <w:spacing w:val="3"/>
                <w:sz w:val="21"/>
                <w:szCs w:val="21"/>
                <w:highlight w:val="none"/>
                <w:lang w:val="en-US" w:eastAsia="zh-CN"/>
              </w:rPr>
              <w:t>4</w:t>
            </w:r>
          </w:p>
        </w:tc>
        <w:tc>
          <w:tcPr>
            <w:tcW w:w="2001" w:type="pct"/>
            <w:noWrap w:val="0"/>
            <w:vAlign w:val="center"/>
          </w:tcPr>
          <w:p w14:paraId="2673C01E">
            <w:pPr>
              <w:spacing w:line="240" w:lineRule="auto"/>
              <w:jc w:val="left"/>
              <w:rPr>
                <w:rFonts w:hint="eastAsia" w:ascii="宋体" w:hAnsi="宋体" w:eastAsia="宋体" w:cs="宋体"/>
                <w:snapToGrid w:val="0"/>
                <w:color w:val="auto"/>
                <w:spacing w:val="3"/>
                <w:kern w:val="0"/>
                <w:sz w:val="21"/>
                <w:szCs w:val="21"/>
                <w:highlight w:val="none"/>
                <w:lang w:eastAsia="zh-CN"/>
              </w:rPr>
            </w:pPr>
            <w:r>
              <w:rPr>
                <w:rFonts w:hint="eastAsia" w:ascii="宋体" w:hAnsi="宋体" w:eastAsia="宋体" w:cs="宋体"/>
                <w:snapToGrid w:val="0"/>
                <w:color w:val="auto"/>
                <w:spacing w:val="3"/>
                <w:kern w:val="0"/>
                <w:sz w:val="21"/>
                <w:szCs w:val="21"/>
                <w:highlight w:val="none"/>
              </w:rPr>
              <w:t>其他法定情形</w:t>
            </w:r>
            <w:r>
              <w:rPr>
                <w:rFonts w:hint="eastAsia" w:ascii="宋体" w:hAnsi="宋体" w:cs="宋体"/>
                <w:snapToGrid w:val="0"/>
                <w:color w:val="auto"/>
                <w:spacing w:val="3"/>
                <w:kern w:val="0"/>
                <w:sz w:val="21"/>
                <w:szCs w:val="21"/>
                <w:highlight w:val="none"/>
                <w:lang w:eastAsia="zh-CN"/>
              </w:rPr>
              <w:t>。</w:t>
            </w:r>
          </w:p>
        </w:tc>
        <w:tc>
          <w:tcPr>
            <w:tcW w:w="793" w:type="pct"/>
            <w:noWrap w:val="0"/>
            <w:vAlign w:val="center"/>
          </w:tcPr>
          <w:p w14:paraId="116EE0A1">
            <w:pPr>
              <w:pStyle w:val="15"/>
              <w:tabs>
                <w:tab w:val="left" w:pos="1260"/>
              </w:tabs>
              <w:spacing w:before="88" w:line="240" w:lineRule="auto"/>
              <w:ind w:right="-3"/>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3个月起</w:t>
            </w:r>
          </w:p>
        </w:tc>
        <w:tc>
          <w:tcPr>
            <w:tcW w:w="1813" w:type="pct"/>
            <w:noWrap w:val="0"/>
            <w:vAlign w:val="center"/>
          </w:tcPr>
          <w:p w14:paraId="2EE24DB1">
            <w:pPr>
              <w:pStyle w:val="15"/>
              <w:tabs>
                <w:tab w:val="left" w:pos="2730"/>
                <w:tab w:val="left" w:pos="3160"/>
              </w:tabs>
              <w:spacing w:before="88" w:line="240" w:lineRule="auto"/>
              <w:ind w:right="-9"/>
              <w:jc w:val="center"/>
              <w:rPr>
                <w:rFonts w:hint="eastAsia" w:ascii="宋体" w:hAnsi="宋体" w:eastAsia="宋体" w:cs="宋体"/>
                <w:color w:val="auto"/>
                <w:spacing w:val="3"/>
                <w:sz w:val="21"/>
                <w:szCs w:val="21"/>
                <w:highlight w:val="none"/>
              </w:rPr>
            </w:pPr>
          </w:p>
        </w:tc>
      </w:tr>
    </w:tbl>
    <w:p w14:paraId="610E4B69">
      <w:pPr>
        <w:snapToGrid/>
        <w:spacing w:line="360" w:lineRule="auto"/>
        <w:ind w:lef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tbl>
      <w:tblPr>
        <w:tblStyle w:val="37"/>
        <w:tblpPr w:leftFromText="180" w:rightFromText="180" w:vertAnchor="text" w:horzAnchor="page" w:tblpX="1255" w:tblpY="-78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981"/>
        <w:gridCol w:w="4981"/>
      </w:tblGrid>
      <w:tr w14:paraId="2643A4F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0388DD3C">
            <w:pPr>
              <w:snapToGrid/>
              <w:spacing w:line="360" w:lineRule="auto"/>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br w:type="page"/>
            </w:r>
            <w:r>
              <w:rPr>
                <w:rFonts w:hint="eastAsia" w:ascii="宋体" w:hAnsi="宋体" w:eastAsia="宋体" w:cs="宋体"/>
                <w:color w:val="auto"/>
                <w:sz w:val="21"/>
                <w:szCs w:val="21"/>
                <w:highlight w:val="none"/>
              </w:rPr>
              <w:t>发包人：</w:t>
            </w:r>
          </w:p>
          <w:p w14:paraId="0E885ECC">
            <w:pPr>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中新广州知识城财政投资建设项目管理中心（公章）</w:t>
            </w:r>
          </w:p>
        </w:tc>
        <w:tc>
          <w:tcPr>
            <w:tcW w:w="2500" w:type="pct"/>
            <w:tcBorders>
              <w:tl2br w:val="nil"/>
              <w:tr2bl w:val="nil"/>
            </w:tcBorders>
            <w:noWrap w:val="0"/>
            <w:vAlign w:val="top"/>
          </w:tcPr>
          <w:p w14:paraId="421CF2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p>
          <w:p w14:paraId="3022411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tc>
      </w:tr>
      <w:tr w14:paraId="19C210C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5B7D5C3D">
            <w:pPr>
              <w:snapToGrid w:val="0"/>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地址</w:t>
            </w:r>
            <w:r>
              <w:rPr>
                <w:rFonts w:hint="eastAsia" w:ascii="宋体" w:hAnsi="宋体" w:eastAsia="宋体" w:cs="宋体"/>
                <w:color w:val="auto"/>
                <w:sz w:val="21"/>
                <w:szCs w:val="21"/>
                <w:highlight w:val="none"/>
              </w:rPr>
              <w:t>：</w:t>
            </w:r>
          </w:p>
          <w:p w14:paraId="16CF83A6">
            <w:pPr>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广州市黄埔区中新知识城亿创街1号人才大厦31楼</w:t>
            </w:r>
          </w:p>
        </w:tc>
        <w:tc>
          <w:tcPr>
            <w:tcW w:w="2500" w:type="pct"/>
            <w:tcBorders>
              <w:tl2br w:val="nil"/>
              <w:tr2bl w:val="nil"/>
            </w:tcBorders>
            <w:noWrap w:val="0"/>
            <w:vAlign w:val="top"/>
          </w:tcPr>
          <w:p w14:paraId="67FCD7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6FD7EA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p>
        </w:tc>
      </w:tr>
      <w:tr w14:paraId="1393F53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27E2042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500" w:type="pct"/>
            <w:tcBorders>
              <w:tl2br w:val="nil"/>
              <w:tr2bl w:val="nil"/>
            </w:tcBorders>
            <w:noWrap w:val="0"/>
            <w:vAlign w:val="top"/>
          </w:tcPr>
          <w:p w14:paraId="150CA6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66C5A3A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45F1B08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00" w:type="pct"/>
            <w:tcBorders>
              <w:tl2br w:val="nil"/>
              <w:tr2bl w:val="nil"/>
            </w:tcBorders>
            <w:noWrap w:val="0"/>
            <w:vAlign w:val="top"/>
          </w:tcPr>
          <w:p w14:paraId="09986A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3AE3D96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11" w:hRule="atLeast"/>
        </w:trPr>
        <w:tc>
          <w:tcPr>
            <w:tcW w:w="2500" w:type="pct"/>
            <w:tcBorders>
              <w:tl2br w:val="nil"/>
              <w:tr2bl w:val="nil"/>
            </w:tcBorders>
            <w:noWrap w:val="0"/>
            <w:vAlign w:val="top"/>
          </w:tcPr>
          <w:p w14:paraId="62A43A4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60AF2B7">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p>
        </w:tc>
        <w:tc>
          <w:tcPr>
            <w:tcW w:w="2500" w:type="pct"/>
            <w:tcBorders>
              <w:tl2br w:val="nil"/>
              <w:tr2bl w:val="nil"/>
            </w:tcBorders>
            <w:noWrap w:val="0"/>
            <w:vAlign w:val="top"/>
          </w:tcPr>
          <w:p w14:paraId="61C25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28734A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tc>
      </w:tr>
      <w:tr w14:paraId="6DBAEA3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11" w:hRule="atLeast"/>
        </w:trPr>
        <w:tc>
          <w:tcPr>
            <w:tcW w:w="2500" w:type="pct"/>
            <w:tcBorders>
              <w:tl2br w:val="nil"/>
              <w:tr2bl w:val="nil"/>
            </w:tcBorders>
            <w:noWrap w:val="0"/>
            <w:vAlign w:val="top"/>
          </w:tcPr>
          <w:p w14:paraId="508C12F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tcBorders>
              <w:tl2br w:val="nil"/>
              <w:tr2bl w:val="nil"/>
            </w:tcBorders>
            <w:noWrap w:val="0"/>
            <w:vAlign w:val="top"/>
          </w:tcPr>
          <w:p w14:paraId="45F606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14:paraId="46D1F8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tc>
      </w:tr>
      <w:tr w14:paraId="10601BD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56" w:hRule="atLeast"/>
        </w:trPr>
        <w:tc>
          <w:tcPr>
            <w:tcW w:w="2500" w:type="pct"/>
            <w:tcBorders>
              <w:tl2br w:val="nil"/>
              <w:tr2bl w:val="nil"/>
            </w:tcBorders>
            <w:noWrap w:val="0"/>
            <w:vAlign w:val="top"/>
          </w:tcPr>
          <w:p w14:paraId="227B60C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w:t>
            </w:r>
          </w:p>
        </w:tc>
        <w:tc>
          <w:tcPr>
            <w:tcW w:w="2500" w:type="pct"/>
            <w:tcBorders>
              <w:tl2br w:val="nil"/>
              <w:tr2bl w:val="nil"/>
            </w:tcBorders>
            <w:noWrap w:val="0"/>
            <w:vAlign w:val="top"/>
          </w:tcPr>
          <w:p w14:paraId="3AE060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9EF1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tc>
      </w:tr>
      <w:tr w14:paraId="65E2442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11" w:hRule="atLeast"/>
        </w:trPr>
        <w:tc>
          <w:tcPr>
            <w:tcW w:w="2500" w:type="pct"/>
            <w:tcBorders>
              <w:tl2br w:val="nil"/>
              <w:tr2bl w:val="nil"/>
            </w:tcBorders>
            <w:noWrap w:val="0"/>
            <w:vAlign w:val="top"/>
          </w:tcPr>
          <w:p w14:paraId="474B7D5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w:t>
            </w:r>
            <w:r>
              <w:rPr>
                <w:rFonts w:hint="eastAsia" w:ascii="宋体" w:hAnsi="宋体" w:eastAsia="宋体" w:cs="宋体"/>
                <w:color w:val="auto"/>
                <w:sz w:val="21"/>
                <w:szCs w:val="21"/>
                <w:highlight w:val="none"/>
                <w:lang w:val="en-US" w:eastAsia="zh-CN"/>
              </w:rPr>
              <w:t>/</w:t>
            </w:r>
          </w:p>
        </w:tc>
        <w:tc>
          <w:tcPr>
            <w:tcW w:w="2500" w:type="pct"/>
            <w:tcBorders>
              <w:tl2br w:val="nil"/>
              <w:tr2bl w:val="nil"/>
            </w:tcBorders>
            <w:noWrap w:val="0"/>
            <w:vAlign w:val="top"/>
          </w:tcPr>
          <w:p w14:paraId="332BFC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7CEA66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tc>
      </w:tr>
      <w:tr w14:paraId="0A5A10B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11" w:hRule="atLeast"/>
        </w:trPr>
        <w:tc>
          <w:tcPr>
            <w:tcW w:w="2500" w:type="pct"/>
            <w:tcBorders>
              <w:tl2br w:val="nil"/>
              <w:tr2bl w:val="nil"/>
            </w:tcBorders>
            <w:noWrap w:val="0"/>
            <w:vAlign w:val="top"/>
          </w:tcPr>
          <w:p w14:paraId="6C19BA5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06A7431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510555</w:t>
            </w:r>
          </w:p>
        </w:tc>
        <w:tc>
          <w:tcPr>
            <w:tcW w:w="2500" w:type="pct"/>
            <w:tcBorders>
              <w:tl2br w:val="nil"/>
              <w:tr2bl w:val="nil"/>
            </w:tcBorders>
            <w:noWrap w:val="0"/>
            <w:vAlign w:val="top"/>
          </w:tcPr>
          <w:p w14:paraId="6F82FB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242079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tc>
      </w:tr>
    </w:tbl>
    <w:p w14:paraId="6036F037">
      <w:pPr>
        <w:spacing w:line="360" w:lineRule="auto"/>
        <w:jc w:val="left"/>
        <w:rPr>
          <w:rFonts w:ascii="宋体" w:hAnsi="宋体" w:eastAsia="宋体" w:cs="宋体"/>
          <w:b/>
          <w:color w:val="auto"/>
          <w:sz w:val="24"/>
          <w:highlight w:val="none"/>
        </w:rPr>
      </w:pPr>
      <w:r>
        <w:rPr>
          <w:rFonts w:hint="eastAsia" w:ascii="宋体" w:hAnsi="宋体" w:eastAsia="宋体" w:cs="宋体"/>
          <w:color w:val="auto"/>
          <w:sz w:val="24"/>
          <w:highlight w:val="none"/>
          <w:lang w:val="en-US" w:eastAsia="zh-CN"/>
        </w:rPr>
        <w:t>联合体协议书（如有）</w:t>
      </w: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第二部分 通用条款</w:t>
      </w:r>
    </w:p>
    <w:p w14:paraId="75BD3A55">
      <w:pPr>
        <w:spacing w:line="360" w:lineRule="auto"/>
        <w:jc w:val="center"/>
        <w:rPr>
          <w:rFonts w:ascii="宋体" w:hAnsi="宋体" w:eastAsia="宋体" w:cs="宋体"/>
          <w:color w:val="auto"/>
          <w:sz w:val="24"/>
          <w:highlight w:val="none"/>
        </w:rPr>
      </w:pPr>
    </w:p>
    <w:p w14:paraId="7DB520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一、词语定义及合同文件 </w:t>
      </w:r>
    </w:p>
    <w:p w14:paraId="1F3FAC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1.词语定义 </w:t>
      </w:r>
    </w:p>
    <w:p w14:paraId="75E777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下列词语除专用条款另有约定外，应具有本条所赋予的定义：</w:t>
      </w:r>
    </w:p>
    <w:p w14:paraId="1D5291B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 通用条款：是根据法律、行政法规规定及建设工程施工的需要订立，通用于建设工程施工的条款。 </w:t>
      </w:r>
    </w:p>
    <w:p w14:paraId="022D8A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 专用条款：是发包人与承包人根据法律、行政法规规定，结合具体工程实际，经协商达成一致意见的条款，是对通用条款的具体化、补充或修改。 </w:t>
      </w:r>
    </w:p>
    <w:p w14:paraId="06D260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 发包人：指在协议书中约定，具有工程发包主体资格和支付工程价款能力的当事人以及取得该当事人资格的合法继承人。 </w:t>
      </w:r>
    </w:p>
    <w:p w14:paraId="15D9F3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1.4 承包人：指在协议书中约定，被发包人接受的具有工程施工承包主体资格的当事人以及取得该当事人资格的合法继承人。 </w:t>
      </w:r>
    </w:p>
    <w:p w14:paraId="5DFA16B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1.5 项目负责人：指承包人在专用条款中指定的负责施工管理和合同履行的代表。 </w:t>
      </w:r>
    </w:p>
    <w:p w14:paraId="01B3C2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 设计单位：指发包人委托的负责本工程设计并取得相应工程设计资质等级证书的单位。 </w:t>
      </w:r>
    </w:p>
    <w:p w14:paraId="2ED19C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 监理单位：指发包人委托的负责本工程监理并取得相应在工程监理资质等级证书的单位。 </w:t>
      </w:r>
    </w:p>
    <w:p w14:paraId="00DFFB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1.8 工程师：指本工程监理单位委派的总监理工程师或发包人指定的履行本合同的代表，其具体身份和职权由发包人承包人在专用条款中约定。 </w:t>
      </w:r>
    </w:p>
    <w:p w14:paraId="519F3B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 工程造价管理部门：指国务院有关部门、县级以上人民政府建设行政主管部门或其委托的工程造价管理机构。 </w:t>
      </w:r>
    </w:p>
    <w:p w14:paraId="68471B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1.10 工程：指发包人承包人在协议书中约定的承包范围内的工程。 </w:t>
      </w:r>
    </w:p>
    <w:p w14:paraId="08A558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1.11 合同价款：指发包人承包人在协议书中约定，发包人用以支付承包人按照合同约定完成承包范围内全部工程并承担质量保修责任的款项。 </w:t>
      </w:r>
    </w:p>
    <w:p w14:paraId="114643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1.12 追加合同价款：指在合同履行中发生需要增加合同价款的情况，经发包人确认后按计算合同价款的方法增加的合同价款。 </w:t>
      </w:r>
    </w:p>
    <w:p w14:paraId="477A74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1.13 费用：指不包含在合同价款之内的应当由发包人或承包人承担的经济支出。</w:t>
      </w:r>
    </w:p>
    <w:p w14:paraId="7F03F6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1.14 工期：指发包人承包人在协议书中约定，按总日历天数（包括法定节假日）计算的承包天数。 </w:t>
      </w:r>
    </w:p>
    <w:p w14:paraId="67F114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1.15 开工日期：指发包人承包人在协议书中约定，承包人开始施工的绝对或相对的日期。 </w:t>
      </w:r>
    </w:p>
    <w:p w14:paraId="650E8F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1.16 竣工日期：指发包人承包人在协议书中约定，承包人完成承包范围内工程的绝对或相对的日期。 </w:t>
      </w:r>
    </w:p>
    <w:p w14:paraId="109DC8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1.17 图纸：指由发包人提供或承包人提供并经发包人批准，满足承包人施工需要的所有图纸（包括配套说明和有关资料）。 </w:t>
      </w:r>
    </w:p>
    <w:p w14:paraId="6B3D03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1.18 施工场地：指由发包人提供的用于工程施工的场所以及发包人在图纸中具体指定的供施工使用的任何其他场所。 </w:t>
      </w:r>
    </w:p>
    <w:p w14:paraId="1F3B9A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1.19 书面形式：指合同书、信件和数据电文（包括电报、电传、传真、电子数据交换和电子邮件）等可以有形地表现所载内容的形式。 </w:t>
      </w:r>
    </w:p>
    <w:p w14:paraId="4E6DB6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1.20 违约责任：指合同一方不履行合同义务或履行合同义务不符合约定所应承担的责任。 </w:t>
      </w:r>
    </w:p>
    <w:p w14:paraId="2C5A11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1.21 索赔：指在合同履行过程中，对于并非自己的过错，而是应由对方承担责任的情况造成的实际损失，向对方提出经济补偿和（或）工期顺延的要求。 </w:t>
      </w:r>
    </w:p>
    <w:p w14:paraId="1217E5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1.22 不可抗力：指不能预见、不能避免并不能克服的客观情况。 </w:t>
      </w:r>
    </w:p>
    <w:p w14:paraId="37E5D1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1305DE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2、合同文件及解释顺序 </w:t>
      </w:r>
    </w:p>
    <w:p w14:paraId="16F410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 合同文件应能相互解释，互为说明。除专用条款另有约定外，组成本合同的文件及优先解释顺序如下： </w:t>
      </w:r>
    </w:p>
    <w:p w14:paraId="2443F3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（1）本合同协议书 </w:t>
      </w:r>
    </w:p>
    <w:p w14:paraId="5FEEA3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（2）中标通知书 </w:t>
      </w:r>
    </w:p>
    <w:p w14:paraId="587D30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（3）投标书及其附件 </w:t>
      </w:r>
    </w:p>
    <w:p w14:paraId="027504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（4）本合同专用条款 </w:t>
      </w:r>
    </w:p>
    <w:p w14:paraId="07A153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（5）本合同通用条款 </w:t>
      </w:r>
    </w:p>
    <w:p w14:paraId="432BEE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（6）标准、规范及有关技术文件 </w:t>
      </w:r>
    </w:p>
    <w:p w14:paraId="2CA6F6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（7）图纸 </w:t>
      </w:r>
    </w:p>
    <w:p w14:paraId="0FEF2EB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（8）工程量清单 </w:t>
      </w:r>
    </w:p>
    <w:p w14:paraId="1841EB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（9）工程报价单或预算书</w:t>
      </w:r>
    </w:p>
    <w:p w14:paraId="754B9A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合同履行中，发包人承包人有关工程的洽商、变更等书面协议或文件视为本合同的组成部分。 </w:t>
      </w:r>
    </w:p>
    <w:p w14:paraId="78741D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64F056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3、语言文字和适用法律、标准及规范 </w:t>
      </w:r>
    </w:p>
    <w:p w14:paraId="79965E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 语言文字 </w:t>
      </w:r>
    </w:p>
    <w:p w14:paraId="16D003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本合同文件使用汉语语言文字书写、解释和说明。如专用条款约定使用两种以上（含两种）语言文字时，汉语应为解释和说明本合同的标准语言文字。</w:t>
      </w:r>
    </w:p>
    <w:p w14:paraId="293BDA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在少数民族地区，双方可以约定使用少数民族语言文字书写和解释、说明本合同。</w:t>
      </w:r>
    </w:p>
    <w:p w14:paraId="2DEA72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 适用法律和法规 </w:t>
      </w:r>
    </w:p>
    <w:p w14:paraId="042E4B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本合同文件适用国家的法律和行政法规。需要明示的法律、行政法规，由双方在专用条款中约定。</w:t>
      </w:r>
    </w:p>
    <w:p w14:paraId="6FBD01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 适用标准、规范 </w:t>
      </w:r>
    </w:p>
    <w:p w14:paraId="29DA1C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7CE59B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 </w:t>
      </w:r>
    </w:p>
    <w:p w14:paraId="40EDDB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本条所发生的购买、翻译标准、规范或制定施工工艺的费用，由发包人承担。</w:t>
      </w:r>
    </w:p>
    <w:p w14:paraId="08B117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4、图纸 </w:t>
      </w:r>
    </w:p>
    <w:p w14:paraId="342F2B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2A3D67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4.2 承包人未经发包人同意，不得将本工程图纸转给第三人。工程质量保修期满后，除承包人存档需要的图纸外，应将全部图纸退还给发包人。 </w:t>
      </w:r>
    </w:p>
    <w:p w14:paraId="15DC9E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4.3 承包人应在施工现场保留一套完整图纸，供工程师及有关人员进行工程检查时使用。 </w:t>
      </w:r>
    </w:p>
    <w:p w14:paraId="690364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二、双方一般权利和义务 </w:t>
      </w:r>
    </w:p>
    <w:p w14:paraId="0A1E41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5、工程师 </w:t>
      </w:r>
    </w:p>
    <w:p w14:paraId="6170B9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5.1实行工程监理的，发包人应在实施监理前将委托的监理单位名称、监理内容及监理权限以书面形式通知承包人。 </w:t>
      </w:r>
    </w:p>
    <w:p w14:paraId="3BF06D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20B5D6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41AD25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30CE20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 除合同内有明确约定或经发包人同意外，负责监理的工程师无权解除本合同约定的承包人的任何权利与义务。</w:t>
      </w:r>
    </w:p>
    <w:p w14:paraId="214C59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5.6 不实行工程监理的，本合同中工程师专指发包人派驻施工现场履行合同的代表，其具体职权由发包人在专用条款中写明。 </w:t>
      </w:r>
    </w:p>
    <w:p w14:paraId="21D1F5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6、工程师的委派和指令 </w:t>
      </w:r>
    </w:p>
    <w:p w14:paraId="734B58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54814E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14:paraId="36BF45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除工程师或工程师代表外，发包人派驻工地的其他人员均无权向承包人发出任何指令。 </w:t>
      </w:r>
    </w:p>
    <w:p w14:paraId="7E4631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0D9A38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1AEE5D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本款规定同样适用于由工程师代表发出的指令、通知。</w:t>
      </w:r>
    </w:p>
    <w:p w14:paraId="73C3CA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 </w:t>
      </w:r>
    </w:p>
    <w:p w14:paraId="1C8EE1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6.4 如需更换工程师，发包人应至少提前7天以书面形式通知承包人，后任继续行使合同文件约定的前任的职权，履行前任的义务。 </w:t>
      </w:r>
    </w:p>
    <w:p w14:paraId="219777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7、项目负责人 </w:t>
      </w:r>
    </w:p>
    <w:p w14:paraId="43E7A3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7.1 项目负责人的姓名、职务在专用条款内写明。 </w:t>
      </w:r>
    </w:p>
    <w:p w14:paraId="0EBE42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7.2 承包人依据合同发出的通知，以书面形式由项目负责人签字后送交工程师，工程师在回执上签署姓名和收到时间后生效。 </w:t>
      </w:r>
    </w:p>
    <w:p w14:paraId="6054A3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48693E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7.4 承包人如需更换项目负责人，应至少提前7天以书面形式通知发包人，并征得发包人同意。后任继续行使合同文件约定的前任的职权，履行前任的义务。 </w:t>
      </w:r>
    </w:p>
    <w:p w14:paraId="25E308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7.5 发包人可以与承包人协商，建议更换其认为不称职的项目负责人。 </w:t>
      </w:r>
    </w:p>
    <w:p w14:paraId="0104D6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8、发包人工作 </w:t>
      </w:r>
    </w:p>
    <w:p w14:paraId="3C28C4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8.1 发包人按专用条款约定的内容和时间完成以下工作: </w:t>
      </w:r>
    </w:p>
    <w:p w14:paraId="0ADE25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办理土地征用、拆迁补偿、平整施工场地等工作，使施工场地具备施工条件，在开工后继续负责解决以上事项遗留问题； </w:t>
      </w:r>
    </w:p>
    <w:p w14:paraId="042B10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将施工所需水、电、电讯线路从施工场地外部接至专用条款约定地点，保证施工期间的需要； </w:t>
      </w:r>
    </w:p>
    <w:p w14:paraId="6E1736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开通施工场地与城乡公共道路的通道，以及专用条款约定的施工场地内的主要道路，满足施工运输的需要，保证施工期间的畅通。 </w:t>
      </w:r>
    </w:p>
    <w:p w14:paraId="6BEE94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向承包人提供施工场地的工程地质和地下管线资料，对资料的真实准确性负责； </w:t>
      </w:r>
    </w:p>
    <w:p w14:paraId="014B76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 办理施工许可证及其他施工所需证件、批件和临时用地、停水、停电、中断道路交通、爆破作业等的申请批准文件（证明承包人自身资质的证件除外）；</w:t>
      </w:r>
    </w:p>
    <w:p w14:paraId="16FDF1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 确定水准点与坐标控制点，以书面形式交给承包人，进行现场交验；</w:t>
      </w:r>
    </w:p>
    <w:p w14:paraId="1DB095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 组织承包人和设计单位进行图纸会审和设计交底；</w:t>
      </w:r>
    </w:p>
    <w:p w14:paraId="765216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(8) 协调管理施工场地周围地下管线和邻近建筑物、构筑物（包括文物保护建筑）、古树名木的保护工作，承担有关费用； </w:t>
      </w:r>
    </w:p>
    <w:p w14:paraId="661E7D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(9) 发包人应做的其他工作，双方在专用条款内约定。 </w:t>
      </w:r>
    </w:p>
    <w:p w14:paraId="04FB30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8.2 发包人未履行8.1款各项义务，导致工期延误或给承包人造成损失的，发包人赔偿承包人有关损失，顺延延误的工期。 </w:t>
      </w:r>
    </w:p>
    <w:p w14:paraId="4DCB49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9、承包人工作 </w:t>
      </w:r>
    </w:p>
    <w:p w14:paraId="607CFE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9.1 承包人按专用条款约定的内容和时间完成以下工作： </w:t>
      </w:r>
    </w:p>
    <w:p w14:paraId="799F27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(1)根据发包人委托，在其设计资质等级和业务允许的范围内，完成施工图设计或与工程配套的设计，经工程师确认后使用，发包人承担由此发生的费用；</w:t>
      </w:r>
    </w:p>
    <w:p w14:paraId="444DA7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(2)向工程师提供年、季、月度工程进度计划及相应进度统计报表； </w:t>
      </w:r>
    </w:p>
    <w:p w14:paraId="492251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(3)根据工程需要，提供和维修非夜间施工使用的照明、围栏设施，并负责安全保卫；</w:t>
      </w:r>
    </w:p>
    <w:p w14:paraId="3E9A7D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(4)按专用条款约定的数量和要求，向发包人提供施工场地办公和生活的房屋及设施，发包人承担由此发生的费用； </w:t>
      </w:r>
    </w:p>
    <w:p w14:paraId="6F3D1C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14:paraId="08C09E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20D76E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(7)按专用条款约定做好施工场地地下管线和邻近建筑物、构筑物（包括文物保护建筑）、古树名木的保护工作；</w:t>
      </w:r>
    </w:p>
    <w:p w14:paraId="681BBF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(8)保证施工场地清洁符合环境卫生管理的有关规定，交工前清理现场达到专用条款约定的要求，承担因自身原因违反有关规定造成的损失和罚款；</w:t>
      </w:r>
    </w:p>
    <w:p w14:paraId="6BC3F9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(9)办理施工许可证及施工所需证件、批件和临时用地、停水、停电、中断道路交通、爆破作业等的申请批准手续（证明承包人自身资质的证件除外）；</w:t>
      </w:r>
    </w:p>
    <w:p w14:paraId="122DAD7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(10)承包人应做的其他工作，双方在专用条款内约定。</w:t>
      </w:r>
    </w:p>
    <w:p w14:paraId="33792F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9.2承包人未能履行9.1款各项义务，造成发包人损失的，承包人赔偿发包人有关损失。</w:t>
      </w:r>
    </w:p>
    <w:p w14:paraId="08D8E3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三、施工组织设计和工期 </w:t>
      </w:r>
    </w:p>
    <w:p w14:paraId="2D9971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10、进度计划 </w:t>
      </w:r>
    </w:p>
    <w:p w14:paraId="3EE3F1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44132F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10.2群体工程中单位工程分期进行施工的，承包人应按照发包人提供图纸及有关资料的时间，按单位工程编制进度计划，其具体内容双方在专用条款中约定。 </w:t>
      </w:r>
    </w:p>
    <w:p w14:paraId="5B397C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46A54E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11、开工及延期开工 </w:t>
      </w:r>
    </w:p>
    <w:p w14:paraId="555724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1F24BD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11.2因发包人原因不能按照协议书约定的开工日期开工，工程师应以书面形式通知承包人，推迟开工日期。发包人赔偿承包人因延期开工造成的损失，并相应顺延工期。 </w:t>
      </w:r>
    </w:p>
    <w:p w14:paraId="0AFF0E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12、暂停施工 </w:t>
      </w:r>
    </w:p>
    <w:p w14:paraId="1E4E3F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00F937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13、工期延误 </w:t>
      </w:r>
    </w:p>
    <w:p w14:paraId="58D872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13.1因以下原因造成工期延误，经工程师确认工期相应顺延； </w:t>
      </w:r>
    </w:p>
    <w:p w14:paraId="612595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发包人未能按专用条款的约定提供图纸及开工条件； </w:t>
      </w:r>
    </w:p>
    <w:p w14:paraId="49626A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发包人未能按约定日期支付工程预付款、进度款，致使施工不能正常进行；</w:t>
      </w:r>
    </w:p>
    <w:p w14:paraId="00E974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工程师未按合同约定提供所需指令、批准等，致使施工不能正常进行；</w:t>
      </w:r>
    </w:p>
    <w:p w14:paraId="3A531B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设计变更和工程量增加； </w:t>
      </w:r>
    </w:p>
    <w:p w14:paraId="035F97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 一周内非承包人原因停水、停电、停气造成停工累计超过8小时；</w:t>
      </w:r>
    </w:p>
    <w:p w14:paraId="5980E4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 不可抗力；</w:t>
      </w:r>
    </w:p>
    <w:p w14:paraId="17D260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 专用条款中约定或工程师同意工期顺延的其他情况。</w:t>
      </w:r>
    </w:p>
    <w:p w14:paraId="34CE2C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697B75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14、工程竣工 </w:t>
      </w:r>
    </w:p>
    <w:p w14:paraId="363D99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14.1 承包人必须按照协议书约定的竣工日期或工程师同意顺延的工期竣工。 </w:t>
      </w:r>
    </w:p>
    <w:p w14:paraId="7D3967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14.2 因承包人原因不能按照协议书约定的竣工日期或工程师同意顺延的工期竣工的，承包人承担违约责任。 </w:t>
      </w:r>
    </w:p>
    <w:p w14:paraId="5D852F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0A6FCF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四、质量与检验 </w:t>
      </w:r>
    </w:p>
    <w:p w14:paraId="1F8C95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15、工程质量 </w:t>
      </w:r>
    </w:p>
    <w:p w14:paraId="4C5A58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15.1 工程质量应当达到协议书约定的质量标准，质量标准的评定以国家或行业的质量检验评定标准为依据。因承包人原因工程质量达不到约定的质量标准，承包人承担违约责任。 </w:t>
      </w:r>
    </w:p>
    <w:p w14:paraId="4412FA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15.2 双方对工程质量有争议，由双方同意的工程质量检测机构鉴定，所需费用及因此造成的损失，由责任方承担。双方均有责任，由双方根据其责任分别承担。 </w:t>
      </w:r>
    </w:p>
    <w:p w14:paraId="19003A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16、检查和返工 </w:t>
      </w:r>
    </w:p>
    <w:p w14:paraId="4C5798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16.1 承包人应认真按照标准、规范和设计图纸要求以及工程师依据合同发出的指令施工，随时接受工程师的检查检验，为检查检验提供便利条件。 </w:t>
      </w:r>
    </w:p>
    <w:p w14:paraId="2B6B62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4E90F2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7D0AEB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 因工程师指令失误或其他非承包人原因发生的追加合同价款，由发包人承担。 </w:t>
      </w:r>
    </w:p>
    <w:p w14:paraId="5386B4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17、隐蔽工程和中间验收 </w:t>
      </w:r>
    </w:p>
    <w:p w14:paraId="728096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 </w:t>
      </w:r>
    </w:p>
    <w:p w14:paraId="63DC51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0912C9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17.3 经工程师验收，工程质量符合标准、规范和设计图纸等要求，验收24小时后，工程师不在验收记录上签字，视为工程师已经认可验收记录，承包人可进行隐蔽或继续施工。 </w:t>
      </w:r>
    </w:p>
    <w:p w14:paraId="0DF866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18、重新检验 </w:t>
      </w:r>
    </w:p>
    <w:p w14:paraId="110C58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12C8F1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19、工程试车 </w:t>
      </w:r>
    </w:p>
    <w:p w14:paraId="3FE562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19.1 双方约定需要试车的，试车内容应与承包人承包的安装范围相一致。 </w:t>
      </w:r>
    </w:p>
    <w:p w14:paraId="3C2C37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02D883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417C4E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0AF7A5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19.5双方责任 </w:t>
      </w:r>
    </w:p>
    <w:p w14:paraId="0AC8F0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1AA636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7577AC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由于承包人施工原因试车达不到验收要求，承包人按工程师要求重新安装和试车，并承担重新安装和试车的费用，工期不予顺延。 </w:t>
      </w:r>
    </w:p>
    <w:p w14:paraId="6F1FBB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试车费用除已包括在合同价款之内或专用条款另有约定外，均由发包人承担。</w:t>
      </w:r>
    </w:p>
    <w:p w14:paraId="420AED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 工程师在试车合格后不在试车记录上签字，试车结束24小时后，视为工程师已经认可试车记录，承包人可继续施工或办理竣工手续。 </w:t>
      </w:r>
    </w:p>
    <w:p w14:paraId="06F1C7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19.6 投料试车应在工程竣工验收后由发包人负责，如发包人要求在工程竣工验收前进行或需要承包人配合时，应征得承包人同意，另行签订补充协议。 </w:t>
      </w:r>
    </w:p>
    <w:p w14:paraId="441EA5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五、安全施工 </w:t>
      </w:r>
    </w:p>
    <w:p w14:paraId="3CA2C9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20、安全施工与检查 </w:t>
      </w:r>
    </w:p>
    <w:p w14:paraId="6CDB6DC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67895B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687597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21、安全防护 </w:t>
      </w:r>
    </w:p>
    <w:p w14:paraId="6E2DD2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631D76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 </w:t>
      </w:r>
    </w:p>
    <w:p w14:paraId="432847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22、事故处理 </w:t>
      </w:r>
    </w:p>
    <w:p w14:paraId="6D5422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22.1发生重大伤亡及其他安全事故，承包人应按有关规定立即上报有关部门并通知工程师，同时按政府有关部门要求处理，由事故责任方承担发生的费用。</w:t>
      </w:r>
    </w:p>
    <w:p w14:paraId="449370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22.2发包人承包人对事故责任有争议时，应按政府有关部门的认定处理。 </w:t>
      </w:r>
    </w:p>
    <w:p w14:paraId="2E4D4C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六、合同价款与支付 </w:t>
      </w:r>
    </w:p>
    <w:p w14:paraId="56A7B3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23、合同价款及调整 </w:t>
      </w:r>
    </w:p>
    <w:p w14:paraId="46B9D9C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23.1招标工程的合同价款由发包人承包人依据中标通知书中的中标价格在协议书内约定。非招标工程的合同价款由发包人承包人依据工程预算书在协议书内约定。 </w:t>
      </w:r>
    </w:p>
    <w:p w14:paraId="412B8C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23.2合同价款在协议书内约定后，任何一方不得擅自改变。下列三种确定合同价款的方式，双方可在专用条款内约定采用其中一种： </w:t>
      </w:r>
    </w:p>
    <w:p w14:paraId="7802F1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0F2E40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可调价格合同。合同价款可根据双方的约定而调整，双方在专用条款内约定合同价款调整方法。 </w:t>
      </w:r>
    </w:p>
    <w:p w14:paraId="096D57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成本加酬金合同。合同价款包括成本和酬金两部分，双方在专用条款内约定成本构成和酬金的计算方法。 </w:t>
      </w:r>
    </w:p>
    <w:p w14:paraId="429D3B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23.3可调价格合同中合同价款的调整因素包括：</w:t>
      </w:r>
    </w:p>
    <w:p w14:paraId="3CDF35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法律、行政法规和国家有关政策变化影响合同价款； </w:t>
      </w:r>
    </w:p>
    <w:p w14:paraId="01B629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工程造价管理部门公布的价格调整； </w:t>
      </w:r>
    </w:p>
    <w:p w14:paraId="6CCF8E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一周内非承包人原因停水、停电、停气造成的停工累计超过8小时； </w:t>
      </w:r>
    </w:p>
    <w:p w14:paraId="03D853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双方约定的其他因素。 </w:t>
      </w:r>
    </w:p>
    <w:p w14:paraId="253FFA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01FBA3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24、工程预付款 </w:t>
      </w:r>
    </w:p>
    <w:p w14:paraId="50B2A7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7B5499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25、工程量的确认 </w:t>
      </w:r>
    </w:p>
    <w:p w14:paraId="5BB345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2E429C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432EC1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25.3对承包人超出设计图纸范围和因承包人原因造成返工的工程量，工程师不予计量。 </w:t>
      </w:r>
    </w:p>
    <w:p w14:paraId="28A38E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26、工程款（进度款）支付。 </w:t>
      </w:r>
    </w:p>
    <w:p w14:paraId="52CE27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26.1 在确认计量结果后14天内，发包人应向承包人支付工程款（进度款）。按约定时间发包人应扣回的预付款，与工程款（进度款）同期结算。 </w:t>
      </w:r>
    </w:p>
    <w:p w14:paraId="6DF9F8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26.2 本通用条款第23条确定调整的合同价款，第31条工程变更调整的合同价款及其他条款中约定的追加合同价款，应与工程款（进度款）同期调整支付。 </w:t>
      </w:r>
    </w:p>
    <w:p w14:paraId="153C0C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18726D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26.4 发包人不按合同约定支付工程款（进度款），双方又未达成延期付款协议，导致施工无法进行，承包人可停止施工，由发包人承担违约责任。 </w:t>
      </w:r>
    </w:p>
    <w:p w14:paraId="75F530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七、材料设备供应 </w:t>
      </w:r>
    </w:p>
    <w:p w14:paraId="7E7A48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27、发包人供应材料设备 </w:t>
      </w:r>
    </w:p>
    <w:p w14:paraId="2ED0C0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028520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2B26D4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27.3 发包人供应的材料设备，承包人派人参加清点后由承包人妥善保管，发包人支付相应保管费用。因承包人原因发生丢失损坏，由承包人负责赔偿。 </w:t>
      </w:r>
    </w:p>
    <w:p w14:paraId="7568FC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发包人未通知承包人清点，承包人不负责材料设备的保管，丢失损坏由发包人负责。 </w:t>
      </w:r>
    </w:p>
    <w:p w14:paraId="1F5506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27.4发包人供应的材料设备与一览表不符时，发包人承担有关责任。发包人应承担责任的具体内容，双方根据下列情况在专用条款内约定。 </w:t>
      </w:r>
    </w:p>
    <w:p w14:paraId="087B4F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材料设备单价与一览表不符，由发包人承担所有价差； </w:t>
      </w:r>
    </w:p>
    <w:p w14:paraId="5C7BE2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材料设备的品种、规格、型号、质量等级与一览表不符，承包人可拒绝接收保管，由发包人运出施工场地并重新采购； </w:t>
      </w:r>
    </w:p>
    <w:p w14:paraId="73E904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发包人供应的材料规格、型号与一览表不符，经发包人同意，承包人可代为调剂串换，由发包人承担相应费用； </w:t>
      </w:r>
    </w:p>
    <w:p w14:paraId="718610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到货地点与一览表不符，由发包人负责运至一览表指定地点： </w:t>
      </w:r>
    </w:p>
    <w:p w14:paraId="023856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 供应数量少于一览表约定的数量时，由发包人补齐，多于一览表约定数量时，发包人负责将多出部分运出施工场地； </w:t>
      </w:r>
    </w:p>
    <w:p w14:paraId="26F731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42C433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27.5发包人供应的材料设备使用前，由承包人负责检验或试验，不合格的不得使用，检验或试验费用由发包人承担。 </w:t>
      </w:r>
    </w:p>
    <w:p w14:paraId="60AB36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27.6发包人供应材料设备的结算方法，双方在专用条款内约定。 </w:t>
      </w:r>
    </w:p>
    <w:p w14:paraId="58A3EF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28、承包人采购材料设备 </w:t>
      </w:r>
    </w:p>
    <w:p w14:paraId="7BD538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28.1 承包人负责采购材料设备的，应按照专用条款约定及设计和有关标准要求采购，并提供产品合格证明，对材料设备质量负责。承包人在材料设备到货前24小时通知工程师清点。</w:t>
      </w:r>
    </w:p>
    <w:p w14:paraId="47C2A6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28.2 承包人采购的材料设备与设计或标准要求不符时，承包人应按工程师要求的时间运出施工场地，重新采购符合要求的产品，承担由此发生的费用，由此延误的工期不予顺延。 </w:t>
      </w:r>
    </w:p>
    <w:p w14:paraId="42D9F0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28.3 承包人采购的材料设备在使用前，承包人应按工程师的要求进行检验或试验，不合格的不得使用，检验或试验费用由承包人承担。 </w:t>
      </w:r>
    </w:p>
    <w:p w14:paraId="2B9576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28.4 工程师发现承包人采购并使用不符合设计或标准要求的材料设备时，应要求由承包人负责修复、拆除或重新采购，并承担发生的费用，由此延误的工期不予顺延。 </w:t>
      </w:r>
    </w:p>
    <w:p w14:paraId="41F1AF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28.5 承包人需要使用代用材料时，应经工程师认可后才能使用，由此增减的合同价款双方以书面形式议定。 </w:t>
      </w:r>
    </w:p>
    <w:p w14:paraId="61501F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28.6 由承包人采购的材料设备，发包人不得指定生产厂或供应商。 </w:t>
      </w:r>
    </w:p>
    <w:p w14:paraId="3CD447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八、工程变更 </w:t>
      </w:r>
    </w:p>
    <w:p w14:paraId="6C9AAB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29、工程设计变更 </w:t>
      </w:r>
    </w:p>
    <w:p w14:paraId="6AFE19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682258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更改工程有关部分的标高、基线、位置和尺寸； </w:t>
      </w:r>
    </w:p>
    <w:p w14:paraId="3AFFE3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增减合同中约定的工程量； </w:t>
      </w:r>
    </w:p>
    <w:p w14:paraId="56DEF6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改变有关工程的施工时间和顺序； </w:t>
      </w:r>
    </w:p>
    <w:p w14:paraId="679D0A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其他有关工程变更需要的附加工作。 </w:t>
      </w:r>
    </w:p>
    <w:p w14:paraId="412D0B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因变更导致合同价款的增减及造成的承包人损失，由发包人承担，延误的工期相应顺延。 </w:t>
      </w:r>
    </w:p>
    <w:p w14:paraId="4E099A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29.2施工中承包人不得对原工程设计进行变更。因承包人擅自变更设计发生的费用和由此导致发包人的直接损失，由承包人承担，延误的工期不予顺延。</w:t>
      </w:r>
    </w:p>
    <w:p w14:paraId="22A995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4D5EF0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工程师同意采用承包人合理化建议，所发生的费用和获得的收益，发包人承包人另行约定分担或分享。 </w:t>
      </w:r>
    </w:p>
    <w:p w14:paraId="7BD5D6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30、其他变更 </w:t>
      </w:r>
    </w:p>
    <w:p w14:paraId="3902A4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合同履行中发包人要求变更工程质量标准及发生其他实质性变更，由双方协商解决。 </w:t>
      </w:r>
    </w:p>
    <w:p w14:paraId="48884F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31、确定变更价款 </w:t>
      </w:r>
    </w:p>
    <w:p w14:paraId="6E3715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31.1承包人在工程变更确定后14天内，提出变更工程价款的报告，经工程师确认后调整合同价款。变更合同价款按下列方法进行： </w:t>
      </w:r>
    </w:p>
    <w:p w14:paraId="07383D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合同中已有适用于变更工程的价格，按合同已有的价格变更合同价款； </w:t>
      </w:r>
    </w:p>
    <w:p w14:paraId="09E0B4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合同中只有类似于变更工程的价格，可以参照类似价格变更合同价款； </w:t>
      </w:r>
    </w:p>
    <w:p w14:paraId="1B2B30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合同中没有适用或类似于变更工程的价格，由承包人提出适当的变更价格，经工程师确认后执行。 </w:t>
      </w:r>
    </w:p>
    <w:p w14:paraId="4C72CB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31.2承包人在双方确定变更后14天内不向工程师提出变更工程价款报告时，视为该项变更不涉及合同价款的变更。 </w:t>
      </w:r>
    </w:p>
    <w:p w14:paraId="760AC4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31.3工程师应在收到变更工程价款报告之日起14天内予以确认，工程师无正当理由不确认时，自变更工程价款报告送达之日起14天后视为变更工程价款报告已被确认。 </w:t>
      </w:r>
    </w:p>
    <w:p w14:paraId="1672FA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31.4工程师不同意承包人提出的变更价款，按本通用条款第37条关于争议的约定处理。 </w:t>
      </w:r>
    </w:p>
    <w:p w14:paraId="1D14FE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31.5工程师确认增加的工程变更价款作为追加合同价款，与工程款同期支付。</w:t>
      </w:r>
    </w:p>
    <w:p w14:paraId="0CC8CD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31.6因承包人自身原因导致的工程变更，承包人无权要求追加合同价款。 </w:t>
      </w:r>
    </w:p>
    <w:p w14:paraId="756EA5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九、竣工验收与结算 </w:t>
      </w:r>
    </w:p>
    <w:p w14:paraId="1FF1A4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32、竣工验收 </w:t>
      </w:r>
    </w:p>
    <w:p w14:paraId="5E827E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07DB90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32.2 发包人收到竣工验收报告后28天内组织有关单位验收，并在验收后14天内给予认可或提出修改意见。承包人按要求修改，并承担由自身原因造成修改的费用。</w:t>
      </w:r>
    </w:p>
    <w:p w14:paraId="5C8C8A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32.3 发包人收到承包人送交的竣工验收报告后28天内不组织验收，或验收后14天内不提出修改意见，视为竣工验收报告已被认可。 </w:t>
      </w:r>
    </w:p>
    <w:p w14:paraId="4C4558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3CDCFD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32.5 发包人收到承包人竣工验收报告后28天内不组织验收，从第29天起承担工程保管及一切意外责任。 </w:t>
      </w:r>
    </w:p>
    <w:p w14:paraId="26479E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32.6 中间交工工程的范围和竣工时间，双方在专用条款内约定，其验收程序按本通用条款32.1款至32.4款办理。 </w:t>
      </w:r>
    </w:p>
    <w:p w14:paraId="20B7A9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32.7 因特殊原因，发包人要求部分单位工程或工程部位甩项竣工的，双方另行签订甩项竣工协议，明确双方责任和工程价款支付方法。 </w:t>
      </w:r>
    </w:p>
    <w:p w14:paraId="632D3B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32.8 工程未经竣工验收或竣工验收未通过的，发包人不得使用。发包人强行使用时，由此发生的质量问题及其他问题，由发包人承担责任。 </w:t>
      </w:r>
    </w:p>
    <w:p w14:paraId="39C35D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33、竣工结算 </w:t>
      </w:r>
    </w:p>
    <w:p w14:paraId="5D0F7B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758B24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3399A3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33.3 发包人收到竣工结算报告及结算资料后28天内无正当理由不支付工程竣工结算价款，从第29天起按承包人同期向银行贷款利率支付拖欠工程价款的利息，并承担违约责任。</w:t>
      </w:r>
    </w:p>
    <w:p w14:paraId="5852B9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713E26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271217C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33.6 发包人承包人对工程竣工结算价款发生争议时，按本通用条款37条关于争议的约定处理。 </w:t>
      </w:r>
    </w:p>
    <w:p w14:paraId="776CCB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34、质量保修 </w:t>
      </w:r>
    </w:p>
    <w:p w14:paraId="539F22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34.1 承包人应按法律、行政法规或国家关于工程质量保修的有关规定，对交付发包人使用的工程在质量保修期内承担质量保修责任。 </w:t>
      </w:r>
    </w:p>
    <w:p w14:paraId="6DEC26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34.2 质量保修工作的实施。承包人应在工程竣工验收之前，与发包人签订质量保修书，作为本合同附件（附件3）。 </w:t>
      </w:r>
    </w:p>
    <w:p w14:paraId="3BD31F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34.3 质量保修书的主要内容包括： </w:t>
      </w:r>
    </w:p>
    <w:p w14:paraId="583A05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质量保修项目内容及范围； </w:t>
      </w:r>
    </w:p>
    <w:p w14:paraId="5AB327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质量保修期； </w:t>
      </w:r>
    </w:p>
    <w:p w14:paraId="676348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质量保修责任； </w:t>
      </w:r>
    </w:p>
    <w:p w14:paraId="718FDA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质量保修金的支付方法。 </w:t>
      </w:r>
    </w:p>
    <w:p w14:paraId="5C30D1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十、违约、索赔和争议 </w:t>
      </w:r>
    </w:p>
    <w:p w14:paraId="3231FA8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35、违约 </w:t>
      </w:r>
    </w:p>
    <w:p w14:paraId="17EC46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35.1发包人违约。当发生下列情况时：</w:t>
      </w:r>
    </w:p>
    <w:p w14:paraId="536B41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本通用条款第24条提到的发包人不按时支付工程预付款； </w:t>
      </w:r>
    </w:p>
    <w:p w14:paraId="34DB1F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本通用条款第26.4款提到的发包人不按合同约定支付工程款，导致施工无法进行； </w:t>
      </w:r>
    </w:p>
    <w:p w14:paraId="2A3082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本通用条款第33.3款提到的发包人无正当理由不支付工程竣工结算价款；</w:t>
      </w:r>
    </w:p>
    <w:p w14:paraId="306620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发包人不履行合同义务或不按合同约定履行义务的其他情况。 </w:t>
      </w:r>
    </w:p>
    <w:p w14:paraId="1B364B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14:paraId="77E02F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35.2承包人违约。当发生下列情况时： </w:t>
      </w:r>
    </w:p>
    <w:p w14:paraId="4E33EF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本通用条款第14.2款提到的因承包人原因不能按照协议书约定的竣工日期或工程师同意顺延的工期竣工； </w:t>
      </w:r>
    </w:p>
    <w:p w14:paraId="6BD928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本通用条款第15.1款提到的因承包人原因工程质量达不到协议书约定的质量标准； </w:t>
      </w:r>
    </w:p>
    <w:p w14:paraId="4CCA50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承包人不履行合同义务或不按合同约定履行义务的其他情况。 </w:t>
      </w:r>
    </w:p>
    <w:p w14:paraId="4E6DA1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承包人承担违约责任，赔偿因其违约给发包人造成的损失。双方在专用条款内约定承包人赔偿发包人损失的计算方法或者承包人应当支付违约金的数额或计算方法。 </w:t>
      </w:r>
    </w:p>
    <w:p w14:paraId="4F4C7E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35.3一方违约后，另一方要求违约方继续履行合同时，违约方承担上述违约责任后仍应继续履行合同。 </w:t>
      </w:r>
    </w:p>
    <w:p w14:paraId="42E4BA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36、索赔 </w:t>
      </w:r>
    </w:p>
    <w:p w14:paraId="7CC6FB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36.1当一方向另一方提出索赔时，要有正当索赔理由，且有索赔事件发生时的有效证据。 </w:t>
      </w:r>
    </w:p>
    <w:p w14:paraId="3E00FC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3AD707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索赔事件发生后28天内，向工程师发出索赔意向通知； </w:t>
      </w:r>
    </w:p>
    <w:p w14:paraId="6CFD96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发出索赔意向通知后28天内，向工程师提出延长工期和（或）补偿经济损失的索赔报告及有关资料； </w:t>
      </w:r>
    </w:p>
    <w:p w14:paraId="2BA8F2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工程师在收到承包人送交的索赔报告及有关资料后，于28天内给予答复，或要求承包人进一步补充索赔理由和证据； </w:t>
      </w:r>
    </w:p>
    <w:p w14:paraId="36C0C8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工程师在收到承包人送交的索赔报告和有关资料后28天内未予答复或未对承包人作进一步要求，视为该项索赔已经认可； </w:t>
      </w:r>
    </w:p>
    <w:p w14:paraId="6F4193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100DED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36.3承包人未能按合同约定履行自己的各项义务或发生错误，给发包人造成经济损失，发包人可按36.2款确定的时限向承包人提出索赔。 </w:t>
      </w:r>
    </w:p>
    <w:p w14:paraId="62003E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37、争议 </w:t>
      </w:r>
    </w:p>
    <w:p w14:paraId="386F9AB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61BFCD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第一种解决方式：双方达成仲裁协议，向约定的仲裁委员会申请仲裁； </w:t>
      </w:r>
    </w:p>
    <w:p w14:paraId="31AF87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第二种解决方式：向有管辖权的人民法院起诉。 </w:t>
      </w:r>
    </w:p>
    <w:p w14:paraId="4FD823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37.2发生争议后，除非出现下列情况的，双方都应继续履行合同，保持施工连续，保护好已完工程： </w:t>
      </w:r>
    </w:p>
    <w:p w14:paraId="60AAE2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单方违约导致合同确已无法履行，双方协议停止施工； </w:t>
      </w:r>
    </w:p>
    <w:p w14:paraId="6A0688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调解要求停止施工，且为双方接受； </w:t>
      </w:r>
    </w:p>
    <w:p w14:paraId="025445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仲裁机构要求停止施工； </w:t>
      </w:r>
    </w:p>
    <w:p w14:paraId="3EC9EC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法院要求停止施工。 </w:t>
      </w:r>
    </w:p>
    <w:p w14:paraId="409F4E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十一、其他 </w:t>
      </w:r>
    </w:p>
    <w:p w14:paraId="306D27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38、工程分包 </w:t>
      </w:r>
    </w:p>
    <w:p w14:paraId="64ECDE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38.1 承包人按专用条款的约定分包所承包的部分工程，并与分包单位签订分包合同。非经发包人同意，承包人不得将承包工程的任何部分分包。 </w:t>
      </w:r>
    </w:p>
    <w:p w14:paraId="65794B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38.2 承包人不得将其承包的全部工程转包给他人，也不得将其承包的全部工程肢解以后以分包的名义分别转包给他人。 </w:t>
      </w:r>
    </w:p>
    <w:p w14:paraId="79EDD6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12D059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38.4分包工程价款由承包人与分包单位结算。发包人未经承包人同意不得以任何形式向分包单位支付各种工程款项。 </w:t>
      </w:r>
    </w:p>
    <w:p w14:paraId="7CF971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39、不可抗力 </w:t>
      </w:r>
    </w:p>
    <w:p w14:paraId="6A0E9D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39.1 不可抗力包括因战争、动乱、空中飞行物体坠落或其他非发包人承包人责任造成的爆炸、火灾，以及专用条款约定的风、雨、雪、洪、震等自然灾害。</w:t>
      </w:r>
    </w:p>
    <w:p w14:paraId="31BD3F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29B695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39.3 因不可抗力事件导致的费用及延误的工期由双方按以下方法分别承担：</w:t>
      </w:r>
    </w:p>
    <w:p w14:paraId="37AC53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工程本身的损害、因工程损害导致第三人人员伤亡和财产损失以及运至施工场地用于施工的材料和待安装的设备的损害，由发包人承担； </w:t>
      </w:r>
    </w:p>
    <w:p w14:paraId="74F5B2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发包人承包人人员伤亡由其所在单位负责，并承担相应费用； </w:t>
      </w:r>
    </w:p>
    <w:p w14:paraId="117A72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 承包人机械设备损坏及停工损失，由承包人承担； </w:t>
      </w:r>
    </w:p>
    <w:p w14:paraId="5803A6B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 停工期间，承包人应工程师要求留在施工场地的必要的管理人员及保卫人员的费用由发包人承担； </w:t>
      </w:r>
    </w:p>
    <w:p w14:paraId="7040DE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 工程所需清理、修复费用，由发包人承担； </w:t>
      </w:r>
    </w:p>
    <w:p w14:paraId="32D4AE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 延误的工期相应顺延。 </w:t>
      </w:r>
    </w:p>
    <w:p w14:paraId="689BB80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39.4因合同一方迟延履行合同后发生不可抗力的，不能免除迟延履行方的相应责任。</w:t>
      </w:r>
    </w:p>
    <w:p w14:paraId="7345A0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40、保险 </w:t>
      </w:r>
    </w:p>
    <w:p w14:paraId="4E24C9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40.1工程开工前，发包人为建设工程和施工场地内的自有人员及第三人人员生命财产办理保险，支付保险费用。 </w:t>
      </w:r>
    </w:p>
    <w:p w14:paraId="48F251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40.2运至施工场内用于工程的材料和待安装设备，由发包人办理保险，并支付保险费用。 </w:t>
      </w:r>
    </w:p>
    <w:p w14:paraId="3436E9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40.3发包人可以将有关保险事项委托承包人办理，费用由发包人承担。 </w:t>
      </w:r>
    </w:p>
    <w:p w14:paraId="29D8E9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40.4承包人必须为从事危险作业的职工办理意外伤害保险，并为施工场地内自有人员生命财产和施工机械设备办理保险，支付保险费用。 </w:t>
      </w:r>
    </w:p>
    <w:p w14:paraId="089AC8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40.5保险事故发生时，发包人承包人有责任尽力采取必要的措施，防止或者减少损失。 </w:t>
      </w:r>
    </w:p>
    <w:p w14:paraId="4C051A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40.6具体投保内容和相关责任，发包人承包人在专用条款中约定。 </w:t>
      </w:r>
    </w:p>
    <w:p w14:paraId="7396B8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41、担保 </w:t>
      </w:r>
    </w:p>
    <w:p w14:paraId="29965F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41.1发包人、承包人为了全面履行合同，应互相提供以下担保： </w:t>
      </w:r>
    </w:p>
    <w:p w14:paraId="5DBA50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发包人向承包人提供履约担保，按合同约定支付工程价款及履行合同约定的其他义务。 </w:t>
      </w:r>
    </w:p>
    <w:p w14:paraId="07DC98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承包人向发包人提供履约担保，按合同约定履行自己的各项义务。 </w:t>
      </w:r>
    </w:p>
    <w:p w14:paraId="108ECD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41.2 一方违约后，另一方可要求提供担保的第三人承担相应责任。 </w:t>
      </w:r>
    </w:p>
    <w:p w14:paraId="36AA9A3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41.3 提供担保的内容、方式和相关责任，发包人承包人除在专用条款中约定外，被担保方与担保方还应签订担保合同，作为本合同附件。 </w:t>
      </w:r>
    </w:p>
    <w:p w14:paraId="2EA808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42、专利技术及特殊工艺 </w:t>
      </w:r>
    </w:p>
    <w:p w14:paraId="4704BA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5689E8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42.2 擅自使用专利技术侵犯他人专利权的，责任者依法承担相应责任。 </w:t>
      </w:r>
    </w:p>
    <w:p w14:paraId="35EA8D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43、文物和地下障碍物 </w:t>
      </w:r>
    </w:p>
    <w:p w14:paraId="3C582B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499432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如发现后隐瞒不报，致使文物遭受破坏，责任者依法承担相应责任。 </w:t>
      </w:r>
    </w:p>
    <w:p w14:paraId="6B1388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14:paraId="77E233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所发现的地下障碍物有归属单位时，发包人应报请有关部门协同处置。 </w:t>
      </w:r>
    </w:p>
    <w:p w14:paraId="22C142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44、合同解除 </w:t>
      </w:r>
    </w:p>
    <w:p w14:paraId="7AD50B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44.1 发包人承包人协商一致，可以解除合同。 </w:t>
      </w:r>
    </w:p>
    <w:p w14:paraId="28E7AFA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44.2 发生本通用条款第26.4款情况，停止施工超过56天，发包人仍不支付工程款（进度款），承包人有权解除合同。 </w:t>
      </w:r>
    </w:p>
    <w:p w14:paraId="587EC3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44.3 发生本通用条款第38.2款禁止的情况，承包人将其承包的全部工程转包给他人或者肢解以后以分包的名义分别转包给他人，发包人有权解除合同。 </w:t>
      </w:r>
    </w:p>
    <w:p w14:paraId="7178D9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44.4 有下列情形之一的，发包人承包人可以解除合同： </w:t>
      </w:r>
    </w:p>
    <w:p w14:paraId="013ADF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因不可抗力致使合同无法履行； </w:t>
      </w:r>
    </w:p>
    <w:p w14:paraId="1FEEFF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因一方违约（包括因发包人原因造成工程停建或缓建）致使合同无法履行。</w:t>
      </w:r>
    </w:p>
    <w:p w14:paraId="6389E3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347A16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550240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44.7合同解除后，不影响双方在合同中约定的结算和清理条款的效力。 </w:t>
      </w:r>
    </w:p>
    <w:p w14:paraId="1E2BD8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45、合同生效与终止 </w:t>
      </w:r>
    </w:p>
    <w:p w14:paraId="6CBE8A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45.1双方在协议书中约定合同生效方式。 </w:t>
      </w:r>
    </w:p>
    <w:p w14:paraId="0168AA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45.2除本通用条款第34条外，发包人承包人履行合同全部义务，竣工结算价款支付完毕，承包人向发包人交付竣工工程后，本合同即告终止。 </w:t>
      </w:r>
    </w:p>
    <w:p w14:paraId="160922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45.3合同的权利义务终止后，发包人承包人应当遵循诚实信用原则，履行通知、协助、保密等义务。 </w:t>
      </w:r>
    </w:p>
    <w:p w14:paraId="25E2FF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46、合同份数 </w:t>
      </w:r>
    </w:p>
    <w:p w14:paraId="56D272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46.1本合同正本两份，具有同等效力，由发包人承包人分别保存一份。 </w:t>
      </w:r>
    </w:p>
    <w:p w14:paraId="2C50E7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46.2本合同副本份数，由双方根据需要在专用条款内约定。 </w:t>
      </w:r>
    </w:p>
    <w:p w14:paraId="0CBD32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47、补充条款 </w:t>
      </w:r>
    </w:p>
    <w:p w14:paraId="4716CC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双方根据有关法律、行政法规规定，结合工程实际，经协商一致后，可对本通用条款内容具体化，补充或修改，在专用条款内约定。</w:t>
      </w:r>
    </w:p>
    <w:p w14:paraId="00239BDA">
      <w:pPr>
        <w:spacing w:line="360" w:lineRule="auto"/>
        <w:ind w:firstLine="359" w:firstLineChars="171"/>
        <w:jc w:val="center"/>
        <w:rPr>
          <w:rFonts w:ascii="宋体" w:hAnsi="宋体" w:eastAsia="宋体" w:cs="宋体"/>
          <w:b/>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4"/>
          <w:highlight w:val="none"/>
        </w:rPr>
        <w:t>第三部分  专用条款</w:t>
      </w:r>
    </w:p>
    <w:p w14:paraId="73605577">
      <w:pPr>
        <w:spacing w:line="360" w:lineRule="auto"/>
        <w:ind w:firstLine="397"/>
        <w:rPr>
          <w:rFonts w:ascii="宋体" w:hAnsi="宋体" w:eastAsia="宋体" w:cs="宋体"/>
          <w:b/>
          <w:color w:val="auto"/>
          <w:szCs w:val="21"/>
          <w:highlight w:val="none"/>
        </w:rPr>
      </w:pPr>
    </w:p>
    <w:p w14:paraId="6FCEA2F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一、词语定义及合同文件</w:t>
      </w:r>
    </w:p>
    <w:p w14:paraId="7C484464">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1.词语定义</w:t>
      </w:r>
    </w:p>
    <w:p w14:paraId="172C9E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1.6设计单位</w:t>
      </w:r>
    </w:p>
    <w:p w14:paraId="375FB2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本合同工程的设计单位是：</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3DE8CE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1.7监理单位</w:t>
      </w:r>
    </w:p>
    <w:p w14:paraId="39FD4E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本合同工程的监理单位是：</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E0A3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1.24招标控制价：</w:t>
      </w:r>
      <w:r>
        <w:rPr>
          <w:rFonts w:hint="eastAsia" w:ascii="宋体" w:hAnsi="宋体" w:eastAsia="宋体" w:cs="宋体"/>
          <w:color w:val="auto"/>
          <w:szCs w:val="21"/>
          <w:highlight w:val="none"/>
          <w:u w:val="single"/>
        </w:rPr>
        <w:t>指经招标人确定的最高投标限价，并在广州公共资源交易中心开发区、黄埔区交易部公示</w:t>
      </w:r>
      <w:r>
        <w:rPr>
          <w:rFonts w:hint="eastAsia" w:ascii="宋体" w:hAnsi="宋体" w:eastAsia="宋体" w:cs="宋体"/>
          <w:color w:val="auto"/>
          <w:szCs w:val="21"/>
          <w:highlight w:val="none"/>
        </w:rPr>
        <w:t>。</w:t>
      </w:r>
    </w:p>
    <w:p w14:paraId="11CE2EE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1.25中标下浮率：</w:t>
      </w:r>
      <w:r>
        <w:rPr>
          <w:rFonts w:hint="eastAsia" w:ascii="宋体" w:hAnsi="宋体" w:eastAsia="宋体" w:cs="宋体"/>
          <w:color w:val="auto"/>
          <w:szCs w:val="21"/>
          <w:highlight w:val="none"/>
          <w:u w:val="single"/>
        </w:rPr>
        <w:t>中标下浮率=[1-（中标价格-不可竞争性费用）÷（招标控制价-不可竞争性费用）]×100%</w:t>
      </w:r>
    </w:p>
    <w:p w14:paraId="7477147B">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1.26工人工资比例=中标通知书规定的人工费金额÷中标价格*100%=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%（施工招标的《中标通知书》中单列的人工费金额除以中标金额计算；其他项目的比例为15%）</w:t>
      </w:r>
      <w:r>
        <w:rPr>
          <w:rFonts w:hint="eastAsia" w:ascii="宋体" w:hAnsi="宋体" w:eastAsia="宋体" w:cs="宋体"/>
          <w:color w:val="auto"/>
          <w:szCs w:val="21"/>
          <w:highlight w:val="none"/>
          <w:u w:val="single"/>
          <w:lang w:eastAsia="zh-CN"/>
        </w:rPr>
        <w:t>。</w:t>
      </w:r>
    </w:p>
    <w:p w14:paraId="11D12EC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2、合同文件及解释顺序</w:t>
      </w:r>
    </w:p>
    <w:p w14:paraId="4AADAAF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2.1合同文件组成及解释顺序：</w:t>
      </w:r>
      <w:r>
        <w:rPr>
          <w:rFonts w:hint="eastAsia" w:ascii="宋体" w:hAnsi="宋体" w:eastAsia="宋体" w:cs="宋体"/>
          <w:color w:val="auto"/>
          <w:szCs w:val="21"/>
          <w:highlight w:val="none"/>
          <w:u w:val="single"/>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建设工程质量保修书、《施工单位投入本工程管理架构表》、《中新广州知识城建设项目现场管理指引》、《共管工程款使用监管办法》、《安全责任书》、《工程建设廉政协议书》等）。</w:t>
      </w:r>
    </w:p>
    <w:p w14:paraId="22206B3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3、语言文字和适用法律、标准及规范</w:t>
      </w:r>
    </w:p>
    <w:p w14:paraId="4C1A01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3.1本合同除使用汉语外，还使用</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语言文字。</w:t>
      </w:r>
    </w:p>
    <w:p w14:paraId="14A545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3.2适用法律和法规</w:t>
      </w:r>
    </w:p>
    <w:p w14:paraId="0B524D8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需要明示的法律、行政法规：</w:t>
      </w:r>
      <w:r>
        <w:rPr>
          <w:rFonts w:hint="eastAsia" w:ascii="宋体" w:hAnsi="宋体" w:eastAsia="宋体" w:cs="宋体"/>
          <w:color w:val="auto"/>
          <w:szCs w:val="21"/>
          <w:highlight w:val="none"/>
          <w:u w:val="single"/>
        </w:rPr>
        <w:t>按照现行的法律、法规</w:t>
      </w:r>
      <w:r>
        <w:rPr>
          <w:rFonts w:hint="eastAsia" w:ascii="宋体" w:hAnsi="宋体" w:eastAsia="宋体" w:cs="宋体"/>
          <w:color w:val="auto"/>
          <w:szCs w:val="21"/>
          <w:highlight w:val="none"/>
        </w:rPr>
        <w:t>。</w:t>
      </w:r>
    </w:p>
    <w:p w14:paraId="28C532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3.3适用标准、规范</w:t>
      </w:r>
    </w:p>
    <w:p w14:paraId="354405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适用标准、规范的名称：</w:t>
      </w:r>
      <w:r>
        <w:rPr>
          <w:rFonts w:hint="eastAsia" w:ascii="宋体" w:hAnsi="宋体" w:eastAsia="宋体" w:cs="宋体"/>
          <w:color w:val="auto"/>
          <w:szCs w:val="21"/>
          <w:highlight w:val="none"/>
          <w:u w:val="single"/>
        </w:rPr>
        <w:t>相应工种现行施工规范</w:t>
      </w:r>
      <w:r>
        <w:rPr>
          <w:rFonts w:hint="eastAsia" w:ascii="宋体" w:hAnsi="宋体" w:eastAsia="宋体" w:cs="宋体"/>
          <w:color w:val="auto"/>
          <w:szCs w:val="21"/>
          <w:highlight w:val="none"/>
        </w:rPr>
        <w:t>。</w:t>
      </w:r>
    </w:p>
    <w:p w14:paraId="414716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发包人提供标准、规范的时间：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2410EF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国内没有相应标准、规范时的约定：</w:t>
      </w:r>
      <w:r>
        <w:rPr>
          <w:rFonts w:hint="eastAsia" w:ascii="宋体" w:hAnsi="宋体" w:eastAsia="宋体" w:cs="宋体"/>
          <w:color w:val="auto"/>
          <w:szCs w:val="21"/>
          <w:highlight w:val="none"/>
          <w:u w:val="single"/>
        </w:rPr>
        <w:t>按施工图纸，招标文件和广州开发区相关规定及答疑纪要的要求执行</w:t>
      </w:r>
      <w:r>
        <w:rPr>
          <w:rFonts w:hint="eastAsia" w:ascii="宋体" w:hAnsi="宋体" w:eastAsia="宋体" w:cs="宋体"/>
          <w:color w:val="auto"/>
          <w:szCs w:val="21"/>
          <w:highlight w:val="none"/>
        </w:rPr>
        <w:t>。</w:t>
      </w:r>
    </w:p>
    <w:p w14:paraId="34F8AAC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4、图纸</w:t>
      </w:r>
    </w:p>
    <w:p w14:paraId="329AF2A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4.1发包人向承包人提供图纸日期和套数：</w:t>
      </w:r>
      <w:r>
        <w:rPr>
          <w:rFonts w:hint="eastAsia" w:ascii="宋体" w:hAnsi="宋体" w:eastAsia="宋体" w:cs="宋体"/>
          <w:color w:val="auto"/>
          <w:szCs w:val="21"/>
          <w:highlight w:val="none"/>
          <w:u w:val="single"/>
        </w:rPr>
        <w:t>开工前提供肆套图纸</w:t>
      </w:r>
      <w:r>
        <w:rPr>
          <w:rFonts w:hint="eastAsia" w:ascii="宋体" w:hAnsi="宋体" w:eastAsia="宋体" w:cs="宋体"/>
          <w:color w:val="auto"/>
          <w:szCs w:val="21"/>
          <w:highlight w:val="none"/>
        </w:rPr>
        <w:t>。</w:t>
      </w:r>
    </w:p>
    <w:p w14:paraId="741AF9E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发包人对图纸的保密要求：</w:t>
      </w:r>
      <w:r>
        <w:rPr>
          <w:rFonts w:hint="eastAsia" w:ascii="宋体" w:hAnsi="宋体" w:eastAsia="宋体" w:cs="宋体"/>
          <w:color w:val="auto"/>
          <w:szCs w:val="21"/>
          <w:highlight w:val="none"/>
          <w:u w:val="single"/>
        </w:rPr>
        <w:t>按本合同通用条款</w:t>
      </w:r>
      <w:r>
        <w:rPr>
          <w:rFonts w:hint="eastAsia" w:ascii="宋体" w:hAnsi="宋体" w:eastAsia="宋体" w:cs="宋体"/>
          <w:color w:val="auto"/>
          <w:szCs w:val="21"/>
          <w:highlight w:val="none"/>
        </w:rPr>
        <w:t>。</w:t>
      </w:r>
    </w:p>
    <w:p w14:paraId="5345C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使用国外图纸的要求及费用承担：</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022A33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二、双方一般权利和义务</w:t>
      </w:r>
    </w:p>
    <w:p w14:paraId="20F571D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5、工程师</w:t>
      </w:r>
    </w:p>
    <w:p w14:paraId="475E77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5.2监理单位委派的工程师</w:t>
      </w:r>
    </w:p>
    <w:p w14:paraId="3BF3426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总监理工程师</w:t>
      </w:r>
      <w:r>
        <w:rPr>
          <w:rFonts w:hint="eastAsia" w:ascii="宋体" w:hAnsi="宋体" w:eastAsia="宋体" w:cs="宋体"/>
          <w:color w:val="auto"/>
          <w:szCs w:val="21"/>
          <w:highlight w:val="none"/>
        </w:rPr>
        <w:t>。</w:t>
      </w:r>
    </w:p>
    <w:p w14:paraId="757FC29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发包人委托的职权：</w:t>
      </w:r>
      <w:r>
        <w:rPr>
          <w:rFonts w:hint="eastAsia" w:ascii="宋体" w:hAnsi="宋体" w:eastAsia="宋体" w:cs="宋体"/>
          <w:color w:val="auto"/>
          <w:szCs w:val="21"/>
          <w:highlight w:val="none"/>
          <w:u w:val="single"/>
        </w:rPr>
        <w:t>对本工程进行全过程的监理</w:t>
      </w:r>
      <w:r>
        <w:rPr>
          <w:rFonts w:hint="eastAsia" w:ascii="宋体" w:hAnsi="宋体" w:eastAsia="宋体" w:cs="宋体"/>
          <w:color w:val="auto"/>
          <w:szCs w:val="21"/>
          <w:highlight w:val="none"/>
        </w:rPr>
        <w:t>。</w:t>
      </w:r>
    </w:p>
    <w:p w14:paraId="4405D01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需要取得发包人批准才能行使的职权：</w:t>
      </w:r>
      <w:r>
        <w:rPr>
          <w:rFonts w:hint="eastAsia" w:ascii="宋体" w:hAnsi="宋体" w:eastAsia="宋体" w:cs="宋体"/>
          <w:color w:val="auto"/>
          <w:szCs w:val="21"/>
          <w:highlight w:val="none"/>
          <w:u w:val="single"/>
        </w:rPr>
        <w:t>按发包人与监理单位签订的监理合同有关规定执行，涉及变更签证或费用</w:t>
      </w:r>
      <w:r>
        <w:rPr>
          <w:rFonts w:hint="eastAsia" w:ascii="宋体" w:hAnsi="宋体" w:eastAsia="宋体" w:cs="宋体"/>
          <w:color w:val="auto"/>
          <w:szCs w:val="21"/>
          <w:highlight w:val="none"/>
        </w:rPr>
        <w:t>调整、发布开工、停工、复工令等均需经</w:t>
      </w:r>
      <w:r>
        <w:rPr>
          <w:rFonts w:hint="eastAsia" w:ascii="宋体" w:hAnsi="宋体" w:eastAsia="宋体" w:cs="宋体"/>
          <w:color w:val="auto"/>
          <w:szCs w:val="21"/>
          <w:highlight w:val="none"/>
          <w:u w:val="single"/>
        </w:rPr>
        <w:t>发包人书面认可</w:t>
      </w:r>
      <w:r>
        <w:rPr>
          <w:rFonts w:hint="eastAsia" w:ascii="宋体" w:hAnsi="宋体" w:eastAsia="宋体" w:cs="宋体"/>
          <w:color w:val="auto"/>
          <w:szCs w:val="21"/>
          <w:highlight w:val="none"/>
        </w:rPr>
        <w:t>。</w:t>
      </w:r>
    </w:p>
    <w:p w14:paraId="7FA2160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义务：</w:t>
      </w:r>
      <w:r>
        <w:rPr>
          <w:rFonts w:hint="eastAsia" w:ascii="宋体" w:hAnsi="宋体" w:eastAsia="宋体" w:cs="宋体"/>
          <w:color w:val="auto"/>
          <w:szCs w:val="21"/>
          <w:highlight w:val="none"/>
          <w:u w:val="single"/>
        </w:rPr>
        <w:t>常驻现场，代表监理单位履行与发包人签订的监理合同</w:t>
      </w:r>
      <w:r>
        <w:rPr>
          <w:rFonts w:hint="eastAsia" w:ascii="宋体" w:hAnsi="宋体" w:eastAsia="宋体" w:cs="宋体"/>
          <w:color w:val="auto"/>
          <w:szCs w:val="21"/>
          <w:highlight w:val="none"/>
        </w:rPr>
        <w:t>。</w:t>
      </w:r>
    </w:p>
    <w:p w14:paraId="325FC8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5.3发包人派驻的工程师</w:t>
      </w:r>
    </w:p>
    <w:p w14:paraId="098549B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工程师</w:t>
      </w:r>
      <w:r>
        <w:rPr>
          <w:rFonts w:hint="eastAsia" w:ascii="宋体" w:hAnsi="宋体" w:eastAsia="宋体" w:cs="宋体"/>
          <w:color w:val="auto"/>
          <w:szCs w:val="21"/>
          <w:highlight w:val="none"/>
        </w:rPr>
        <w:t>。</w:t>
      </w:r>
    </w:p>
    <w:p w14:paraId="774B01A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职权：</w:t>
      </w:r>
      <w:r>
        <w:rPr>
          <w:rFonts w:hint="eastAsia" w:ascii="宋体" w:hAnsi="宋体" w:eastAsia="宋体" w:cs="宋体"/>
          <w:color w:val="auto"/>
          <w:szCs w:val="21"/>
          <w:highlight w:val="none"/>
          <w:u w:val="single"/>
        </w:rPr>
        <w:t>发包人代表，行使发包人的权利</w:t>
      </w:r>
      <w:r>
        <w:rPr>
          <w:rFonts w:hint="eastAsia" w:ascii="宋体" w:hAnsi="宋体" w:eastAsia="宋体" w:cs="宋体"/>
          <w:color w:val="auto"/>
          <w:szCs w:val="21"/>
          <w:highlight w:val="none"/>
        </w:rPr>
        <w:t>。</w:t>
      </w:r>
    </w:p>
    <w:p w14:paraId="52BEADE8">
      <w:pPr>
        <w:spacing w:line="360" w:lineRule="auto"/>
        <w:ind w:firstLine="388" w:firstLineChars="200"/>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rPr>
        <w:t>义务：</w:t>
      </w:r>
      <w:r>
        <w:rPr>
          <w:rFonts w:hint="eastAsia" w:ascii="宋体" w:hAnsi="宋体" w:eastAsia="宋体" w:cs="宋体"/>
          <w:color w:val="auto"/>
          <w:spacing w:val="-8"/>
          <w:szCs w:val="21"/>
          <w:highlight w:val="none"/>
          <w:u w:val="single"/>
        </w:rPr>
        <w:t>常驻现场，代表发包人负责工程质量、进度、技术、投资控制等施工期间的日常管理工作，履行与承包人签订的本建设工程施工合同。</w:t>
      </w:r>
    </w:p>
    <w:p w14:paraId="1E7C10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5.6不实行监理的，工程师的职权：</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187F79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7、项目负责人</w:t>
      </w:r>
    </w:p>
    <w:p w14:paraId="3F796D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7.1（1）项目负责人</w:t>
      </w:r>
    </w:p>
    <w:p w14:paraId="0F94FDE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，职权：</w:t>
      </w:r>
      <w:r>
        <w:rPr>
          <w:rFonts w:hint="eastAsia" w:ascii="宋体" w:hAnsi="宋体" w:eastAsia="宋体" w:cs="宋体"/>
          <w:color w:val="auto"/>
          <w:szCs w:val="21"/>
          <w:highlight w:val="none"/>
          <w:u w:val="single"/>
        </w:rPr>
        <w:t>代表承包人全权处理本工程施工的一切事务</w:t>
      </w:r>
      <w:r>
        <w:rPr>
          <w:rFonts w:hint="eastAsia" w:ascii="宋体" w:hAnsi="宋体" w:eastAsia="宋体" w:cs="宋体"/>
          <w:color w:val="auto"/>
          <w:szCs w:val="21"/>
          <w:highlight w:val="none"/>
        </w:rPr>
        <w:t>。</w:t>
      </w:r>
    </w:p>
    <w:p w14:paraId="310D005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义务：</w:t>
      </w:r>
      <w:r>
        <w:rPr>
          <w:rFonts w:hint="eastAsia" w:ascii="宋体" w:hAnsi="宋体" w:eastAsia="宋体" w:cs="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eastAsia="宋体" w:cs="宋体"/>
          <w:color w:val="auto"/>
          <w:szCs w:val="21"/>
          <w:highlight w:val="none"/>
        </w:rPr>
        <w:t>。</w:t>
      </w:r>
    </w:p>
    <w:p w14:paraId="42A53C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w:t>
      </w:r>
      <w:r>
        <w:rPr>
          <w:rFonts w:hint="eastAsia" w:ascii="宋体" w:hAnsi="宋体" w:eastAsia="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eastAsia="宋体" w:cs="宋体"/>
          <w:color w:val="auto"/>
          <w:szCs w:val="21"/>
          <w:highlight w:val="none"/>
        </w:rPr>
        <w:t>。</w:t>
      </w:r>
    </w:p>
    <w:p w14:paraId="66BEB2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w:t>
      </w:r>
      <w:r>
        <w:rPr>
          <w:rFonts w:hint="eastAsia" w:ascii="宋体" w:hAnsi="宋体" w:eastAsia="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eastAsia="宋体" w:cs="宋体"/>
          <w:color w:val="auto"/>
          <w:szCs w:val="21"/>
          <w:highlight w:val="none"/>
        </w:rPr>
        <w:t>。</w:t>
      </w:r>
    </w:p>
    <w:p w14:paraId="73DEBC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w:t>
      </w:r>
      <w:r>
        <w:rPr>
          <w:rFonts w:hint="eastAsia" w:ascii="宋体" w:hAnsi="宋体" w:eastAsia="宋体" w:cs="宋体"/>
          <w:color w:val="auto"/>
          <w:szCs w:val="21"/>
          <w:highlight w:val="none"/>
          <w:u w:val="single"/>
        </w:rPr>
        <w:t>承包人项目负责人不得兼任其他工程项目负责人，否则发包人可按单方面终止合同处理</w:t>
      </w:r>
      <w:r>
        <w:rPr>
          <w:rFonts w:hint="eastAsia" w:ascii="宋体" w:hAnsi="宋体" w:eastAsia="宋体" w:cs="宋体"/>
          <w:color w:val="auto"/>
          <w:szCs w:val="21"/>
          <w:highlight w:val="none"/>
        </w:rPr>
        <w:t>。</w:t>
      </w:r>
    </w:p>
    <w:p w14:paraId="48016E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7.7现场管理机构</w:t>
      </w:r>
    </w:p>
    <w:p w14:paraId="23A082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（1）承包人必须按照投标文件的承诺建立现场管理机构，严格执行现行建设工程项目管理规范，并积极主动接受建设行政主管部门的监督和检查。</w:t>
      </w:r>
    </w:p>
    <w:p w14:paraId="6AD89B5E">
      <w:pPr>
        <w:spacing w:line="360" w:lineRule="auto"/>
        <w:ind w:right="1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6781BC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37C62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57E66D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44AE482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8、发包人工作</w:t>
      </w:r>
    </w:p>
    <w:p w14:paraId="0CF2DD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8.1发包人应按约定的时间和要求完成以下工作：</w:t>
      </w:r>
    </w:p>
    <w:p w14:paraId="04C1DE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（1）施工场地具备施工条件的要求及完成的时间：</w:t>
      </w:r>
      <w:r>
        <w:rPr>
          <w:rFonts w:hint="eastAsia" w:ascii="宋体" w:hAnsi="宋体" w:eastAsia="宋体" w:cs="宋体"/>
          <w:color w:val="auto"/>
          <w:szCs w:val="21"/>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eastAsia="宋体" w:cs="宋体"/>
          <w:color w:val="auto"/>
          <w:szCs w:val="21"/>
          <w:highlight w:val="none"/>
        </w:rPr>
        <w:t>。</w:t>
      </w:r>
    </w:p>
    <w:p w14:paraId="3D0A0AB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（2）将施工所需的水、电、电讯线路接至施工场地的时间、地点和供应要求：</w:t>
      </w:r>
      <w:r>
        <w:rPr>
          <w:rFonts w:hint="eastAsia" w:ascii="宋体" w:hAnsi="宋体" w:eastAsia="宋体" w:cs="宋体"/>
          <w:color w:val="auto"/>
          <w:szCs w:val="21"/>
          <w:highlight w:val="none"/>
          <w:u w:val="single"/>
        </w:rPr>
        <w:t>由承包人自行解决，费用已包在本工程中标总造价中</w:t>
      </w:r>
      <w:r>
        <w:rPr>
          <w:rFonts w:hint="eastAsia" w:ascii="宋体" w:hAnsi="宋体" w:eastAsia="宋体" w:cs="宋体"/>
          <w:color w:val="auto"/>
          <w:szCs w:val="21"/>
          <w:highlight w:val="none"/>
        </w:rPr>
        <w:t>。</w:t>
      </w:r>
    </w:p>
    <w:p w14:paraId="64F37BD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（3）施工场地与公共道路的通道开通时间和要求：</w:t>
      </w:r>
      <w:r>
        <w:rPr>
          <w:rFonts w:hint="eastAsia" w:ascii="宋体" w:hAnsi="宋体" w:eastAsia="宋体" w:cs="宋体"/>
          <w:color w:val="auto"/>
          <w:szCs w:val="21"/>
          <w:highlight w:val="none"/>
          <w:u w:val="single"/>
        </w:rPr>
        <w:t>通道按现状，不论满足施工要求与否，该通道及施工便道均由承包人自行解决，费用已包在本工程中标总造价中</w:t>
      </w:r>
      <w:r>
        <w:rPr>
          <w:rFonts w:hint="eastAsia" w:ascii="宋体" w:hAnsi="宋体" w:eastAsia="宋体" w:cs="宋体"/>
          <w:color w:val="auto"/>
          <w:szCs w:val="21"/>
          <w:highlight w:val="none"/>
        </w:rPr>
        <w:t>。</w:t>
      </w:r>
    </w:p>
    <w:p w14:paraId="36D31E9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（4）工程地质和地下管线资料的提供时间：</w:t>
      </w:r>
      <w:r>
        <w:rPr>
          <w:rFonts w:hint="eastAsia" w:ascii="宋体" w:hAnsi="宋体" w:eastAsia="宋体" w:cs="宋体"/>
          <w:color w:val="auto"/>
          <w:szCs w:val="21"/>
          <w:highlight w:val="none"/>
          <w:u w:val="single"/>
        </w:rPr>
        <w:t>根据施工计划提前提供</w:t>
      </w:r>
      <w:r>
        <w:rPr>
          <w:rFonts w:hint="eastAsia" w:ascii="宋体" w:hAnsi="宋体" w:eastAsia="宋体" w:cs="宋体"/>
          <w:color w:val="auto"/>
          <w:szCs w:val="21"/>
          <w:highlight w:val="none"/>
        </w:rPr>
        <w:t>。</w:t>
      </w:r>
    </w:p>
    <w:p w14:paraId="1A1F9C3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（5）由发包人办理的施工所需证件、批件的名称和完成时间：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23B33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（6）水准点与坐标控制点交验要求：</w:t>
      </w:r>
      <w:r>
        <w:rPr>
          <w:rFonts w:hint="eastAsia" w:ascii="宋体" w:hAnsi="宋体" w:eastAsia="宋体" w:cs="宋体"/>
          <w:color w:val="auto"/>
          <w:szCs w:val="21"/>
          <w:highlight w:val="none"/>
          <w:u w:val="single"/>
        </w:rPr>
        <w:t>开工前交验</w:t>
      </w:r>
      <w:r>
        <w:rPr>
          <w:rFonts w:hint="eastAsia" w:ascii="宋体" w:hAnsi="宋体" w:eastAsia="宋体" w:cs="宋体"/>
          <w:color w:val="auto"/>
          <w:szCs w:val="21"/>
          <w:highlight w:val="none"/>
        </w:rPr>
        <w:t>。</w:t>
      </w:r>
    </w:p>
    <w:p w14:paraId="0EB5CD6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（7）图纸会审和设计交底时间：</w:t>
      </w:r>
      <w:r>
        <w:rPr>
          <w:rFonts w:hint="eastAsia" w:ascii="宋体" w:hAnsi="宋体" w:eastAsia="宋体" w:cs="宋体"/>
          <w:color w:val="auto"/>
          <w:szCs w:val="21"/>
          <w:highlight w:val="none"/>
          <w:u w:val="single"/>
        </w:rPr>
        <w:t>工程施工前</w:t>
      </w:r>
      <w:r>
        <w:rPr>
          <w:rFonts w:hint="eastAsia" w:ascii="宋体" w:hAnsi="宋体" w:eastAsia="宋体" w:cs="宋体"/>
          <w:color w:val="auto"/>
          <w:szCs w:val="21"/>
          <w:highlight w:val="none"/>
        </w:rPr>
        <w:t>。</w:t>
      </w:r>
    </w:p>
    <w:p w14:paraId="2E77D7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（8）协调处理施工场地周围地下管线和邻近建筑物、构筑物（含文物保护建筑）、古树名木的保护工作：</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6BDC9E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（9）双方约定发包人应做的其他工作：</w:t>
      </w:r>
      <w:r>
        <w:rPr>
          <w:rFonts w:hint="eastAsia" w:ascii="宋体" w:hAnsi="宋体" w:eastAsia="宋体" w:cs="宋体"/>
          <w:color w:val="auto"/>
          <w:szCs w:val="21"/>
          <w:highlight w:val="none"/>
          <w:u w:val="single"/>
        </w:rPr>
        <w:t xml:space="preserve">  发包人按现有场地移交给承包人，承包人应无条件接受。   </w:t>
      </w:r>
    </w:p>
    <w:p w14:paraId="701B593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8.2发包人委托承包人办理的工作：</w:t>
      </w:r>
      <w:r>
        <w:rPr>
          <w:rFonts w:hint="eastAsia" w:ascii="宋体" w:hAnsi="宋体" w:eastAsia="宋体" w:cs="宋体"/>
          <w:color w:val="auto"/>
          <w:szCs w:val="21"/>
          <w:highlight w:val="none"/>
          <w:u w:val="single"/>
        </w:rPr>
        <w:t>工程质监登记、合同鉴证、施工许可证等一切施工所需的审批、申领手续以及规划验收、消防验收、环保验收、防雷报建及验收、永久用水接驳及验收等工作。费用按政策规定各自承担相应部分。</w:t>
      </w:r>
    </w:p>
    <w:p w14:paraId="2C587F0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9、承包人工作</w:t>
      </w:r>
    </w:p>
    <w:p w14:paraId="6C9EDE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9.1承包人应按约定时间和要求，完成以下工作：</w:t>
      </w:r>
    </w:p>
    <w:p w14:paraId="33EC44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（1）需由设计资质等级和业务范围允许的承包人完成的设计文件提交时间：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881DD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（2）应提供计划、报表的名称及完成时间：</w:t>
      </w:r>
      <w:r>
        <w:rPr>
          <w:rFonts w:hint="eastAsia" w:ascii="宋体" w:hAnsi="宋体" w:eastAsia="宋体" w:cs="宋体"/>
          <w:color w:val="auto"/>
          <w:szCs w:val="21"/>
          <w:highlight w:val="none"/>
          <w:u w:val="single"/>
        </w:rPr>
        <w:t>于接到中标通知书后4天内提交施工组织设计、管理人员架构表，并按工程进度情况及时提交工程年、季、月度计划及进度统计报表</w:t>
      </w:r>
      <w:r>
        <w:rPr>
          <w:rFonts w:hint="eastAsia" w:ascii="宋体" w:hAnsi="宋体" w:eastAsia="宋体" w:cs="宋体"/>
          <w:color w:val="auto"/>
          <w:szCs w:val="21"/>
          <w:highlight w:val="none"/>
        </w:rPr>
        <w:t>。</w:t>
      </w:r>
    </w:p>
    <w:p w14:paraId="230A6F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（3）承担施工安全保卫工作及非夜间施工照明的责任和要求：</w:t>
      </w:r>
      <w:r>
        <w:rPr>
          <w:rFonts w:hint="eastAsia" w:ascii="宋体" w:hAnsi="宋体" w:eastAsia="宋体" w:cs="宋体"/>
          <w:color w:val="auto"/>
          <w:szCs w:val="21"/>
          <w:highlight w:val="none"/>
          <w:u w:val="single"/>
        </w:rPr>
        <w:t>按招标文件要求及国家、省、市、区相关规定执行，并满足本工程需要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根据工程需要，提供和维护施工使用的照明、围栏设施和警卫，并负责整个现场的安全文明施工、安全保卫。</w:t>
      </w:r>
    </w:p>
    <w:p w14:paraId="768AC5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（4）承包人自行解决办公、交通、生活及通讯等设施，费用已包含在本工程中标总造价中；向发包人或监理工程师提供的办公、交通和生活、通讯设施的要求：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276F3F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（5）需承包人办理有关施工场地交通、环卫和施工噪音管理等手续：</w:t>
      </w:r>
      <w:r>
        <w:rPr>
          <w:rFonts w:hint="eastAsia" w:ascii="宋体" w:hAnsi="宋体" w:eastAsia="宋体" w:cs="宋体"/>
          <w:color w:val="auto"/>
          <w:szCs w:val="21"/>
          <w:highlight w:val="none"/>
          <w:u w:val="single"/>
        </w:rPr>
        <w:t>承包人按本合同通用条款要求执行，并承担相关费用</w:t>
      </w:r>
      <w:r>
        <w:rPr>
          <w:rFonts w:hint="eastAsia" w:ascii="宋体" w:hAnsi="宋体" w:eastAsia="宋体" w:cs="宋体"/>
          <w:color w:val="auto"/>
          <w:szCs w:val="21"/>
          <w:highlight w:val="none"/>
        </w:rPr>
        <w:t>。</w:t>
      </w:r>
    </w:p>
    <w:p w14:paraId="451274E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（6）已完工程成品保护的特殊要求及费用承担：</w:t>
      </w:r>
      <w:r>
        <w:rPr>
          <w:rFonts w:hint="eastAsia" w:ascii="宋体" w:hAnsi="宋体" w:eastAsia="宋体" w:cs="宋体"/>
          <w:color w:val="auto"/>
          <w:szCs w:val="21"/>
          <w:highlight w:val="none"/>
          <w:u w:val="single"/>
        </w:rPr>
        <w:t>按本合同通用条款执行</w:t>
      </w:r>
      <w:r>
        <w:rPr>
          <w:rFonts w:hint="eastAsia" w:ascii="宋体" w:hAnsi="宋体" w:eastAsia="宋体" w:cs="宋体"/>
          <w:color w:val="auto"/>
          <w:szCs w:val="21"/>
          <w:highlight w:val="none"/>
        </w:rPr>
        <w:t>。</w:t>
      </w:r>
    </w:p>
    <w:p w14:paraId="73F7A0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（7）施工场地周围地下管线和邻近建筑物、构筑物（含文物保护建筑）、古树名木的保护要求及费用承担：</w:t>
      </w:r>
      <w:r>
        <w:rPr>
          <w:rFonts w:hint="eastAsia" w:ascii="宋体" w:hAnsi="宋体" w:eastAsia="宋体" w:cs="宋体"/>
          <w:color w:val="auto"/>
          <w:szCs w:val="21"/>
          <w:highlight w:val="none"/>
          <w:u w:val="single"/>
        </w:rPr>
        <w:t>除文物保护外的保护费全部由承包人承担</w:t>
      </w:r>
      <w:r>
        <w:rPr>
          <w:rFonts w:hint="eastAsia" w:ascii="宋体" w:hAnsi="宋体" w:eastAsia="宋体" w:cs="宋体"/>
          <w:color w:val="auto"/>
          <w:szCs w:val="21"/>
          <w:highlight w:val="none"/>
        </w:rPr>
        <w:t>。</w:t>
      </w:r>
    </w:p>
    <w:p w14:paraId="1025A86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（8）施工场地清洁卫生的要求：</w:t>
      </w:r>
      <w:r>
        <w:rPr>
          <w:rFonts w:hint="eastAsia" w:ascii="宋体" w:hAnsi="宋体" w:eastAsia="宋体" w:cs="宋体"/>
          <w:color w:val="auto"/>
          <w:szCs w:val="21"/>
          <w:highlight w:val="none"/>
          <w:u w:val="single"/>
        </w:rPr>
        <w:t>满足</w:t>
      </w:r>
      <w:r>
        <w:rPr>
          <w:rFonts w:hint="eastAsia" w:ascii="宋体" w:hAnsi="宋体" w:eastAsia="宋体" w:cs="宋体"/>
          <w:color w:val="auto"/>
          <w:spacing w:val="-10"/>
          <w:szCs w:val="21"/>
          <w:highlight w:val="none"/>
          <w:u w:val="single"/>
        </w:rPr>
        <w:t>文明施工要求及广州市、黄埔区关于扬尘治理的有关要求</w:t>
      </w:r>
      <w:r>
        <w:rPr>
          <w:rFonts w:hint="eastAsia" w:ascii="宋体" w:hAnsi="宋体" w:eastAsia="宋体" w:cs="宋体"/>
          <w:color w:val="auto"/>
          <w:spacing w:val="-10"/>
          <w:szCs w:val="21"/>
          <w:highlight w:val="none"/>
        </w:rPr>
        <w:t>。</w:t>
      </w:r>
      <w:r>
        <w:rPr>
          <w:rFonts w:hint="eastAsia" w:ascii="宋体" w:hAnsi="宋体" w:eastAsia="宋体" w:cs="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0660A7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（9）承包人应在本项目中投入使用燃料电池汽车等新能源工程车,且投入数量占本项目投入的建筑垃圾自卸车（渣土车）总数比例不得低于</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%（按投标承诺），相关费用已包含在合同价中，不另行计取。</w:t>
      </w:r>
    </w:p>
    <w:p w14:paraId="287FE7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（10）承包人应当建立燃料电池汽车等新能源工程车投入管理台账备查，并将投入现场的影像等相关资料按要求报送发包人及监理单位核查。</w:t>
      </w:r>
    </w:p>
    <w:p w14:paraId="076127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（11）双方约定承包人应做的其他工作：</w:t>
      </w:r>
    </w:p>
    <w:p w14:paraId="4F56CA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本项目临水、临电、排水、排污等由施工方自行解决。</w:t>
      </w:r>
    </w:p>
    <w:p w14:paraId="52282F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 本项目永久水、燃气、路口开设、排水、排污均由承包人负责。</w:t>
      </w:r>
    </w:p>
    <w:p w14:paraId="39FF06B4">
      <w:pPr>
        <w:spacing w:line="360" w:lineRule="auto"/>
        <w:ind w:firstLine="420" w:firstLineChars="200"/>
        <w:rPr>
          <w:rFonts w:ascii="宋体" w:hAnsi="宋体" w:eastAsia="宋体" w:cs="宋体"/>
          <w:i/>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eastAsia="宋体" w:cs="宋体"/>
          <w:color w:val="auto"/>
          <w:szCs w:val="21"/>
          <w:highlight w:val="none"/>
        </w:rPr>
        <w:t>。</w:t>
      </w:r>
    </w:p>
    <w:p w14:paraId="3B9803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承包人应按照《广州市建筑施工实名制管理办法》以及《关于印发建筑工人实名制管理办法（试行）的通知》的规定，进场施工前在市建设领域管理应用信息平台上进行实名制登记并安排专职人员进行动态维护，实名制信息内容包含但不限以下内容：建筑从业人员基本信息、作业工人考勤与工资支付信息、施工进度情况信息、门禁采用生物识别技术等。承包人应对依法分包的专业承包和劳务分包企业实施统一管理，督促落实实名制管理。</w:t>
      </w:r>
    </w:p>
    <w:p w14:paraId="4C80F5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承包人应按照《广州市建设领域工人工资支付分账管理实施细则》及《广州市根治拖欠农民工工资工作联席会议办公室关于做好财政投资建设工程项目工人工资分账管理工作的通知》的规定（出台新规定的执行新规定），选择商业银行开立工人工资支付专用账户，在用工之日起15日内为每个工人办理工人工资个人账户，保证按时足额支付工人工资。承包人应对依法分包的专业承包和劳务分包企业实施统一管理，严格按国家、省、市关于农民工工资实施总承包单位代发制度的相关规定代发分包单位工人工资。</w:t>
      </w:r>
    </w:p>
    <w:p w14:paraId="28C406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④承包人应当建立工人考勤、工资结算和支付等管理台账，存档备查，并将相关信息按月报送发包人及监理单位。</w:t>
      </w:r>
    </w:p>
    <w:p w14:paraId="599D47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⑤承包人应按有关规定协助建设业主完成公共排水设施竣工图纸备案工作。</w:t>
      </w:r>
    </w:p>
    <w:p w14:paraId="18AD97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⑥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2A10A62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三、施工组织设计和工期</w:t>
      </w:r>
    </w:p>
    <w:p w14:paraId="3AE7377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10、进度计划</w:t>
      </w:r>
    </w:p>
    <w:p w14:paraId="2BB9C3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10.1承包人提供施工组织设计(施工方案)和进度计划时间：</w:t>
      </w:r>
    </w:p>
    <w:p w14:paraId="35A4496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承包人应于接到中标通知书后4天内向发包人提交总体工程进度计划（网络计划），并于开工前3天内提交施工组织设计（施工方案）给发包人</w:t>
      </w:r>
      <w:r>
        <w:rPr>
          <w:rFonts w:hint="eastAsia" w:ascii="宋体" w:hAnsi="宋体" w:eastAsia="宋体" w:cs="宋体"/>
          <w:color w:val="auto"/>
          <w:szCs w:val="21"/>
          <w:highlight w:val="none"/>
        </w:rPr>
        <w:t>。</w:t>
      </w:r>
    </w:p>
    <w:p w14:paraId="1D8A522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承包人提交的施工组织设计应当按监理工程师及国家、省、市及广州开发区关于施工承包管理的要求编制</w:t>
      </w:r>
      <w:r>
        <w:rPr>
          <w:rFonts w:hint="eastAsia" w:ascii="宋体" w:hAnsi="宋体" w:eastAsia="宋体" w:cs="宋体"/>
          <w:color w:val="auto"/>
          <w:szCs w:val="21"/>
          <w:highlight w:val="none"/>
        </w:rPr>
        <w:t>。</w:t>
      </w:r>
    </w:p>
    <w:p w14:paraId="36959A3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eastAsia="宋体" w:cs="宋体"/>
          <w:color w:val="auto"/>
          <w:szCs w:val="21"/>
          <w:highlight w:val="none"/>
        </w:rPr>
        <w:t>。</w:t>
      </w:r>
    </w:p>
    <w:p w14:paraId="01E1DE7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总监理工程师在接到承包人提交的施工组织设计和工程进度计划后，予以确认或提出修改意见</w:t>
      </w:r>
      <w:r>
        <w:rPr>
          <w:rFonts w:hint="eastAsia" w:ascii="宋体" w:hAnsi="宋体" w:eastAsia="宋体" w:cs="宋体"/>
          <w:color w:val="auto"/>
          <w:szCs w:val="21"/>
          <w:highlight w:val="none"/>
        </w:rPr>
        <w:t>。</w:t>
      </w:r>
    </w:p>
    <w:p w14:paraId="4E6DA3E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工程师确认的时间：</w:t>
      </w:r>
      <w:r>
        <w:rPr>
          <w:rFonts w:hint="eastAsia" w:ascii="宋体" w:hAnsi="宋体" w:eastAsia="宋体" w:cs="宋体"/>
          <w:color w:val="auto"/>
          <w:szCs w:val="21"/>
          <w:highlight w:val="none"/>
          <w:u w:val="single"/>
        </w:rPr>
        <w:t>开工前</w:t>
      </w:r>
      <w:r>
        <w:rPr>
          <w:rFonts w:hint="eastAsia" w:ascii="宋体" w:hAnsi="宋体" w:eastAsia="宋体" w:cs="宋体"/>
          <w:color w:val="auto"/>
          <w:szCs w:val="21"/>
          <w:highlight w:val="none"/>
        </w:rPr>
        <w:t>。</w:t>
      </w:r>
    </w:p>
    <w:p w14:paraId="6A05023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10.2</w:t>
      </w:r>
      <w:r>
        <w:rPr>
          <w:rFonts w:hint="eastAsia" w:ascii="宋体" w:hAnsi="宋体" w:eastAsia="宋体" w:cs="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5B00CF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eastAsia="宋体" w:cs="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eastAsia="宋体" w:cs="宋体"/>
          <w:color w:val="auto"/>
          <w:szCs w:val="21"/>
          <w:highlight w:val="none"/>
        </w:rPr>
        <w:t>。</w:t>
      </w:r>
    </w:p>
    <w:p w14:paraId="20E54FD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11、开工及延期开工</w:t>
      </w:r>
    </w:p>
    <w:p w14:paraId="6331CA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11.1开工日期和竣工日期</w:t>
      </w:r>
    </w:p>
    <w:p w14:paraId="4FBBF69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11.1.1本工程工期为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日历天。其中开工时间初定为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日。（具体开工日期以发包人或监理单位开工令或批准的开工报告日期为准）</w:t>
      </w:r>
    </w:p>
    <w:p w14:paraId="283994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11.1.2承包人必须采取一切有效措施保证竣工日期，不得延误。除非发生了以下情形：</w:t>
      </w:r>
    </w:p>
    <w:p w14:paraId="5EF4E08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政府对本工程建设项目作出停建、缓建的决定</w:t>
      </w:r>
      <w:r>
        <w:rPr>
          <w:rFonts w:hint="eastAsia" w:ascii="宋体" w:hAnsi="宋体" w:eastAsia="宋体" w:cs="宋体"/>
          <w:color w:val="auto"/>
          <w:szCs w:val="21"/>
          <w:highlight w:val="none"/>
        </w:rPr>
        <w:t>；</w:t>
      </w:r>
    </w:p>
    <w:p w14:paraId="33C8FCF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重大设计变更导致本工程在规划、使用、功能方面有重大调整</w:t>
      </w:r>
      <w:r>
        <w:rPr>
          <w:rFonts w:hint="eastAsia" w:ascii="宋体" w:hAnsi="宋体" w:eastAsia="宋体" w:cs="宋体"/>
          <w:color w:val="auto"/>
          <w:szCs w:val="21"/>
          <w:highlight w:val="none"/>
        </w:rPr>
        <w:t>；</w:t>
      </w:r>
    </w:p>
    <w:p w14:paraId="7E925A6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不可抗力持续影响而延误工期超过12天以上</w:t>
      </w:r>
      <w:r>
        <w:rPr>
          <w:rFonts w:hint="eastAsia" w:ascii="宋体" w:hAnsi="宋体" w:eastAsia="宋体" w:cs="宋体"/>
          <w:color w:val="auto"/>
          <w:szCs w:val="21"/>
          <w:highlight w:val="none"/>
        </w:rPr>
        <w:t>；</w:t>
      </w:r>
    </w:p>
    <w:p w14:paraId="58EB00C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本合同专用条款约定的其他非承包人原因导致的工期延误</w:t>
      </w:r>
      <w:r>
        <w:rPr>
          <w:rFonts w:hint="eastAsia" w:ascii="宋体" w:hAnsi="宋体" w:eastAsia="宋体" w:cs="宋体"/>
          <w:color w:val="auto"/>
          <w:szCs w:val="21"/>
          <w:highlight w:val="none"/>
        </w:rPr>
        <w:t>。</w:t>
      </w:r>
    </w:p>
    <w:p w14:paraId="0ED795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11.2延期开工：</w:t>
      </w:r>
    </w:p>
    <w:p w14:paraId="6167A8BD">
      <w:pPr>
        <w:spacing w:line="360" w:lineRule="auto"/>
        <w:ind w:right="11"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11.2.1</w:t>
      </w:r>
      <w:r>
        <w:rPr>
          <w:rFonts w:hint="eastAsia" w:ascii="宋体" w:hAnsi="宋体" w:eastAsia="宋体" w:cs="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eastAsia="宋体" w:cs="宋体"/>
          <w:color w:val="auto"/>
          <w:szCs w:val="21"/>
          <w:highlight w:val="none"/>
        </w:rPr>
        <w:t>。</w:t>
      </w:r>
    </w:p>
    <w:p w14:paraId="1C737B8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11.2.2</w:t>
      </w:r>
      <w:r>
        <w:rPr>
          <w:rFonts w:hint="eastAsia" w:ascii="宋体" w:hAnsi="宋体" w:eastAsia="宋体" w:cs="宋体"/>
          <w:color w:val="auto"/>
          <w:szCs w:val="21"/>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eastAsia="宋体" w:cs="宋体"/>
          <w:color w:val="auto"/>
          <w:szCs w:val="21"/>
          <w:highlight w:val="none"/>
        </w:rPr>
        <w:t>。</w:t>
      </w:r>
    </w:p>
    <w:p w14:paraId="6CFD3DE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12、暂停施工</w:t>
      </w:r>
    </w:p>
    <w:p w14:paraId="4A9611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12.1因下列原因，总监理工程师报经发包人同意，可通知承包人暂停施工：</w:t>
      </w:r>
    </w:p>
    <w:p w14:paraId="7A58E2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（1）工程设计发生重大变更；</w:t>
      </w:r>
    </w:p>
    <w:p w14:paraId="0346EA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（2）不可抗力；</w:t>
      </w:r>
    </w:p>
    <w:p w14:paraId="46F2EA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（3）质量事故；</w:t>
      </w:r>
    </w:p>
    <w:p w14:paraId="056867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（4）安全生产事故；</w:t>
      </w:r>
    </w:p>
    <w:p w14:paraId="572E63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（5）因承包人管理不善，可能导致现场混乱；</w:t>
      </w:r>
    </w:p>
    <w:p w14:paraId="138B63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（6）承包人违规施工，经监理工程师通知改正但仍不执行。</w:t>
      </w:r>
    </w:p>
    <w:p w14:paraId="7FA1EC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承包人不得以与发包人有争议为由或者以争议未解决为由而单方面停工。否则，应按约定承担工期延误的违约责任。</w:t>
      </w:r>
    </w:p>
    <w:p w14:paraId="72E74E6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因发生上述第（3）、（4）、（5）、（6）项原因而暂停施工的，工期不予顺延,承包人必须承担由此发生的费用并向发包人承担违约责任。</w:t>
      </w:r>
    </w:p>
    <w:p w14:paraId="7F774D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51B2562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拒绝监理单位管理</w:t>
      </w:r>
      <w:r>
        <w:rPr>
          <w:rFonts w:hint="eastAsia" w:ascii="宋体" w:hAnsi="宋体" w:eastAsia="宋体" w:cs="宋体"/>
          <w:color w:val="auto"/>
          <w:szCs w:val="21"/>
          <w:highlight w:val="none"/>
        </w:rPr>
        <w:t>；</w:t>
      </w:r>
    </w:p>
    <w:p w14:paraId="1DB3563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施工组织设计（方案）未获总监理工程师批准而进行施工</w:t>
      </w:r>
      <w:r>
        <w:rPr>
          <w:rFonts w:hint="eastAsia" w:ascii="宋体" w:hAnsi="宋体" w:eastAsia="宋体" w:cs="宋体"/>
          <w:color w:val="auto"/>
          <w:szCs w:val="21"/>
          <w:highlight w:val="none"/>
        </w:rPr>
        <w:t>；</w:t>
      </w:r>
    </w:p>
    <w:p w14:paraId="032827C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未经监理单位检验而进行下一道工序作业者</w:t>
      </w:r>
      <w:r>
        <w:rPr>
          <w:rFonts w:hint="eastAsia" w:ascii="宋体" w:hAnsi="宋体" w:eastAsia="宋体" w:cs="宋体"/>
          <w:color w:val="auto"/>
          <w:szCs w:val="21"/>
          <w:highlight w:val="none"/>
        </w:rPr>
        <w:t>；</w:t>
      </w:r>
    </w:p>
    <w:p w14:paraId="4F01626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eastAsia="宋体" w:cs="宋体"/>
          <w:color w:val="auto"/>
          <w:szCs w:val="21"/>
          <w:highlight w:val="none"/>
        </w:rPr>
        <w:t>；</w:t>
      </w:r>
    </w:p>
    <w:p w14:paraId="5271961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擅自变更设计图纸的要求</w:t>
      </w:r>
      <w:r>
        <w:rPr>
          <w:rFonts w:hint="eastAsia" w:ascii="宋体" w:hAnsi="宋体" w:eastAsia="宋体" w:cs="宋体"/>
          <w:color w:val="auto"/>
          <w:szCs w:val="21"/>
          <w:highlight w:val="none"/>
        </w:rPr>
        <w:t>；</w:t>
      </w:r>
    </w:p>
    <w:p w14:paraId="1FA1765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转包工程</w:t>
      </w:r>
      <w:r>
        <w:rPr>
          <w:rFonts w:hint="eastAsia" w:ascii="宋体" w:hAnsi="宋体" w:eastAsia="宋体" w:cs="宋体"/>
          <w:color w:val="auto"/>
          <w:szCs w:val="21"/>
          <w:highlight w:val="none"/>
        </w:rPr>
        <w:t>；</w:t>
      </w:r>
    </w:p>
    <w:p w14:paraId="497DC83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u w:val="single"/>
        </w:rPr>
        <w:t>擅自让未经总监理工程师批准的专业承包单位进场作业</w:t>
      </w:r>
      <w:r>
        <w:rPr>
          <w:rFonts w:hint="eastAsia" w:ascii="宋体" w:hAnsi="宋体" w:eastAsia="宋体" w:cs="宋体"/>
          <w:color w:val="auto"/>
          <w:szCs w:val="21"/>
          <w:highlight w:val="none"/>
        </w:rPr>
        <w:t>；</w:t>
      </w:r>
    </w:p>
    <w:p w14:paraId="01C1406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存在安全隐患，未按监理单位要求及时进行整改</w:t>
      </w:r>
      <w:r>
        <w:rPr>
          <w:rFonts w:hint="eastAsia" w:ascii="宋体" w:hAnsi="宋体" w:eastAsia="宋体" w:cs="宋体"/>
          <w:color w:val="auto"/>
          <w:szCs w:val="21"/>
          <w:highlight w:val="none"/>
        </w:rPr>
        <w:t>；</w:t>
      </w:r>
    </w:p>
    <w:p w14:paraId="79E5643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未按双方约定的资料上报要求上报所需资料的</w:t>
      </w:r>
      <w:r>
        <w:rPr>
          <w:rFonts w:hint="eastAsia" w:ascii="宋体" w:hAnsi="宋体" w:eastAsia="宋体" w:cs="宋体"/>
          <w:color w:val="auto"/>
          <w:szCs w:val="21"/>
          <w:highlight w:val="none"/>
        </w:rPr>
        <w:t>。</w:t>
      </w:r>
    </w:p>
    <w:p w14:paraId="08601A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12.3因不可抗力引起工程停工，工期按</w:t>
      </w:r>
      <w:r>
        <w:rPr>
          <w:rFonts w:hint="eastAsia" w:ascii="宋体" w:hAnsi="宋体" w:eastAsia="宋体" w:cs="宋体"/>
          <w:color w:val="auto"/>
          <w:szCs w:val="21"/>
          <w:highlight w:val="none"/>
          <w:u w:val="single"/>
        </w:rPr>
        <w:t>专用条款第12.1款</w:t>
      </w:r>
      <w:r>
        <w:rPr>
          <w:rFonts w:hint="eastAsia" w:ascii="宋体" w:hAnsi="宋体" w:eastAsia="宋体" w:cs="宋体"/>
          <w:color w:val="auto"/>
          <w:szCs w:val="21"/>
          <w:highlight w:val="none"/>
        </w:rPr>
        <w:t>约定执行，费用承担按以下原则：</w:t>
      </w:r>
    </w:p>
    <w:p w14:paraId="2D7B81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eastAsia="宋体" w:cs="宋体"/>
          <w:color w:val="auto"/>
          <w:szCs w:val="21"/>
          <w:highlight w:val="none"/>
        </w:rPr>
        <w:t>。</w:t>
      </w:r>
    </w:p>
    <w:p w14:paraId="499AC4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运至施工场地用于施工的材料和待安装的设备的损害，属发包人供应的由发包人承担；属承包人采购的由承包人承担</w:t>
      </w:r>
      <w:r>
        <w:rPr>
          <w:rFonts w:hint="eastAsia" w:ascii="宋体" w:hAnsi="宋体" w:eastAsia="宋体" w:cs="宋体"/>
          <w:color w:val="auto"/>
          <w:szCs w:val="21"/>
          <w:highlight w:val="none"/>
        </w:rPr>
        <w:t>。</w:t>
      </w:r>
    </w:p>
    <w:p w14:paraId="235E76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发包人承包人人员伤亡由其所在单位负责，并承担相应费用</w:t>
      </w:r>
      <w:r>
        <w:rPr>
          <w:rFonts w:hint="eastAsia" w:ascii="宋体" w:hAnsi="宋体" w:eastAsia="宋体" w:cs="宋体"/>
          <w:color w:val="auto"/>
          <w:szCs w:val="21"/>
          <w:highlight w:val="none"/>
        </w:rPr>
        <w:t>。</w:t>
      </w:r>
    </w:p>
    <w:p w14:paraId="0ABFA2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承包人机械设备损坏及停工损失由承包人承担</w:t>
      </w:r>
      <w:r>
        <w:rPr>
          <w:rFonts w:hint="eastAsia" w:ascii="宋体" w:hAnsi="宋体" w:eastAsia="宋体" w:cs="宋体"/>
          <w:color w:val="auto"/>
          <w:szCs w:val="21"/>
          <w:highlight w:val="none"/>
        </w:rPr>
        <w:t>。</w:t>
      </w:r>
    </w:p>
    <w:p w14:paraId="77AD31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停工期间，承包人应总监理工程师要求留在施工场地的必要的管理人员及保卫人员的费用由承包人承担</w:t>
      </w:r>
      <w:r>
        <w:rPr>
          <w:rFonts w:hint="eastAsia" w:ascii="宋体" w:hAnsi="宋体" w:eastAsia="宋体" w:cs="宋体"/>
          <w:color w:val="auto"/>
          <w:szCs w:val="21"/>
          <w:highlight w:val="none"/>
        </w:rPr>
        <w:t>。</w:t>
      </w:r>
    </w:p>
    <w:p w14:paraId="349985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工程所需清理、修复费用由发包人承担</w:t>
      </w:r>
      <w:r>
        <w:rPr>
          <w:rFonts w:hint="eastAsia" w:ascii="宋体" w:hAnsi="宋体" w:eastAsia="宋体" w:cs="宋体"/>
          <w:color w:val="auto"/>
          <w:szCs w:val="21"/>
          <w:highlight w:val="none"/>
        </w:rPr>
        <w:t>。</w:t>
      </w:r>
    </w:p>
    <w:p w14:paraId="7F7FA9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12.4</w:t>
      </w:r>
      <w:r>
        <w:rPr>
          <w:rFonts w:hint="eastAsia" w:ascii="宋体" w:hAnsi="宋体" w:eastAsia="宋体" w:cs="宋体"/>
          <w:color w:val="auto"/>
          <w:szCs w:val="21"/>
          <w:highlight w:val="none"/>
          <w:u w:val="single"/>
        </w:rPr>
        <w:t>由于承包人自身原因或施工承包管理、配合及协调不力，而导致专业承包工程停工，产生的费用由承包人承担</w:t>
      </w:r>
      <w:r>
        <w:rPr>
          <w:rFonts w:hint="eastAsia" w:ascii="宋体" w:hAnsi="宋体" w:eastAsia="宋体" w:cs="宋体"/>
          <w:color w:val="auto"/>
          <w:szCs w:val="21"/>
          <w:highlight w:val="none"/>
        </w:rPr>
        <w:t>。</w:t>
      </w:r>
    </w:p>
    <w:p w14:paraId="38A1ED9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13、工期延误</w:t>
      </w:r>
    </w:p>
    <w:p w14:paraId="225BAA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szCs w:val="21"/>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eastAsia="宋体" w:cs="宋体"/>
          <w:color w:val="auto"/>
          <w:szCs w:val="21"/>
          <w:highlight w:val="none"/>
        </w:rPr>
        <w:t>。</w:t>
      </w:r>
    </w:p>
    <w:p w14:paraId="752898B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四、质量与验收</w:t>
      </w:r>
    </w:p>
    <w:p w14:paraId="021E4A5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15、工程质量</w:t>
      </w:r>
    </w:p>
    <w:p w14:paraId="2E7B62C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15.3</w:t>
      </w:r>
      <w:r>
        <w:rPr>
          <w:rFonts w:hint="eastAsia" w:ascii="宋体" w:hAnsi="宋体" w:eastAsia="宋体" w:cs="宋体"/>
          <w:bCs/>
          <w:color w:val="auto"/>
          <w:szCs w:val="21"/>
          <w:highlight w:val="none"/>
          <w:u w:val="single"/>
        </w:rPr>
        <w:t>承包人必须严格按照设计施工图和国家及行业颁发的现行有关设计、施工及验收规范的要求进行施工，确保工程质量，工程的质量要求达到合格质量标准</w:t>
      </w:r>
      <w:r>
        <w:rPr>
          <w:rFonts w:hint="eastAsia" w:ascii="宋体" w:hAnsi="宋体" w:eastAsia="宋体" w:cs="宋体"/>
          <w:bCs/>
          <w:color w:val="auto"/>
          <w:szCs w:val="21"/>
          <w:highlight w:val="none"/>
        </w:rPr>
        <w:t>，且达到投标承诺的质量标准</w:t>
      </w:r>
      <w:r>
        <w:rPr>
          <w:rFonts w:hint="eastAsia" w:ascii="宋体" w:hAnsi="宋体" w:eastAsia="宋体" w:cs="宋体"/>
          <w:bCs/>
          <w:color w:val="auto"/>
          <w:szCs w:val="21"/>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eastAsia="宋体" w:cs="宋体"/>
          <w:bCs/>
          <w:color w:val="auto"/>
          <w:szCs w:val="21"/>
          <w:highlight w:val="none"/>
        </w:rPr>
        <w:t>。</w:t>
      </w:r>
    </w:p>
    <w:p w14:paraId="4D3A5FF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15.4</w:t>
      </w:r>
      <w:r>
        <w:rPr>
          <w:rFonts w:hint="eastAsia" w:ascii="宋体" w:hAnsi="宋体" w:eastAsia="宋体" w:cs="宋体"/>
          <w:bCs/>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eastAsia="宋体" w:cs="宋体"/>
          <w:bCs/>
          <w:color w:val="auto"/>
          <w:szCs w:val="21"/>
          <w:highlight w:val="none"/>
        </w:rPr>
        <w:t>。</w:t>
      </w:r>
    </w:p>
    <w:p w14:paraId="47A92B4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15.5</w:t>
      </w:r>
      <w:r>
        <w:rPr>
          <w:rFonts w:hint="eastAsia" w:ascii="宋体" w:hAnsi="宋体" w:eastAsia="宋体" w:cs="宋体"/>
          <w:bCs/>
          <w:color w:val="auto"/>
          <w:szCs w:val="21"/>
          <w:highlight w:val="none"/>
          <w:u w:val="single"/>
        </w:rPr>
        <w:t>工程质量不符合设计要求、质量不合格者，监理工程师可指令承包人停工或返工，返工费用由承包人承担，工期不予顺延</w:t>
      </w:r>
      <w:r>
        <w:rPr>
          <w:rFonts w:hint="eastAsia" w:ascii="宋体" w:hAnsi="宋体" w:eastAsia="宋体" w:cs="宋体"/>
          <w:bCs/>
          <w:color w:val="auto"/>
          <w:szCs w:val="21"/>
          <w:highlight w:val="none"/>
        </w:rPr>
        <w:t>。</w:t>
      </w:r>
    </w:p>
    <w:p w14:paraId="314085C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15.6</w:t>
      </w:r>
      <w:r>
        <w:rPr>
          <w:rFonts w:hint="eastAsia" w:ascii="宋体" w:hAnsi="宋体" w:eastAsia="宋体" w:cs="宋体"/>
          <w:bCs/>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eastAsia="宋体" w:cs="宋体"/>
          <w:bCs/>
          <w:color w:val="auto"/>
          <w:szCs w:val="21"/>
          <w:highlight w:val="none"/>
        </w:rPr>
        <w:t>。</w:t>
      </w:r>
    </w:p>
    <w:p w14:paraId="187589E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15.7</w:t>
      </w:r>
      <w:r>
        <w:rPr>
          <w:rFonts w:hint="eastAsia" w:ascii="宋体" w:hAnsi="宋体" w:eastAsia="宋体" w:cs="宋体"/>
          <w:bCs/>
          <w:color w:val="auto"/>
          <w:szCs w:val="21"/>
          <w:highlight w:val="none"/>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hint="eastAsia" w:ascii="宋体" w:hAnsi="宋体" w:eastAsia="宋体" w:cs="宋体"/>
          <w:bCs/>
          <w:color w:val="auto"/>
          <w:szCs w:val="21"/>
          <w:highlight w:val="none"/>
        </w:rPr>
        <w:t>。</w:t>
      </w:r>
    </w:p>
    <w:p w14:paraId="69E1318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16、检查和返工</w:t>
      </w:r>
    </w:p>
    <w:p w14:paraId="3B04AF8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16.3工程师的检查检验：</w:t>
      </w:r>
      <w:r>
        <w:rPr>
          <w:rFonts w:hint="eastAsia" w:ascii="宋体" w:hAnsi="宋体" w:eastAsia="宋体" w:cs="宋体"/>
          <w:bCs/>
          <w:color w:val="auto"/>
          <w:szCs w:val="21"/>
          <w:highlight w:val="none"/>
          <w:u w:val="single"/>
        </w:rPr>
        <w:t>工程师按规范、标准、设计图纸要求和频率所进行的检查检测不应成为承包人工期顺延的理由</w:t>
      </w:r>
      <w:r>
        <w:rPr>
          <w:rFonts w:hint="eastAsia" w:ascii="宋体" w:hAnsi="宋体" w:eastAsia="宋体" w:cs="宋体"/>
          <w:bCs/>
          <w:color w:val="auto"/>
          <w:szCs w:val="21"/>
          <w:highlight w:val="none"/>
        </w:rPr>
        <w:t>。</w:t>
      </w:r>
    </w:p>
    <w:p w14:paraId="44F8354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17、隐蔽工程和中间验收</w:t>
      </w:r>
    </w:p>
    <w:p w14:paraId="21DE24D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17.1双方约定中间验收部位：</w:t>
      </w:r>
      <w:r>
        <w:rPr>
          <w:rFonts w:hint="eastAsia" w:ascii="宋体" w:hAnsi="宋体" w:eastAsia="宋体" w:cs="宋体"/>
          <w:color w:val="auto"/>
          <w:szCs w:val="21"/>
          <w:highlight w:val="none"/>
          <w:u w:val="single"/>
        </w:rPr>
        <w:t>按相应工程施工及验收规范要求执行</w:t>
      </w:r>
      <w:r>
        <w:rPr>
          <w:rFonts w:hint="eastAsia" w:ascii="宋体" w:hAnsi="宋体" w:eastAsia="宋体" w:cs="宋体"/>
          <w:color w:val="auto"/>
          <w:szCs w:val="21"/>
          <w:highlight w:val="none"/>
        </w:rPr>
        <w:t>。</w:t>
      </w:r>
    </w:p>
    <w:p w14:paraId="494881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19、工程试车</w:t>
      </w:r>
    </w:p>
    <w:p w14:paraId="395C2E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19.5试车费用的承担：</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589CA24">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五、安全施工</w:t>
      </w:r>
    </w:p>
    <w:p w14:paraId="0AD0EE4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20、安全施工与检查</w:t>
      </w:r>
    </w:p>
    <w:p w14:paraId="52B2E92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eastAsia="宋体" w:cs="宋体"/>
          <w:color w:val="auto"/>
          <w:szCs w:val="21"/>
          <w:highlight w:val="none"/>
        </w:rPr>
        <w:t>。</w:t>
      </w:r>
    </w:p>
    <w:p w14:paraId="03BF107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20.4</w:t>
      </w:r>
      <w:r>
        <w:rPr>
          <w:rFonts w:hint="eastAsia" w:ascii="宋体" w:hAnsi="宋体" w:eastAsia="宋体" w:cs="宋体"/>
          <w:color w:val="auto"/>
          <w:szCs w:val="21"/>
          <w:highlight w:val="none"/>
          <w:u w:val="single"/>
        </w:rPr>
        <w:t>承包人按规定数量配置安全员</w:t>
      </w:r>
      <w:r>
        <w:rPr>
          <w:rFonts w:hint="eastAsia" w:ascii="宋体" w:hAnsi="宋体" w:eastAsia="宋体" w:cs="宋体"/>
          <w:color w:val="auto"/>
          <w:szCs w:val="21"/>
          <w:highlight w:val="none"/>
        </w:rPr>
        <w:t>。</w:t>
      </w:r>
    </w:p>
    <w:p w14:paraId="5E67403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20.5</w:t>
      </w:r>
      <w:r>
        <w:rPr>
          <w:rFonts w:hint="eastAsia" w:ascii="宋体" w:hAnsi="宋体" w:eastAsia="宋体" w:cs="宋体"/>
          <w:color w:val="auto"/>
          <w:szCs w:val="21"/>
          <w:highlight w:val="none"/>
          <w:u w:val="single"/>
        </w:rPr>
        <w:t>承包人在开工前须向质量安全监督机构提交备案的书面资料</w:t>
      </w:r>
      <w:r>
        <w:rPr>
          <w:rFonts w:hint="eastAsia" w:ascii="宋体" w:hAnsi="宋体" w:eastAsia="宋体" w:cs="宋体"/>
          <w:color w:val="auto"/>
          <w:szCs w:val="21"/>
          <w:highlight w:val="none"/>
        </w:rPr>
        <w:t>。</w:t>
      </w:r>
    </w:p>
    <w:p w14:paraId="1AB3617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20.6</w:t>
      </w:r>
      <w:r>
        <w:rPr>
          <w:rFonts w:hint="eastAsia" w:ascii="宋体" w:hAnsi="宋体" w:eastAsia="宋体" w:cs="宋体"/>
          <w:color w:val="auto"/>
          <w:szCs w:val="21"/>
          <w:highlight w:val="none"/>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6E3CB16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20.7</w:t>
      </w:r>
      <w:r>
        <w:rPr>
          <w:rFonts w:hint="eastAsia" w:ascii="宋体" w:hAnsi="宋体" w:eastAsia="宋体" w:cs="宋体"/>
          <w:color w:val="auto"/>
          <w:szCs w:val="21"/>
          <w:highlight w:val="none"/>
          <w:u w:val="single"/>
        </w:rPr>
        <w:t>承包人按有关安全和防护的规定组织施工生产，不得使用不合标准的防护器材、机具和材料</w:t>
      </w:r>
      <w:r>
        <w:rPr>
          <w:rFonts w:hint="eastAsia" w:ascii="宋体" w:hAnsi="宋体" w:eastAsia="宋体" w:cs="宋体"/>
          <w:color w:val="auto"/>
          <w:szCs w:val="21"/>
          <w:highlight w:val="none"/>
        </w:rPr>
        <w:t>。</w:t>
      </w:r>
    </w:p>
    <w:p w14:paraId="212CE9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20.8</w:t>
      </w:r>
      <w:r>
        <w:rPr>
          <w:rFonts w:hint="eastAsia" w:ascii="宋体" w:hAnsi="宋体" w:eastAsia="宋体" w:cs="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eastAsia="宋体" w:cs="宋体"/>
          <w:color w:val="auto"/>
          <w:szCs w:val="21"/>
          <w:highlight w:val="none"/>
        </w:rPr>
        <w:t>。</w:t>
      </w:r>
    </w:p>
    <w:p w14:paraId="287654C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21、安全防护</w:t>
      </w:r>
    </w:p>
    <w:p w14:paraId="162DCE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w:t>
      </w:r>
      <w:r>
        <w:rPr>
          <w:rFonts w:hint="eastAsia" w:ascii="宋体" w:hAnsi="宋体" w:eastAsia="宋体" w:cs="宋体"/>
          <w:color w:val="auto"/>
          <w:szCs w:val="21"/>
          <w:highlight w:val="none"/>
          <w:u w:val="single"/>
        </w:rPr>
        <w:t>承包人应在施工现场采取维护安全、防范危险、预防火灾等措施，在特殊作业环境应对作业人员采取劳动保护措施</w:t>
      </w:r>
      <w:r>
        <w:rPr>
          <w:rFonts w:hint="eastAsia" w:ascii="宋体" w:hAnsi="宋体" w:eastAsia="宋体" w:cs="宋体"/>
          <w:color w:val="auto"/>
          <w:szCs w:val="21"/>
          <w:highlight w:val="none"/>
        </w:rPr>
        <w:t>。</w:t>
      </w:r>
    </w:p>
    <w:p w14:paraId="0A7CCF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21.4</w:t>
      </w:r>
      <w:r>
        <w:rPr>
          <w:rFonts w:hint="eastAsia" w:ascii="宋体" w:hAnsi="宋体" w:eastAsia="宋体" w:cs="宋体"/>
          <w:color w:val="auto"/>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eastAsia="宋体" w:cs="宋体"/>
          <w:bCs/>
          <w:smallCaps/>
          <w:color w:val="auto"/>
          <w:szCs w:val="21"/>
          <w:highlight w:val="none"/>
          <w:u w:val="single"/>
        </w:rPr>
        <w:t>穗建质</w:t>
      </w:r>
      <w:r>
        <w:rPr>
          <w:rFonts w:hint="eastAsia" w:ascii="宋体" w:hAnsi="宋体" w:eastAsia="宋体" w:cs="宋体"/>
          <w:color w:val="auto"/>
          <w:szCs w:val="21"/>
          <w:highlight w:val="none"/>
          <w:u w:val="single"/>
        </w:rPr>
        <w:t>〔2008〕</w:t>
      </w:r>
      <w:r>
        <w:rPr>
          <w:rFonts w:hint="eastAsia" w:ascii="宋体" w:hAnsi="宋体" w:eastAsia="宋体" w:cs="宋体"/>
          <w:bCs/>
          <w:smallCaps/>
          <w:color w:val="auto"/>
          <w:szCs w:val="21"/>
          <w:highlight w:val="none"/>
          <w:u w:val="single"/>
        </w:rPr>
        <w:t>937号）</w:t>
      </w:r>
      <w:r>
        <w:rPr>
          <w:rFonts w:hint="eastAsia" w:ascii="宋体" w:hAnsi="宋体" w:eastAsia="宋体" w:cs="宋体"/>
          <w:color w:val="auto"/>
          <w:szCs w:val="21"/>
          <w:highlight w:val="none"/>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w:t>
      </w:r>
      <w:r>
        <w:rPr>
          <w:rFonts w:hint="eastAsia" w:ascii="宋体" w:hAnsi="宋体" w:eastAsia="宋体" w:cs="宋体"/>
          <w:color w:val="auto"/>
          <w:szCs w:val="21"/>
          <w:highlight w:val="none"/>
        </w:rPr>
        <w:t>以上文件要求不一致的，以后发布文件为准，若相关部门发布有关施工围蔽新文件规定的，按新规定执行。</w:t>
      </w:r>
      <w:r>
        <w:rPr>
          <w:rFonts w:hint="eastAsia" w:ascii="宋体" w:hAnsi="宋体" w:eastAsia="宋体" w:cs="宋体"/>
          <w:color w:val="auto"/>
          <w:szCs w:val="21"/>
          <w:highlight w:val="none"/>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698F712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21.5</w:t>
      </w:r>
      <w:r>
        <w:rPr>
          <w:rFonts w:hint="eastAsia" w:ascii="宋体" w:hAnsi="宋体" w:eastAsia="宋体" w:cs="宋体"/>
          <w:color w:val="auto"/>
          <w:szCs w:val="21"/>
          <w:highlight w:val="none"/>
          <w:u w:val="single"/>
        </w:rPr>
        <w:t>承包人应按规定对工程施工人员进行安全教育和管理</w:t>
      </w:r>
      <w:r>
        <w:rPr>
          <w:rFonts w:hint="eastAsia" w:ascii="宋体" w:hAnsi="宋体" w:eastAsia="宋体" w:cs="宋体"/>
          <w:color w:val="auto"/>
          <w:szCs w:val="21"/>
          <w:highlight w:val="none"/>
        </w:rPr>
        <w:t>。</w:t>
      </w:r>
    </w:p>
    <w:p w14:paraId="7AA7C8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21.6</w:t>
      </w:r>
      <w:r>
        <w:rPr>
          <w:rFonts w:hint="eastAsia" w:ascii="宋体" w:hAnsi="宋体" w:eastAsia="宋体" w:cs="宋体"/>
          <w:color w:val="auto"/>
          <w:szCs w:val="21"/>
          <w:highlight w:val="none"/>
          <w:u w:val="single"/>
        </w:rPr>
        <w:t>承包人应书面记录专项安全施工组织设计方案审查、安全检查、安全技术交底、安全隐患整改、安全教育等重要安全管理活动</w:t>
      </w:r>
      <w:r>
        <w:rPr>
          <w:rFonts w:hint="eastAsia" w:ascii="宋体" w:hAnsi="宋体" w:eastAsia="宋体" w:cs="宋体"/>
          <w:color w:val="auto"/>
          <w:szCs w:val="21"/>
          <w:highlight w:val="none"/>
        </w:rPr>
        <w:t>。</w:t>
      </w:r>
    </w:p>
    <w:p w14:paraId="4A5329B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21.7</w:t>
      </w:r>
      <w:r>
        <w:rPr>
          <w:rFonts w:hint="eastAsia" w:ascii="宋体" w:hAnsi="宋体" w:eastAsia="宋体" w:cs="宋体"/>
          <w:color w:val="auto"/>
          <w:szCs w:val="21"/>
          <w:highlight w:val="none"/>
          <w:u w:val="single"/>
        </w:rPr>
        <w:t>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14:paraId="50210D7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21.8</w:t>
      </w:r>
      <w:r>
        <w:rPr>
          <w:rFonts w:hint="eastAsia" w:ascii="宋体" w:hAnsi="宋体" w:eastAsia="宋体" w:cs="宋体"/>
          <w:color w:val="auto"/>
          <w:szCs w:val="21"/>
          <w:highlight w:val="none"/>
          <w:u w:val="single"/>
        </w:rPr>
        <w:t>承包人用于本项目的起重设备须严格执行《广州市住房和城乡建设委员会关于启用建筑起重机械设备安全监管系统的通知 》（穗建质〔2018〕889号）、《广州市住房和城乡建设局关于进一步加强建筑起重机械安全管理的通知 》（穗建质【2020】216号）、《广州市住房和城乡建设委员会关于进一步加强建筑起重机械设备信息化安全监管的通知》等相关规定。</w:t>
      </w:r>
    </w:p>
    <w:p w14:paraId="2C52156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14:paraId="31BE62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14:paraId="6D3BB1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1EE851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14:paraId="07729F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052E7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按合同约定结算。如果承包人不及时按要求设置，发包人可以另行委托实施。发包人按实际发生的费用在工程款中扣除，承包人不得有任何异议。</w:t>
      </w:r>
    </w:p>
    <w:p w14:paraId="3A313DA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22、事故处理</w:t>
      </w:r>
    </w:p>
    <w:p w14:paraId="2304EAD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22.3如发生安全事故，除按法定程序办理有关事宜外，还必须按以下程序进行处理：</w:t>
      </w:r>
    </w:p>
    <w:p w14:paraId="1FA3CF9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22.3.1</w:t>
      </w:r>
      <w:r>
        <w:rPr>
          <w:rFonts w:hint="eastAsia" w:ascii="宋体" w:hAnsi="宋体" w:eastAsia="宋体" w:cs="宋体"/>
          <w:color w:val="auto"/>
          <w:szCs w:val="21"/>
          <w:highlight w:val="none"/>
          <w:u w:val="single"/>
        </w:rPr>
        <w:t>报告安全事故：安全事故发生后，承包人应在1小时内用最快的信息传递手段，将发生事故的时间、地点、伤亡人数、事故原因等情况，报工程师和发包人</w:t>
      </w:r>
      <w:r>
        <w:rPr>
          <w:rFonts w:hint="eastAsia" w:ascii="宋体" w:hAnsi="宋体" w:eastAsia="宋体" w:cs="宋体"/>
          <w:color w:val="auto"/>
          <w:szCs w:val="21"/>
          <w:highlight w:val="none"/>
        </w:rPr>
        <w:t>。</w:t>
      </w:r>
    </w:p>
    <w:p w14:paraId="0A4F866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22.3.2</w:t>
      </w:r>
      <w:r>
        <w:rPr>
          <w:rFonts w:hint="eastAsia" w:ascii="宋体" w:hAnsi="宋体" w:eastAsia="宋体" w:cs="宋体"/>
          <w:color w:val="auto"/>
          <w:szCs w:val="21"/>
          <w:highlight w:val="none"/>
          <w:u w:val="single"/>
        </w:rPr>
        <w:t>事故处理：承包人负责抢救伤员、排除险情，防止事故扩大蔓延，保护好现场，并做好标志，启动保险理赔程序</w:t>
      </w:r>
      <w:r>
        <w:rPr>
          <w:rFonts w:hint="eastAsia" w:ascii="宋体" w:hAnsi="宋体" w:eastAsia="宋体" w:cs="宋体"/>
          <w:color w:val="auto"/>
          <w:szCs w:val="21"/>
          <w:highlight w:val="none"/>
        </w:rPr>
        <w:t>。</w:t>
      </w:r>
    </w:p>
    <w:p w14:paraId="452336C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22.3.3</w:t>
      </w:r>
      <w:r>
        <w:rPr>
          <w:rFonts w:hint="eastAsia" w:ascii="宋体" w:hAnsi="宋体" w:eastAsia="宋体" w:cs="宋体"/>
          <w:color w:val="auto"/>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eastAsia="宋体" w:cs="宋体"/>
          <w:color w:val="auto"/>
          <w:szCs w:val="21"/>
          <w:highlight w:val="none"/>
        </w:rPr>
        <w:t>。</w:t>
      </w:r>
    </w:p>
    <w:p w14:paraId="2298A4F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22.3.4</w:t>
      </w:r>
      <w:r>
        <w:rPr>
          <w:rFonts w:hint="eastAsia" w:ascii="宋体" w:hAnsi="宋体" w:eastAsia="宋体" w:cs="宋体"/>
          <w:color w:val="auto"/>
          <w:szCs w:val="21"/>
          <w:highlight w:val="none"/>
          <w:u w:val="single"/>
        </w:rPr>
        <w:t>调查报告：承包人应把事故发生经过、原因、性质、损失、责任、处理意见、纠正和预防措施撰写成调查报告，送工程师会审后报发包人</w:t>
      </w:r>
      <w:r>
        <w:rPr>
          <w:rFonts w:hint="eastAsia" w:ascii="宋体" w:hAnsi="宋体" w:eastAsia="宋体" w:cs="宋体"/>
          <w:color w:val="auto"/>
          <w:szCs w:val="21"/>
          <w:highlight w:val="none"/>
        </w:rPr>
        <w:t>。</w:t>
      </w:r>
    </w:p>
    <w:p w14:paraId="6D7B694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六、合同价款与支付</w:t>
      </w:r>
    </w:p>
    <w:p w14:paraId="36B67A81">
      <w:pP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23、合同价款及调整</w:t>
      </w:r>
    </w:p>
    <w:p w14:paraId="0DD0F2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23.2本合同价款按照协议书第二条、本条及专用条款23.3款和专用条款23.5款约定执行，最终按结算终审部门审定价结算。如遇审计部门审计发现本合同结算价款存在超付的情形，发包人有权据实要求承包人返还该部分款项。</w:t>
      </w:r>
    </w:p>
    <w:p w14:paraId="6B0C9B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本合同价款采用分部分项工程量清单固定综合单价方式确定，具体办法如下：</w:t>
      </w:r>
    </w:p>
    <w:p w14:paraId="06577C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（1）分部分项工程量清单费：</w:t>
      </w:r>
      <w:r>
        <w:rPr>
          <w:rFonts w:hint="eastAsia" w:ascii="宋体" w:hAnsi="宋体" w:eastAsia="宋体" w:cs="宋体"/>
          <w:color w:val="auto"/>
          <w:szCs w:val="21"/>
          <w:highlight w:val="none"/>
          <w:u w:val="single"/>
        </w:rPr>
        <w:t>除专用条款23.5.1及专用条款23.5.2规定情况外，分部分项工程量清单综合单价固定不变，工程量按实计量</w:t>
      </w:r>
      <w:r>
        <w:rPr>
          <w:rFonts w:hint="eastAsia" w:ascii="宋体" w:hAnsi="宋体" w:eastAsia="宋体" w:cs="宋体"/>
          <w:color w:val="auto"/>
          <w:szCs w:val="21"/>
          <w:highlight w:val="none"/>
        </w:rPr>
        <w:t>。</w:t>
      </w:r>
    </w:p>
    <w:p w14:paraId="1C4FF2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（2）措施项目费：</w:t>
      </w:r>
      <w:r>
        <w:rPr>
          <w:rFonts w:hint="eastAsia" w:ascii="宋体" w:hAnsi="宋体" w:eastAsia="宋体" w:cs="宋体"/>
          <w:color w:val="auto"/>
          <w:szCs w:val="21"/>
          <w:highlight w:val="none"/>
          <w:u w:val="single"/>
        </w:rPr>
        <w:t>措施项目费（除施工围蔽费用外）包干，施工围蔽清单综合单价包干，工程量按实计量</w:t>
      </w:r>
      <w:r>
        <w:rPr>
          <w:rFonts w:hint="eastAsia" w:ascii="宋体" w:hAnsi="宋体" w:eastAsia="宋体" w:cs="宋体"/>
          <w:color w:val="auto"/>
          <w:szCs w:val="21"/>
          <w:highlight w:val="none"/>
        </w:rPr>
        <w:t>。</w:t>
      </w:r>
    </w:p>
    <w:p w14:paraId="10099A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（3）其他项目部分：</w:t>
      </w:r>
    </w:p>
    <w:p w14:paraId="659972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招标人部分为暂定价，按实际签订的专业承包合同或预留金使用情况进行调整和结算</w:t>
      </w:r>
      <w:r>
        <w:rPr>
          <w:rFonts w:hint="eastAsia" w:ascii="宋体" w:hAnsi="宋体" w:eastAsia="宋体" w:cs="宋体"/>
          <w:color w:val="auto"/>
          <w:szCs w:val="21"/>
          <w:highlight w:val="none"/>
        </w:rPr>
        <w:t>；</w:t>
      </w:r>
    </w:p>
    <w:p w14:paraId="1B93819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u w:val="single"/>
        </w:rPr>
        <w:t>投标人部分为固定价格，结算时不作调整。（若实际没有发生，在结算时扣除未发生项目的费用）</w:t>
      </w:r>
    </w:p>
    <w:p w14:paraId="3BD464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u w:val="single"/>
        </w:rPr>
        <w:t>投标人预算包干费部分按投标人报价中的费率取费，费率结算时不作调整。</w:t>
      </w:r>
    </w:p>
    <w:p w14:paraId="210FB5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规费、税金：规费及税金按实计取，费率固定不变</w:t>
      </w:r>
      <w:r>
        <w:rPr>
          <w:rFonts w:hint="eastAsia" w:ascii="宋体" w:hAnsi="宋体" w:eastAsia="宋体" w:cs="宋体"/>
          <w:color w:val="auto"/>
          <w:szCs w:val="21"/>
          <w:highlight w:val="none"/>
        </w:rPr>
        <w:t>。</w:t>
      </w:r>
    </w:p>
    <w:p w14:paraId="6F3CBA9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23.3双方约定合同价款的调整因素：</w:t>
      </w:r>
    </w:p>
    <w:p w14:paraId="0F223650">
      <w:pPr>
        <w:numPr>
          <w:ilvl w:val="0"/>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（1）发包人及监理单位共同确认工程量偏差</w:t>
      </w:r>
      <w:r>
        <w:rPr>
          <w:rFonts w:hint="eastAsia" w:ascii="宋体" w:hAnsi="宋体" w:eastAsia="宋体" w:cs="宋体"/>
          <w:color w:val="auto"/>
          <w:szCs w:val="21"/>
          <w:highlight w:val="none"/>
        </w:rPr>
        <w:t>；</w:t>
      </w:r>
    </w:p>
    <w:p w14:paraId="3C41CE21">
      <w:pPr>
        <w:numPr>
          <w:ilvl w:val="0"/>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（2）发包人及监理单位共同确认工程变更、签证和新增工程</w:t>
      </w:r>
      <w:r>
        <w:rPr>
          <w:rFonts w:hint="eastAsia" w:ascii="宋体" w:hAnsi="宋体" w:eastAsia="宋体" w:cs="宋体"/>
          <w:color w:val="auto"/>
          <w:szCs w:val="21"/>
          <w:highlight w:val="none"/>
        </w:rPr>
        <w:t>；</w:t>
      </w:r>
    </w:p>
    <w:p w14:paraId="6F573399">
      <w:pPr>
        <w:numPr>
          <w:ilvl w:val="0"/>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（3）物价变化</w:t>
      </w:r>
      <w:r>
        <w:rPr>
          <w:rFonts w:hint="eastAsia" w:ascii="宋体" w:hAnsi="宋体" w:eastAsia="宋体" w:cs="宋体"/>
          <w:color w:val="auto"/>
          <w:szCs w:val="21"/>
          <w:highlight w:val="none"/>
        </w:rPr>
        <w:t>；</w:t>
      </w:r>
    </w:p>
    <w:p w14:paraId="13345245">
      <w:pPr>
        <w:numPr>
          <w:ilvl w:val="0"/>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（4）费用索赔事件或发包人负责的其他情况</w:t>
      </w:r>
      <w:r>
        <w:rPr>
          <w:rFonts w:hint="eastAsia" w:ascii="宋体" w:hAnsi="宋体" w:eastAsia="宋体" w:cs="宋体"/>
          <w:color w:val="auto"/>
          <w:szCs w:val="21"/>
          <w:highlight w:val="none"/>
        </w:rPr>
        <w:t>。</w:t>
      </w:r>
    </w:p>
    <w:p w14:paraId="425373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以上调整事项涉及的价款计价原则按专用条款23.5款约定执行。</w:t>
      </w:r>
    </w:p>
    <w:p w14:paraId="49F5C18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23.4承包人应在专用条款23.3款情况发生后</w:t>
      </w:r>
      <w:r>
        <w:rPr>
          <w:rFonts w:hint="eastAsia" w:ascii="宋体" w:hAnsi="宋体" w:eastAsia="宋体" w:cs="宋体"/>
          <w:color w:val="auto"/>
          <w:szCs w:val="21"/>
          <w:highlight w:val="none"/>
          <w:u w:val="single"/>
        </w:rPr>
        <w:t>3-7天（时间视变更大小而定）</w:t>
      </w:r>
      <w:r>
        <w:rPr>
          <w:rFonts w:hint="eastAsia" w:ascii="宋体" w:hAnsi="宋体" w:eastAsia="宋体" w:cs="宋体"/>
          <w:color w:val="auto"/>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50D92F6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23.5</w:t>
      </w:r>
      <w:r>
        <w:rPr>
          <w:rFonts w:hint="eastAsia" w:ascii="宋体" w:hAnsi="宋体" w:eastAsia="宋体" w:cs="宋体"/>
          <w:color w:val="auto"/>
          <w:szCs w:val="21"/>
          <w:highlight w:val="none"/>
          <w:u w:val="single"/>
        </w:rPr>
        <w:t>合同价款调整原则</w:t>
      </w:r>
    </w:p>
    <w:p w14:paraId="213B4C5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23.5.1</w:t>
      </w:r>
      <w:r>
        <w:rPr>
          <w:rFonts w:hint="eastAsia" w:ascii="宋体" w:hAnsi="宋体" w:eastAsia="宋体" w:cs="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eastAsia="宋体" w:cs="宋体"/>
          <w:color w:val="auto"/>
          <w:szCs w:val="21"/>
          <w:highlight w:val="none"/>
        </w:rPr>
        <w:t>。</w:t>
      </w:r>
    </w:p>
    <w:p w14:paraId="5B1BBB7D">
      <w:pPr>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eastAsia="宋体" w:cs="宋体"/>
          <w:color w:val="auto"/>
          <w:szCs w:val="21"/>
          <w:highlight w:val="none"/>
        </w:rPr>
        <w:t>。</w:t>
      </w:r>
    </w:p>
    <w:p w14:paraId="634C359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szCs w:val="21"/>
          <w:highlight w:val="none"/>
        </w:rPr>
        <w:t>且需对选用的厂商价格信息重新进行市场调研询价后方可使用。</w:t>
      </w:r>
      <w:r>
        <w:rPr>
          <w:rFonts w:hint="eastAsia" w:ascii="宋体" w:hAnsi="宋体" w:eastAsia="宋体" w:cs="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eastAsia="宋体" w:cs="宋体"/>
          <w:color w:val="auto"/>
          <w:szCs w:val="21"/>
          <w:highlight w:val="none"/>
        </w:rPr>
        <w:t>。</w:t>
      </w:r>
    </w:p>
    <w:p w14:paraId="43F4C08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合同工程量清单报价中没有相同或类似适用项目的，按以下原则计价</w:t>
      </w:r>
      <w:r>
        <w:rPr>
          <w:rFonts w:hint="eastAsia" w:ascii="宋体" w:hAnsi="宋体" w:eastAsia="宋体" w:cs="宋体"/>
          <w:color w:val="auto"/>
          <w:szCs w:val="21"/>
          <w:highlight w:val="none"/>
        </w:rPr>
        <w:t>：</w:t>
      </w:r>
    </w:p>
    <w:p w14:paraId="0EA201F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① </w:t>
      </w:r>
      <w:r>
        <w:rPr>
          <w:rFonts w:hint="eastAsia" w:ascii="宋体" w:hAnsi="宋体" w:eastAsia="宋体" w:cs="宋体"/>
          <w:color w:val="auto"/>
          <w:szCs w:val="21"/>
          <w:highlight w:val="none"/>
          <w:u w:val="single"/>
        </w:rPr>
        <w:t>由承包人依据变更工程资料，计量原则，按《广东省建设工程计价依据（2018）》[含《广东省房屋建筑与装饰工程综合定额》（2018年）、《广东省市政工程综合定额》（2018年）、《广东省通用安装工程综合定额》（2018年）、《广东省园林绿化工程综合定额》（2018年）、《广东省建设工程施工机具台班费用编制规则(2018)》]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szCs w:val="21"/>
          <w:highlight w:val="none"/>
        </w:rPr>
        <w:t>，且需对选用的厂商价格信息重新进行市场调研询价后方可使用。</w:t>
      </w:r>
      <w:r>
        <w:rPr>
          <w:rFonts w:hint="eastAsia"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cs="宋体"/>
          <w:color w:val="auto"/>
          <w:szCs w:val="21"/>
          <w:highlight w:val="none"/>
        </w:rPr>
        <w:t xml:space="preserve">。 </w:t>
      </w:r>
    </w:p>
    <w:p w14:paraId="16CA7E67">
      <w:pPr>
        <w:spacing w:line="360" w:lineRule="auto"/>
        <w:ind w:right="1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② </w:t>
      </w:r>
      <w:r>
        <w:rPr>
          <w:rFonts w:hint="eastAsia" w:ascii="宋体" w:hAnsi="宋体" w:eastAsia="宋体" w:cs="宋体"/>
          <w:color w:val="auto"/>
          <w:szCs w:val="21"/>
          <w:highlight w:val="none"/>
          <w:u w:val="single"/>
        </w:rPr>
        <w:t>合同工程量清单没有相同或相类似且无相关定额的项目，承包人参照《广东省房屋建筑与装饰工程综合定额》（2018年）、《广东省市政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szCs w:val="21"/>
          <w:highlight w:val="none"/>
        </w:rPr>
        <w:t>，且需对选用的厂商价格信息重新进行市场调研询价后方可使用。</w:t>
      </w:r>
      <w:r>
        <w:rPr>
          <w:rFonts w:hint="eastAsia"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cs="宋体"/>
          <w:color w:val="auto"/>
          <w:szCs w:val="21"/>
          <w:highlight w:val="none"/>
        </w:rPr>
        <w:t>。</w:t>
      </w:r>
    </w:p>
    <w:p w14:paraId="00ECA457">
      <w:pPr>
        <w:spacing w:line="360" w:lineRule="auto"/>
        <w:ind w:right="1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按上述原则确定价格时，措施项目费用（除施工围蔽外）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规定有更新的，按最新文件执行）。</w:t>
      </w:r>
    </w:p>
    <w:p w14:paraId="6DA9F1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23.5.2 </w:t>
      </w:r>
      <w:r>
        <w:rPr>
          <w:rFonts w:hint="eastAsia" w:ascii="宋体" w:hAnsi="宋体" w:eastAsia="宋体" w:cs="宋体"/>
          <w:color w:val="auto"/>
          <w:szCs w:val="21"/>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eastAsia="宋体" w:cs="宋体"/>
          <w:color w:val="auto"/>
          <w:szCs w:val="21"/>
          <w:highlight w:val="none"/>
        </w:rPr>
        <w:t>。</w:t>
      </w:r>
    </w:p>
    <w:p w14:paraId="4F3E91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23.5.3</w:t>
      </w:r>
      <w:r>
        <w:rPr>
          <w:rFonts w:hint="eastAsia" w:ascii="宋体" w:hAnsi="宋体" w:eastAsia="宋体" w:cs="宋体"/>
          <w:color w:val="auto"/>
          <w:szCs w:val="21"/>
          <w:highlight w:val="none"/>
          <w:u w:val="single"/>
        </w:rPr>
        <w:t>物价涨跌的价格调整</w:t>
      </w:r>
    </w:p>
    <w:p w14:paraId="233ADA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合同履行期间，出现非因承包方原因导致工程造价管理机构发布的人工、材料、工程设备和施工设备、机械台班单价与本工程招标文件规定的投标截止日期前28天时广州市建设工程造价管理部门发布的人工、材料、工程设备和施工设备、机械台班相应单价项目相比，涨跌幅度超过±10%以上且符合以下规定的，应调整合同价款</w:t>
      </w:r>
      <w:r>
        <w:rPr>
          <w:rFonts w:hint="eastAsia" w:ascii="宋体" w:hAnsi="宋体" w:eastAsia="宋体" w:cs="宋体"/>
          <w:color w:val="auto"/>
          <w:szCs w:val="21"/>
          <w:highlight w:val="none"/>
        </w:rPr>
        <w:t>：</w:t>
      </w:r>
    </w:p>
    <w:p w14:paraId="55B9F48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375498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价款调整的方法</w:t>
      </w:r>
    </w:p>
    <w:p w14:paraId="78E42EB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3906FC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② </w:t>
      </w:r>
      <w:r>
        <w:rPr>
          <w:rFonts w:hint="eastAsia" w:ascii="宋体" w:hAnsi="宋体" w:eastAsia="宋体" w:cs="宋体"/>
          <w:color w:val="auto"/>
          <w:szCs w:val="21"/>
          <w:highlight w:val="none"/>
          <w:u w:val="single"/>
        </w:rPr>
        <w:t>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28天时工程造价管理机构发布的人工、材料、工程设备和施工设备、机械台班信息价格差值计取</w:t>
      </w:r>
      <w:r>
        <w:rPr>
          <w:rFonts w:hint="eastAsia" w:ascii="宋体" w:hAnsi="宋体" w:eastAsia="宋体" w:cs="宋体"/>
          <w:color w:val="auto"/>
          <w:szCs w:val="21"/>
          <w:highlight w:val="none"/>
        </w:rPr>
        <w:t>。</w:t>
      </w:r>
    </w:p>
    <w:p w14:paraId="4287F7B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③价款调整以月为单位计算，结算时一次性调整，如施工期间需调整价款的，经发包人、承包人协商一致后可签订价差补充协议，作为追加（减）合同价款和支付工程进度款的依据。</w:t>
      </w:r>
    </w:p>
    <w:p w14:paraId="481464D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④ </w:t>
      </w:r>
      <w:r>
        <w:rPr>
          <w:rFonts w:hint="eastAsia" w:ascii="宋体" w:hAnsi="宋体" w:eastAsia="宋体" w:cs="宋体"/>
          <w:color w:val="auto"/>
          <w:szCs w:val="21"/>
          <w:highlight w:val="none"/>
          <w:u w:val="single"/>
        </w:rPr>
        <w:t>各调价材料、设备的信息价格按广州市建设工程造价管理部门发布的当月 “综合价格”计取，综合价格中没有的材料、设备单价，价差不予调整。</w:t>
      </w:r>
    </w:p>
    <w:p w14:paraId="29069D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由于承包人原因导致工期延误的，所延误时段内物价上涨的风险全部由承包人承担，不予调整；如物价下跌，则仍按第（2）款约定计算及扣回相应价款</w:t>
      </w:r>
      <w:r>
        <w:rPr>
          <w:rFonts w:hint="eastAsia" w:ascii="宋体" w:hAnsi="宋体" w:eastAsia="宋体" w:cs="宋体"/>
          <w:color w:val="auto"/>
          <w:szCs w:val="21"/>
          <w:highlight w:val="none"/>
        </w:rPr>
        <w:t>。</w:t>
      </w:r>
    </w:p>
    <w:p w14:paraId="62565196">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24</w:t>
      </w:r>
      <w:r>
        <w:rPr>
          <w:rFonts w:hint="eastAsia" w:ascii="宋体" w:hAnsi="宋体" w:eastAsia="宋体" w:cs="宋体"/>
          <w:b/>
          <w:color w:val="auto"/>
          <w:szCs w:val="21"/>
          <w:highlight w:val="none"/>
        </w:rPr>
        <w:t>、工程预付款及工人工资</w:t>
      </w:r>
    </w:p>
    <w:p w14:paraId="3F3386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24.1工程预付款</w:t>
      </w:r>
    </w:p>
    <w:p w14:paraId="6D181FA6">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24.1.1发包人向承包人预付工程款的时间和金额或占合同价款总额的比例：合同生效、满足26.4款约定条件且财政拨款到位后，发包人预付合同价（扣除绿色施工安全防护措施费，若工程量清单中有暂定金(含暂列金和暂估价)则扣除暂定金(含暂列金和暂估价)部分）30%作为预付款，并将预付款扣除工人工资款后的金额支付至承包人按合同第一部分协议书中第九款相关约定开设的共管银行账户。</w:t>
      </w:r>
    </w:p>
    <w:p w14:paraId="1447492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预付款中的工人工资款（即预付款×工人工资比例）需支付至工人工资专用账户。</w:t>
      </w:r>
    </w:p>
    <w:p w14:paraId="30EDECD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24.1.2承包人收取预付款后，应优先用于按有关规定缴纳工伤保险和办理建筑意外伤害险，专款专用。</w:t>
      </w:r>
    </w:p>
    <w:p w14:paraId="42EA09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24.1.3扣回预付款（不含工人工资款）的时间、比例：按本合同专用条款26条约定执行。</w:t>
      </w:r>
    </w:p>
    <w:p w14:paraId="53CEC5F8">
      <w:pPr>
        <w:tabs>
          <w:tab w:val="left" w:pos="2196"/>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24.2工人工资</w:t>
      </w:r>
      <w:r>
        <w:rPr>
          <w:rFonts w:hint="eastAsia" w:ascii="宋体" w:hAnsi="宋体" w:eastAsia="宋体" w:cs="宋体"/>
          <w:color w:val="auto"/>
          <w:szCs w:val="21"/>
          <w:highlight w:val="none"/>
        </w:rPr>
        <w:tab/>
      </w:r>
    </w:p>
    <w:p w14:paraId="3447C6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24.2.1承包人需按有关规定与商业银行另行签订广州市建设领域工人工资支付专用账户管理协议、开设专用账户并报发包人备案,工人工资支付至专用账户。</w:t>
      </w:r>
    </w:p>
    <w:p w14:paraId="706494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24.2.2工人工资进度款与工程进度款同步支付，其中每期需支付的工程进度款×工人工资比例为该期工人工资进度款，支付至工人工资专用账户。</w:t>
      </w:r>
    </w:p>
    <w:p w14:paraId="24B39D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w:t>
      </w:r>
      <w:r>
        <w:rPr>
          <w:rFonts w:hint="eastAsia" w:ascii="宋体" w:hAnsi="宋体" w:eastAsia="宋体" w:cs="宋体"/>
          <w:b/>
          <w:color w:val="auto"/>
          <w:szCs w:val="21"/>
          <w:highlight w:val="none"/>
        </w:rPr>
        <w:t>、工程量确认</w:t>
      </w:r>
    </w:p>
    <w:p w14:paraId="19C21BB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25.1承包人向工程师提交已完工程量报告的时间：</w:t>
      </w:r>
      <w:r>
        <w:rPr>
          <w:rFonts w:hint="eastAsia" w:ascii="宋体" w:hAnsi="宋体" w:eastAsia="宋体" w:cs="宋体"/>
          <w:color w:val="auto"/>
          <w:szCs w:val="21"/>
          <w:highlight w:val="none"/>
          <w:u w:val="single"/>
        </w:rPr>
        <w:t>自开工之日起每周及每月报告已完成工程状况</w:t>
      </w:r>
      <w:r>
        <w:rPr>
          <w:rFonts w:hint="eastAsia" w:ascii="宋体" w:hAnsi="宋体" w:eastAsia="宋体" w:cs="宋体"/>
          <w:color w:val="auto"/>
          <w:szCs w:val="21"/>
          <w:highlight w:val="none"/>
        </w:rPr>
        <w:t>。</w:t>
      </w:r>
    </w:p>
    <w:p w14:paraId="69D4BD7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25.2双方一致同意不适用通用条款25.2款，承包人完成工程量必须经发包人书面确认。</w:t>
      </w:r>
    </w:p>
    <w:p w14:paraId="2D0C09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b/>
          <w:color w:val="auto"/>
          <w:szCs w:val="21"/>
          <w:highlight w:val="none"/>
        </w:rPr>
        <w:t>工程款（进度款）支付</w:t>
      </w:r>
    </w:p>
    <w:p w14:paraId="4C4442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26.1双方约定的工程款（进度款）支付采取如下的</w:t>
      </w:r>
      <w:r>
        <w:rPr>
          <w:rFonts w:hint="eastAsia" w:ascii="宋体" w:hAnsi="宋体" w:eastAsia="宋体" w:cs="宋体"/>
          <w:color w:val="auto"/>
          <w:szCs w:val="21"/>
          <w:highlight w:val="none"/>
          <w:u w:val="single"/>
        </w:rPr>
        <w:t xml:space="preserve">  26.1.2 </w:t>
      </w:r>
      <w:r>
        <w:rPr>
          <w:rFonts w:hint="eastAsia" w:ascii="宋体" w:hAnsi="宋体" w:eastAsia="宋体" w:cs="宋体"/>
          <w:color w:val="auto"/>
          <w:szCs w:val="21"/>
          <w:highlight w:val="none"/>
        </w:rPr>
        <w:t>方式进行：</w:t>
      </w:r>
    </w:p>
    <w:p w14:paraId="59686C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26.1.1按累计完成工作量百分率支付工程款（进度款）方式：</w:t>
      </w:r>
    </w:p>
    <w:p w14:paraId="2C081A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（1）当完成工作量达到60%时，支付工程进度款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%【累计付款至合同价款扣除绿色施工安全措施费、若有暂定金(含暂列金额和暂估价)扣除未计量部分暂定金(含暂列金额和暂估价)后的55%】；</w:t>
      </w:r>
    </w:p>
    <w:p w14:paraId="4A7D83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（2）工程完工，并通过初验后支付合同价款30%【累计付款(含绿色施工安全防护措施费）至合同价款若有暂定金(含暂列金额和暂估价)扣除未计量部分暂定金(含暂列金额和暂估价)后的85%】；</w:t>
      </w:r>
    </w:p>
    <w:p w14:paraId="03197A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（3）工程通过验收并经广州开发区财政局审定施工结算后支付工程款（含绿色施工安全防护措施费）至结算价的97%。工程结算价款额度的3%作为保修金，待缺陷责任期结束后结清（不计利息）。</w:t>
      </w:r>
    </w:p>
    <w:p w14:paraId="346529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556FFA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26.1.2按月度支付工程款（进度款）：</w:t>
      </w:r>
    </w:p>
    <w:p w14:paraId="054190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（1）承包人每月上报完成工程量报表，经监理审核及发包人确认后，发包人按经审定月度完成工程造价[不含绿色施工安全防护措施费及若有暂定金(含暂列金和暂估价)则不含未计量部分]的85%支付工程进度款。</w:t>
      </w:r>
    </w:p>
    <w:p w14:paraId="7A3173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从本工程发生的第一次进度款支付起，发包人每次按审定月度进度款的50%扣回预付款，直至预付款全部扣回完毕止。预付款扣回完毕后，发包人按审定月度完成工程造价（不含绿色施工安全防护措施费及若有暂定金(含暂列金和暂估价)则不含未计量部分）的85%支付工程进度款；工程完工，累计支付工程款[含绿色施工安全防护措施费]至合同价若有暂定金（含暂列金额及暂估价）则扣除未计量部分暂定金后的85%。</w:t>
      </w:r>
    </w:p>
    <w:p w14:paraId="65B80D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工程通过验收并经广州开发区财政局审定施工结算后支付工程款（含绿色施工安全防护措施费）至结算价的97%。工程结算价款额度的3%作为保修金，待缺陷责任期期结束后结清（不计利息）。</w:t>
      </w:r>
    </w:p>
    <w:p w14:paraId="5435E3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69CB852D">
      <w:pPr>
        <w:spacing w:line="360" w:lineRule="auto"/>
        <w:ind w:right="1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26.2所有因变更、签证及价格调整等原因所调整增加的工程价款均应由承包人按广州开发区、黄埔区及发包人相关规定程序，报监理初审，并经发包人审批同意后，按审定金额另行签订补充协议支付，或在工程结算中一并支付。</w:t>
      </w:r>
    </w:p>
    <w:p w14:paraId="71BDED4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26.4工程价款的支付条件：</w:t>
      </w:r>
    </w:p>
    <w:p w14:paraId="20092F2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（1）支付预付款：</w:t>
      </w:r>
      <w:r>
        <w:rPr>
          <w:rFonts w:hint="eastAsia" w:ascii="宋体" w:hAnsi="宋体" w:eastAsia="宋体" w:cs="宋体"/>
          <w:color w:val="auto"/>
          <w:szCs w:val="21"/>
          <w:highlight w:val="none"/>
          <w:u w:val="single"/>
        </w:rPr>
        <w:t>承包人已与发包人签订工程施工合同，承包人承诺的项目管理人员、机械设备到位，工程具备开工条件，已生效的履约担保已按发包人要求准时提交发包人，且财政拨款已到位。</w:t>
      </w:r>
    </w:p>
    <w:p w14:paraId="364D95A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（2）支付工程款（进度款）：</w:t>
      </w:r>
      <w:r>
        <w:rPr>
          <w:rFonts w:hint="eastAsia" w:ascii="宋体" w:hAnsi="宋体" w:eastAsia="宋体" w:cs="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eastAsia="宋体" w:cs="宋体"/>
          <w:color w:val="auto"/>
          <w:szCs w:val="21"/>
          <w:highlight w:val="none"/>
        </w:rPr>
        <w:t>。</w:t>
      </w:r>
    </w:p>
    <w:p w14:paraId="7092F2C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26.5绿色施工安全防护措施费支付的支付条件：</w:t>
      </w:r>
    </w:p>
    <w:p w14:paraId="59DCE52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绿色施工安全防护措施费按在工程投标最高报价中的绿色施工安全防护措施费用计取，专款专用，并从本施工合同价款中提取（绿色施工安全防护措施费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绿色施工安全防护措施费：</w:t>
      </w:r>
    </w:p>
    <w:p w14:paraId="2DCDAA6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1、工程项目开工日一个月内，由承包人主动向发包人提出申请，预付绿色施工安全防护措施费的50%。</w:t>
      </w:r>
    </w:p>
    <w:p w14:paraId="6AB3757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2、承包人进场完成工地围墙、大门、办公用房或临舍、消防设施、临时设施、洗车槽、水枪、场内道路硬化、绿化、钢筋堆放点及加工场、垃圾收集点等部位的建设或布置，且房建工程完成主体结构封顶、市政工程完成路基工作、其它工程完成合同约定工程量的60%，《检查记录表》评定等级为合格或以上且财政拨款到位后，支付绿色施工安全防护措施费的40%。</w:t>
      </w:r>
    </w:p>
    <w:p w14:paraId="4E0E9BE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3、工程完工，《建设工程施工安全评价书》评定等级为合格或以上且财政拨款到位后，支付相应绿色施工安全防护措施费的10%。</w:t>
      </w:r>
    </w:p>
    <w:p w14:paraId="5768296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如存在特殊情况的，绿色施工安全防护措施费具体支付方式及条件以《广州开发区财政投资建设项目管理中心建设项目绿色施工安全防护措施费支付管理实施细则（2024年修订）》（穗开建管〔2024〕47号）为准。</w:t>
      </w:r>
    </w:p>
    <w:p w14:paraId="05C1D98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7ADC444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七、材料设备供应</w:t>
      </w:r>
    </w:p>
    <w:p w14:paraId="68AF63D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27、发包人供应材料设备</w:t>
      </w:r>
    </w:p>
    <w:p w14:paraId="7847CE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27.4发包人供应的材料设备与一览表不符时，双方约定发包人承担责任如下：</w:t>
      </w:r>
    </w:p>
    <w:p w14:paraId="0EAB4B0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（1）材料设备单价与一览表不符：</w:t>
      </w:r>
      <w:r>
        <w:rPr>
          <w:rFonts w:hint="eastAsia" w:ascii="宋体" w:hAnsi="宋体" w:eastAsia="宋体" w:cs="宋体"/>
          <w:color w:val="auto"/>
          <w:szCs w:val="21"/>
          <w:highlight w:val="none"/>
          <w:u w:val="single"/>
        </w:rPr>
        <mc:AlternateContent>
          <mc:Choice Requires="wps">
            <w:drawing>
              <wp:anchor distT="0" distB="0" distL="114300" distR="114300" simplePos="0" relativeHeight="251663360"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43" name="直接连接符 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0pt;margin-top:0pt;height:0pt;width:0.05pt;z-index:251663360;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zl&#10;5BDTAAAABQEAAA8AAAAAAAAAAQAgAAAAIgAAAGRycy9kb3ducmV2LnhtbFBLAQIUABQAAAAIAIdO&#10;4kB12twa7wEAAOQDAAAOAAAAAAAAAAEAIAAAACI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3A5A6B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（2）材料设备的品种、规格、型号、质量等级与一览表不符：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61CE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（3）承包人可代为调剂更换的材料：</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EE91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（4）到货地点与一览表不符：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7DB33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（5）供应数量与一览表不符：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0ACA9FC">
      <w:pPr>
        <w:tabs>
          <w:tab w:val="left" w:pos="70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（6）到货时间与一览表不符；</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CFECB81">
      <w:pPr>
        <w:tabs>
          <w:tab w:val="left" w:pos="70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27.6发包人供应材料设备的结算方法：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577F4C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28、承包人采购材料设备</w:t>
      </w:r>
    </w:p>
    <w:p w14:paraId="025C01B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28.1承包人采购材料设备的约定：</w:t>
      </w:r>
      <w:r>
        <w:rPr>
          <w:rFonts w:hint="eastAsia" w:ascii="宋体" w:hAnsi="宋体" w:eastAsia="宋体" w:cs="宋体"/>
          <w:color w:val="auto"/>
          <w:szCs w:val="21"/>
          <w:highlight w:val="none"/>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14:paraId="08A5600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373E08F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28.3所有材料、设备必须报监理、业主同意后方可使用。</w:t>
      </w:r>
    </w:p>
    <w:p w14:paraId="06DCBC9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八、工程变更</w:t>
      </w:r>
    </w:p>
    <w:p w14:paraId="5018F4C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29、工程设计变更</w:t>
      </w:r>
    </w:p>
    <w:p w14:paraId="39F0E6A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29.4</w:t>
      </w:r>
      <w:r>
        <w:rPr>
          <w:rFonts w:hint="eastAsia" w:ascii="宋体" w:hAnsi="宋体" w:eastAsia="宋体" w:cs="宋体"/>
          <w:color w:val="auto"/>
          <w:szCs w:val="21"/>
          <w:highlight w:val="none"/>
          <w:u w:val="single"/>
        </w:rPr>
        <w:t>开工前，发包人组织承包人、监理单位、设计单位对施工图纸进行会审。如需实施工程变更签证，承包人需在实施相应变更签证2个月前向发包人提出（确属不可预见因素除外）。否则工程实施过程中每实施一项变更签证，承包人须按该变更签证工程价款的3%向发包人支付违约金，引起的工期延误不予顺延。（注：涂色部分为3000万以上项目适用，3000万以下项目请删除）</w:t>
      </w:r>
    </w:p>
    <w:p w14:paraId="1B29842B">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hint="eastAsia" w:ascii="宋体" w:hAnsi="宋体" w:eastAsia="宋体" w:cs="宋体"/>
          <w:color w:val="auto"/>
          <w:szCs w:val="21"/>
          <w:highlight w:val="none"/>
        </w:rPr>
        <w:t>。</w:t>
      </w:r>
    </w:p>
    <w:p w14:paraId="201DBE8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29.5</w:t>
      </w:r>
      <w:r>
        <w:rPr>
          <w:rFonts w:hint="eastAsia" w:ascii="宋体" w:hAnsi="宋体" w:eastAsia="宋体" w:cs="宋体"/>
          <w:color w:val="auto"/>
          <w:szCs w:val="21"/>
          <w:highlight w:val="none"/>
          <w:u w:val="single"/>
        </w:rPr>
        <w:t>变更应由监理工程师发出变更指令，没有监理工程师的指令，承包人不得进行上述变更</w:t>
      </w:r>
      <w:r>
        <w:rPr>
          <w:rFonts w:hint="eastAsia" w:ascii="宋体" w:hAnsi="宋体" w:eastAsia="宋体" w:cs="宋体"/>
          <w:color w:val="auto"/>
          <w:szCs w:val="21"/>
          <w:highlight w:val="none"/>
        </w:rPr>
        <w:t>。</w:t>
      </w:r>
    </w:p>
    <w:p w14:paraId="7AB9005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29.6</w:t>
      </w:r>
      <w:r>
        <w:rPr>
          <w:rFonts w:hint="eastAsia" w:ascii="宋体" w:hAnsi="宋体" w:eastAsia="宋体" w:cs="宋体"/>
          <w:color w:val="auto"/>
          <w:szCs w:val="21"/>
          <w:highlight w:val="none"/>
          <w:u w:val="single"/>
        </w:rPr>
        <w:t>按施工图纸实施使得工程量少于施工合同工程量清单中已确定或有规定的数量的，则该项工程量减少不需要任何指令</w:t>
      </w:r>
      <w:r>
        <w:rPr>
          <w:rFonts w:hint="eastAsia" w:ascii="宋体" w:hAnsi="宋体" w:eastAsia="宋体" w:cs="宋体"/>
          <w:color w:val="auto"/>
          <w:szCs w:val="21"/>
          <w:highlight w:val="none"/>
        </w:rPr>
        <w:t>。</w:t>
      </w:r>
    </w:p>
    <w:p w14:paraId="3B8BB71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29.7</w:t>
      </w:r>
      <w:r>
        <w:rPr>
          <w:rFonts w:hint="eastAsia" w:ascii="宋体" w:hAnsi="宋体" w:eastAsia="宋体" w:cs="宋体"/>
          <w:color w:val="auto"/>
          <w:szCs w:val="21"/>
          <w:highlight w:val="none"/>
          <w:u w:val="single"/>
        </w:rPr>
        <w:t>所有涉及工期和工程量的变更均应获得发包人书面批准才能生效</w:t>
      </w:r>
      <w:r>
        <w:rPr>
          <w:rFonts w:hint="eastAsia" w:ascii="宋体" w:hAnsi="宋体" w:eastAsia="宋体" w:cs="宋体"/>
          <w:color w:val="auto"/>
          <w:szCs w:val="21"/>
          <w:highlight w:val="none"/>
        </w:rPr>
        <w:t>。</w:t>
      </w:r>
    </w:p>
    <w:p w14:paraId="05A4B06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29.8</w:t>
      </w:r>
      <w:r>
        <w:rPr>
          <w:rFonts w:hint="eastAsia" w:ascii="宋体" w:hAnsi="宋体" w:eastAsia="宋体" w:cs="宋体"/>
          <w:color w:val="auto"/>
          <w:szCs w:val="21"/>
          <w:highlight w:val="none"/>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eastAsia="宋体" w:cs="宋体"/>
          <w:color w:val="auto"/>
          <w:szCs w:val="21"/>
          <w:highlight w:val="none"/>
        </w:rPr>
        <w:t>。</w:t>
      </w:r>
    </w:p>
    <w:p w14:paraId="3E83857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29.9</w:t>
      </w:r>
      <w:r>
        <w:rPr>
          <w:rFonts w:hint="eastAsia" w:ascii="宋体" w:hAnsi="宋体" w:eastAsia="宋体" w:cs="宋体"/>
          <w:color w:val="auto"/>
          <w:szCs w:val="21"/>
          <w:highlight w:val="none"/>
          <w:u w:val="single"/>
        </w:rPr>
        <w:t>工程变更申报程序按广州开发区、黄埔区以及建设业主的有关规定执行</w:t>
      </w:r>
      <w:r>
        <w:rPr>
          <w:rFonts w:hint="eastAsia" w:ascii="宋体" w:hAnsi="宋体" w:eastAsia="宋体" w:cs="宋体"/>
          <w:color w:val="auto"/>
          <w:szCs w:val="21"/>
          <w:highlight w:val="none"/>
        </w:rPr>
        <w:t>。</w:t>
      </w:r>
    </w:p>
    <w:p w14:paraId="56D361C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29.10</w:t>
      </w:r>
      <w:r>
        <w:rPr>
          <w:rFonts w:hint="eastAsia" w:ascii="宋体" w:hAnsi="宋体" w:eastAsia="宋体" w:cs="宋体"/>
          <w:color w:val="auto"/>
          <w:szCs w:val="21"/>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eastAsia="宋体" w:cs="宋体"/>
          <w:color w:val="auto"/>
          <w:szCs w:val="21"/>
          <w:highlight w:val="none"/>
        </w:rPr>
        <w:t>。</w:t>
      </w:r>
    </w:p>
    <w:p w14:paraId="4EEAF2C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30、其它变更</w:t>
      </w:r>
    </w:p>
    <w:p w14:paraId="3D472E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30.1工程现场签证：</w:t>
      </w:r>
      <w:r>
        <w:rPr>
          <w:rFonts w:hint="eastAsia" w:ascii="宋体" w:hAnsi="宋体" w:eastAsia="宋体" w:cs="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eastAsia="宋体" w:cs="宋体"/>
          <w:color w:val="auto"/>
          <w:szCs w:val="21"/>
          <w:highlight w:val="none"/>
        </w:rPr>
        <w:t>。</w:t>
      </w:r>
    </w:p>
    <w:p w14:paraId="335A41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2024年）》（穗开建管〔2024〕54号）（文件有更新的按最新文件要求）规定要求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022924E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30.2签证的计价：</w:t>
      </w:r>
      <w:r>
        <w:rPr>
          <w:rFonts w:hint="eastAsia" w:ascii="宋体" w:hAnsi="宋体" w:eastAsia="宋体" w:cs="宋体"/>
          <w:color w:val="auto"/>
          <w:szCs w:val="21"/>
          <w:highlight w:val="none"/>
          <w:u w:val="single"/>
        </w:rPr>
        <w:t>按招标文件及合同中关于工程变更的计价有关规定执行</w:t>
      </w:r>
      <w:r>
        <w:rPr>
          <w:rFonts w:hint="eastAsia" w:ascii="宋体" w:hAnsi="宋体" w:eastAsia="宋体" w:cs="宋体"/>
          <w:color w:val="auto"/>
          <w:szCs w:val="21"/>
          <w:highlight w:val="none"/>
        </w:rPr>
        <w:t>。</w:t>
      </w:r>
    </w:p>
    <w:p w14:paraId="29AC45F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30.3签证实施前所需的施工方案：</w:t>
      </w:r>
      <w:r>
        <w:rPr>
          <w:rFonts w:hint="eastAsia" w:ascii="宋体" w:hAnsi="宋体" w:eastAsia="宋体" w:cs="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eastAsia="宋体" w:cs="宋体"/>
          <w:color w:val="auto"/>
          <w:szCs w:val="21"/>
          <w:highlight w:val="none"/>
        </w:rPr>
        <w:t>。</w:t>
      </w:r>
    </w:p>
    <w:p w14:paraId="6ABC8F8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30.4</w:t>
      </w:r>
      <w:r>
        <w:rPr>
          <w:rFonts w:hint="eastAsia" w:ascii="宋体" w:hAnsi="宋体" w:eastAsia="宋体" w:cs="宋体"/>
          <w:color w:val="auto"/>
          <w:szCs w:val="21"/>
          <w:highlight w:val="none"/>
          <w:u w:val="single"/>
        </w:rPr>
        <w:t>工程现场签证申报程序按广州开发区、黄埔区以及建设业主的有关规定执行</w:t>
      </w:r>
      <w:r>
        <w:rPr>
          <w:rFonts w:hint="eastAsia" w:ascii="宋体" w:hAnsi="宋体" w:eastAsia="宋体" w:cs="宋体"/>
          <w:color w:val="auto"/>
          <w:szCs w:val="21"/>
          <w:highlight w:val="none"/>
        </w:rPr>
        <w:t>。</w:t>
      </w:r>
    </w:p>
    <w:p w14:paraId="707C338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31、确定变更价款</w:t>
      </w:r>
    </w:p>
    <w:p w14:paraId="4BEDB29B">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31.1</w:t>
      </w:r>
      <w:r>
        <w:rPr>
          <w:rFonts w:hint="eastAsia" w:ascii="宋体" w:hAnsi="宋体" w:eastAsia="宋体" w:cs="宋体"/>
          <w:color w:val="auto"/>
          <w:szCs w:val="21"/>
          <w:highlight w:val="none"/>
          <w:u w:val="single"/>
        </w:rPr>
        <w:t>承包人在工程变更确定后14天内，提出变更工程价款的报告，经工程师确认后调整合同价款。变更合同价款确定原则按本合同相关约定执行</w:t>
      </w:r>
      <w:r>
        <w:rPr>
          <w:rFonts w:hint="eastAsia" w:ascii="宋体" w:hAnsi="宋体" w:eastAsia="宋体" w:cs="宋体"/>
          <w:color w:val="auto"/>
          <w:szCs w:val="21"/>
          <w:highlight w:val="none"/>
        </w:rPr>
        <w:t>。</w:t>
      </w:r>
    </w:p>
    <w:p w14:paraId="38CCDD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31.3</w:t>
      </w:r>
      <w:r>
        <w:rPr>
          <w:rFonts w:hint="eastAsia" w:ascii="宋体" w:hAnsi="宋体" w:eastAsia="宋体" w:cs="宋体"/>
          <w:color w:val="auto"/>
          <w:szCs w:val="21"/>
          <w:highlight w:val="none"/>
          <w:u w:val="single"/>
        </w:rPr>
        <w:t>所有变更工程价款的报告必须按规定程序报发包人审核确认</w:t>
      </w:r>
      <w:r>
        <w:rPr>
          <w:rFonts w:hint="eastAsia" w:ascii="宋体" w:hAnsi="宋体" w:eastAsia="宋体" w:cs="宋体"/>
          <w:color w:val="auto"/>
          <w:szCs w:val="21"/>
          <w:highlight w:val="none"/>
        </w:rPr>
        <w:t>。</w:t>
      </w:r>
    </w:p>
    <w:p w14:paraId="446D71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31.5</w:t>
      </w:r>
      <w:r>
        <w:rPr>
          <w:rFonts w:hint="eastAsia" w:ascii="宋体" w:hAnsi="宋体" w:eastAsia="宋体" w:cs="宋体"/>
          <w:color w:val="auto"/>
          <w:szCs w:val="21"/>
          <w:highlight w:val="none"/>
          <w:u w:val="single"/>
        </w:rPr>
        <w:t>工程变更价款的支付按本合同相关约定支付</w:t>
      </w:r>
      <w:r>
        <w:rPr>
          <w:rFonts w:hint="eastAsia" w:ascii="宋体" w:hAnsi="宋体" w:eastAsia="宋体" w:cs="宋体"/>
          <w:color w:val="auto"/>
          <w:szCs w:val="21"/>
          <w:highlight w:val="none"/>
        </w:rPr>
        <w:t>。</w:t>
      </w:r>
    </w:p>
    <w:p w14:paraId="149A94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31.7</w:t>
      </w:r>
      <w:r>
        <w:rPr>
          <w:rFonts w:hint="eastAsia" w:ascii="宋体" w:hAnsi="宋体" w:eastAsia="宋体" w:cs="宋体"/>
          <w:color w:val="auto"/>
          <w:szCs w:val="21"/>
          <w:highlight w:val="none"/>
          <w:u w:val="single"/>
        </w:rPr>
        <w:t>发生上述规定的变更后，承包人在收到发包人变更通知的7天内按合同文件规定的计价方式内容编出变更工程建议送交监理单位</w:t>
      </w:r>
      <w:r>
        <w:rPr>
          <w:rFonts w:hint="eastAsia" w:ascii="宋体" w:hAnsi="宋体" w:eastAsia="宋体" w:cs="宋体"/>
          <w:color w:val="auto"/>
          <w:szCs w:val="21"/>
          <w:highlight w:val="none"/>
        </w:rPr>
        <w:t>。</w:t>
      </w:r>
    </w:p>
    <w:p w14:paraId="6ED7902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31.8</w:t>
      </w:r>
      <w:r>
        <w:rPr>
          <w:rFonts w:hint="eastAsia" w:ascii="宋体" w:hAnsi="宋体" w:eastAsia="宋体" w:cs="宋体"/>
          <w:color w:val="auto"/>
          <w:szCs w:val="21"/>
          <w:highlight w:val="none"/>
          <w:u w:val="single"/>
        </w:rPr>
        <w:t>在工程变更价款计算时，承包人应按招标文件相关规定编制变更工程的预算，提供变更依据及详细的计算资料，报监理单位和发包人批准</w:t>
      </w:r>
      <w:r>
        <w:rPr>
          <w:rFonts w:hint="eastAsia" w:ascii="宋体" w:hAnsi="宋体" w:eastAsia="宋体" w:cs="宋体"/>
          <w:color w:val="auto"/>
          <w:szCs w:val="21"/>
          <w:highlight w:val="none"/>
        </w:rPr>
        <w:t>。</w:t>
      </w:r>
    </w:p>
    <w:p w14:paraId="28FE918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31.9</w:t>
      </w:r>
      <w:r>
        <w:rPr>
          <w:rFonts w:hint="eastAsia" w:ascii="宋体" w:hAnsi="宋体" w:eastAsia="宋体" w:cs="宋体"/>
          <w:color w:val="auto"/>
          <w:szCs w:val="21"/>
          <w:highlight w:val="none"/>
          <w:u w:val="single"/>
        </w:rPr>
        <w:t>工程变更、签证申报程序按广州开发区、黄埔区以及建设业主的有关规定执行</w:t>
      </w:r>
      <w:r>
        <w:rPr>
          <w:rFonts w:hint="eastAsia" w:ascii="宋体" w:hAnsi="宋体" w:eastAsia="宋体" w:cs="宋体"/>
          <w:color w:val="auto"/>
          <w:szCs w:val="21"/>
          <w:highlight w:val="none"/>
        </w:rPr>
        <w:t>。</w:t>
      </w:r>
    </w:p>
    <w:p w14:paraId="7BF4A78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九、竣工验收与结算</w:t>
      </w:r>
    </w:p>
    <w:p w14:paraId="35E6E96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32、竣工验收</w:t>
      </w:r>
    </w:p>
    <w:p w14:paraId="0EA923B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32.1承包人提供竣工图纸的约定：</w:t>
      </w:r>
      <w:r>
        <w:rPr>
          <w:rFonts w:hint="eastAsia" w:ascii="宋体" w:hAnsi="宋体" w:eastAsia="宋体" w:cs="宋体"/>
          <w:color w:val="auto"/>
          <w:szCs w:val="21"/>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eastAsia="宋体" w:cs="宋体"/>
          <w:color w:val="auto"/>
          <w:szCs w:val="21"/>
          <w:highlight w:val="none"/>
        </w:rPr>
        <w:t>。</w:t>
      </w:r>
    </w:p>
    <w:p w14:paraId="53251B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32.6中间交工工程的范围和竣工时间：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2E9021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33、竣工结算</w:t>
      </w:r>
    </w:p>
    <w:p w14:paraId="55AA3D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（1）承发包双方一致同意不适用通用条款33.2款、33.3款、33.4款。</w:t>
      </w:r>
    </w:p>
    <w:p w14:paraId="543B48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竣工结算办法：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如遇审计部门审计发现本合同结算价款存在超付的情形，发包人有权据实要求承包人返还该部分款项。</w:t>
      </w:r>
    </w:p>
    <w:p w14:paraId="3E8CA2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（3）竣工结算提交时间：承包人须按《广州开发区财政投资建设项目管理中心施工类合同结算编审指引（2024年修订稿）》（穗开建管【2024】65号）及区有关规定编制及办理建设项目工程结算。</w:t>
      </w:r>
    </w:p>
    <w:p w14:paraId="6A80EC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00041E7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（4）承包人应实事求是报审项目投资，编制项目竣工结算报告，如提交的施工合同结算，经财政评审后核减率超过10%的，超出部分产生的中介评审费用由承包人负担，在结算审核中予以扣除。</w:t>
      </w:r>
    </w:p>
    <w:p w14:paraId="6EA45D8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十、违约、索赔和争议</w:t>
      </w:r>
    </w:p>
    <w:p w14:paraId="3CF5955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35、违约</w:t>
      </w:r>
    </w:p>
    <w:p w14:paraId="736273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35.1本合同中关于发包人违约的具体责任如下：</w:t>
      </w:r>
    </w:p>
    <w:p w14:paraId="6DF2215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本合同通用条款第35.1条约定发包人违约应承担的责任：</w:t>
      </w:r>
      <w:r>
        <w:rPr>
          <w:rFonts w:hint="eastAsia" w:ascii="宋体" w:hAnsi="宋体" w:eastAsia="宋体" w:cs="宋体"/>
          <w:color w:val="auto"/>
          <w:szCs w:val="21"/>
          <w:highlight w:val="none"/>
          <w:u w:val="single"/>
        </w:rPr>
        <w:t>顺延工期，但不作费用赔偿</w:t>
      </w:r>
      <w:r>
        <w:rPr>
          <w:rFonts w:hint="eastAsia" w:ascii="宋体" w:hAnsi="宋体" w:eastAsia="宋体" w:cs="宋体"/>
          <w:color w:val="auto"/>
          <w:szCs w:val="21"/>
          <w:highlight w:val="none"/>
        </w:rPr>
        <w:t>。</w:t>
      </w:r>
    </w:p>
    <w:p w14:paraId="6ACD8CA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双方约定的发包人其他违约责任：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FE2B2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35.2本合同中关于承包人违约的具体责任如下：</w:t>
      </w:r>
    </w:p>
    <w:p w14:paraId="50D4C7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35.2.1工期延误的违约责任：</w:t>
      </w:r>
    </w:p>
    <w:p w14:paraId="1FB5A0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承包人未按发包人或监理单位开工令要求时间开工的，每迟延开工1天，应向发包人支付违约金5000元；迟延开工超过20天的，发包人有权根据实际情况单方面解除合同</w:t>
      </w:r>
      <w:r>
        <w:rPr>
          <w:rFonts w:hint="eastAsia" w:ascii="宋体" w:hAnsi="宋体" w:eastAsia="宋体" w:cs="宋体"/>
          <w:color w:val="auto"/>
          <w:szCs w:val="21"/>
          <w:highlight w:val="none"/>
        </w:rPr>
        <w:t>。</w:t>
      </w:r>
    </w:p>
    <w:p w14:paraId="7D9759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延误工期超过20天的，发包人可视情况终止合同。</w:t>
      </w:r>
    </w:p>
    <w:p w14:paraId="37BD76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hint="eastAsia" w:ascii="宋体" w:hAnsi="宋体" w:eastAsia="宋体" w:cs="宋体"/>
          <w:color w:val="auto"/>
          <w:szCs w:val="21"/>
          <w:highlight w:val="none"/>
        </w:rPr>
        <w:t>。</w:t>
      </w:r>
    </w:p>
    <w:p w14:paraId="1A28F0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承包人承担的进度严重违约责任为：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eastAsia="宋体" w:cs="宋体"/>
          <w:color w:val="auto"/>
          <w:szCs w:val="21"/>
          <w:highlight w:val="none"/>
        </w:rPr>
        <w:t>。</w:t>
      </w:r>
    </w:p>
    <w:p w14:paraId="320546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r>
        <w:rPr>
          <w:rFonts w:hint="eastAsia" w:ascii="宋体" w:hAnsi="宋体" w:eastAsia="宋体" w:cs="宋体"/>
          <w:color w:val="auto"/>
          <w:szCs w:val="21"/>
          <w:highlight w:val="none"/>
        </w:rPr>
        <w:t>。</w:t>
      </w:r>
    </w:p>
    <w:p w14:paraId="79D5A90B">
      <w:pPr>
        <w:spacing w:line="360" w:lineRule="auto"/>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w:t>
      </w:r>
      <w:r>
        <w:rPr>
          <w:rFonts w:hint="eastAsia" w:ascii="宋体" w:hAnsi="宋体" w:eastAsia="宋体" w:cs="宋体"/>
          <w:snapToGrid w:val="0"/>
          <w:color w:val="auto"/>
          <w:kern w:val="0"/>
          <w:szCs w:val="21"/>
          <w:highlight w:val="none"/>
          <w:u w:val="single"/>
        </w:rPr>
        <w:t>承包人违反合同专用条款的约定和发包人的规定，逾期完成竣工档案的整理、移交、送审备案工作的，每逾期1天，承包人支付违约金5000元</w:t>
      </w:r>
      <w:r>
        <w:rPr>
          <w:rFonts w:hint="eastAsia" w:ascii="宋体" w:hAnsi="宋体" w:eastAsia="宋体" w:cs="宋体"/>
          <w:snapToGrid w:val="0"/>
          <w:color w:val="auto"/>
          <w:kern w:val="0"/>
          <w:szCs w:val="21"/>
          <w:highlight w:val="none"/>
        </w:rPr>
        <w:t>。</w:t>
      </w:r>
    </w:p>
    <w:p w14:paraId="25B904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35.2.2安全、文明施工要求及违约处理：</w:t>
      </w:r>
    </w:p>
    <w:p w14:paraId="350403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承包人必须按本合同的约定编制施工组织设计（施工方案、危险性较大工程专项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危险性较大工程专项施工方案、包括安全文明施工措施）或不按照施工组织设计（施工方案、危险性较大工程专项施工方案、包括安全文明施工措施）施工，则发包人将扣减更改部分的造价（该造价按广东省相关综合定额和取费标准计算，不下浮）；同时，每擅自更改一次，承包人需支付10000元人民币违约金给发包人</w:t>
      </w:r>
      <w:r>
        <w:rPr>
          <w:rFonts w:hint="eastAsia" w:ascii="宋体" w:hAnsi="宋体" w:eastAsia="宋体" w:cs="宋体"/>
          <w:color w:val="auto"/>
          <w:szCs w:val="21"/>
          <w:highlight w:val="none"/>
        </w:rPr>
        <w:t>。</w:t>
      </w:r>
    </w:p>
    <w:p w14:paraId="1EC82B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r>
        <w:rPr>
          <w:rFonts w:hint="eastAsia" w:ascii="宋体" w:hAnsi="宋体" w:eastAsia="宋体" w:cs="宋体"/>
          <w:color w:val="auto"/>
          <w:szCs w:val="21"/>
          <w:highlight w:val="none"/>
        </w:rPr>
        <w:t>。</w:t>
      </w:r>
    </w:p>
    <w:p w14:paraId="5E55A3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r>
        <w:rPr>
          <w:rFonts w:hint="eastAsia" w:ascii="宋体" w:hAnsi="宋体" w:eastAsia="宋体" w:cs="宋体"/>
          <w:color w:val="auto"/>
          <w:szCs w:val="21"/>
          <w:highlight w:val="none"/>
        </w:rPr>
        <w:t>。</w:t>
      </w:r>
    </w:p>
    <w:p w14:paraId="5F2E409A">
      <w:pPr>
        <w:spacing w:line="360" w:lineRule="auto"/>
        <w:ind w:firstLine="420" w:firstLineChars="200"/>
        <w:rPr>
          <w:rFonts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hint="eastAsia" w:ascii="宋体" w:hAnsi="宋体" w:eastAsia="宋体" w:cs="宋体"/>
          <w:color w:val="auto"/>
          <w:szCs w:val="21"/>
          <w:highlight w:val="none"/>
        </w:rPr>
        <w:t>。</w:t>
      </w:r>
    </w:p>
    <w:p w14:paraId="2F64FF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hint="eastAsia" w:ascii="宋体" w:hAnsi="宋体" w:eastAsia="宋体" w:cs="宋体"/>
          <w:color w:val="auto"/>
          <w:szCs w:val="21"/>
          <w:highlight w:val="none"/>
        </w:rPr>
        <w:t>。</w:t>
      </w:r>
    </w:p>
    <w:p w14:paraId="3694F2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经发包人或监理单位抽查发现承包人违反合同专用条款的约定，其技术管理人员或施工作业人员没有佩带平安卡的，承包人按每人次1000元的标准向发包人支付违约金并立即改正</w:t>
      </w:r>
      <w:r>
        <w:rPr>
          <w:rFonts w:hint="eastAsia" w:ascii="宋体" w:hAnsi="宋体" w:eastAsia="宋体" w:cs="宋体"/>
          <w:color w:val="auto"/>
          <w:szCs w:val="21"/>
          <w:highlight w:val="none"/>
        </w:rPr>
        <w:t>。</w:t>
      </w:r>
    </w:p>
    <w:p w14:paraId="580B05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35.2.3工程质量方面的违约责任：</w:t>
      </w:r>
    </w:p>
    <w:p w14:paraId="74746D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1）承包人必须保证用于本合同工程所有的材料设备的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eastAsia="宋体" w:cs="宋体"/>
          <w:color w:val="auto"/>
          <w:szCs w:val="21"/>
          <w:highlight w:val="none"/>
        </w:rPr>
        <w:t>。</w:t>
      </w:r>
    </w:p>
    <w:p w14:paraId="7D8E5EE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1BD8C9A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（3）对施工质量问题存在争议，应请国家认可的第三方机构出具检测报告，检测费用由责任方承担。</w:t>
      </w:r>
    </w:p>
    <w:p w14:paraId="0E97ED2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35.2.4关于第三方质量安全评估的违约责任：</w:t>
      </w:r>
    </w:p>
    <w:p w14:paraId="631BC60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14:paraId="70A598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35.2.5关于农民工工资支付的违约责任：</w:t>
      </w:r>
    </w:p>
    <w:p w14:paraId="0F96A7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承包人拖欠农民工工资（含代发的分包单位工人工资），被农民工投诉属实的，承包人必须在3天内发放拖欠的款项。若继续拖延被投诉2次及以上，经查实，承包人除应立即支付拖欠款项外，还应支付10000元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eastAsia="宋体" w:cs="宋体"/>
          <w:color w:val="auto"/>
          <w:szCs w:val="21"/>
          <w:highlight w:val="none"/>
        </w:rPr>
        <w:t>。</w:t>
      </w:r>
    </w:p>
    <w:p w14:paraId="59760D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35.2.6项目管理机构人员、机械设备、劳动力到位方面的违约责任：</w:t>
      </w:r>
    </w:p>
    <w:p w14:paraId="6104D55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eastAsia="宋体" w:cs="宋体"/>
          <w:color w:val="auto"/>
          <w:szCs w:val="21"/>
          <w:highlight w:val="none"/>
        </w:rPr>
        <w:t>。但征得</w:t>
      </w:r>
      <w:r>
        <w:rPr>
          <w:rFonts w:hint="eastAsia" w:ascii="宋体" w:hAnsi="宋体" w:eastAsia="宋体" w:cs="宋体"/>
          <w:color w:val="auto"/>
          <w:szCs w:val="21"/>
          <w:highlight w:val="none"/>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14:paraId="401D753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w:t>
      </w:r>
      <w:r>
        <w:rPr>
          <w:rFonts w:hint="eastAsia" w:ascii="宋体" w:hAnsi="宋体" w:eastAsia="宋体" w:cs="宋体"/>
          <w:color w:val="auto"/>
          <w:szCs w:val="21"/>
          <w:highlight w:val="none"/>
          <w:u w:val="single"/>
        </w:rPr>
        <w:t>如果承包人未按投标文件中的《拟投入本工程施工的主要机械设备配备表》投入机械设备，经监理工程师或发包人代表检查发现的，将书面告知限期整改，未在限期内完成整改的，每延期一天，承包人需支付10000元违约金给发包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且承包人应按照本合同相关约定投入相应比例的新能源工程车，否则发包人有权要求其限期整改，逾期不整改的，每缺少提供一台，承包人支付违约金20000元/台。</w:t>
      </w:r>
    </w:p>
    <w:p w14:paraId="175195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如果承包人未投标文件中的人力投入计划投入人力，经监理工程师和发包人代表检查发现的，每发现一次，承包人支付10000元违约金给发包人</w:t>
      </w:r>
      <w:r>
        <w:rPr>
          <w:rFonts w:hint="eastAsia" w:ascii="宋体" w:hAnsi="宋体" w:eastAsia="宋体" w:cs="宋体"/>
          <w:color w:val="auto"/>
          <w:szCs w:val="21"/>
          <w:highlight w:val="none"/>
        </w:rPr>
        <w:t>。</w:t>
      </w:r>
    </w:p>
    <w:p w14:paraId="60170E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r>
        <w:rPr>
          <w:rFonts w:hint="eastAsia" w:ascii="宋体" w:hAnsi="宋体" w:eastAsia="宋体" w:cs="宋体"/>
          <w:color w:val="auto"/>
          <w:szCs w:val="21"/>
          <w:highlight w:val="none"/>
        </w:rPr>
        <w:t>。</w:t>
      </w:r>
    </w:p>
    <w:p w14:paraId="3429BA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r>
        <w:rPr>
          <w:rFonts w:hint="eastAsia" w:ascii="宋体" w:hAnsi="宋体" w:eastAsia="宋体" w:cs="宋体"/>
          <w:color w:val="auto"/>
          <w:szCs w:val="21"/>
          <w:highlight w:val="none"/>
        </w:rPr>
        <w:t>。</w:t>
      </w:r>
    </w:p>
    <w:p w14:paraId="7B4F90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35.2.7工程转包违约责任：</w:t>
      </w:r>
    </w:p>
    <w:p w14:paraId="4D1EA83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14:paraId="135192E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在本工程中有转包、转让、出借资质证书或者以其他方式允许他人以本企业的名义承揽工程的，发包人将根据实际情况有权单方面解除合同或要求承包人按合同价的10%承担违约金。因此导致发包人损失超出违约金的部分，承包人应负责赔偿。</w:t>
      </w:r>
    </w:p>
    <w:p w14:paraId="2B86D3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35.2.8解除合同的违约责任：</w:t>
      </w:r>
    </w:p>
    <w:p w14:paraId="1FEF92A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3C07DC4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35.2.8.2不适用通用条款44.6条的约定。</w:t>
      </w:r>
    </w:p>
    <w:p w14:paraId="372DD0B6">
      <w:pPr>
        <w:tabs>
          <w:tab w:val="left" w:pos="828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35.2.9办理结算的违约责任：</w:t>
      </w:r>
    </w:p>
    <w:p w14:paraId="7FE460AD">
      <w:pPr>
        <w:tabs>
          <w:tab w:val="left" w:pos="8280"/>
        </w:tabs>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承包人不执行《广州开发区财政投资建设项目管理中心施工类合同结算编审指引（2024年修订稿）》(穗开建管(2024)65号)有关规定的，须按该指引有关规定承担违约责任</w:t>
      </w:r>
      <w:r>
        <w:rPr>
          <w:rFonts w:hint="eastAsia" w:ascii="宋体" w:hAnsi="宋体" w:eastAsia="宋体" w:cs="宋体"/>
          <w:color w:val="auto"/>
          <w:szCs w:val="21"/>
          <w:highlight w:val="none"/>
        </w:rPr>
        <w:t>。</w:t>
      </w:r>
    </w:p>
    <w:p w14:paraId="4EE5B4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35.2.10</w:t>
      </w:r>
      <w:r>
        <w:rPr>
          <w:rFonts w:hint="eastAsia" w:ascii="宋体" w:hAnsi="宋体" w:eastAsia="宋体" w:cs="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eastAsia="宋体" w:cs="宋体"/>
          <w:color w:val="auto"/>
          <w:szCs w:val="21"/>
          <w:highlight w:val="none"/>
        </w:rPr>
        <w:t>。</w:t>
      </w:r>
    </w:p>
    <w:p w14:paraId="6D00D40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35.2.11承包人违约责任的认定方式、送达程序及违约金的处理</w:t>
      </w:r>
    </w:p>
    <w:p w14:paraId="1F1C6A0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（1）认定方式：以发包人发出的通知、通报、会议纪要等书面文件确定的内容为准。</w:t>
      </w:r>
    </w:p>
    <w:p w14:paraId="05EC481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（2）送达程序：发包人以下列方式之一将书面违约处理决定送达承包人：</w:t>
      </w:r>
    </w:p>
    <w:p w14:paraId="494BA42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1）承包人现场管理机构工作人员签收。</w:t>
      </w:r>
    </w:p>
    <w:p w14:paraId="4DA8409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2）承包人其他工作人员签收。</w:t>
      </w:r>
    </w:p>
    <w:p w14:paraId="76C4EE8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3）发包人邮寄送达。</w:t>
      </w:r>
    </w:p>
    <w:p w14:paraId="7CE67D3B">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1110866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37、争议</w:t>
      </w:r>
    </w:p>
    <w:p w14:paraId="5CED55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37.1双方约定，在履行合同过程中产生争议时：</w:t>
      </w:r>
    </w:p>
    <w:p w14:paraId="13EFBE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（1）由双方协商解决；</w:t>
      </w:r>
    </w:p>
    <w:p w14:paraId="7F4F5D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（2）协商不成的，向</w:t>
      </w:r>
      <w:r>
        <w:rPr>
          <w:rFonts w:hint="eastAsia" w:ascii="宋体" w:hAnsi="宋体" w:eastAsia="宋体" w:cs="宋体"/>
          <w:color w:val="auto"/>
          <w:szCs w:val="21"/>
          <w:highlight w:val="none"/>
          <w:u w:val="single"/>
        </w:rPr>
        <w:t>工程所在地</w:t>
      </w:r>
      <w:r>
        <w:rPr>
          <w:rFonts w:hint="eastAsia" w:ascii="宋体" w:hAnsi="宋体" w:eastAsia="宋体" w:cs="宋体"/>
          <w:color w:val="auto"/>
          <w:szCs w:val="21"/>
          <w:highlight w:val="none"/>
        </w:rPr>
        <w:t>人民法院提起诉讼。</w:t>
      </w:r>
    </w:p>
    <w:p w14:paraId="05814F6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十一、其他</w:t>
      </w:r>
    </w:p>
    <w:p w14:paraId="48EE254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38、工程分包</w:t>
      </w:r>
    </w:p>
    <w:p w14:paraId="7D064E18">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4CF82980">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（2)承包人向一家或者多家小微施工企业分包的合同份额为合同总金额    %（其中：向       公司分包工程本合同金额占比为    %、向     公司分包工程本合同金额占比为     %）（按《分包意向协议书》执行）。经查实，该分包企业若不具备承接分包工作任务相应资质的（以上分包企业破产除外，待定），承包人需另行分包给具备承接分包工作任务资质的小微企业，分包给小微企业的总分包合同（含专业工程分包和劳务分包）金额占比不得低于《分包意向协议书》执行,且发包人予以承包人中标价的千分之五的处罚，并限制其一定期限内参与招标人后续项目投标（本条适用于承包人为大中型企业，且其投标出具《分包意向协议书》，并享受中小企业扶持政策，否则签订合同做删除）承包人需建立分包管理台账，定期报监理、发包人审核和检查。承包人需建立分包管理台账，定期报监理、发包人审核和检查。</w:t>
      </w:r>
    </w:p>
    <w:p w14:paraId="72702B75">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48F4F28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39、不可抗力</w:t>
      </w:r>
    </w:p>
    <w:p w14:paraId="732F54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39.1双方关于不可抗力的约定：按本合同通用条款执行，自然灾害的范围及其认定方式，按下述约定执行：</w:t>
      </w:r>
    </w:p>
    <w:p w14:paraId="05E0F7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eastAsia="宋体" w:cs="宋体"/>
          <w:color w:val="auto"/>
          <w:szCs w:val="21"/>
          <w:highlight w:val="none"/>
        </w:rPr>
        <w:t>。</w:t>
      </w:r>
    </w:p>
    <w:p w14:paraId="71121C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里氏5级（含本数）以上地震</w:t>
      </w:r>
      <w:r>
        <w:rPr>
          <w:rFonts w:hint="eastAsia" w:ascii="宋体" w:hAnsi="宋体" w:eastAsia="宋体" w:cs="宋体"/>
          <w:color w:val="auto"/>
          <w:szCs w:val="21"/>
          <w:highlight w:val="none"/>
        </w:rPr>
        <w:t>。</w:t>
      </w:r>
    </w:p>
    <w:p w14:paraId="1CB9D47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39.3双方关于不可抗力事件导致的费用承担</w:t>
      </w:r>
      <w:r>
        <w:rPr>
          <w:rFonts w:hint="eastAsia" w:ascii="宋体" w:hAnsi="宋体" w:eastAsia="宋体" w:cs="宋体"/>
          <w:color w:val="auto"/>
          <w:szCs w:val="21"/>
          <w:highlight w:val="none"/>
          <w:u w:val="single"/>
        </w:rPr>
        <w:t>按本专用条款12.3款约定</w:t>
      </w:r>
      <w:r>
        <w:rPr>
          <w:rFonts w:hint="eastAsia" w:ascii="宋体" w:hAnsi="宋体" w:eastAsia="宋体" w:cs="宋体"/>
          <w:color w:val="auto"/>
          <w:szCs w:val="21"/>
          <w:highlight w:val="none"/>
        </w:rPr>
        <w:t>执行。</w:t>
      </w:r>
    </w:p>
    <w:p w14:paraId="431F439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40、保险</w:t>
      </w:r>
    </w:p>
    <w:p w14:paraId="7CBD69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40.2承包人对其运至施工场地内用于工程的材料和待安装设备办理保险并支付保险费用。</w:t>
      </w:r>
    </w:p>
    <w:p w14:paraId="69401F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40.6本工程双方约定投保内容如下：</w:t>
      </w:r>
    </w:p>
    <w:p w14:paraId="093D88F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（1）发包人投保内容：</w:t>
      </w:r>
      <w:r>
        <w:rPr>
          <w:rFonts w:hint="eastAsia" w:ascii="宋体" w:hAnsi="宋体" w:eastAsia="宋体" w:cs="宋体"/>
          <w:color w:val="auto"/>
          <w:szCs w:val="21"/>
          <w:highlight w:val="none"/>
          <w:u w:val="single"/>
        </w:rPr>
        <w:t>按广州市建设项目劳动保险相关规定投保</w:t>
      </w:r>
      <w:r>
        <w:rPr>
          <w:rFonts w:hint="eastAsia" w:ascii="宋体" w:hAnsi="宋体" w:eastAsia="宋体" w:cs="宋体"/>
          <w:color w:val="auto"/>
          <w:szCs w:val="21"/>
          <w:highlight w:val="none"/>
        </w:rPr>
        <w:t>。</w:t>
      </w:r>
    </w:p>
    <w:p w14:paraId="16EECA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发包人委托承包人办理的保险事项：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C3565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（2）承包人投保内容：</w:t>
      </w:r>
      <w:r>
        <w:rPr>
          <w:rFonts w:hint="eastAsia" w:ascii="宋体" w:hAnsi="宋体" w:eastAsia="宋体" w:cs="宋体"/>
          <w:color w:val="auto"/>
          <w:szCs w:val="21"/>
          <w:highlight w:val="none"/>
          <w:u w:val="single"/>
        </w:rPr>
        <w:t>按政府规定办理。开工前承包人应当投保安全生产责任保险，且该保险保障场所应包含本项目，合同价视作已含该项费用。承包人未按规定购买安全生产责任保险，发包人可视严重程度拒绝该单位一定时期内参与后续工程投标。其它保险项目由承包人自定。</w:t>
      </w:r>
    </w:p>
    <w:p w14:paraId="45E9F41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41、担保</w:t>
      </w:r>
    </w:p>
    <w:p w14:paraId="6A62E0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41.1本工程双方约定担保事项如下：</w:t>
      </w:r>
    </w:p>
    <w:p w14:paraId="46961D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（1）发包人向承包人提供支付担保，担保方式为:支付担保保函。</w:t>
      </w:r>
    </w:p>
    <w:p w14:paraId="14564F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（2）承包人按如下方式向发包人提供履约担保：</w:t>
      </w:r>
    </w:p>
    <w:p w14:paraId="48CF9A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 履约担保：承包人向发包人提交担保金额为中标价10%的履约担保，担保形式执行《关于规范招投标领域工程建设保证金收取有关工作的通知》（粤发改法规函〔2022〕1178号）规定，须无条件、不可撤销、见索即付地按发包人书面索赔通知立即支付累计不超过本合同约定担保金额的任何款项，无需发包人出具任何证明或说明背景、理由（格式要求按本合同附件2）。担保到期但工程尚未验收的，承包人应自觉办理担保延期手续，确保担保期限不出现空缺，否则，发包人有权不予支付工程款。</w:t>
      </w:r>
    </w:p>
    <w:p w14:paraId="4E8C6A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首次办理履约担保，如合同工期低于1年的，担保期限可按合同工期，如合同工期高于1年的，担保期限不低于1年。</w:t>
      </w:r>
    </w:p>
    <w:p w14:paraId="1FDFF3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履约担保</w:t>
      </w:r>
      <w:r>
        <w:rPr>
          <w:rFonts w:hint="eastAsia" w:ascii="宋体" w:hAnsi="宋体" w:eastAsia="宋体" w:cs="宋体"/>
          <w:color w:val="auto"/>
          <w:szCs w:val="21"/>
          <w:highlight w:val="none"/>
          <w:u w:val="single"/>
        </w:rPr>
        <w:t>办理延期手续</w:t>
      </w:r>
      <w:r>
        <w:rPr>
          <w:rFonts w:hint="eastAsia" w:ascii="宋体" w:hAnsi="宋体" w:eastAsia="宋体" w:cs="宋体"/>
          <w:color w:val="auto"/>
          <w:szCs w:val="21"/>
          <w:highlight w:val="none"/>
        </w:rPr>
        <w:t>时，若项目的完成工程量不足一半，担保金额按中标价的10%；若项目的完成工程量超过一半，担保金额可按中标价的5%；其他特殊情况需调整的，需报发包人审议同意。</w:t>
      </w:r>
    </w:p>
    <w:p w14:paraId="6616FB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 履约担保的返还方式：</w:t>
      </w:r>
      <w:r>
        <w:rPr>
          <w:rFonts w:hint="eastAsia" w:ascii="宋体" w:hAnsi="宋体" w:eastAsia="宋体" w:cs="宋体"/>
          <w:color w:val="auto"/>
          <w:szCs w:val="21"/>
          <w:highlight w:val="none"/>
          <w:u w:val="single"/>
        </w:rPr>
        <w:t>在合同工程完工验收合格后返还承包人</w:t>
      </w:r>
      <w:r>
        <w:rPr>
          <w:rFonts w:hint="eastAsia" w:ascii="宋体" w:hAnsi="宋体" w:eastAsia="宋体" w:cs="宋体"/>
          <w:color w:val="auto"/>
          <w:szCs w:val="21"/>
          <w:highlight w:val="none"/>
        </w:rPr>
        <w:t>。</w:t>
      </w:r>
    </w:p>
    <w:p w14:paraId="7BEF844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08A7235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46、合同份数</w:t>
      </w:r>
    </w:p>
    <w:p w14:paraId="22C2C7B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46.1双方约定合同正副本份数：</w:t>
      </w:r>
      <w:r>
        <w:rPr>
          <w:rFonts w:hint="eastAsia" w:ascii="宋体" w:hAnsi="宋体" w:eastAsia="宋体" w:cs="宋体"/>
          <w:color w:val="auto"/>
          <w:szCs w:val="21"/>
          <w:highlight w:val="none"/>
          <w:u w:val="single"/>
        </w:rPr>
        <w:t>共拾份，正本一式贰份，发包人承包人各执壹份；副本捌份，发包人肆份，承包人叁份，监理人壹份</w:t>
      </w:r>
      <w:r>
        <w:rPr>
          <w:rFonts w:hint="eastAsia" w:ascii="宋体" w:hAnsi="宋体" w:eastAsia="宋体" w:cs="宋体"/>
          <w:color w:val="auto"/>
          <w:szCs w:val="21"/>
          <w:highlight w:val="none"/>
        </w:rPr>
        <w:t>。</w:t>
      </w:r>
    </w:p>
    <w:p w14:paraId="323F095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47、补充条款</w:t>
      </w:r>
    </w:p>
    <w:p w14:paraId="1E3DC2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安全、文明、科学、规范的施工要求</w:t>
      </w:r>
      <w:r>
        <w:rPr>
          <w:rFonts w:hint="eastAsia" w:ascii="宋体" w:hAnsi="宋体" w:eastAsia="宋体" w:cs="宋体"/>
          <w:color w:val="auto"/>
          <w:szCs w:val="21"/>
          <w:highlight w:val="none"/>
        </w:rPr>
        <w:t>）</w:t>
      </w:r>
    </w:p>
    <w:p w14:paraId="68CD1BE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w:t>
      </w:r>
      <w:r>
        <w:rPr>
          <w:rFonts w:hint="eastAsia" w:ascii="宋体" w:hAnsi="宋体" w:eastAsia="宋体" w:cs="宋体"/>
          <w:color w:val="auto"/>
          <w:szCs w:val="21"/>
          <w:highlight w:val="none"/>
          <w:u w:val="single"/>
        </w:rPr>
        <w:t>承包人在开工前，必须按照广州市、开发区有关要求办理好相应的施工手续方可开工</w:t>
      </w:r>
      <w:r>
        <w:rPr>
          <w:rFonts w:hint="eastAsia" w:ascii="宋体" w:hAnsi="宋体" w:eastAsia="宋体" w:cs="宋体"/>
          <w:color w:val="auto"/>
          <w:szCs w:val="21"/>
          <w:highlight w:val="none"/>
        </w:rPr>
        <w:t>。</w:t>
      </w:r>
    </w:p>
    <w:p w14:paraId="62577FE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w:t>
      </w:r>
      <w:r>
        <w:rPr>
          <w:rFonts w:hint="eastAsia" w:ascii="宋体" w:hAnsi="宋体" w:eastAsia="宋体" w:cs="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eastAsia="宋体" w:cs="宋体"/>
          <w:color w:val="auto"/>
          <w:szCs w:val="21"/>
          <w:highlight w:val="none"/>
        </w:rPr>
        <w:t>。</w:t>
      </w:r>
    </w:p>
    <w:p w14:paraId="031CE47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w:t>
      </w:r>
      <w:r>
        <w:rPr>
          <w:rFonts w:hint="eastAsia" w:ascii="宋体" w:hAnsi="宋体" w:eastAsia="宋体" w:cs="宋体"/>
          <w:color w:val="auto"/>
          <w:szCs w:val="21"/>
          <w:highlight w:val="none"/>
          <w:u w:val="single"/>
        </w:rPr>
        <w:t>承包人必须保证在收到中标通知书后五天内进场作好施工准备，十五天内提交有关开工报告，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eastAsia="宋体" w:cs="宋体"/>
          <w:color w:val="auto"/>
          <w:szCs w:val="21"/>
          <w:highlight w:val="none"/>
        </w:rPr>
        <w:t>。</w:t>
      </w:r>
    </w:p>
    <w:p w14:paraId="5298E1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47.4</w:t>
      </w:r>
      <w:r>
        <w:rPr>
          <w:rFonts w:hint="eastAsia" w:ascii="宋体" w:hAnsi="宋体" w:eastAsia="宋体" w:cs="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eastAsia="宋体" w:cs="宋体"/>
          <w:color w:val="auto"/>
          <w:szCs w:val="21"/>
          <w:highlight w:val="none"/>
        </w:rPr>
        <w:t>。</w:t>
      </w:r>
    </w:p>
    <w:p w14:paraId="263742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47.5</w:t>
      </w:r>
      <w:r>
        <w:rPr>
          <w:rFonts w:hint="eastAsia" w:ascii="宋体" w:hAnsi="宋体" w:eastAsia="宋体" w:cs="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eastAsia="宋体" w:cs="宋体"/>
          <w:color w:val="auto"/>
          <w:szCs w:val="21"/>
          <w:highlight w:val="none"/>
        </w:rPr>
        <w:t>。</w:t>
      </w:r>
    </w:p>
    <w:p w14:paraId="7EB753C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47.6</w:t>
      </w:r>
      <w:r>
        <w:rPr>
          <w:rFonts w:hint="eastAsia" w:ascii="宋体" w:hAnsi="宋体" w:eastAsia="宋体" w:cs="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eastAsia="宋体" w:cs="宋体"/>
          <w:color w:val="auto"/>
          <w:szCs w:val="21"/>
          <w:highlight w:val="none"/>
        </w:rPr>
        <w:t>。</w:t>
      </w:r>
    </w:p>
    <w:p w14:paraId="5BAFF72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47.7</w:t>
      </w:r>
      <w:r>
        <w:rPr>
          <w:rFonts w:hint="eastAsia" w:ascii="宋体" w:hAnsi="宋体" w:eastAsia="宋体" w:cs="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eastAsia="宋体" w:cs="宋体"/>
          <w:color w:val="auto"/>
          <w:szCs w:val="21"/>
          <w:highlight w:val="none"/>
        </w:rPr>
        <w:t>。</w:t>
      </w:r>
    </w:p>
    <w:p w14:paraId="5D48417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47.8</w:t>
      </w:r>
      <w:r>
        <w:rPr>
          <w:rFonts w:hint="eastAsia" w:ascii="宋体" w:hAnsi="宋体" w:eastAsia="宋体" w:cs="宋体"/>
          <w:color w:val="auto"/>
          <w:szCs w:val="21"/>
          <w:highlight w:val="none"/>
          <w:u w:val="single"/>
        </w:rPr>
        <w:t>若遇阻碍施工需拆迁的旧建（构）筑物、地下孤石等障碍物，由承包人负责清障，所需清障费用经监理、发包人现场签证调整</w:t>
      </w:r>
      <w:r>
        <w:rPr>
          <w:rFonts w:hint="eastAsia" w:ascii="宋体" w:hAnsi="宋体" w:eastAsia="宋体" w:cs="宋体"/>
          <w:color w:val="auto"/>
          <w:szCs w:val="21"/>
          <w:highlight w:val="none"/>
        </w:rPr>
        <w:t>。</w:t>
      </w:r>
    </w:p>
    <w:p w14:paraId="1A8761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47.9</w:t>
      </w:r>
      <w:r>
        <w:rPr>
          <w:rFonts w:hint="eastAsia" w:ascii="宋体" w:hAnsi="宋体" w:eastAsia="宋体" w:cs="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eastAsia="宋体" w:cs="宋体"/>
          <w:color w:val="auto"/>
          <w:szCs w:val="21"/>
          <w:highlight w:val="none"/>
        </w:rPr>
        <w:t>。</w:t>
      </w:r>
    </w:p>
    <w:p w14:paraId="0BC2436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47.10</w:t>
      </w:r>
      <w:r>
        <w:rPr>
          <w:rFonts w:hint="eastAsia" w:ascii="宋体" w:hAnsi="宋体" w:eastAsia="宋体" w:cs="宋体"/>
          <w:color w:val="auto"/>
          <w:szCs w:val="21"/>
          <w:highlight w:val="none"/>
          <w:u w:val="single"/>
        </w:rPr>
        <w:t>双方根据国家有关规定，结合具体工程约定质量缺陷责任期如下</w:t>
      </w:r>
      <w:r>
        <w:rPr>
          <w:rFonts w:hint="eastAsia" w:ascii="宋体" w:hAnsi="宋体" w:eastAsia="宋体" w:cs="宋体"/>
          <w:color w:val="auto"/>
          <w:szCs w:val="21"/>
          <w:highlight w:val="none"/>
        </w:rPr>
        <w:t>：</w:t>
      </w:r>
    </w:p>
    <w:p w14:paraId="26A4601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基础设施工程、房屋建筑的地基基础工程和主体结构工程为2年</w:t>
      </w:r>
      <w:r>
        <w:rPr>
          <w:rFonts w:hint="eastAsia" w:ascii="宋体" w:hAnsi="宋体" w:eastAsia="宋体" w:cs="宋体"/>
          <w:color w:val="auto"/>
          <w:szCs w:val="21"/>
          <w:highlight w:val="none"/>
        </w:rPr>
        <w:t>；</w:t>
      </w:r>
    </w:p>
    <w:p w14:paraId="1E29CF3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屋面防水工程为 2 年，室外装饰工程为 2 年</w:t>
      </w:r>
      <w:r>
        <w:rPr>
          <w:rFonts w:hint="eastAsia" w:ascii="宋体" w:hAnsi="宋体" w:eastAsia="宋体" w:cs="宋体"/>
          <w:color w:val="auto"/>
          <w:szCs w:val="21"/>
          <w:highlight w:val="none"/>
        </w:rPr>
        <w:t>；</w:t>
      </w:r>
    </w:p>
    <w:p w14:paraId="53C0CE7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电力管线、上下水管线安装工程为 2 年</w:t>
      </w:r>
      <w:r>
        <w:rPr>
          <w:rFonts w:hint="eastAsia" w:ascii="宋体" w:hAnsi="宋体" w:eastAsia="宋体" w:cs="宋体"/>
          <w:color w:val="auto"/>
          <w:szCs w:val="21"/>
          <w:highlight w:val="none"/>
        </w:rPr>
        <w:t>；</w:t>
      </w:r>
    </w:p>
    <w:p w14:paraId="31B714B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供热及供冷为 2 个采暖期及供冷期</w:t>
      </w:r>
      <w:r>
        <w:rPr>
          <w:rFonts w:hint="eastAsia" w:ascii="宋体" w:hAnsi="宋体" w:eastAsia="宋体" w:cs="宋体"/>
          <w:color w:val="auto"/>
          <w:szCs w:val="21"/>
          <w:highlight w:val="none"/>
        </w:rPr>
        <w:t>；</w:t>
      </w:r>
    </w:p>
    <w:p w14:paraId="3E223FC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室外的上下水和小区道路等市政公用工程为 2 年</w:t>
      </w:r>
      <w:r>
        <w:rPr>
          <w:rFonts w:hint="eastAsia" w:ascii="宋体" w:hAnsi="宋体" w:eastAsia="宋体" w:cs="宋体"/>
          <w:color w:val="auto"/>
          <w:szCs w:val="21"/>
          <w:highlight w:val="none"/>
        </w:rPr>
        <w:t>；</w:t>
      </w:r>
    </w:p>
    <w:p w14:paraId="442E7DA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市政道路排水工程为 2 年，市政供水工程为 2 年</w:t>
      </w:r>
      <w:r>
        <w:rPr>
          <w:rFonts w:hint="eastAsia" w:ascii="宋体" w:hAnsi="宋体" w:eastAsia="宋体" w:cs="宋体"/>
          <w:color w:val="auto"/>
          <w:szCs w:val="21"/>
          <w:highlight w:val="none"/>
        </w:rPr>
        <w:t>；</w:t>
      </w:r>
    </w:p>
    <w:p w14:paraId="580E2FC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u w:val="single"/>
        </w:rPr>
        <w:t>市政供电工程为 2 年，市政道路照明工程 2 年，市政交通设施工程为 2 年</w:t>
      </w:r>
      <w:r>
        <w:rPr>
          <w:rFonts w:hint="eastAsia" w:ascii="宋体" w:hAnsi="宋体" w:eastAsia="宋体" w:cs="宋体"/>
          <w:color w:val="auto"/>
          <w:szCs w:val="21"/>
          <w:highlight w:val="none"/>
        </w:rPr>
        <w:t>。</w:t>
      </w:r>
    </w:p>
    <w:p w14:paraId="65BF4E0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园林建筑工程为1年，喷淋工程为2年，胸径15cm以内（含15cm）的苗木养护期为3个月，胸径15cm以上的苗木养护期为1年</w:t>
      </w:r>
      <w:r>
        <w:rPr>
          <w:rFonts w:hint="eastAsia" w:ascii="宋体" w:hAnsi="宋体" w:eastAsia="宋体" w:cs="宋体"/>
          <w:color w:val="auto"/>
          <w:szCs w:val="21"/>
          <w:highlight w:val="none"/>
        </w:rPr>
        <w:t>。</w:t>
      </w:r>
    </w:p>
    <w:p w14:paraId="2A7BE33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除上述专业工程外其它工程的质量缺陷责任期按相关规定或经双方另行协商确定</w:t>
      </w:r>
      <w:r>
        <w:rPr>
          <w:rFonts w:hint="eastAsia" w:ascii="宋体" w:hAnsi="宋体" w:eastAsia="宋体" w:cs="宋体"/>
          <w:color w:val="auto"/>
          <w:szCs w:val="21"/>
          <w:highlight w:val="none"/>
        </w:rPr>
        <w:t>。</w:t>
      </w:r>
    </w:p>
    <w:p w14:paraId="7CF00A0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eastAsia="宋体" w:cs="宋体"/>
          <w:color w:val="auto"/>
          <w:szCs w:val="21"/>
          <w:highlight w:val="none"/>
        </w:rPr>
        <w:t>。</w:t>
      </w:r>
    </w:p>
    <w:p w14:paraId="59F60A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47.11</w:t>
      </w:r>
      <w:r>
        <w:rPr>
          <w:rFonts w:hint="eastAsia" w:ascii="宋体" w:hAnsi="宋体" w:eastAsia="宋体" w:cs="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eastAsia="宋体" w:cs="宋体"/>
          <w:color w:val="auto"/>
          <w:szCs w:val="21"/>
          <w:highlight w:val="none"/>
        </w:rPr>
        <w:t>。</w:t>
      </w:r>
    </w:p>
    <w:p w14:paraId="5A75825C">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47.12施工现场生活区应设置信息公示栏，每月10日前将上月作业工人考勤和工资结算和支付信息在信息公示栏进行公示，公示期不少于5天。</w:t>
      </w:r>
    </w:p>
    <w:p w14:paraId="01E10C2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农民工佣工要求</w:t>
      </w:r>
      <w:r>
        <w:rPr>
          <w:rFonts w:hint="eastAsia" w:ascii="宋体" w:hAnsi="宋体" w:eastAsia="宋体" w:cs="宋体"/>
          <w:color w:val="auto"/>
          <w:szCs w:val="21"/>
          <w:highlight w:val="none"/>
        </w:rPr>
        <w:t>）</w:t>
      </w:r>
    </w:p>
    <w:p w14:paraId="486FEE0A">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47.13</w:t>
      </w:r>
      <w:r>
        <w:rPr>
          <w:rFonts w:hint="eastAsia" w:ascii="宋体" w:hAnsi="宋体" w:eastAsia="宋体" w:cs="宋体"/>
          <w:color w:val="auto"/>
          <w:szCs w:val="21"/>
          <w:highlight w:val="none"/>
          <w:u w:val="single"/>
        </w:rPr>
        <w:t>承包人必须按照穗开规『2004』58号文的有关要求及规定优先使用广州开发区的农民工</w:t>
      </w:r>
      <w:r>
        <w:rPr>
          <w:rFonts w:hint="eastAsia" w:ascii="宋体" w:hAnsi="宋体" w:eastAsia="宋体" w:cs="宋体"/>
          <w:color w:val="auto"/>
          <w:szCs w:val="21"/>
          <w:highlight w:val="none"/>
        </w:rPr>
        <w:t>。</w:t>
      </w:r>
    </w:p>
    <w:p w14:paraId="21D9E4F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47.14</w:t>
      </w:r>
      <w:r>
        <w:rPr>
          <w:rFonts w:hint="eastAsia" w:ascii="宋体" w:hAnsi="宋体" w:eastAsia="宋体" w:cs="宋体"/>
          <w:color w:val="auto"/>
          <w:szCs w:val="21"/>
          <w:highlight w:val="none"/>
          <w:u w:val="single"/>
        </w:rPr>
        <w:t>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eastAsia="宋体" w:cs="宋体"/>
          <w:color w:val="auto"/>
          <w:szCs w:val="21"/>
          <w:highlight w:val="none"/>
        </w:rPr>
        <w:t>。</w:t>
      </w:r>
    </w:p>
    <w:p w14:paraId="5B3B1A0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47.15</w:t>
      </w:r>
      <w:r>
        <w:rPr>
          <w:rFonts w:hint="eastAsia" w:ascii="宋体" w:hAnsi="宋体" w:eastAsia="宋体" w:cs="宋体"/>
          <w:color w:val="auto"/>
          <w:szCs w:val="21"/>
          <w:highlight w:val="none"/>
          <w:u w:val="single"/>
        </w:rPr>
        <w:t>承包人应按照 《广州市住房和城乡建设委员会关于印发&lt;广州市建筑施工实名制管理办法&gt;的通知》（穗建规字[2017]4号）、《关于印发广州市建设领域工人工资支付分账管理实施细则的通知》（穗建规字[2020]37号）、《保障农民工工资支付条例》(中华人民共和国国务院令第724号)、《广州市根治拖欠农民工工资工作领导小组办公室关于广州市建设领域工程项目全面实施农民工工资总包代发制度的通知》及广州市黄埔区、开发区对应出台的相关文件规定办理建筑工地实名制管理和工人工资支付分账管理事宜；防止出现拖欠工人工资情况。承包人违法转包、分包工程的或其他承包人原因导致相应工程出现拖欠工人工资情况的，承包人对拖欠工人工资承担清偿责任，对此引起的纠纷负全责，造成</w:t>
      </w:r>
      <w:r>
        <w:rPr>
          <w:rFonts w:hint="eastAsia" w:ascii="宋体" w:hAnsi="宋体" w:eastAsia="宋体" w:cs="宋体"/>
          <w:color w:val="auto"/>
          <w:szCs w:val="21"/>
          <w:highlight w:val="none"/>
          <w:u w:val="single"/>
          <w:lang w:val="en-US" w:eastAsia="zh-CN"/>
        </w:rPr>
        <w:t>发包人</w:t>
      </w:r>
      <w:r>
        <w:rPr>
          <w:rFonts w:hint="eastAsia" w:ascii="宋体" w:hAnsi="宋体" w:eastAsia="宋体" w:cs="宋体"/>
          <w:color w:val="auto"/>
          <w:szCs w:val="21"/>
          <w:highlight w:val="none"/>
          <w:u w:val="single"/>
        </w:rPr>
        <w:t>损失（包括但不限于甲方因此而支付的赔偿款、律师费、诉讼费、保全费、公证费、鉴定费等）的，承包人须承担全部责任。</w:t>
      </w:r>
    </w:p>
    <w:p w14:paraId="4EF7AA7A">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47.16</w:t>
      </w:r>
      <w:r>
        <w:rPr>
          <w:rFonts w:hint="eastAsia" w:ascii="宋体" w:hAnsi="宋体" w:eastAsia="宋体" w:cs="宋体"/>
          <w:color w:val="auto"/>
          <w:szCs w:val="21"/>
          <w:highlight w:val="none"/>
          <w:u w:val="single"/>
        </w:rPr>
        <w:t>若承包人在本工程内发生无故拖欠农民工工资现象，将被作不良记录，上报区建设行政主管部门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若承包人转包或者违法分包造成拖欠工人工资的，除上报区建设行政主管部门外，还将提请省建设行业主管部门禁止在广东省行政区域范围内承包工程。</w:t>
      </w:r>
    </w:p>
    <w:p w14:paraId="47C9BD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项目管理机构人员、机械设备、劳动力到位方面的要求</w:t>
      </w:r>
      <w:r>
        <w:rPr>
          <w:rFonts w:hint="eastAsia" w:ascii="宋体" w:hAnsi="宋体" w:eastAsia="宋体" w:cs="宋体"/>
          <w:color w:val="auto"/>
          <w:szCs w:val="21"/>
          <w:highlight w:val="none"/>
        </w:rPr>
        <w:t>）</w:t>
      </w:r>
    </w:p>
    <w:p w14:paraId="2FBB7F4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47.17</w:t>
      </w:r>
      <w:r>
        <w:rPr>
          <w:rFonts w:hint="eastAsia" w:ascii="宋体" w:hAnsi="宋体" w:eastAsia="宋体" w:cs="宋体"/>
          <w:color w:val="auto"/>
          <w:szCs w:val="21"/>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eastAsia="宋体" w:cs="宋体"/>
          <w:color w:val="auto"/>
          <w:szCs w:val="21"/>
          <w:highlight w:val="none"/>
        </w:rPr>
        <w:t>。</w:t>
      </w:r>
    </w:p>
    <w:p w14:paraId="4AC8C34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47.18</w:t>
      </w:r>
      <w:r>
        <w:rPr>
          <w:rFonts w:hint="eastAsia" w:ascii="宋体" w:hAnsi="宋体" w:eastAsia="宋体" w:cs="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eastAsia="宋体" w:cs="宋体"/>
          <w:color w:val="auto"/>
          <w:szCs w:val="21"/>
          <w:highlight w:val="none"/>
        </w:rPr>
        <w:t>。</w:t>
      </w:r>
    </w:p>
    <w:p w14:paraId="6E01244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47.19</w:t>
      </w:r>
      <w:r>
        <w:rPr>
          <w:rFonts w:hint="eastAsia" w:ascii="宋体" w:hAnsi="宋体" w:eastAsia="宋体" w:cs="宋体"/>
          <w:color w:val="auto"/>
          <w:szCs w:val="21"/>
          <w:highlight w:val="none"/>
          <w:u w:val="single"/>
        </w:rPr>
        <w:t>现场施工时，施工员（技术员）不在施工现场不得施工，否则发包人可随时要求停工，工期延误由承包人负责</w:t>
      </w:r>
      <w:r>
        <w:rPr>
          <w:rFonts w:hint="eastAsia" w:ascii="宋体" w:hAnsi="宋体" w:eastAsia="宋体" w:cs="宋体"/>
          <w:color w:val="auto"/>
          <w:szCs w:val="21"/>
          <w:highlight w:val="none"/>
        </w:rPr>
        <w:t>。</w:t>
      </w:r>
    </w:p>
    <w:p w14:paraId="1E153A2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47.20</w:t>
      </w:r>
      <w:r>
        <w:rPr>
          <w:rFonts w:hint="eastAsia" w:ascii="宋体" w:hAnsi="宋体" w:eastAsia="宋体" w:cs="宋体"/>
          <w:color w:val="auto"/>
          <w:szCs w:val="21"/>
          <w:highlight w:val="none"/>
          <w:u w:val="single"/>
        </w:rPr>
        <w:t>承包人派往现场的管理人员若因不负责任、或玩忽职守、或严重失职等给发包人造成经济损失，承包人承担相应的经济责任和连带法律责任</w:t>
      </w:r>
      <w:r>
        <w:rPr>
          <w:rFonts w:hint="eastAsia" w:ascii="宋体" w:hAnsi="宋体" w:eastAsia="宋体" w:cs="宋体"/>
          <w:color w:val="auto"/>
          <w:szCs w:val="21"/>
          <w:highlight w:val="none"/>
        </w:rPr>
        <w:t>。</w:t>
      </w:r>
    </w:p>
    <w:p w14:paraId="67C385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投标报价及造价承包和变更结算方式的要求</w:t>
      </w:r>
      <w:r>
        <w:rPr>
          <w:rFonts w:hint="eastAsia" w:ascii="宋体" w:hAnsi="宋体" w:eastAsia="宋体" w:cs="宋体"/>
          <w:color w:val="auto"/>
          <w:szCs w:val="21"/>
          <w:highlight w:val="none"/>
        </w:rPr>
        <w:t>）</w:t>
      </w:r>
    </w:p>
    <w:p w14:paraId="785B12E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47.21</w:t>
      </w:r>
      <w:r>
        <w:rPr>
          <w:rFonts w:hint="eastAsia" w:ascii="宋体" w:hAnsi="宋体" w:eastAsia="宋体" w:cs="宋体"/>
          <w:color w:val="auto"/>
          <w:szCs w:val="21"/>
          <w:highlight w:val="none"/>
          <w:u w:val="single"/>
        </w:rPr>
        <w:t>工程量清单报价中有关问题的说明：</w:t>
      </w:r>
    </w:p>
    <w:p w14:paraId="5D337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时,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14:paraId="1C116C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工程量清单中措施项目清单费计价表中的绿色施工安全防护措施费执行《广东省住房和城乡建设厅关于印发&lt;广东省建设工程计价依据（2018)&gt;的通知》（穗建市〔2019〕6号）文，绿色施工安全防护措施费按建设业主公布的本工程招标控制价中的绿色施工安全防护措施费计取，作为非竞争费用，在投标报价中单列，不参与投标竞价，该费用从工程施工中标价中提取，专款专用。</w:t>
      </w:r>
    </w:p>
    <w:p w14:paraId="5CBBDEB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47.22</w:t>
      </w:r>
      <w:r>
        <w:rPr>
          <w:rFonts w:hint="eastAsia" w:ascii="宋体" w:hAnsi="宋体" w:eastAsia="宋体" w:cs="宋体"/>
          <w:color w:val="auto"/>
          <w:szCs w:val="21"/>
          <w:highlight w:val="none"/>
          <w:u w:val="single"/>
        </w:rPr>
        <w:t>本工程承包人通过现场考察，提出具体施工方案，无论在工程施工期间或是在质量保修期内，若因施工而引起的一切索赔、赔偿、诉讼费用和其他开支，由承包人承担全部责任。该项费用包含在总投标报价中，不另行计费，承包人不得以任何理由要求发包人另行增加该部分费用（承包人要充分考虑最不利因素影响而采用的施工方案所需的费用）</w:t>
      </w:r>
      <w:r>
        <w:rPr>
          <w:rFonts w:hint="eastAsia" w:ascii="宋体" w:hAnsi="宋体" w:eastAsia="宋体" w:cs="宋体"/>
          <w:color w:val="auto"/>
          <w:szCs w:val="21"/>
          <w:highlight w:val="none"/>
        </w:rPr>
        <w:t>。</w:t>
      </w:r>
    </w:p>
    <w:p w14:paraId="3FAA58D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0C2BEFA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7F19970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47.25承包人应使用绿色生产达标企业生产的混凝土，若不遵守承诺，自愿按不履行合同约定处理。</w:t>
      </w:r>
    </w:p>
    <w:p w14:paraId="41731C9B">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47.26承包人应按有关规定协助发包人完成公共排水设施竣工图纸备案工作。</w:t>
      </w:r>
    </w:p>
    <w:p w14:paraId="59A1C81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47.27</w:t>
      </w:r>
      <w:r>
        <w:rPr>
          <w:rFonts w:hint="eastAsia" w:ascii="宋体" w:hAnsi="宋体" w:eastAsia="宋体" w:cs="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eastAsia="宋体" w:cs="宋体"/>
          <w:color w:val="auto"/>
          <w:szCs w:val="21"/>
          <w:highlight w:val="none"/>
        </w:rPr>
        <w:t>。</w:t>
      </w:r>
    </w:p>
    <w:p w14:paraId="7E35462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47.28</w:t>
      </w:r>
      <w:r>
        <w:rPr>
          <w:rFonts w:hint="eastAsia" w:ascii="宋体" w:hAnsi="宋体" w:eastAsia="宋体" w:cs="宋体"/>
          <w:color w:val="auto"/>
          <w:szCs w:val="21"/>
          <w:highlight w:val="none"/>
          <w:u w:val="single"/>
        </w:rPr>
        <w:t>所有材料品牌选择均须报发包人、监理工程师确认，且经检验合格后方能使用。</w:t>
      </w:r>
    </w:p>
    <w:p w14:paraId="2A5CFF5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47.29</w:t>
      </w:r>
      <w:r>
        <w:rPr>
          <w:rFonts w:hint="eastAsia" w:ascii="宋体" w:hAnsi="宋体" w:eastAsia="宋体" w:cs="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eastAsia="宋体" w:cs="宋体"/>
          <w:color w:val="auto"/>
          <w:szCs w:val="21"/>
          <w:highlight w:val="none"/>
        </w:rPr>
        <w:t>。</w:t>
      </w:r>
    </w:p>
    <w:p w14:paraId="312480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47.30</w:t>
      </w:r>
      <w:r>
        <w:rPr>
          <w:rFonts w:hint="eastAsia" w:ascii="宋体" w:hAnsi="宋体" w:eastAsia="宋体" w:cs="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eastAsia="宋体" w:cs="宋体"/>
          <w:color w:val="auto"/>
          <w:szCs w:val="21"/>
          <w:highlight w:val="none"/>
        </w:rPr>
        <w:t>。</w:t>
      </w:r>
    </w:p>
    <w:p w14:paraId="2541BDD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47.31</w:t>
      </w:r>
      <w:r>
        <w:rPr>
          <w:rFonts w:hint="eastAsia" w:ascii="宋体" w:hAnsi="宋体" w:eastAsia="宋体" w:cs="宋体"/>
          <w:color w:val="auto"/>
          <w:szCs w:val="21"/>
          <w:highlight w:val="none"/>
          <w:u w:val="single"/>
        </w:rPr>
        <w:t>承包人须按照发包人与监理人签订的委托监理合同接受监理人的全过程监理</w:t>
      </w:r>
      <w:r>
        <w:rPr>
          <w:rFonts w:hint="eastAsia" w:ascii="宋体" w:hAnsi="宋体" w:eastAsia="宋体" w:cs="宋体"/>
          <w:color w:val="auto"/>
          <w:szCs w:val="21"/>
          <w:highlight w:val="none"/>
        </w:rPr>
        <w:t>。</w:t>
      </w:r>
    </w:p>
    <w:p w14:paraId="1842AE3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47.32</w:t>
      </w:r>
      <w:r>
        <w:rPr>
          <w:rFonts w:hint="eastAsia" w:ascii="宋体" w:hAnsi="宋体" w:eastAsia="宋体" w:cs="宋体"/>
          <w:color w:val="auto"/>
          <w:szCs w:val="21"/>
          <w:highlight w:val="none"/>
          <w:u w:val="single"/>
        </w:rPr>
        <w:t>如广州开发区、黄埔区对工程竣工验收及备案有相关规定，则本合同执行该规定</w:t>
      </w:r>
      <w:r>
        <w:rPr>
          <w:rFonts w:hint="eastAsia" w:ascii="宋体" w:hAnsi="宋体" w:eastAsia="宋体" w:cs="宋体"/>
          <w:color w:val="auto"/>
          <w:szCs w:val="21"/>
          <w:highlight w:val="none"/>
        </w:rPr>
        <w:t>。</w:t>
      </w:r>
    </w:p>
    <w:p w14:paraId="48FF17E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47.33</w:t>
      </w:r>
      <w:r>
        <w:rPr>
          <w:rFonts w:hint="eastAsia" w:ascii="宋体" w:hAnsi="宋体" w:eastAsia="宋体" w:cs="宋体"/>
          <w:color w:val="auto"/>
          <w:szCs w:val="21"/>
          <w:highlight w:val="none"/>
          <w:u w:val="single"/>
        </w:rPr>
        <w:t>如果审计机关依法对本工程实施审计，发包人、承包人及监理单位应积极配合</w:t>
      </w:r>
      <w:r>
        <w:rPr>
          <w:rFonts w:hint="eastAsia" w:ascii="宋体" w:hAnsi="宋体" w:eastAsia="宋体" w:cs="宋体"/>
          <w:color w:val="auto"/>
          <w:szCs w:val="21"/>
          <w:highlight w:val="none"/>
        </w:rPr>
        <w:t>。</w:t>
      </w:r>
    </w:p>
    <w:p w14:paraId="5ACF27E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47.34</w:t>
      </w:r>
      <w:r>
        <w:rPr>
          <w:rFonts w:hint="eastAsia" w:ascii="宋体" w:hAnsi="宋体" w:eastAsia="宋体" w:cs="宋体"/>
          <w:color w:val="auto"/>
          <w:szCs w:val="21"/>
          <w:highlight w:val="none"/>
          <w:u w:val="single"/>
        </w:rPr>
        <w:t>本合同在实施过程中所发生的文件来往，双方不得拒绝签收。如果发生类似事件，发文一方可以监理工程师签收为准，视为送达</w:t>
      </w:r>
      <w:r>
        <w:rPr>
          <w:rFonts w:hint="eastAsia" w:ascii="宋体" w:hAnsi="宋体" w:eastAsia="宋体" w:cs="宋体"/>
          <w:color w:val="auto"/>
          <w:szCs w:val="21"/>
          <w:highlight w:val="none"/>
        </w:rPr>
        <w:t>。</w:t>
      </w:r>
    </w:p>
    <w:p w14:paraId="1BA6693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47.35</w:t>
      </w:r>
      <w:r>
        <w:rPr>
          <w:rFonts w:hint="eastAsia" w:ascii="宋体" w:hAnsi="宋体" w:eastAsia="宋体" w:cs="宋体"/>
          <w:color w:val="auto"/>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eastAsia="宋体" w:cs="宋体"/>
          <w:color w:val="auto"/>
          <w:szCs w:val="21"/>
          <w:highlight w:val="none"/>
        </w:rPr>
        <w:t>。</w:t>
      </w:r>
    </w:p>
    <w:p w14:paraId="51F952F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47.36</w:t>
      </w:r>
      <w:r>
        <w:rPr>
          <w:rFonts w:hint="eastAsia" w:ascii="宋体" w:hAnsi="宋体" w:eastAsia="宋体" w:cs="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eastAsia="宋体" w:cs="宋体"/>
          <w:color w:val="auto"/>
          <w:szCs w:val="21"/>
          <w:highlight w:val="none"/>
        </w:rPr>
        <w:t>。</w:t>
      </w:r>
    </w:p>
    <w:p w14:paraId="2A478DE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47.37</w:t>
      </w:r>
      <w:r>
        <w:rPr>
          <w:rFonts w:hint="eastAsia" w:ascii="宋体" w:hAnsi="宋体" w:eastAsia="宋体" w:cs="宋体"/>
          <w:color w:val="auto"/>
          <w:szCs w:val="21"/>
          <w:highlight w:val="none"/>
          <w:u w:val="single"/>
        </w:rPr>
        <w:t>承包人施工过程中不得侵犯他人的专利权或者其他合法权益，否则由承包人承担相关责任，并保证不因该侵权行为影响工程建设</w:t>
      </w:r>
      <w:r>
        <w:rPr>
          <w:rFonts w:hint="eastAsia" w:ascii="宋体" w:hAnsi="宋体" w:eastAsia="宋体" w:cs="宋体"/>
          <w:color w:val="auto"/>
          <w:szCs w:val="21"/>
          <w:highlight w:val="none"/>
        </w:rPr>
        <w:t>。</w:t>
      </w:r>
    </w:p>
    <w:p w14:paraId="3E40715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47.38</w:t>
      </w:r>
      <w:r>
        <w:rPr>
          <w:rFonts w:hint="eastAsia" w:ascii="宋体" w:hAnsi="宋体" w:eastAsia="宋体" w:cs="宋体"/>
          <w:color w:val="auto"/>
          <w:szCs w:val="21"/>
          <w:highlight w:val="none"/>
          <w:u w:val="single"/>
        </w:rPr>
        <w:t>承包人与发包人签订合同时所提供的开户银行名称及账号不得擅自变更，如需变更必须征得发包人的书面同意，否则发包人有权停止工程款的拨付，所造成的一切后果由承包人承担</w:t>
      </w:r>
      <w:r>
        <w:rPr>
          <w:rFonts w:hint="eastAsia" w:ascii="宋体" w:hAnsi="宋体" w:eastAsia="宋体" w:cs="宋体"/>
          <w:color w:val="auto"/>
          <w:szCs w:val="21"/>
          <w:highlight w:val="none"/>
        </w:rPr>
        <w:t>。</w:t>
      </w:r>
    </w:p>
    <w:p w14:paraId="245692A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47.39</w:t>
      </w:r>
      <w:r>
        <w:rPr>
          <w:rFonts w:hint="eastAsia" w:ascii="宋体" w:hAnsi="宋体" w:eastAsia="宋体" w:cs="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本工程费用由建设业主支付，承包人应向建设业主开具发票，发票抬头为“中新广州知识城财政投资建设项目管理中心”。</w:t>
      </w:r>
    </w:p>
    <w:p w14:paraId="5EE33E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47.40《广州开发区财政投资建设项目管理中心绿化景观工程计量管理办法》、《绿化种植专篇》将作为合同附件，各相关单位须遵照执行。 (该条款适用于绿化施工工程)</w:t>
      </w:r>
    </w:p>
    <w:p w14:paraId="0803E9B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47.41工程获得国家、省级、市级所发奖项的，可给予通报表彰，但不给予任何物质奖励。</w:t>
      </w:r>
    </w:p>
    <w:p w14:paraId="4FDC25D4">
      <w:pPr>
        <w:spacing w:line="360" w:lineRule="auto"/>
        <w:ind w:firstLine="420" w:firstLineChars="200"/>
        <w:rPr>
          <w:rFonts w:ascii="宋体" w:hAnsi="宋体" w:eastAsia="宋体" w:cs="宋体"/>
          <w:strike w:val="0"/>
          <w:color w:val="auto"/>
          <w:szCs w:val="21"/>
          <w:highlight w:val="none"/>
          <w:u w:val="single"/>
        </w:rPr>
      </w:pPr>
      <w:r>
        <w:rPr>
          <w:rFonts w:hint="eastAsia" w:ascii="宋体" w:hAnsi="宋体" w:eastAsia="宋体" w:cs="宋体"/>
          <w:strike/>
          <w:color w:val="auto"/>
          <w:szCs w:val="21"/>
          <w:highlight w:val="none"/>
        </w:rPr>
        <w:t>47.42</w:t>
      </w:r>
      <w:r>
        <w:rPr>
          <w:rFonts w:hint="eastAsia" w:ascii="宋体" w:hAnsi="宋体" w:eastAsia="宋体" w:cs="宋体"/>
          <w:strike w:val="0"/>
          <w:color w:val="auto"/>
          <w:szCs w:val="21"/>
          <w:highlight w:val="none"/>
          <w:u w:val="single"/>
        </w:rPr>
        <w:t>如承包人为联合体的，本合同由联合体各方共同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3EF1EF6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47.43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4FF8996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12BA5FB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5386E9FC">
      <w:pPr>
        <w:tabs>
          <w:tab w:val="right" w:leader="dot" w:pos="906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47.46开工前承包人应当投保安全生产责任保险，且该保险保障场所应包含中标项目。承包人的投标报价视为包含该项目费用。承包人未按规定购买安全生产责任保险，发包人可视严重程度拒绝该单位一定时期内参与后续工程投标。</w:t>
      </w:r>
    </w:p>
    <w:p w14:paraId="1A17729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46A2F4E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0E29E54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47.49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5E6388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47.50 未尽事宜，经双方友好协商解决。</w:t>
      </w:r>
    </w:p>
    <w:p w14:paraId="3FF0112D">
      <w:pPr>
        <w:spacing w:line="360" w:lineRule="auto"/>
        <w:ind w:firstLine="420" w:firstLineChars="200"/>
        <w:rPr>
          <w:rFonts w:hint="eastAsia" w:ascii="宋体" w:hAnsi="宋体" w:eastAsia="宋体" w:cs="宋体"/>
          <w:color w:val="auto"/>
          <w:szCs w:val="21"/>
          <w:highlight w:val="none"/>
        </w:rPr>
      </w:pPr>
    </w:p>
    <w:p w14:paraId="26948F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w:t>
      </w:r>
    </w:p>
    <w:p w14:paraId="183371EA">
      <w:pPr>
        <w:numPr>
          <w:ilvl w:val="0"/>
          <w:numId w:val="0"/>
        </w:numPr>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1.工程质量保修责任书；</w:t>
      </w:r>
    </w:p>
    <w:p w14:paraId="4C1F7244">
      <w:pPr>
        <w:numPr>
          <w:ilvl w:val="0"/>
          <w:numId w:val="0"/>
        </w:numPr>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2.履约保函格式(可根据实际修改）；</w:t>
      </w:r>
    </w:p>
    <w:p w14:paraId="1095DB58">
      <w:pPr>
        <w:numPr>
          <w:ilvl w:val="0"/>
          <w:numId w:val="0"/>
        </w:numPr>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3.施工单位投入本工程管理架构表（注：正式签署合同时必须复核施工单位是否按投标承诺，并不得低于招标文件最低要求投入人员）；</w:t>
      </w:r>
    </w:p>
    <w:p w14:paraId="485A1717">
      <w:pPr>
        <w:numPr>
          <w:ilvl w:val="0"/>
          <w:numId w:val="0"/>
        </w:numPr>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4.工程建设项目廉政责任书；</w:t>
      </w:r>
    </w:p>
    <w:p w14:paraId="03284243">
      <w:pPr>
        <w:numPr>
          <w:ilvl w:val="0"/>
          <w:numId w:val="0"/>
        </w:numPr>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5.安全责任书；</w:t>
      </w:r>
    </w:p>
    <w:p w14:paraId="0A96FCB8">
      <w:pPr>
        <w:numPr>
          <w:ilvl w:val="0"/>
          <w:numId w:val="0"/>
        </w:numPr>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6.拟投入本工程施工的主要机械设备配备表；</w:t>
      </w:r>
    </w:p>
    <w:p w14:paraId="20358445">
      <w:pPr>
        <w:tabs>
          <w:tab w:val="left" w:pos="1620"/>
        </w:tabs>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7.共管工程款使用监管办法（实施共管时）；</w:t>
      </w:r>
    </w:p>
    <w:p w14:paraId="0FB139B8">
      <w:pPr>
        <w:tabs>
          <w:tab w:val="left" w:pos="1620"/>
        </w:tabs>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8.工程资金共管协议格式（实施共管时）；</w:t>
      </w:r>
    </w:p>
    <w:p w14:paraId="06C0A2F6">
      <w:pPr>
        <w:tabs>
          <w:tab w:val="left" w:pos="1620"/>
        </w:tabs>
        <w:spacing w:line="360" w:lineRule="auto"/>
        <w:ind w:firstLine="1260" w:firstLineChars="600"/>
        <w:rPr>
          <w:rFonts w:ascii="宋体" w:hAnsi="宋体" w:eastAsia="宋体" w:cs="宋体"/>
          <w:color w:val="auto"/>
          <w:szCs w:val="21"/>
          <w:highlight w:val="none"/>
        </w:rPr>
      </w:pPr>
      <w:r>
        <w:rPr>
          <w:rFonts w:hint="eastAsia" w:ascii="宋体" w:hAnsi="宋体" w:eastAsia="宋体" w:cs="宋体"/>
          <w:color w:val="auto"/>
          <w:szCs w:val="21"/>
          <w:highlight w:val="none"/>
        </w:rPr>
        <w:t>9.绿化种植专篇；</w:t>
      </w:r>
    </w:p>
    <w:p w14:paraId="47B08095">
      <w:pPr>
        <w:spacing w:line="360" w:lineRule="auto"/>
        <w:ind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10.危险性较大的分部分项工程量清单及超过一定规模的危险性较大的分部分项工程量清单；</w:t>
      </w:r>
    </w:p>
    <w:p w14:paraId="17185897">
      <w:pPr>
        <w:spacing w:line="360" w:lineRule="auto"/>
        <w:ind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11.标函承诺书；</w:t>
      </w:r>
    </w:p>
    <w:p w14:paraId="62FECE95">
      <w:pPr>
        <w:spacing w:line="36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u w:val="single"/>
        </w:rPr>
        <w:t>12</w:t>
      </w:r>
      <w:r>
        <w:rPr>
          <w:rFonts w:hint="eastAsia" w:ascii="宋体" w:hAnsi="宋体" w:eastAsia="宋体" w:cs="宋体"/>
          <w:color w:val="auto"/>
          <w:szCs w:val="21"/>
          <w:highlight w:val="none"/>
          <w:u w:val="single"/>
          <w:lang w:val="en-US" w:eastAsia="zh-CN"/>
        </w:rPr>
        <w:t>中小企业声明函</w:t>
      </w:r>
      <w:r>
        <w:rPr>
          <w:rFonts w:hint="eastAsia" w:ascii="宋体" w:hAnsi="宋体" w:eastAsia="宋体" w:cs="宋体"/>
          <w:color w:val="auto"/>
          <w:sz w:val="21"/>
          <w:szCs w:val="21"/>
          <w:highlight w:val="none"/>
          <w:lang w:val="en-US" w:eastAsia="zh-CN"/>
        </w:rPr>
        <w:t>；</w:t>
      </w:r>
    </w:p>
    <w:p w14:paraId="019BC9B9">
      <w:pPr>
        <w:spacing w:line="360" w:lineRule="auto"/>
        <w:ind w:firstLine="1260" w:firstLineChars="6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13.分包意向协议书(如有)。</w:t>
      </w:r>
    </w:p>
    <w:p w14:paraId="26137674">
      <w:pPr>
        <w:spacing w:line="360" w:lineRule="auto"/>
        <w:jc w:val="left"/>
        <w:rPr>
          <w:rFonts w:hint="eastAsia" w:ascii="宋体" w:hAnsi="宋体" w:eastAsia="宋体" w:cs="宋体"/>
          <w:b/>
          <w:bCs/>
          <w:color w:val="auto"/>
          <w:sz w:val="24"/>
          <w:szCs w:val="24"/>
          <w:highlight w:val="none"/>
        </w:rPr>
      </w:pPr>
    </w:p>
    <w:p w14:paraId="225BA452">
      <w:pPr>
        <w:spacing w:line="360" w:lineRule="auto"/>
        <w:jc w:val="left"/>
        <w:rPr>
          <w:rFonts w:hint="eastAsia" w:ascii="宋体" w:hAnsi="宋体" w:eastAsia="宋体" w:cs="宋体"/>
          <w:b/>
          <w:bCs/>
          <w:color w:val="auto"/>
          <w:sz w:val="24"/>
          <w:szCs w:val="24"/>
          <w:highlight w:val="none"/>
        </w:rPr>
      </w:pPr>
    </w:p>
    <w:p w14:paraId="3F45FF63">
      <w:pPr>
        <w:spacing w:line="360" w:lineRule="auto"/>
        <w:jc w:val="left"/>
        <w:rPr>
          <w:rFonts w:hint="eastAsia" w:ascii="宋体" w:hAnsi="宋体" w:eastAsia="宋体" w:cs="宋体"/>
          <w:b/>
          <w:bCs/>
          <w:color w:val="auto"/>
          <w:sz w:val="24"/>
          <w:szCs w:val="24"/>
          <w:highlight w:val="none"/>
        </w:rPr>
      </w:pPr>
    </w:p>
    <w:p w14:paraId="549125B8">
      <w:pPr>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附件1：  </w:t>
      </w:r>
    </w:p>
    <w:p w14:paraId="32AF302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工程质量保修责任书</w:t>
      </w:r>
    </w:p>
    <w:p w14:paraId="2B71B23A">
      <w:pPr>
        <w:spacing w:line="360" w:lineRule="auto"/>
        <w:rPr>
          <w:rFonts w:hint="eastAsia" w:ascii="宋体" w:hAnsi="宋体" w:eastAsia="宋体" w:cs="宋体"/>
          <w:color w:val="auto"/>
          <w:szCs w:val="21"/>
          <w:highlight w:val="none"/>
        </w:rPr>
      </w:pPr>
    </w:p>
    <w:p w14:paraId="13DAEFF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中新广州知识城财政投资建设项目管理中心</w:t>
      </w:r>
      <w:r>
        <w:rPr>
          <w:rFonts w:hint="eastAsia" w:ascii="宋体" w:hAnsi="宋体" w:eastAsia="宋体" w:cs="宋体"/>
          <w:color w:val="auto"/>
          <w:szCs w:val="21"/>
          <w:highlight w:val="none"/>
        </w:rPr>
        <w:t>。</w:t>
      </w:r>
    </w:p>
    <w:p w14:paraId="6A0956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7FCA88F">
      <w:pPr>
        <w:spacing w:line="360" w:lineRule="auto"/>
        <w:ind w:firstLine="420" w:firstLineChars="200"/>
        <w:rPr>
          <w:rFonts w:hint="eastAsia" w:ascii="宋体" w:hAnsi="宋体" w:eastAsia="宋体" w:cs="宋体"/>
          <w:color w:val="auto"/>
          <w:szCs w:val="21"/>
          <w:highlight w:val="none"/>
        </w:rPr>
      </w:pPr>
    </w:p>
    <w:p w14:paraId="3C9EDB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为保证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在合理使用期限内正常使用，发包人承包人协商一致签订工程质量保修责任书。承包人在质量保修期内按照有关管理规定及双方约定承担本工程质量保修责任。</w:t>
      </w:r>
    </w:p>
    <w:p w14:paraId="60999E95">
      <w:pPr>
        <w:numPr>
          <w:ilvl w:val="0"/>
          <w:numId w:val="0"/>
        </w:numPr>
        <w:tabs>
          <w:tab w:val="left" w:pos="0"/>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一、工程质量保修范围和内容</w:t>
      </w:r>
    </w:p>
    <w:p w14:paraId="45E47F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质量保修范围包括基础工程、主体路基、路面、桥涵构造物工程、给排水、防护工程以及本建设工程施工合同中所含的其它项目。具体质量保修内容双方约定如下：</w:t>
      </w:r>
    </w:p>
    <w:p w14:paraId="5C455AA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按施工合同约定的承包范围内的全部工程内容</w:t>
      </w:r>
      <w:r>
        <w:rPr>
          <w:rFonts w:hint="eastAsia" w:ascii="宋体" w:hAnsi="宋体" w:eastAsia="宋体" w:cs="宋体"/>
          <w:color w:val="auto"/>
          <w:szCs w:val="21"/>
          <w:highlight w:val="none"/>
        </w:rPr>
        <w:t>。</w:t>
      </w:r>
    </w:p>
    <w:p w14:paraId="6FA9E28C">
      <w:pPr>
        <w:numPr>
          <w:ilvl w:val="0"/>
          <w:numId w:val="0"/>
        </w:numPr>
        <w:tabs>
          <w:tab w:val="left" w:pos="960"/>
          <w:tab w:val="left" w:pos="1120"/>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二、质量保修期</w:t>
      </w:r>
    </w:p>
    <w:p w14:paraId="26421F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质量保修期从广州开发区管委会或其相关职能部门批准的提前移交之日或者正式通过竣工验收之日（以先发生日期为准）算起。</w:t>
      </w:r>
    </w:p>
    <w:p w14:paraId="3E26BD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双方根据国家有关规定，结合具体工程约定质量保修期如下：</w:t>
      </w:r>
    </w:p>
    <w:p w14:paraId="0C2EDF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1、基础设施工程、房屋建筑的地基基础和主体结构工程为设计文件规定的该工程合理使用年限；屋面防水工程为</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color w:val="auto"/>
          <w:szCs w:val="21"/>
          <w:highlight w:val="none"/>
        </w:rPr>
        <w:t>年，室外装饰工程为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p>
    <w:p w14:paraId="5CAFBD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2、电力管线、上下水管线安装工程为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p>
    <w:p w14:paraId="3EC00C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3、供热及供冷为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个采暖期及供冷期；</w:t>
      </w:r>
    </w:p>
    <w:p w14:paraId="47D53B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4、室外的上下水和小区道路等市政公用工程为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p>
    <w:p w14:paraId="60C63ED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5、市政道路排水工程为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年，市政供水工程为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6B3435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6、市政供电工程为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年，市政道路照明工程</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年，市政交通设施工程为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p>
    <w:p w14:paraId="0A5F8D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7、园林建筑工程为</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年，喷淋工程为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年，胸径15cm以内（含15cm）的苗木养护期为</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color w:val="auto"/>
          <w:szCs w:val="21"/>
          <w:highlight w:val="none"/>
        </w:rPr>
        <w:t>个月，胸径15cm以上的苗木养护期为</w:t>
      </w:r>
      <w:r>
        <w:rPr>
          <w:rFonts w:hint="eastAsia" w:ascii="宋体" w:hAnsi="宋体" w:eastAsia="宋体" w:cs="宋体"/>
          <w:color w:val="auto"/>
          <w:szCs w:val="21"/>
          <w:highlight w:val="none"/>
          <w:u w:val="single"/>
          <w:lang w:val="en-US" w:eastAsia="zh-CN"/>
        </w:rPr>
        <w:t xml:space="preserve"> 1 </w:t>
      </w:r>
      <w:r>
        <w:rPr>
          <w:rFonts w:hint="eastAsia" w:ascii="宋体" w:hAnsi="宋体" w:eastAsia="宋体" w:cs="宋体"/>
          <w:color w:val="auto"/>
          <w:szCs w:val="21"/>
          <w:highlight w:val="none"/>
        </w:rPr>
        <w:t>年。</w:t>
      </w:r>
    </w:p>
    <w:p w14:paraId="0C07FA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8、其他约定：</w:t>
      </w:r>
      <w:r>
        <w:rPr>
          <w:rFonts w:hint="eastAsia" w:ascii="宋体" w:hAnsi="宋体" w:eastAsia="宋体" w:cs="宋体"/>
          <w:color w:val="auto"/>
          <w:szCs w:val="21"/>
          <w:highlight w:val="none"/>
          <w:u w:val="single"/>
        </w:rPr>
        <w:t>按相关规定执行</w:t>
      </w:r>
      <w:r>
        <w:rPr>
          <w:rFonts w:hint="eastAsia" w:ascii="宋体" w:hAnsi="宋体" w:eastAsia="宋体" w:cs="宋体"/>
          <w:color w:val="auto"/>
          <w:szCs w:val="21"/>
          <w:highlight w:val="none"/>
        </w:rPr>
        <w:t>。</w:t>
      </w:r>
    </w:p>
    <w:p w14:paraId="011B2D6D">
      <w:pPr>
        <w:numPr>
          <w:ilvl w:val="0"/>
          <w:numId w:val="0"/>
        </w:numPr>
        <w:tabs>
          <w:tab w:val="left" w:pos="960"/>
          <w:tab w:val="left" w:pos="1120"/>
        </w:tabs>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三、质量保修责任</w:t>
      </w:r>
    </w:p>
    <w:p w14:paraId="5D90B7A2">
      <w:pPr>
        <w:tabs>
          <w:tab w:val="left" w:pos="98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属于保修范围的内容项目，承包人应在接到修理通知之日后七天内派人员修理。承包人不在约定期内派人修理，发包人可委托其他人员修理，修理费用从质量保修金内扣除。</w:t>
      </w:r>
    </w:p>
    <w:p w14:paraId="02BE210C">
      <w:pPr>
        <w:tabs>
          <w:tab w:val="left" w:pos="98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14:paraId="491CA415">
      <w:pPr>
        <w:tabs>
          <w:tab w:val="left" w:pos="98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39E3FD22">
      <w:pPr>
        <w:numPr>
          <w:ilvl w:val="0"/>
          <w:numId w:val="0"/>
        </w:numPr>
        <w:tabs>
          <w:tab w:val="left" w:pos="960"/>
          <w:tab w:val="left" w:pos="1120"/>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四、质量保修金的支付</w:t>
      </w:r>
    </w:p>
    <w:p w14:paraId="1C8BD0B2">
      <w:pPr>
        <w:spacing w:line="360" w:lineRule="auto"/>
        <w:ind w:firstLine="356" w:firstLineChars="200"/>
        <w:rPr>
          <w:rFonts w:ascii="宋体" w:hAnsi="宋体" w:eastAsia="宋体" w:cs="宋体"/>
          <w:color w:val="auto"/>
          <w:spacing w:val="-32"/>
          <w:szCs w:val="21"/>
          <w:highlight w:val="none"/>
        </w:rPr>
      </w:pPr>
      <w:r>
        <w:rPr>
          <w:rFonts w:hint="eastAsia" w:ascii="宋体" w:hAnsi="宋体" w:eastAsia="宋体" w:cs="宋体"/>
          <w:color w:val="auto"/>
          <w:spacing w:val="-16"/>
          <w:szCs w:val="21"/>
          <w:highlight w:val="none"/>
        </w:rPr>
        <w:t>本工程双方约定工程质量保修金金额为</w:t>
      </w:r>
      <w:r>
        <w:rPr>
          <w:rFonts w:hint="eastAsia" w:ascii="宋体" w:hAnsi="宋体" w:eastAsia="宋体" w:cs="宋体"/>
          <w:color w:val="auto"/>
          <w:szCs w:val="21"/>
          <w:highlight w:val="none"/>
          <w:u w:val="single"/>
        </w:rPr>
        <w:t xml:space="preserve">(大写)    /      </w:t>
      </w:r>
      <w:r>
        <w:rPr>
          <w:rFonts w:hint="eastAsia" w:ascii="宋体" w:hAnsi="宋体" w:eastAsia="宋体" w:cs="宋体"/>
          <w:color w:val="auto"/>
          <w:spacing w:val="-32"/>
          <w:szCs w:val="21"/>
          <w:highlight w:val="none"/>
        </w:rPr>
        <w:t>。</w:t>
      </w:r>
    </w:p>
    <w:p w14:paraId="143F0FE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质量保修金银行利率为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2C6DADD">
      <w:pPr>
        <w:numPr>
          <w:ilvl w:val="0"/>
          <w:numId w:val="0"/>
        </w:numPr>
        <w:tabs>
          <w:tab w:val="left" w:pos="960"/>
          <w:tab w:val="left" w:pos="1120"/>
        </w:tabs>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五、其他</w:t>
      </w:r>
    </w:p>
    <w:p w14:paraId="666E69F1">
      <w:pPr>
        <w:tabs>
          <w:tab w:val="left" w:pos="980"/>
        </w:tabs>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u w:val="single"/>
        </w:rPr>
        <w:t>保留经广州开发区财政局核定的结算总造价的3%作为保修金，在质量缺陷责任期满后结清（不计利息）。</w:t>
      </w:r>
    </w:p>
    <w:p w14:paraId="7CE18A39">
      <w:pPr>
        <w:tabs>
          <w:tab w:val="left" w:pos="9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本工程质量保修责任书作为施工合同附件，由施工合同发包人与承包人双方共同签署。</w:t>
      </w:r>
    </w:p>
    <w:p w14:paraId="44247398">
      <w:pPr>
        <w:pStyle w:val="2"/>
        <w:rPr>
          <w:rFonts w:hint="eastAsia" w:ascii="宋体" w:hAnsi="宋体" w:eastAsia="宋体" w:cs="宋体"/>
          <w:color w:val="auto"/>
          <w:szCs w:val="21"/>
          <w:highlight w:val="none"/>
        </w:rPr>
      </w:pPr>
    </w:p>
    <w:p w14:paraId="5C635365">
      <w:pPr>
        <w:rPr>
          <w:rFonts w:hint="eastAsia" w:ascii="宋体" w:hAnsi="宋体" w:eastAsia="宋体" w:cs="宋体"/>
          <w:color w:val="auto"/>
          <w:szCs w:val="21"/>
          <w:highlight w:val="none"/>
        </w:rPr>
      </w:pPr>
    </w:p>
    <w:p w14:paraId="6189C51C">
      <w:pPr>
        <w:pStyle w:val="2"/>
        <w:rPr>
          <w:color w:val="auto"/>
          <w:highlight w:val="none"/>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981"/>
        <w:gridCol w:w="4981"/>
      </w:tblGrid>
      <w:tr w14:paraId="07BE4FE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6C48EFAC">
            <w:pPr>
              <w:snapToGrid w:val="0"/>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p>
          <w:p w14:paraId="2BC3F0BB">
            <w:pPr>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中新广州知识城财政投资建设项目管理中心（公章）</w:t>
            </w:r>
          </w:p>
        </w:tc>
        <w:tc>
          <w:tcPr>
            <w:tcW w:w="2500" w:type="pct"/>
            <w:tcBorders>
              <w:tl2br w:val="nil"/>
              <w:tr2bl w:val="nil"/>
            </w:tcBorders>
            <w:noWrap w:val="0"/>
            <w:vAlign w:val="top"/>
          </w:tcPr>
          <w:p w14:paraId="282D6C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p>
          <w:p w14:paraId="7BDC2B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tc>
      </w:tr>
      <w:tr w14:paraId="3C85497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3E4EF51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500" w:type="pct"/>
            <w:tcBorders>
              <w:tl2br w:val="nil"/>
              <w:tr2bl w:val="nil"/>
            </w:tcBorders>
            <w:noWrap w:val="0"/>
            <w:vAlign w:val="top"/>
          </w:tcPr>
          <w:p w14:paraId="725804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2C5B73D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3BC748D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00" w:type="pct"/>
            <w:tcBorders>
              <w:tl2br w:val="nil"/>
              <w:tr2bl w:val="nil"/>
            </w:tcBorders>
            <w:noWrap w:val="0"/>
            <w:vAlign w:val="top"/>
          </w:tcPr>
          <w:p w14:paraId="24F0A7B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13AF9CD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5000" w:type="pct"/>
            <w:gridSpan w:val="2"/>
            <w:tcBorders>
              <w:tl2br w:val="nil"/>
              <w:tr2bl w:val="nil"/>
            </w:tcBorders>
            <w:noWrap w:val="0"/>
            <w:vAlign w:val="top"/>
          </w:tcPr>
          <w:p w14:paraId="238C7DD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09B290B5">
            <w:pPr>
              <w:spacing w:line="360" w:lineRule="auto"/>
              <w:jc w:val="left"/>
              <w:rPr>
                <w:rFonts w:hint="eastAsia" w:ascii="宋体" w:hAnsi="宋体" w:eastAsia="宋体" w:cs="宋体"/>
                <w:color w:val="auto"/>
                <w:sz w:val="21"/>
                <w:szCs w:val="21"/>
                <w:highlight w:val="none"/>
              </w:rPr>
            </w:pPr>
          </w:p>
        </w:tc>
      </w:tr>
    </w:tbl>
    <w:p w14:paraId="2F898777">
      <w:pPr>
        <w:spacing w:line="360" w:lineRule="auto"/>
        <w:rPr>
          <w:rFonts w:ascii="宋体" w:hAnsi="宋体" w:eastAsia="宋体" w:cs="宋体"/>
          <w:snapToGrid w:val="0"/>
          <w:color w:val="auto"/>
          <w:szCs w:val="21"/>
          <w:highlight w:val="none"/>
        </w:rPr>
      </w:pPr>
    </w:p>
    <w:p w14:paraId="5AD04B24">
      <w:pPr>
        <w:spacing w:line="360" w:lineRule="auto"/>
        <w:rPr>
          <w:rFonts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附件2：</w:t>
      </w:r>
    </w:p>
    <w:p w14:paraId="3336E05D">
      <w:pPr>
        <w:spacing w:line="360" w:lineRule="auto"/>
        <w:jc w:val="center"/>
        <w:rPr>
          <w:rFonts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履约保函格式</w:t>
      </w:r>
      <w:r>
        <w:rPr>
          <w:rFonts w:hint="eastAsia" w:ascii="宋体" w:hAnsi="宋体" w:eastAsia="宋体" w:cs="宋体"/>
          <w:b/>
          <w:bCs/>
          <w:color w:val="auto"/>
          <w:sz w:val="24"/>
          <w:szCs w:val="24"/>
          <w:highlight w:val="none"/>
        </w:rPr>
        <w:t>（可按实际修改）</w:t>
      </w:r>
    </w:p>
    <w:p w14:paraId="365A6D77">
      <w:pPr>
        <w:spacing w:line="360" w:lineRule="auto"/>
        <w:ind w:firstLine="5812"/>
        <w:contextualSpacing/>
        <w:rPr>
          <w:rFonts w:hint="eastAsia" w:ascii="宋体" w:hAnsi="宋体" w:eastAsia="宋体" w:cs="宋体"/>
          <w:snapToGrid w:val="0"/>
          <w:color w:val="auto"/>
          <w:szCs w:val="21"/>
          <w:highlight w:val="none"/>
        </w:rPr>
      </w:pPr>
    </w:p>
    <w:p w14:paraId="45FDF65B">
      <w:pPr>
        <w:spacing w:line="360" w:lineRule="auto"/>
        <w:ind w:firstLine="5812"/>
        <w:contextualSpacing/>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编号：</w:t>
      </w:r>
    </w:p>
    <w:p w14:paraId="4C8B8269">
      <w:pPr>
        <w:spacing w:line="360" w:lineRule="auto"/>
        <w:rPr>
          <w:rFonts w:ascii="宋体" w:hAnsi="宋体" w:eastAsia="宋体" w:cs="宋体"/>
          <w:snapToGrid w:val="0"/>
          <w:color w:val="auto"/>
          <w:szCs w:val="21"/>
          <w:highlight w:val="none"/>
        </w:rPr>
      </w:pPr>
    </w:p>
    <w:p w14:paraId="3FA80B52">
      <w:pPr>
        <w:spacing w:line="360" w:lineRule="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致：</w:t>
      </w:r>
    </w:p>
    <w:p w14:paraId="02E07C77">
      <w:pPr>
        <w:spacing w:line="360" w:lineRule="auto"/>
        <w:ind w:firstLine="48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rPr>
        <w:t>鉴于</w:t>
      </w:r>
      <w:r>
        <w:rPr>
          <w:rFonts w:hint="eastAsia" w:ascii="宋体" w:hAnsi="宋体" w:eastAsia="宋体" w:cs="宋体"/>
          <w:snapToGrid w:val="0"/>
          <w:color w:val="auto"/>
          <w:szCs w:val="21"/>
          <w:highlight w:val="none"/>
          <w:u w:val="single"/>
        </w:rPr>
        <w:t xml:space="preserve">                  </w:t>
      </w:r>
      <w:r>
        <w:rPr>
          <w:rFonts w:hint="eastAsia" w:ascii="宋体" w:hAnsi="宋体" w:eastAsia="宋体" w:cs="宋体"/>
          <w:snapToGrid w:val="0"/>
          <w:color w:val="auto"/>
          <w:szCs w:val="21"/>
          <w:highlight w:val="none"/>
        </w:rPr>
        <w:t xml:space="preserve">（以下称“承包人”）与 </w:t>
      </w:r>
      <w:r>
        <w:rPr>
          <w:rFonts w:hint="eastAsia" w:ascii="宋体" w:hAnsi="宋体" w:eastAsia="宋体" w:cs="宋体"/>
          <w:snapToGrid w:val="0"/>
          <w:color w:val="auto"/>
          <w:szCs w:val="21"/>
          <w:highlight w:val="none"/>
          <w:u w:val="single"/>
        </w:rPr>
        <w:t xml:space="preserve">                         </w:t>
      </w:r>
      <w:r>
        <w:rPr>
          <w:rFonts w:hint="eastAsia" w:ascii="宋体" w:hAnsi="宋体" w:eastAsia="宋体" w:cs="宋体"/>
          <w:snapToGrid w:val="0"/>
          <w:color w:val="auto"/>
          <w:szCs w:val="21"/>
          <w:highlight w:val="none"/>
        </w:rPr>
        <w:t>（以下称“发包人”）签订了《</w:t>
      </w:r>
      <w:r>
        <w:rPr>
          <w:rFonts w:hint="eastAsia" w:ascii="宋体" w:hAnsi="宋体" w:eastAsia="宋体" w:cs="宋体"/>
          <w:snapToGrid w:val="0"/>
          <w:color w:val="auto"/>
          <w:szCs w:val="21"/>
          <w:highlight w:val="none"/>
          <w:u w:val="single"/>
        </w:rPr>
        <w:t xml:space="preserve">                                  施工合同</w:t>
      </w:r>
      <w:r>
        <w:rPr>
          <w:rFonts w:hint="eastAsia" w:ascii="宋体" w:hAnsi="宋体" w:eastAsia="宋体" w:cs="宋体"/>
          <w:snapToGrid w:val="0"/>
          <w:color w:val="auto"/>
          <w:szCs w:val="21"/>
          <w:highlight w:val="none"/>
        </w:rPr>
        <w:t>》（合同编号为     ） ，</w:t>
      </w:r>
      <w:r>
        <w:rPr>
          <w:rFonts w:hint="eastAsia" w:ascii="宋体" w:hAnsi="宋体" w:eastAsia="宋体" w:cs="宋体"/>
          <w:color w:val="auto"/>
          <w:szCs w:val="21"/>
          <w:highlight w:val="none"/>
        </w:rPr>
        <w:t>并要求承包人通过经认可的银行（可按实际修改）向发包人提交合同规定金额的保函（可按实际修改），作为承包人履行本合同责任的担保等事实，</w:t>
      </w:r>
      <w:r>
        <w:rPr>
          <w:rFonts w:hint="eastAsia" w:ascii="宋体" w:hAnsi="宋体" w:eastAsia="宋体" w:cs="宋体"/>
          <w:snapToGrid w:val="0"/>
          <w:color w:val="auto"/>
          <w:szCs w:val="21"/>
          <w:highlight w:val="none"/>
        </w:rPr>
        <w:t>我行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同意为承包人出具</w:t>
      </w:r>
      <w:r>
        <w:rPr>
          <w:rFonts w:hint="eastAsia" w:ascii="宋体" w:hAnsi="宋体" w:eastAsia="宋体" w:cs="宋体"/>
          <w:snapToGrid w:val="0"/>
          <w:color w:val="auto"/>
          <w:szCs w:val="21"/>
          <w:highlight w:val="none"/>
        </w:rPr>
        <w:t>人民币</w:t>
      </w:r>
      <w:r>
        <w:rPr>
          <w:rFonts w:hint="eastAsia" w:ascii="宋体" w:hAnsi="宋体" w:eastAsia="宋体" w:cs="宋体"/>
          <w:b/>
          <w:snapToGrid w:val="0"/>
          <w:color w:val="auto"/>
          <w:szCs w:val="21"/>
          <w:highlight w:val="none"/>
          <w:u w:val="single"/>
        </w:rPr>
        <w:t xml:space="preserve">               </w:t>
      </w:r>
      <w:r>
        <w:rPr>
          <w:rFonts w:hint="eastAsia" w:ascii="宋体" w:hAnsi="宋体" w:eastAsia="宋体" w:cs="宋体"/>
          <w:b/>
          <w:snapToGrid w:val="0"/>
          <w:color w:val="auto"/>
          <w:szCs w:val="21"/>
          <w:highlight w:val="none"/>
        </w:rPr>
        <w:t>（￥</w:t>
      </w:r>
      <w:r>
        <w:rPr>
          <w:rFonts w:hint="eastAsia" w:ascii="宋体" w:hAnsi="宋体" w:eastAsia="宋体" w:cs="宋体"/>
          <w:b/>
          <w:snapToGrid w:val="0"/>
          <w:color w:val="auto"/>
          <w:szCs w:val="21"/>
          <w:highlight w:val="none"/>
          <w:u w:val="single"/>
        </w:rPr>
        <w:t xml:space="preserve">       元</w:t>
      </w:r>
      <w:r>
        <w:rPr>
          <w:rFonts w:hint="eastAsia" w:ascii="宋体" w:hAnsi="宋体" w:eastAsia="宋体" w:cs="宋体"/>
          <w:b/>
          <w:snapToGrid w:val="0"/>
          <w:color w:val="auto"/>
          <w:szCs w:val="21"/>
          <w:highlight w:val="none"/>
        </w:rPr>
        <w:t>）</w:t>
      </w:r>
      <w:r>
        <w:rPr>
          <w:rFonts w:hint="eastAsia" w:ascii="宋体" w:hAnsi="宋体" w:eastAsia="宋体" w:cs="宋体"/>
          <w:snapToGrid w:val="0"/>
          <w:color w:val="auto"/>
          <w:szCs w:val="21"/>
          <w:highlight w:val="none"/>
          <w:lang w:val="zh-CN"/>
        </w:rPr>
        <w:t>的保函</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作为承包人向发包人履约的担保。</w:t>
      </w:r>
    </w:p>
    <w:p w14:paraId="77CBAE54">
      <w:pPr>
        <w:tabs>
          <w:tab w:val="center" w:pos="4560"/>
        </w:tabs>
        <w:autoSpaceDE w:val="0"/>
        <w:autoSpaceDN w:val="0"/>
        <w:spacing w:line="360" w:lineRule="auto"/>
        <w:ind w:firstLine="48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我行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承诺如下：</w:t>
      </w:r>
      <w:r>
        <w:rPr>
          <w:rFonts w:hint="eastAsia" w:ascii="宋体" w:hAnsi="宋体" w:eastAsia="宋体" w:cs="宋体"/>
          <w:snapToGrid w:val="0"/>
          <w:color w:val="auto"/>
          <w:szCs w:val="21"/>
          <w:highlight w:val="none"/>
          <w:lang w:val="zh-CN"/>
        </w:rPr>
        <w:tab/>
      </w:r>
    </w:p>
    <w:p w14:paraId="14DC30B8">
      <w:pPr>
        <w:autoSpaceDE w:val="0"/>
        <w:autoSpaceDN w:val="0"/>
        <w:spacing w:line="360" w:lineRule="auto"/>
        <w:ind w:firstLine="48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1、本行无条件、不可撤销、见索即付的按发包人书面索赔通知和本保函</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原件立即支付累计不超过上述金额的任何款项，无需发包人出具任何证明或说明背景、理由。</w:t>
      </w:r>
    </w:p>
    <w:p w14:paraId="0BD2DAC5">
      <w:pPr>
        <w:autoSpaceDE w:val="0"/>
        <w:autoSpaceDN w:val="0"/>
        <w:spacing w:line="360" w:lineRule="auto"/>
        <w:ind w:firstLine="48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2、我行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放弃发包人应先向承包人要求赔偿上述金额然后再向我行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提出要求的权利。</w:t>
      </w:r>
    </w:p>
    <w:p w14:paraId="089E84CC">
      <w:pPr>
        <w:autoSpaceDE w:val="0"/>
        <w:autoSpaceDN w:val="0"/>
        <w:spacing w:line="360" w:lineRule="auto"/>
        <w:ind w:firstLine="48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3、我行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进一步同意，在发包人和承包人之间的合同条件、合同项下的工程或合同发生变化、补充或修改，</w:t>
      </w:r>
      <w:r>
        <w:rPr>
          <w:rFonts w:hint="eastAsia" w:ascii="宋体" w:hAnsi="宋体" w:eastAsia="宋体" w:cs="宋体"/>
          <w:snapToGrid w:val="0"/>
          <w:color w:val="auto"/>
          <w:szCs w:val="21"/>
          <w:highlight w:val="none"/>
        </w:rPr>
        <w:t>在不加重我行担保责任的情况下，</w:t>
      </w:r>
      <w:r>
        <w:rPr>
          <w:rFonts w:hint="eastAsia" w:ascii="宋体" w:hAnsi="宋体" w:eastAsia="宋体" w:cs="宋体"/>
          <w:snapToGrid w:val="0"/>
          <w:color w:val="auto"/>
          <w:szCs w:val="21"/>
          <w:highlight w:val="none"/>
          <w:lang w:val="zh-CN"/>
        </w:rPr>
        <w:t>我行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承担本保函的责任也不改变。有关上述变化、补充和修改也无须通知我行。</w:t>
      </w:r>
    </w:p>
    <w:p w14:paraId="260081B9">
      <w:pPr>
        <w:spacing w:line="360" w:lineRule="auto"/>
        <w:ind w:firstLine="480"/>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4、我行（可按实际修改）的保证期限为：</w:t>
      </w:r>
      <w:r>
        <w:rPr>
          <w:rFonts w:hint="eastAsia" w:ascii="宋体" w:hAnsi="宋体" w:eastAsia="宋体" w:cs="宋体"/>
          <w:snapToGrid w:val="0"/>
          <w:color w:val="auto"/>
          <w:szCs w:val="21"/>
          <w:highlight w:val="none"/>
          <w:lang w:val="zh-CN"/>
        </w:rPr>
        <w:t>自本保函开立之日起</w:t>
      </w:r>
      <w:r>
        <w:rPr>
          <w:rFonts w:hint="eastAsia" w:ascii="宋体" w:hAnsi="宋体" w:eastAsia="宋体" w:cs="宋体"/>
          <w:color w:val="auto"/>
          <w:szCs w:val="21"/>
          <w:highlight w:val="none"/>
        </w:rPr>
        <w:t>至承包人收到业主颁发的最终工程竣工验收证明之日止。</w:t>
      </w:r>
    </w:p>
    <w:p w14:paraId="0013904E">
      <w:pPr>
        <w:autoSpaceDE w:val="0"/>
        <w:autoSpaceDN w:val="0"/>
        <w:spacing w:line="360" w:lineRule="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 xml:space="preserve">      5、因本保函</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rPr>
        <w:t>发生诉讼的，由工程所在地人民法院管辖。</w:t>
      </w:r>
    </w:p>
    <w:p w14:paraId="5A29604D">
      <w:pPr>
        <w:autoSpaceDE w:val="0"/>
        <w:autoSpaceDN w:val="0"/>
        <w:spacing w:line="360" w:lineRule="auto"/>
        <w:rPr>
          <w:rFonts w:ascii="宋体" w:hAnsi="宋体" w:eastAsia="宋体" w:cs="宋体"/>
          <w:snapToGrid w:val="0"/>
          <w:color w:val="auto"/>
          <w:szCs w:val="21"/>
          <w:highlight w:val="none"/>
          <w:lang w:val="zh-CN"/>
        </w:rPr>
      </w:pPr>
    </w:p>
    <w:p w14:paraId="7A750FB6">
      <w:pPr>
        <w:autoSpaceDE w:val="0"/>
        <w:autoSpaceDN w:val="0"/>
        <w:spacing w:line="360" w:lineRule="auto"/>
        <w:ind w:firstLine="2100" w:firstLineChars="1000"/>
        <w:rPr>
          <w:rFonts w:ascii="宋体" w:hAnsi="宋体" w:eastAsia="宋体" w:cs="宋体"/>
          <w:snapToGrid w:val="0"/>
          <w:color w:val="auto"/>
          <w:szCs w:val="21"/>
          <w:highlight w:val="none"/>
          <w:lang w:val="zh-CN"/>
        </w:rPr>
      </w:pPr>
    </w:p>
    <w:p w14:paraId="756A13F7">
      <w:pPr>
        <w:autoSpaceDE w:val="0"/>
        <w:autoSpaceDN w:val="0"/>
        <w:spacing w:line="360" w:lineRule="auto"/>
        <w:ind w:firstLine="2100" w:firstLineChars="1000"/>
        <w:rPr>
          <w:rFonts w:ascii="宋体" w:hAnsi="宋体" w:eastAsia="宋体" w:cs="宋体"/>
          <w:snapToGrid w:val="0"/>
          <w:color w:val="auto"/>
          <w:szCs w:val="21"/>
          <w:highlight w:val="none"/>
          <w:lang w:val="zh-CN"/>
        </w:rPr>
      </w:pPr>
    </w:p>
    <w:p w14:paraId="2361E6B2">
      <w:pPr>
        <w:autoSpaceDE w:val="0"/>
        <w:autoSpaceDN w:val="0"/>
        <w:spacing w:line="360" w:lineRule="auto"/>
        <w:ind w:firstLine="2100" w:firstLineChars="100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银行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名称：（盖章）</w:t>
      </w:r>
    </w:p>
    <w:p w14:paraId="0877C5E4">
      <w:pPr>
        <w:autoSpaceDE w:val="0"/>
        <w:autoSpaceDN w:val="0"/>
        <w:spacing w:line="360" w:lineRule="auto"/>
        <w:ind w:firstLine="2100" w:firstLineChars="100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银行</w:t>
      </w:r>
      <w:r>
        <w:rPr>
          <w:rFonts w:hint="eastAsia" w:ascii="宋体" w:hAnsi="宋体" w:eastAsia="宋体" w:cs="宋体"/>
          <w:color w:val="auto"/>
          <w:szCs w:val="21"/>
          <w:highlight w:val="none"/>
        </w:rPr>
        <w:t>（可按实际修改）</w:t>
      </w:r>
      <w:r>
        <w:rPr>
          <w:rFonts w:hint="eastAsia" w:ascii="宋体" w:hAnsi="宋体" w:eastAsia="宋体" w:cs="宋体"/>
          <w:snapToGrid w:val="0"/>
          <w:color w:val="auto"/>
          <w:szCs w:val="21"/>
          <w:highlight w:val="none"/>
          <w:lang w:val="zh-CN"/>
        </w:rPr>
        <w:t>负责人（或委托代理人）：</w:t>
      </w:r>
    </w:p>
    <w:p w14:paraId="1DB6819B">
      <w:pPr>
        <w:autoSpaceDE w:val="0"/>
        <w:autoSpaceDN w:val="0"/>
        <w:spacing w:line="360" w:lineRule="auto"/>
        <w:ind w:firstLine="4095" w:firstLineChars="195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地址：</w:t>
      </w:r>
    </w:p>
    <w:p w14:paraId="67497390">
      <w:pPr>
        <w:autoSpaceDE w:val="0"/>
        <w:autoSpaceDN w:val="0"/>
        <w:spacing w:line="360" w:lineRule="auto"/>
        <w:ind w:firstLine="4095" w:firstLineChars="195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邮政编码：</w:t>
      </w:r>
    </w:p>
    <w:p w14:paraId="139E8830">
      <w:pPr>
        <w:autoSpaceDE w:val="0"/>
        <w:autoSpaceDN w:val="0"/>
        <w:spacing w:line="360" w:lineRule="auto"/>
        <w:ind w:firstLine="4095" w:firstLineChars="195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联系电话：</w:t>
      </w:r>
    </w:p>
    <w:p w14:paraId="4EC95B37">
      <w:pPr>
        <w:spacing w:line="360" w:lineRule="auto"/>
        <w:ind w:firstLine="3570" w:firstLineChars="1700"/>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日期：</w:t>
      </w:r>
      <w:r>
        <w:rPr>
          <w:rFonts w:hint="eastAsia" w:ascii="宋体" w:hAnsi="宋体" w:eastAsia="宋体" w:cs="宋体"/>
          <w:snapToGrid w:val="0"/>
          <w:color w:val="auto"/>
          <w:szCs w:val="21"/>
          <w:highlight w:val="none"/>
          <w:u w:val="single"/>
          <w:lang w:val="zh-CN"/>
        </w:rPr>
        <w:t xml:space="preserve">    </w:t>
      </w:r>
      <w:r>
        <w:rPr>
          <w:rFonts w:hint="eastAsia" w:ascii="宋体" w:hAnsi="宋体" w:eastAsia="宋体" w:cs="宋体"/>
          <w:snapToGrid w:val="0"/>
          <w:color w:val="auto"/>
          <w:szCs w:val="21"/>
          <w:highlight w:val="none"/>
          <w:lang w:val="zh-CN"/>
        </w:rPr>
        <w:t>年</w:t>
      </w:r>
      <w:r>
        <w:rPr>
          <w:rFonts w:hint="eastAsia" w:ascii="宋体" w:hAnsi="宋体" w:eastAsia="宋体" w:cs="宋体"/>
          <w:snapToGrid w:val="0"/>
          <w:color w:val="auto"/>
          <w:szCs w:val="21"/>
          <w:highlight w:val="none"/>
          <w:u w:val="single"/>
          <w:lang w:val="zh-CN"/>
        </w:rPr>
        <w:t xml:space="preserve">   </w:t>
      </w:r>
      <w:r>
        <w:rPr>
          <w:rFonts w:hint="eastAsia" w:ascii="宋体" w:hAnsi="宋体" w:eastAsia="宋体" w:cs="宋体"/>
          <w:snapToGrid w:val="0"/>
          <w:color w:val="auto"/>
          <w:szCs w:val="21"/>
          <w:highlight w:val="none"/>
          <w:lang w:val="zh-CN"/>
        </w:rPr>
        <w:t>月</w:t>
      </w:r>
      <w:r>
        <w:rPr>
          <w:rFonts w:hint="eastAsia" w:ascii="宋体" w:hAnsi="宋体" w:eastAsia="宋体" w:cs="宋体"/>
          <w:snapToGrid w:val="0"/>
          <w:color w:val="auto"/>
          <w:szCs w:val="21"/>
          <w:highlight w:val="none"/>
          <w:u w:val="single"/>
          <w:lang w:val="zh-CN"/>
        </w:rPr>
        <w:t xml:space="preserve">   </w:t>
      </w:r>
      <w:r>
        <w:rPr>
          <w:rFonts w:hint="eastAsia" w:ascii="宋体" w:hAnsi="宋体" w:eastAsia="宋体" w:cs="宋体"/>
          <w:snapToGrid w:val="0"/>
          <w:color w:val="auto"/>
          <w:szCs w:val="21"/>
          <w:highlight w:val="none"/>
          <w:lang w:val="zh-CN"/>
        </w:rPr>
        <w:t>日</w:t>
      </w:r>
    </w:p>
    <w:p w14:paraId="53893C7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w:t>
      </w:r>
    </w:p>
    <w:p w14:paraId="5E661D4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施工单位投入本工程管理架构表</w:t>
      </w:r>
    </w:p>
    <w:p w14:paraId="74A2D12C">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按投标文件格式</w:t>
      </w:r>
      <w:r>
        <w:rPr>
          <w:rFonts w:hint="eastAsia" w:ascii="宋体" w:hAnsi="宋体" w:eastAsia="宋体" w:cs="宋体"/>
          <w:b/>
          <w:bCs/>
          <w:color w:val="auto"/>
          <w:sz w:val="24"/>
          <w:szCs w:val="24"/>
          <w:highlight w:val="none"/>
          <w:lang w:eastAsia="zh-CN"/>
        </w:rPr>
        <w:t>）</w:t>
      </w:r>
    </w:p>
    <w:p w14:paraId="06DD0CD6">
      <w:pPr>
        <w:spacing w:line="360" w:lineRule="auto"/>
        <w:rPr>
          <w:rFonts w:ascii="宋体" w:hAnsi="宋体" w:eastAsia="宋体" w:cs="宋体"/>
          <w:color w:val="auto"/>
          <w:szCs w:val="21"/>
          <w:highlight w:val="none"/>
        </w:rPr>
      </w:pPr>
    </w:p>
    <w:p w14:paraId="66DAF329">
      <w:pPr>
        <w:spacing w:line="360" w:lineRule="auto"/>
        <w:rPr>
          <w:rFonts w:ascii="宋体" w:hAnsi="宋体" w:eastAsia="宋体" w:cs="宋体"/>
          <w:color w:val="auto"/>
          <w:szCs w:val="21"/>
          <w:highlight w:val="none"/>
        </w:rPr>
      </w:pPr>
    </w:p>
    <w:p w14:paraId="606F2A47">
      <w:pPr>
        <w:spacing w:line="560" w:lineRule="exact"/>
        <w:rPr>
          <w:rFonts w:ascii="宋体" w:hAnsi="宋体" w:eastAsia="宋体" w:cs="宋体"/>
          <w:b/>
          <w:bCs/>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附件4：</w:t>
      </w:r>
    </w:p>
    <w:p w14:paraId="25EA553D">
      <w:pPr>
        <w:spacing w:line="560" w:lineRule="exact"/>
        <w:jc w:val="center"/>
        <w:rPr>
          <w:rFonts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工程建设项目廉政责任书</w:t>
      </w:r>
    </w:p>
    <w:p w14:paraId="64211460">
      <w:pPr>
        <w:spacing w:line="560" w:lineRule="exact"/>
        <w:ind w:left="495" w:hanging="495"/>
        <w:rPr>
          <w:rFonts w:hint="eastAsia" w:ascii="宋体" w:hAnsi="宋体" w:eastAsia="宋体" w:cs="宋体"/>
          <w:color w:val="auto"/>
          <w:szCs w:val="21"/>
          <w:highlight w:val="none"/>
        </w:rPr>
      </w:pPr>
    </w:p>
    <w:p w14:paraId="09A03FCA">
      <w:pPr>
        <w:spacing w:line="560" w:lineRule="exact"/>
        <w:ind w:left="495" w:hanging="495"/>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工程项目名称：</w:t>
      </w:r>
      <w:r>
        <w:rPr>
          <w:rFonts w:hint="eastAsia" w:ascii="宋体" w:hAnsi="宋体" w:eastAsia="宋体" w:cs="宋体"/>
          <w:color w:val="auto"/>
          <w:szCs w:val="21"/>
          <w:highlight w:val="none"/>
          <w:u w:val="single"/>
          <w:lang w:val="en-US" w:eastAsia="zh-CN"/>
        </w:rPr>
        <w:t xml:space="preserve"> </w:t>
      </w:r>
    </w:p>
    <w:p w14:paraId="4E9AD87E">
      <w:pPr>
        <w:spacing w:line="5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工程项目地址：</w:t>
      </w:r>
      <w:r>
        <w:rPr>
          <w:rFonts w:hint="eastAsia" w:ascii="宋体" w:hAnsi="宋体" w:eastAsia="宋体" w:cs="宋体"/>
          <w:color w:val="auto"/>
          <w:szCs w:val="21"/>
          <w:highlight w:val="none"/>
          <w:u w:val="single"/>
        </w:rPr>
        <w:t>广州市黄埔区</w:t>
      </w:r>
      <w:r>
        <w:rPr>
          <w:rFonts w:hint="eastAsia" w:ascii="宋体" w:hAnsi="宋体" w:eastAsia="宋体" w:cs="宋体"/>
          <w:color w:val="auto"/>
          <w:szCs w:val="21"/>
          <w:highlight w:val="none"/>
        </w:rPr>
        <w:t xml:space="preserve"> </w:t>
      </w:r>
    </w:p>
    <w:p w14:paraId="08FB7625">
      <w:pPr>
        <w:spacing w:line="5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委托人（甲方）：</w:t>
      </w:r>
      <w:r>
        <w:rPr>
          <w:rFonts w:hint="eastAsia" w:ascii="宋体" w:hAnsi="宋体" w:eastAsia="宋体" w:cs="宋体"/>
          <w:color w:val="auto"/>
          <w:szCs w:val="21"/>
          <w:highlight w:val="none"/>
          <w:u w:val="single"/>
        </w:rPr>
        <w:t>中新广州知识城财政投资建设项目管理中心</w:t>
      </w:r>
    </w:p>
    <w:p w14:paraId="1212DEC5">
      <w:pPr>
        <w:spacing w:line="5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承包人（乙方）：</w:t>
      </w:r>
      <w:r>
        <w:rPr>
          <w:rFonts w:hint="eastAsia" w:ascii="宋体" w:hAnsi="宋体" w:eastAsia="宋体" w:cs="宋体"/>
          <w:color w:val="auto"/>
          <w:szCs w:val="21"/>
          <w:highlight w:val="none"/>
          <w:u w:val="single"/>
          <w:lang w:val="en-US" w:eastAsia="zh-CN"/>
        </w:rPr>
        <w:t xml:space="preserve"> </w:t>
      </w:r>
    </w:p>
    <w:p w14:paraId="3B491CF4">
      <w:pPr>
        <w:spacing w:line="5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4BC55F3">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643BF069">
      <w:pPr>
        <w:spacing w:line="560" w:lineRule="exact"/>
        <w:ind w:firstLine="422" w:firstLineChars="200"/>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第一条 甲、乙双方的责任</w:t>
      </w:r>
    </w:p>
    <w:p w14:paraId="6D7DEB4E">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（一）应严格遵守国家关于市场准入、项目招标投标、工程建设和市场活动等有关法律、法规、相关政策，以及廉政建设的各项规定。</w:t>
      </w:r>
    </w:p>
    <w:p w14:paraId="6A13C6B0">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（二）严格执行建设工程项目承发包合同文件，自觉按合同办事。</w:t>
      </w:r>
    </w:p>
    <w:p w14:paraId="2909F0A0">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（三）业务活动必须坚持公开、公平、公正、诚信、透明的原则（除法律法规另有规定者外），不得为获取不正当的利益，损害国家、集体和对方利益，不得违反工程建设过程管理的规章制度。</w:t>
      </w:r>
    </w:p>
    <w:p w14:paraId="0A4FCF74">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（四）发现对方在业务活动中有违规、违纪、违法行为的，应及时提醒对方，情节严重的，应向其上级主管部门或纪检监察、司法等有关机关举报。</w:t>
      </w:r>
    </w:p>
    <w:p w14:paraId="76794368">
      <w:pPr>
        <w:spacing w:line="560" w:lineRule="exact"/>
        <w:ind w:firstLine="422" w:firstLineChars="200"/>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第二条 甲方的责任</w:t>
      </w:r>
    </w:p>
    <w:p w14:paraId="37652645">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甲方的领导和从事本建设工程项目的工作人员，在工程建设的事前、事中、事后应遵守以下规定：</w:t>
      </w:r>
    </w:p>
    <w:p w14:paraId="6FA20035">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（一）不准向乙方和相关单位索要或接受回扣、礼金、有价证券、贵重物品和好处费、感谢费等。</w:t>
      </w:r>
    </w:p>
    <w:p w14:paraId="2D9A0600">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（二）不准在乙方和相关单位报销任何应由甲方或个人支付的费用。</w:t>
      </w:r>
    </w:p>
    <w:p w14:paraId="0D3B435F">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（三）不准要求、暗示或接受乙方和相关单位为个人装修住房、婚丧嫁娶、配偶子女的工作安排以及出国（境）、旅游等提供方便。</w:t>
      </w:r>
    </w:p>
    <w:p w14:paraId="3AE0CE40">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（四）不准参加有可能影响公正执行公务的乙方及相关单位的宴请、健身、娱乐等活动。</w:t>
      </w:r>
    </w:p>
    <w:p w14:paraId="488B19DA">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（五）不准向乙方介绍或为配偶、子女、亲属参与同甲方项目工程合同有关的设备、材料、工程分包、劳务等经济活动。不得以任何理由向乙方和相关单位推荐分包单位。</w:t>
      </w:r>
    </w:p>
    <w:p w14:paraId="0E4F0090">
      <w:pPr>
        <w:spacing w:line="560" w:lineRule="exact"/>
        <w:ind w:firstLine="422" w:firstLineChars="200"/>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第三条 乙方的责任</w:t>
      </w:r>
    </w:p>
    <w:p w14:paraId="7F94A746">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应与甲方保持正常的业务交往，按照有关法律法规和程序开展业务工作，严格执行工程建设过程管理的有关方针、政策，尤其是强制性标准和规范，并遵守以下规定：</w:t>
      </w:r>
    </w:p>
    <w:p w14:paraId="2BA06730">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（一）不准以任何理由向甲方、相关单位及其工作人员索要、接受或赠送礼金、有价证券、贵重物品及回扣、好处费、感谢费等。</w:t>
      </w:r>
    </w:p>
    <w:p w14:paraId="4B4FD3B6">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（二）不准以任何理由为甲方和相关单位报销应由对方或个人支付的费用。</w:t>
      </w:r>
    </w:p>
    <w:p w14:paraId="2411CA83">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（三）不准接受或暗示为甲方、相关单位或个人装修住房、婚丧嫁娶、配偶子女的工作安排以及出国（境）、旅游等提供方便。</w:t>
      </w:r>
    </w:p>
    <w:p w14:paraId="55E76AF4">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（四）不准以任何理由为甲方、相关单位或个人组织有可能影响公正执行公务的宴请、健身、娱乐等活动。</w:t>
      </w:r>
    </w:p>
    <w:p w14:paraId="52531425">
      <w:pPr>
        <w:spacing w:line="560" w:lineRule="exact"/>
        <w:ind w:firstLine="422" w:firstLineChars="200"/>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第四条 违约责任</w:t>
      </w:r>
    </w:p>
    <w:p w14:paraId="5D00BE6F">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16426849">
      <w:pPr>
        <w:spacing w:line="560" w:lineRule="exact"/>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7B63B309">
      <w:pPr>
        <w:spacing w:line="560" w:lineRule="exact"/>
        <w:ind w:firstLine="422" w:firstLineChars="200"/>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 xml:space="preserve">第五条 </w:t>
      </w:r>
      <w:r>
        <w:rPr>
          <w:rFonts w:hint="eastAsia" w:ascii="宋体" w:hAnsi="宋体" w:eastAsia="宋体" w:cs="宋体"/>
          <w:snapToGrid w:val="0"/>
          <w:color w:val="auto"/>
          <w:kern w:val="0"/>
          <w:szCs w:val="21"/>
          <w:highlight w:val="none"/>
        </w:rPr>
        <w:t>本廉政责任书作为合同的附件，与合同具有同等法律效力。经双方签署后立即生效。</w:t>
      </w:r>
    </w:p>
    <w:p w14:paraId="3B167E93">
      <w:pPr>
        <w:adjustRightInd/>
        <w:snapToGrid/>
        <w:spacing w:line="560" w:lineRule="exact"/>
        <w:ind w:firstLine="422" w:firstLineChars="200"/>
        <w:rPr>
          <w:rFonts w:hint="eastAsia" w:ascii="宋体" w:hAnsi="宋体" w:eastAsia="宋体" w:cs="宋体"/>
          <w:snapToGrid w:val="0"/>
          <w:color w:val="auto"/>
          <w:kern w:val="0"/>
          <w:szCs w:val="21"/>
          <w:highlight w:val="none"/>
        </w:rPr>
      </w:pPr>
      <w:r>
        <w:rPr>
          <w:rFonts w:hint="eastAsia" w:ascii="宋体" w:hAnsi="宋体" w:eastAsia="宋体" w:cs="宋体"/>
          <w:b/>
          <w:snapToGrid w:val="0"/>
          <w:color w:val="auto"/>
          <w:kern w:val="0"/>
          <w:szCs w:val="21"/>
          <w:highlight w:val="none"/>
        </w:rPr>
        <w:t xml:space="preserve">第六条 </w:t>
      </w:r>
      <w:r>
        <w:rPr>
          <w:rFonts w:hint="eastAsia" w:ascii="宋体" w:hAnsi="宋体" w:eastAsia="宋体" w:cs="宋体"/>
          <w:snapToGrid w:val="0"/>
          <w:color w:val="auto"/>
          <w:kern w:val="0"/>
          <w:szCs w:val="21"/>
          <w:highlight w:val="none"/>
        </w:rPr>
        <w:t>本廉政责任书的有效期与合同的有效期相同。</w:t>
      </w:r>
    </w:p>
    <w:p w14:paraId="5C316596">
      <w:pPr>
        <w:adjustRightInd/>
        <w:snapToGrid/>
        <w:spacing w:line="560" w:lineRule="exact"/>
        <w:ind w:firstLine="422"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b/>
          <w:bCs/>
          <w:snapToGrid w:val="0"/>
          <w:color w:val="auto"/>
          <w:kern w:val="0"/>
          <w:szCs w:val="21"/>
          <w:highlight w:val="none"/>
          <w:lang w:val="en-US" w:eastAsia="zh-CN"/>
        </w:rPr>
        <w:t>第七条</w:t>
      </w:r>
      <w:r>
        <w:rPr>
          <w:rFonts w:hint="eastAsia" w:ascii="宋体" w:hAnsi="宋体" w:eastAsia="宋体" w:cs="宋体"/>
          <w:snapToGrid w:val="0"/>
          <w:color w:val="auto"/>
          <w:kern w:val="0"/>
          <w:szCs w:val="21"/>
          <w:highlight w:val="none"/>
        </w:rPr>
        <w:t xml:space="preserve"> 本廉政责任书一式十四份，</w:t>
      </w:r>
      <w:r>
        <w:rPr>
          <w:rFonts w:hint="eastAsia" w:ascii="宋体" w:hAnsi="宋体" w:eastAsia="宋体" w:cs="宋体"/>
          <w:bCs/>
          <w:snapToGrid w:val="0"/>
          <w:color w:val="auto"/>
          <w:kern w:val="0"/>
          <w:szCs w:val="21"/>
          <w:highlight w:val="none"/>
        </w:rPr>
        <w:t>甲方执十份，乙方执四份。</w:t>
      </w:r>
    </w:p>
    <w:p w14:paraId="55D786C7">
      <w:pPr>
        <w:spacing w:line="560" w:lineRule="exact"/>
        <w:ind w:firstLine="0" w:firstLineChars="0"/>
        <w:rPr>
          <w:rFonts w:ascii="宋体" w:hAnsi="宋体" w:eastAsia="宋体" w:cs="宋体"/>
          <w:snapToGrid w:val="0"/>
          <w:color w:val="auto"/>
          <w:kern w:val="0"/>
          <w:szCs w:val="21"/>
          <w:highlight w:val="none"/>
        </w:rPr>
      </w:pPr>
    </w:p>
    <w:p w14:paraId="7B5EF44B">
      <w:pPr>
        <w:spacing w:line="360" w:lineRule="auto"/>
        <w:ind w:right="11"/>
        <w:rPr>
          <w:rFonts w:ascii="宋体" w:hAnsi="宋体" w:eastAsia="宋体" w:cs="宋体"/>
          <w:color w:val="auto"/>
          <w:szCs w:val="21"/>
          <w:highlight w:val="none"/>
        </w:rPr>
      </w:pPr>
    </w:p>
    <w:p w14:paraId="5E30915A">
      <w:pPr>
        <w:pStyle w:val="8"/>
        <w:rPr>
          <w:color w:val="auto"/>
          <w:highlight w:val="none"/>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981"/>
        <w:gridCol w:w="4981"/>
      </w:tblGrid>
      <w:tr w14:paraId="6A5FE78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1CC96805">
            <w:pPr>
              <w:snapToGrid w:val="0"/>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委托</w:t>
            </w:r>
            <w:r>
              <w:rPr>
                <w:rFonts w:hint="eastAsia" w:ascii="宋体" w:hAnsi="宋体" w:eastAsia="宋体" w:cs="宋体"/>
                <w:color w:val="auto"/>
                <w:sz w:val="21"/>
                <w:szCs w:val="21"/>
                <w:highlight w:val="none"/>
              </w:rPr>
              <w:t>人：</w:t>
            </w:r>
          </w:p>
          <w:p w14:paraId="563AEB4C">
            <w:pPr>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中新广州知识城财政投资建设项目管理中心（公章）</w:t>
            </w:r>
          </w:p>
        </w:tc>
        <w:tc>
          <w:tcPr>
            <w:tcW w:w="2500" w:type="pct"/>
            <w:tcBorders>
              <w:tl2br w:val="nil"/>
              <w:tr2bl w:val="nil"/>
            </w:tcBorders>
            <w:noWrap w:val="0"/>
            <w:vAlign w:val="top"/>
          </w:tcPr>
          <w:p w14:paraId="278625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p>
          <w:p w14:paraId="375202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tc>
      </w:tr>
      <w:tr w14:paraId="384EF6D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2982693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500" w:type="pct"/>
            <w:tcBorders>
              <w:tl2br w:val="nil"/>
              <w:tr2bl w:val="nil"/>
            </w:tcBorders>
            <w:noWrap w:val="0"/>
            <w:vAlign w:val="top"/>
          </w:tcPr>
          <w:p w14:paraId="54D419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E90748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6883789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00" w:type="pct"/>
            <w:tcBorders>
              <w:tl2br w:val="nil"/>
              <w:tr2bl w:val="nil"/>
            </w:tcBorders>
            <w:noWrap w:val="0"/>
            <w:vAlign w:val="top"/>
          </w:tcPr>
          <w:p w14:paraId="0BB1B9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7AF48B1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5000" w:type="pct"/>
            <w:gridSpan w:val="2"/>
            <w:tcBorders>
              <w:tl2br w:val="nil"/>
              <w:tr2bl w:val="nil"/>
            </w:tcBorders>
            <w:noWrap w:val="0"/>
            <w:vAlign w:val="top"/>
          </w:tcPr>
          <w:p w14:paraId="2918AC22">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13468E8B">
            <w:pPr>
              <w:spacing w:line="360" w:lineRule="auto"/>
              <w:jc w:val="left"/>
              <w:rPr>
                <w:rFonts w:hint="eastAsia" w:ascii="宋体" w:hAnsi="宋体" w:eastAsia="宋体" w:cs="宋体"/>
                <w:color w:val="auto"/>
                <w:sz w:val="21"/>
                <w:szCs w:val="21"/>
                <w:highlight w:val="none"/>
              </w:rPr>
            </w:pPr>
          </w:p>
        </w:tc>
      </w:tr>
      <w:tr w14:paraId="25B9078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5000" w:type="pct"/>
            <w:gridSpan w:val="2"/>
            <w:tcBorders>
              <w:tl2br w:val="nil"/>
              <w:tr2bl w:val="nil"/>
            </w:tcBorders>
            <w:noWrap w:val="0"/>
            <w:vAlign w:val="top"/>
          </w:tcPr>
          <w:p w14:paraId="3DBCB6BB">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签约地点：广东省广州市黄埔区</w:t>
            </w:r>
          </w:p>
          <w:p w14:paraId="05480081">
            <w:pPr>
              <w:spacing w:line="360" w:lineRule="auto"/>
              <w:jc w:val="left"/>
              <w:rPr>
                <w:rFonts w:hint="eastAsia" w:ascii="宋体" w:hAnsi="宋体" w:eastAsia="宋体" w:cs="宋体"/>
                <w:color w:val="auto"/>
                <w:sz w:val="21"/>
                <w:szCs w:val="21"/>
                <w:highlight w:val="none"/>
              </w:rPr>
            </w:pPr>
          </w:p>
        </w:tc>
      </w:tr>
    </w:tbl>
    <w:p w14:paraId="72DF2FA3">
      <w:pPr>
        <w:spacing w:line="560" w:lineRule="exact"/>
        <w:rPr>
          <w:rFonts w:ascii="宋体" w:hAnsi="宋体" w:eastAsia="宋体" w:cs="宋体"/>
          <w:b/>
          <w:color w:val="auto"/>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附件5：</w:t>
      </w:r>
    </w:p>
    <w:p w14:paraId="3F48C3C6">
      <w:pP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安全责任书</w:t>
      </w:r>
    </w:p>
    <w:p w14:paraId="6EDFD7BE">
      <w:pPr>
        <w:spacing w:line="560" w:lineRule="exact"/>
        <w:jc w:val="center"/>
        <w:rPr>
          <w:rFonts w:hint="eastAsia" w:ascii="宋体" w:hAnsi="宋体" w:eastAsia="宋体" w:cs="宋体"/>
          <w:b/>
          <w:color w:val="auto"/>
          <w:sz w:val="24"/>
          <w:szCs w:val="24"/>
          <w:highlight w:val="none"/>
        </w:rPr>
      </w:pPr>
    </w:p>
    <w:p w14:paraId="7BA83A74">
      <w:pPr>
        <w:spacing w:line="560" w:lineRule="exact"/>
        <w:jc w:val="left"/>
        <w:rPr>
          <w:rFonts w:ascii="宋体" w:hAnsi="宋体" w:eastAsia="宋体" w:cs="宋体"/>
          <w:color w:val="auto"/>
          <w:szCs w:val="21"/>
          <w:highlight w:val="none"/>
          <w:u w:val="single"/>
        </w:rPr>
      </w:pPr>
      <w:r>
        <w:rPr>
          <w:rFonts w:hint="eastAsia" w:ascii="宋体" w:hAnsi="宋体" w:eastAsia="宋体" w:cs="宋体"/>
          <w:bCs/>
          <w:snapToGrid w:val="0"/>
          <w:color w:val="auto"/>
          <w:kern w:val="0"/>
          <w:szCs w:val="21"/>
          <w:highlight w:val="none"/>
        </w:rPr>
        <w:t>发包人：（全称）：</w:t>
      </w:r>
      <w:r>
        <w:rPr>
          <w:rFonts w:hint="eastAsia" w:ascii="宋体" w:hAnsi="宋体" w:eastAsia="宋体" w:cs="宋体"/>
          <w:color w:val="auto"/>
          <w:szCs w:val="21"/>
          <w:highlight w:val="none"/>
          <w:u w:val="single"/>
        </w:rPr>
        <w:t>中新广州知识城财政投资建设项目管理中心</w:t>
      </w:r>
    </w:p>
    <w:p w14:paraId="2F5DE753">
      <w:pPr>
        <w:spacing w:line="560" w:lineRule="exact"/>
        <w:jc w:val="left"/>
        <w:rPr>
          <w:rFonts w:hint="default" w:ascii="宋体" w:hAnsi="宋体" w:eastAsia="宋体" w:cs="宋体"/>
          <w:bCs/>
          <w:snapToGrid w:val="0"/>
          <w:color w:val="auto"/>
          <w:kern w:val="0"/>
          <w:szCs w:val="21"/>
          <w:highlight w:val="none"/>
          <w:lang w:val="en-US" w:eastAsia="zh-CN"/>
        </w:rPr>
      </w:pPr>
      <w:r>
        <w:rPr>
          <w:rFonts w:hint="eastAsia" w:ascii="宋体" w:hAnsi="宋体" w:eastAsia="宋体" w:cs="宋体"/>
          <w:bCs/>
          <w:snapToGrid w:val="0"/>
          <w:color w:val="auto"/>
          <w:kern w:val="0"/>
          <w:szCs w:val="21"/>
          <w:highlight w:val="none"/>
        </w:rPr>
        <w:t>承包人：（全称）：</w:t>
      </w:r>
      <w:r>
        <w:rPr>
          <w:rFonts w:hint="eastAsia" w:ascii="宋体" w:hAnsi="宋体" w:eastAsia="宋体" w:cs="宋体"/>
          <w:color w:val="auto"/>
          <w:szCs w:val="21"/>
          <w:highlight w:val="none"/>
          <w:u w:val="single"/>
          <w:lang w:val="en-US" w:eastAsia="zh-CN"/>
        </w:rPr>
        <w:t xml:space="preserve">     </w:t>
      </w:r>
    </w:p>
    <w:p w14:paraId="52205108">
      <w:pPr>
        <w:spacing w:line="560" w:lineRule="exact"/>
        <w:ind w:firstLine="560" w:firstLineChars="200"/>
        <w:rPr>
          <w:rFonts w:hint="eastAsia" w:ascii="宋体" w:hAnsi="宋体"/>
          <w:bCs/>
          <w:snapToGrid w:val="0"/>
          <w:color w:val="auto"/>
          <w:kern w:val="0"/>
          <w:sz w:val="28"/>
          <w:szCs w:val="28"/>
          <w:highlight w:val="none"/>
        </w:rPr>
      </w:pPr>
    </w:p>
    <w:p w14:paraId="7E515A93">
      <w:pPr>
        <w:spacing w:line="560" w:lineRule="exact"/>
        <w:ind w:firstLine="420" w:firstLineChars="200"/>
        <w:rPr>
          <w:rFonts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rPr>
        <w:t>为在</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项目合同的实施过程中创造安全、高效的施工环境，切实搞好本项目的安全管理工作，本项目发包人</w:t>
      </w:r>
      <w:r>
        <w:rPr>
          <w:rFonts w:hint="eastAsia" w:ascii="宋体" w:hAnsi="宋体" w:eastAsia="宋体" w:cs="宋体"/>
          <w:color w:val="auto"/>
          <w:szCs w:val="21"/>
          <w:highlight w:val="none"/>
          <w:u w:val="single"/>
        </w:rPr>
        <w:t xml:space="preserve"> 中新广州知识城财政投资建设项目管理中心 </w:t>
      </w:r>
      <w:r>
        <w:rPr>
          <w:rFonts w:hint="eastAsia" w:ascii="宋体" w:hAnsi="宋体" w:eastAsia="宋体" w:cs="宋体"/>
          <w:bCs/>
          <w:snapToGrid w:val="0"/>
          <w:color w:val="auto"/>
          <w:kern w:val="0"/>
          <w:szCs w:val="21"/>
          <w:highlight w:val="none"/>
        </w:rPr>
        <w:t>（以下简称“发包人”）与承包人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Cs/>
          <w:snapToGrid w:val="0"/>
          <w:color w:val="auto"/>
          <w:kern w:val="0"/>
          <w:szCs w:val="21"/>
          <w:highlight w:val="none"/>
        </w:rPr>
        <w:t>（以下简称“承包人”），特此签订安全生产合同：</w:t>
      </w:r>
    </w:p>
    <w:p w14:paraId="2CB7E6D4">
      <w:pPr>
        <w:spacing w:line="560" w:lineRule="exact"/>
        <w:ind w:firstLine="422" w:firstLineChars="200"/>
        <w:jc w:val="left"/>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一、发包人职责</w:t>
      </w:r>
    </w:p>
    <w:p w14:paraId="6F71EFBF">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 xml:space="preserve"> 1.严格遵守国家有关安全生产的法律法规，认真执行工程承包合同中的有关安全要求。</w:t>
      </w:r>
    </w:p>
    <w:p w14:paraId="4661F457">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2.按照“安全第一、预防为主”和坚持“管生产必须管安全”的原则进行安全生产管理，做到生产和安全工作同时计划、布置、检查、总结和评比。</w:t>
      </w:r>
    </w:p>
    <w:p w14:paraId="72F4B03A">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3.重要的安全设施必须坚持与主体工程“三同时”的原则，即：同时设计、审批；同时施工；同时验收，投入使用。</w:t>
      </w:r>
    </w:p>
    <w:p w14:paraId="31C88272">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4.定期召开安全生产调度会，及时转达中央及地方有关安全生产的精神。</w:t>
      </w:r>
    </w:p>
    <w:p w14:paraId="370F3756">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5.组织对承包人施工现场安全生产检查，监督承包人及时处理发现的各种安全隐患。</w:t>
      </w:r>
    </w:p>
    <w:p w14:paraId="3F10F5F5">
      <w:pPr>
        <w:spacing w:line="560" w:lineRule="exact"/>
        <w:ind w:firstLine="422" w:firstLineChars="200"/>
        <w:jc w:val="left"/>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二、承包人职责</w:t>
      </w:r>
    </w:p>
    <w:p w14:paraId="4B611D0C">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1.严格遵守国家有关安全生产的法律法规，认真执行工程承包合同中的有关安全要求。</w:t>
      </w:r>
    </w:p>
    <w:p w14:paraId="05BE5D55">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2.坚持“安全第一、预防为主”和坚持“管生产必须管安全”的原则,加强安全生产宣传教育,增强全员安全生产意识,建立健全各项安全生产的管理规则和安全生产制度,配备专职及兼职安全检查人员,有组织在领导地开展安全生产活动.各级领导、工程技术人员、生产管理人员和具体操作人员，必须熟悉和遵守本条款的各项规定，做到生产与安全工作同时计划、布置、检查、总结和评比。</w:t>
      </w:r>
    </w:p>
    <w:p w14:paraId="10C6003E">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3.建立健全安全生产责任制，从派驻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在权按有关规定发布指令，并采取保护性措施防止事故发生。</w:t>
      </w:r>
    </w:p>
    <w:p w14:paraId="2C54B176">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4.承包人在任何时候都应采取各种合理的预防措施，防止其员工发生各种违法、违禁、暴力或妨碍治安的行为。</w:t>
      </w:r>
    </w:p>
    <w:p w14:paraId="77DAD852">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5.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14:paraId="2B1900E5">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6.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14:paraId="6E19FB68">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7.操作人员上岗，必须按规定穿戴防护用品。施工负责人和安全检查员应随时检查劳动防护用品的穿戴情况，不按规定穿戴防护用品的人员不得上岗。</w:t>
      </w:r>
    </w:p>
    <w:p w14:paraId="232F9091">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8.所有施工机具设备和高空作业的设备均应定期检查，并有安全员的签名记录，保证其经常处于完好状态，不合格的机具、设备和劳动保护用品严禁使用。</w:t>
      </w:r>
    </w:p>
    <w:p w14:paraId="7EDDC2A1">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9.  施工中采用新技术、新工艺、新设备、新材料进，必须制定相应的安全技术措施，施工现场必须具有相关的安全标志牌。</w:t>
      </w:r>
    </w:p>
    <w:p w14:paraId="3F9365F8">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10.承包人必须按照本工程项目特点，组织制定本工程实施中的生产安全事故应急救援预案；如果发生安全事故，即按照《国务院关于特大安全事故行政责任追究的规定》以及其它有关规定，及时上报有关部门，并坚持“三不放过”的原则，严格处理相关责任人。</w:t>
      </w:r>
    </w:p>
    <w:p w14:paraId="0B19D1A1">
      <w:pPr>
        <w:spacing w:line="560" w:lineRule="exact"/>
        <w:ind w:firstLine="422" w:firstLineChars="200"/>
        <w:jc w:val="left"/>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三、违约责任</w:t>
      </w:r>
    </w:p>
    <w:p w14:paraId="610C5941">
      <w:pPr>
        <w:spacing w:line="560" w:lineRule="exact"/>
        <w:ind w:firstLine="420" w:firstLineChars="200"/>
        <w:jc w:val="left"/>
        <w:rPr>
          <w:rFonts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如因发包人或承包人违约造成安全事故，将依法追究责任。</w:t>
      </w:r>
    </w:p>
    <w:p w14:paraId="235E516C">
      <w:pPr>
        <w:spacing w:line="560" w:lineRule="exact"/>
        <w:ind w:firstLine="420" w:firstLineChars="200"/>
        <w:jc w:val="left"/>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本合同由双方法定代表人签署加盖公章后生效，全部工程竣工验收后失效。</w:t>
      </w:r>
    </w:p>
    <w:p w14:paraId="0A9D7B80">
      <w:pPr>
        <w:spacing w:line="560" w:lineRule="exact"/>
        <w:ind w:firstLine="420" w:firstLineChars="200"/>
        <w:jc w:val="left"/>
        <w:rPr>
          <w:rFonts w:hint="eastAsia" w:ascii="宋体" w:hAnsi="宋体" w:eastAsia="宋体" w:cs="宋体"/>
          <w:bCs/>
          <w:snapToGrid w:val="0"/>
          <w:color w:val="auto"/>
          <w:kern w:val="0"/>
          <w:szCs w:val="21"/>
          <w:highlight w:val="none"/>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981"/>
        <w:gridCol w:w="4981"/>
      </w:tblGrid>
      <w:tr w14:paraId="3BFC824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342A6D8E">
            <w:pPr>
              <w:snapToGrid w:val="0"/>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w:t>
            </w:r>
          </w:p>
          <w:p w14:paraId="29F472A7">
            <w:pPr>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中新广州知识城财政投资建设项目管理中心（公章）</w:t>
            </w:r>
          </w:p>
        </w:tc>
        <w:tc>
          <w:tcPr>
            <w:tcW w:w="2500" w:type="pct"/>
            <w:tcBorders>
              <w:tl2br w:val="nil"/>
              <w:tr2bl w:val="nil"/>
            </w:tcBorders>
            <w:noWrap w:val="0"/>
            <w:vAlign w:val="top"/>
          </w:tcPr>
          <w:p w14:paraId="7D308E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p>
          <w:p w14:paraId="166AEC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tc>
      </w:tr>
      <w:tr w14:paraId="3DC8106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21860CB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500" w:type="pct"/>
            <w:tcBorders>
              <w:tl2br w:val="nil"/>
              <w:tr2bl w:val="nil"/>
            </w:tcBorders>
            <w:noWrap w:val="0"/>
            <w:vAlign w:val="top"/>
          </w:tcPr>
          <w:p w14:paraId="6D0542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5C47B1D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2500" w:type="pct"/>
            <w:tcBorders>
              <w:tl2br w:val="nil"/>
              <w:tr2bl w:val="nil"/>
            </w:tcBorders>
            <w:noWrap w:val="0"/>
            <w:vAlign w:val="top"/>
          </w:tcPr>
          <w:p w14:paraId="0721C46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00" w:type="pct"/>
            <w:tcBorders>
              <w:tl2br w:val="nil"/>
              <w:tr2bl w:val="nil"/>
            </w:tcBorders>
            <w:noWrap w:val="0"/>
            <w:vAlign w:val="top"/>
          </w:tcPr>
          <w:p w14:paraId="3344F6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237A4AD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5000" w:type="pct"/>
            <w:gridSpan w:val="2"/>
            <w:tcBorders>
              <w:tl2br w:val="nil"/>
              <w:tr2bl w:val="nil"/>
            </w:tcBorders>
            <w:noWrap w:val="0"/>
            <w:vAlign w:val="top"/>
          </w:tcPr>
          <w:p w14:paraId="59AD75AD">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p w14:paraId="36013845">
            <w:pPr>
              <w:spacing w:line="360" w:lineRule="auto"/>
              <w:jc w:val="left"/>
              <w:rPr>
                <w:rFonts w:hint="eastAsia" w:ascii="宋体" w:hAnsi="宋体" w:eastAsia="宋体" w:cs="宋体"/>
                <w:color w:val="auto"/>
                <w:sz w:val="21"/>
                <w:szCs w:val="21"/>
                <w:highlight w:val="none"/>
              </w:rPr>
            </w:pPr>
          </w:p>
        </w:tc>
      </w:tr>
      <w:tr w14:paraId="55ED97E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4" w:hRule="atLeast"/>
        </w:trPr>
        <w:tc>
          <w:tcPr>
            <w:tcW w:w="5000" w:type="pct"/>
            <w:gridSpan w:val="2"/>
            <w:tcBorders>
              <w:tl2br w:val="nil"/>
              <w:tr2bl w:val="nil"/>
            </w:tcBorders>
            <w:noWrap w:val="0"/>
            <w:vAlign w:val="top"/>
          </w:tcPr>
          <w:p w14:paraId="2667EDBD">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签约地点：广东省广州市黄埔区</w:t>
            </w:r>
          </w:p>
          <w:p w14:paraId="6ECF7A17">
            <w:pPr>
              <w:spacing w:line="360" w:lineRule="auto"/>
              <w:jc w:val="left"/>
              <w:rPr>
                <w:rFonts w:hint="eastAsia" w:ascii="宋体" w:hAnsi="宋体" w:eastAsia="宋体" w:cs="宋体"/>
                <w:color w:val="auto"/>
                <w:sz w:val="21"/>
                <w:szCs w:val="21"/>
                <w:highlight w:val="none"/>
              </w:rPr>
            </w:pPr>
          </w:p>
        </w:tc>
      </w:tr>
    </w:tbl>
    <w:p w14:paraId="20960EB9">
      <w:pPr>
        <w:spacing w:line="360" w:lineRule="auto"/>
        <w:rPr>
          <w:rFonts w:hint="eastAsia" w:ascii="宋体" w:hAnsi="宋体" w:eastAsia="宋体" w:cs="宋体"/>
          <w:b/>
          <w:bCs/>
          <w:color w:val="auto"/>
          <w:sz w:val="24"/>
          <w:szCs w:val="24"/>
          <w:highlight w:val="none"/>
        </w:rPr>
      </w:pPr>
    </w:p>
    <w:p w14:paraId="1B8523D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附件6：</w:t>
      </w:r>
    </w:p>
    <w:p w14:paraId="6EFAFD62">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拟投入本工程施工的主要机械设备配备表</w:t>
      </w:r>
    </w:p>
    <w:p w14:paraId="0D5E4196">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按投标文件格式</w:t>
      </w:r>
      <w:r>
        <w:rPr>
          <w:rFonts w:hint="eastAsia" w:ascii="宋体" w:hAnsi="宋体" w:eastAsia="宋体" w:cs="宋体"/>
          <w:b/>
          <w:bCs/>
          <w:color w:val="auto"/>
          <w:sz w:val="24"/>
          <w:szCs w:val="24"/>
          <w:highlight w:val="none"/>
          <w:lang w:eastAsia="zh-CN"/>
        </w:rPr>
        <w:t>）</w:t>
      </w:r>
    </w:p>
    <w:p w14:paraId="26783842">
      <w:pPr>
        <w:autoSpaceDN w:val="0"/>
        <w:spacing w:line="360" w:lineRule="auto"/>
        <w:rPr>
          <w:rFonts w:ascii="宋体" w:hAnsi="宋体" w:eastAsia="宋体" w:cs="宋体"/>
          <w:color w:val="auto"/>
          <w:szCs w:val="21"/>
          <w:highlight w:val="none"/>
        </w:rPr>
      </w:pPr>
    </w:p>
    <w:p w14:paraId="5EF7DF19">
      <w:pPr>
        <w:spacing w:line="360" w:lineRule="auto"/>
        <w:ind w:firstLine="4830" w:firstLineChars="2300"/>
        <w:jc w:val="left"/>
        <w:rPr>
          <w:rFonts w:ascii="宋体" w:hAnsi="宋体" w:eastAsia="宋体" w:cs="宋体"/>
          <w:bCs/>
          <w:snapToGrid w:val="0"/>
          <w:color w:val="auto"/>
          <w:kern w:val="0"/>
          <w:szCs w:val="21"/>
          <w:highlight w:val="none"/>
        </w:rPr>
      </w:pPr>
    </w:p>
    <w:p w14:paraId="1A305BB0">
      <w:pPr>
        <w:autoSpaceDN w:val="0"/>
        <w:spacing w:line="360" w:lineRule="auto"/>
        <w:rPr>
          <w:rFonts w:ascii="宋体" w:hAnsi="宋体" w:eastAsia="宋体" w:cs="宋体"/>
          <w:b/>
          <w:bCs w:val="0"/>
          <w:color w:val="auto"/>
          <w:sz w:val="24"/>
          <w:szCs w:val="24"/>
          <w:highlight w:val="none"/>
        </w:rPr>
      </w:pPr>
      <w:r>
        <w:rPr>
          <w:rFonts w:hint="eastAsia" w:ascii="宋体" w:hAnsi="宋体" w:eastAsia="宋体" w:cs="宋体"/>
          <w:bCs/>
          <w:color w:val="auto"/>
          <w:szCs w:val="21"/>
          <w:highlight w:val="none"/>
        </w:rPr>
        <w:br w:type="page"/>
      </w:r>
      <w:r>
        <w:rPr>
          <w:rFonts w:hint="eastAsia" w:ascii="宋体" w:hAnsi="宋体" w:eastAsia="宋体" w:cs="宋体"/>
          <w:b/>
          <w:bCs w:val="0"/>
          <w:color w:val="auto"/>
          <w:sz w:val="24"/>
          <w:szCs w:val="24"/>
          <w:highlight w:val="none"/>
        </w:rPr>
        <w:t>附件7：</w:t>
      </w:r>
    </w:p>
    <w:p w14:paraId="723C5D4C">
      <w:pPr>
        <w:autoSpaceDN w:val="0"/>
        <w:spacing w:line="360" w:lineRule="auto"/>
        <w:jc w:val="center"/>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共管工程预付款使用监管办法</w:t>
      </w:r>
    </w:p>
    <w:p w14:paraId="166C073B">
      <w:pPr>
        <w:autoSpaceDN w:val="0"/>
        <w:spacing w:line="360" w:lineRule="auto"/>
        <w:ind w:firstLine="555"/>
        <w:rPr>
          <w:rFonts w:ascii="宋体" w:hAnsi="宋体" w:eastAsia="宋体" w:cs="宋体"/>
          <w:color w:val="auto"/>
          <w:szCs w:val="21"/>
          <w:highlight w:val="none"/>
        </w:rPr>
      </w:pPr>
    </w:p>
    <w:p w14:paraId="7CDB77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color w:val="auto"/>
          <w:szCs w:val="21"/>
          <w:highlight w:val="none"/>
        </w:rPr>
        <w:t>（下称“本工程”）建设业主（即发包人）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14:paraId="172FD78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一、共管原则</w:t>
      </w:r>
    </w:p>
    <w:p w14:paraId="3F9477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本工程建设业主、施工承包人及共管银行签订三方资金共管账户合同，在共管银行设立户名为施工承包人的资金结算共管账户。建设业主按《</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u w:val="single"/>
        </w:rPr>
        <w:t>建设工程施工合同</w:t>
      </w:r>
      <w:r>
        <w:rPr>
          <w:rFonts w:hint="eastAsia" w:ascii="宋体" w:hAnsi="宋体" w:eastAsia="宋体" w:cs="宋体"/>
          <w:color w:val="auto"/>
          <w:szCs w:val="21"/>
          <w:highlight w:val="none"/>
        </w:rPr>
        <w:t xml:space="preserve"> 》（合同编号：</w:t>
      </w:r>
      <w:r>
        <w:rPr>
          <w:rFonts w:hint="eastAsia" w:ascii="宋体" w:hAnsi="宋体" w:eastAsia="宋体" w:cs="宋体"/>
          <w:color w:val="auto"/>
          <w:szCs w:val="21"/>
          <w:highlight w:val="none"/>
          <w:u w:val="single"/>
        </w:rPr>
        <w:t>中新知建管施[</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  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以下统一简称“《施工合同》”约定支付的工程预付款直接支付至上述共管账户（款项支付至共管账户，即视为发包人已按合同约定履行付款义务）。承包人就本工程需从上述账户中对外支付款项的，应按本办法规定报建设业主审核。建设业主审批同意承包人用款申请后，向银行出具书面同意支付通知，银行根据前述书面支付通知及承包人的申请，将相应资金从共管账户划转至指定收款方。</w:t>
      </w:r>
    </w:p>
    <w:p w14:paraId="3195D9B0">
      <w:pPr>
        <w:spacing w:line="360" w:lineRule="auto"/>
        <w:ind w:firstLine="422" w:firstLineChars="200"/>
        <w:rPr>
          <w:rFonts w:hint="eastAsia" w:ascii="宋体" w:hAnsi="宋体" w:eastAsia="宋体" w:cs="宋体"/>
          <w:b/>
          <w:bCs/>
          <w:color w:val="auto"/>
          <w:szCs w:val="21"/>
          <w:highlight w:val="none"/>
        </w:rPr>
      </w:pPr>
    </w:p>
    <w:p w14:paraId="6AE7E77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二、工程预付款对外支付审批流程</w:t>
      </w:r>
    </w:p>
    <w:p w14:paraId="6A9D9D7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建设业主按施工合同约定支付工程预付款至共管账户后，承包人即可申请支出，每次支出金额不得超过账户中工程预付款，且累计支出金额不得超过按本工程可开工部分工程量占本工程总工程量比例计算的预付款金额，直至预付款支出完毕。</w:t>
      </w:r>
    </w:p>
    <w:p w14:paraId="09F2E9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（注：具体预付款支付次数及条件由工程部门结合项目实际确定。）</w:t>
      </w:r>
    </w:p>
    <w:p w14:paraId="3C7D120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支付前置条件：签订施工合同，工程本次交地范围完成临时设施、安全文明措施，具备开工条件。</w:t>
      </w:r>
    </w:p>
    <w:p w14:paraId="5BFB85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申请支付审批流程为：承包人提交申请材料→监理审核→建设业主审核并出具同意支付通知。</w:t>
      </w:r>
    </w:p>
    <w:p w14:paraId="137707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承包人申请款项支出应提供材料包括但不限于：</w:t>
      </w:r>
    </w:p>
    <w:p w14:paraId="6C08A3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1、填写建设业主统一提供的付款申请书；</w:t>
      </w:r>
    </w:p>
    <w:p w14:paraId="42963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2、用款计划（内容包括款项用途、金额等）。</w:t>
      </w:r>
    </w:p>
    <w:p w14:paraId="60662EA4">
      <w:pPr>
        <w:spacing w:line="360" w:lineRule="auto"/>
        <w:ind w:firstLine="422" w:firstLineChars="200"/>
        <w:rPr>
          <w:rFonts w:hint="eastAsia" w:ascii="宋体" w:hAnsi="宋体" w:eastAsia="宋体" w:cs="宋体"/>
          <w:b/>
          <w:bCs/>
          <w:color w:val="auto"/>
          <w:szCs w:val="21"/>
          <w:highlight w:val="none"/>
        </w:rPr>
      </w:pPr>
    </w:p>
    <w:p w14:paraId="4C891E77">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三、</w:t>
      </w:r>
      <w:r>
        <w:rPr>
          <w:rFonts w:hint="eastAsia" w:ascii="宋体" w:hAnsi="宋体" w:eastAsia="宋体" w:cs="宋体"/>
          <w:color w:val="auto"/>
          <w:szCs w:val="21"/>
          <w:highlight w:val="none"/>
        </w:rPr>
        <w:t>监理单位、建设业主在审核承包人支付申请时，如发现支付申请不满足工程节点要求、支出金额不符合工程实际或有弄虚作假情况的，应拒绝承包人的支出申请。</w:t>
      </w:r>
    </w:p>
    <w:p w14:paraId="204846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承包人的支出申请因上述情况被拒绝的，监理单位、建设业主不承担任何责任，承包人不得因此延误工程进度、或向相关方索赔。</w:t>
      </w:r>
    </w:p>
    <w:p w14:paraId="5F4582CD">
      <w:pPr>
        <w:spacing w:line="360" w:lineRule="auto"/>
        <w:ind w:firstLine="422" w:firstLineChars="200"/>
        <w:rPr>
          <w:rFonts w:hint="eastAsia" w:ascii="宋体" w:hAnsi="宋体" w:eastAsia="宋体" w:cs="宋体"/>
          <w:b/>
          <w:bCs/>
          <w:color w:val="auto"/>
          <w:szCs w:val="21"/>
          <w:highlight w:val="none"/>
        </w:rPr>
      </w:pPr>
    </w:p>
    <w:p w14:paraId="42D588E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四、</w:t>
      </w:r>
      <w:r>
        <w:rPr>
          <w:rFonts w:hint="eastAsia" w:ascii="宋体" w:hAnsi="宋体" w:eastAsia="宋体" w:cs="宋体"/>
          <w:color w:val="auto"/>
          <w:szCs w:val="21"/>
          <w:highlight w:val="none"/>
        </w:rPr>
        <w:t>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14:paraId="14924B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14:paraId="10555BC3">
      <w:pPr>
        <w:spacing w:line="360" w:lineRule="auto"/>
        <w:ind w:firstLine="422" w:firstLineChars="200"/>
        <w:rPr>
          <w:rFonts w:hint="eastAsia" w:ascii="宋体" w:hAnsi="宋体" w:eastAsia="宋体" w:cs="宋体"/>
          <w:b/>
          <w:bCs/>
          <w:color w:val="auto"/>
          <w:szCs w:val="21"/>
          <w:highlight w:val="none"/>
        </w:rPr>
      </w:pPr>
    </w:p>
    <w:p w14:paraId="169DA114">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五、</w:t>
      </w:r>
      <w:r>
        <w:rPr>
          <w:rFonts w:hint="eastAsia" w:ascii="宋体" w:hAnsi="宋体" w:eastAsia="宋体" w:cs="宋体"/>
          <w:color w:val="auto"/>
          <w:szCs w:val="21"/>
          <w:highlight w:val="none"/>
        </w:rPr>
        <w:t>监理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建设业主无关。</w:t>
      </w:r>
    </w:p>
    <w:p w14:paraId="78A41220">
      <w:pPr>
        <w:spacing w:line="360" w:lineRule="auto"/>
        <w:ind w:firstLine="422" w:firstLineChars="200"/>
        <w:rPr>
          <w:rFonts w:hint="eastAsia" w:ascii="宋体" w:hAnsi="宋体" w:eastAsia="宋体" w:cs="宋体"/>
          <w:b/>
          <w:bCs/>
          <w:color w:val="auto"/>
          <w:szCs w:val="21"/>
          <w:highlight w:val="none"/>
        </w:rPr>
      </w:pPr>
    </w:p>
    <w:p w14:paraId="11777D3C">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六、</w:t>
      </w:r>
      <w:r>
        <w:rPr>
          <w:rFonts w:hint="eastAsia" w:ascii="宋体" w:hAnsi="宋体" w:eastAsia="宋体" w:cs="宋体"/>
          <w:color w:val="auto"/>
          <w:szCs w:val="21"/>
          <w:highlight w:val="none"/>
        </w:rPr>
        <w:t>本办法是本工程施工合同的组成部分，建设业主及承包人均应按本办法执行。</w:t>
      </w:r>
    </w:p>
    <w:p w14:paraId="7C627A8D">
      <w:pPr>
        <w:widowControl/>
        <w:spacing w:line="360" w:lineRule="auto"/>
        <w:ind w:firstLine="470" w:firstLineChars="224"/>
        <w:jc w:val="center"/>
        <w:rPr>
          <w:rFonts w:ascii="宋体" w:hAnsi="宋体" w:eastAsia="宋体" w:cs="宋体"/>
          <w:color w:val="auto"/>
          <w:szCs w:val="21"/>
          <w:highlight w:val="none"/>
        </w:rPr>
      </w:pPr>
    </w:p>
    <w:p w14:paraId="74D288BC">
      <w:pPr>
        <w:autoSpaceDN w:val="0"/>
        <w:spacing w:line="360" w:lineRule="auto"/>
        <w:jc w:val="center"/>
        <w:rPr>
          <w:rFonts w:ascii="宋体" w:hAnsi="宋体" w:eastAsia="宋体" w:cs="宋体"/>
          <w:b/>
          <w:bCs/>
          <w:color w:val="auto"/>
          <w:szCs w:val="21"/>
          <w:highlight w:val="none"/>
        </w:rPr>
      </w:pPr>
    </w:p>
    <w:p w14:paraId="0101A2B2">
      <w:pPr>
        <w:autoSpaceDN w:val="0"/>
        <w:spacing w:line="360" w:lineRule="auto"/>
        <w:jc w:val="center"/>
        <w:rPr>
          <w:rFonts w:ascii="宋体" w:hAnsi="宋体" w:eastAsia="宋体" w:cs="宋体"/>
          <w:b/>
          <w:bCs/>
          <w:color w:val="auto"/>
          <w:szCs w:val="21"/>
          <w:highlight w:val="none"/>
        </w:rPr>
      </w:pPr>
    </w:p>
    <w:p w14:paraId="2907C113">
      <w:pPr>
        <w:autoSpaceDN w:val="0"/>
        <w:spacing w:line="360" w:lineRule="auto"/>
        <w:jc w:val="center"/>
        <w:rPr>
          <w:rFonts w:ascii="宋体" w:hAnsi="宋体" w:eastAsia="宋体" w:cs="宋体"/>
          <w:b/>
          <w:bCs/>
          <w:color w:val="auto"/>
          <w:szCs w:val="21"/>
          <w:highlight w:val="none"/>
        </w:rPr>
      </w:pPr>
    </w:p>
    <w:p w14:paraId="39D58D4B">
      <w:pPr>
        <w:autoSpaceDN w:val="0"/>
        <w:spacing w:line="360" w:lineRule="auto"/>
        <w:jc w:val="center"/>
        <w:rPr>
          <w:rFonts w:ascii="宋体" w:hAnsi="宋体" w:eastAsia="宋体" w:cs="宋体"/>
          <w:b/>
          <w:bCs/>
          <w:color w:val="auto"/>
          <w:szCs w:val="21"/>
          <w:highlight w:val="none"/>
        </w:rPr>
      </w:pPr>
    </w:p>
    <w:p w14:paraId="2A7D5278">
      <w:pPr>
        <w:autoSpaceDN w:val="0"/>
        <w:spacing w:line="360" w:lineRule="auto"/>
        <w:rPr>
          <w:rFonts w:ascii="宋体" w:hAnsi="宋体" w:eastAsia="宋体" w:cs="宋体"/>
          <w:b/>
          <w:bCs/>
          <w:color w:val="auto"/>
          <w:szCs w:val="21"/>
          <w:highlight w:val="none"/>
        </w:rPr>
      </w:pPr>
    </w:p>
    <w:p w14:paraId="33D17F54">
      <w:pPr>
        <w:autoSpaceDN w:val="0"/>
        <w:spacing w:line="360" w:lineRule="auto"/>
        <w:jc w:val="center"/>
        <w:rPr>
          <w:rFonts w:ascii="宋体" w:hAnsi="宋体" w:eastAsia="宋体" w:cs="宋体"/>
          <w:b/>
          <w:bCs/>
          <w:color w:val="auto"/>
          <w:szCs w:val="21"/>
          <w:highlight w:val="none"/>
        </w:rPr>
      </w:pPr>
    </w:p>
    <w:p w14:paraId="73F8AF12">
      <w:pPr>
        <w:autoSpaceDN w:val="0"/>
        <w:spacing w:line="360" w:lineRule="auto"/>
        <w:jc w:val="center"/>
        <w:rPr>
          <w:rFonts w:ascii="宋体" w:hAnsi="宋体" w:eastAsia="宋体" w:cs="宋体"/>
          <w:b/>
          <w:bCs/>
          <w:color w:val="auto"/>
          <w:szCs w:val="21"/>
          <w:highlight w:val="none"/>
        </w:rPr>
      </w:pPr>
    </w:p>
    <w:p w14:paraId="6468C8F8">
      <w:pPr>
        <w:autoSpaceDN w:val="0"/>
        <w:spacing w:line="360" w:lineRule="auto"/>
        <w:jc w:val="center"/>
        <w:rPr>
          <w:rFonts w:ascii="宋体" w:hAnsi="宋体" w:eastAsia="宋体" w:cs="宋体"/>
          <w:b/>
          <w:bCs/>
          <w:color w:val="auto"/>
          <w:szCs w:val="21"/>
          <w:highlight w:val="none"/>
        </w:rPr>
      </w:pPr>
    </w:p>
    <w:p w14:paraId="6D7D1423">
      <w:pPr>
        <w:autoSpaceDN w:val="0"/>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4"/>
          <w:szCs w:val="24"/>
          <w:highlight w:val="none"/>
        </w:rPr>
        <w:t>附件8：</w:t>
      </w:r>
    </w:p>
    <w:p w14:paraId="5E2D9EC9">
      <w:pPr>
        <w:autoSpaceDN w:val="0"/>
        <w:spacing w:line="360" w:lineRule="auto"/>
        <w:jc w:val="center"/>
        <w:rPr>
          <w:rFonts w:ascii="宋体" w:hAnsi="宋体" w:eastAsia="宋体" w:cs="宋体"/>
          <w:b/>
          <w:bCs/>
          <w:color w:val="auto"/>
          <w:w w:val="88"/>
          <w:sz w:val="24"/>
          <w:szCs w:val="24"/>
          <w:highlight w:val="none"/>
        </w:rPr>
      </w:pPr>
      <w:r>
        <w:rPr>
          <w:rFonts w:hint="eastAsia" w:ascii="宋体" w:hAnsi="宋体" w:eastAsia="宋体" w:cs="宋体"/>
          <w:b/>
          <w:bCs/>
          <w:color w:val="auto"/>
          <w:sz w:val="24"/>
          <w:szCs w:val="24"/>
          <w:highlight w:val="none"/>
        </w:rPr>
        <w:t>工程资金共管协议格式</w:t>
      </w:r>
    </w:p>
    <w:p w14:paraId="6C270F3E">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                                              协议编号：建管共管协议[  ]号</w:t>
      </w:r>
    </w:p>
    <w:p w14:paraId="6508E95A">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甲      方：</w:t>
      </w:r>
      <w:r>
        <w:rPr>
          <w:rFonts w:hint="eastAsia" w:ascii="宋体" w:hAnsi="宋体" w:eastAsia="宋体" w:cs="宋体"/>
          <w:b/>
          <w:bCs/>
          <w:color w:val="auto"/>
          <w:szCs w:val="21"/>
          <w:highlight w:val="none"/>
        </w:rPr>
        <w:t>中新广州知识城财政投资建设项目管理中心</w:t>
      </w:r>
    </w:p>
    <w:p w14:paraId="3D5BE69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14:paraId="4C512D4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14:paraId="3A23D34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9F4EB2C">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      方：</w:t>
      </w:r>
    </w:p>
    <w:p w14:paraId="687CA41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      址：</w:t>
      </w:r>
    </w:p>
    <w:p w14:paraId="459D711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14:paraId="17163515">
      <w:pPr>
        <w:spacing w:line="360" w:lineRule="auto"/>
        <w:ind w:left="2415" w:hanging="2415" w:hangingChars="1150"/>
        <w:rPr>
          <w:rFonts w:ascii="宋体" w:hAnsi="宋体" w:eastAsia="宋体" w:cs="宋体"/>
          <w:color w:val="auto"/>
          <w:szCs w:val="21"/>
          <w:highlight w:val="none"/>
        </w:rPr>
      </w:pPr>
    </w:p>
    <w:p w14:paraId="76BFD1D1">
      <w:pPr>
        <w:spacing w:line="360" w:lineRule="auto"/>
        <w:ind w:left="2415" w:hanging="2415" w:hangingChars="115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丙    方（共管银行）：  </w:t>
      </w:r>
    </w:p>
    <w:p w14:paraId="4BD9906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14:paraId="1AAA5CB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14:paraId="11484947">
      <w:pPr>
        <w:spacing w:line="360" w:lineRule="auto"/>
        <w:ind w:firstLine="420" w:firstLineChars="200"/>
        <w:rPr>
          <w:rFonts w:hint="eastAsia" w:ascii="宋体" w:hAnsi="宋体" w:eastAsia="宋体" w:cs="宋体"/>
          <w:color w:val="auto"/>
          <w:szCs w:val="21"/>
          <w:highlight w:val="none"/>
        </w:rPr>
      </w:pPr>
    </w:p>
    <w:p w14:paraId="33A3AB83">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根据甲乙双方签署的《</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u w:val="single"/>
        </w:rPr>
        <w:t>施工总承包建设工程施工合同</w:t>
      </w:r>
      <w:r>
        <w:rPr>
          <w:rFonts w:hint="eastAsia" w:ascii="宋体" w:hAnsi="宋体" w:eastAsia="宋体" w:cs="宋体"/>
          <w:color w:val="auto"/>
          <w:szCs w:val="21"/>
          <w:highlight w:val="none"/>
        </w:rPr>
        <w:t xml:space="preserve"> 》（合同编号：</w:t>
      </w:r>
      <w:r>
        <w:rPr>
          <w:rFonts w:hint="eastAsia" w:ascii="宋体" w:hAnsi="宋体" w:eastAsia="宋体" w:cs="宋体"/>
          <w:color w:val="auto"/>
          <w:szCs w:val="21"/>
          <w:highlight w:val="none"/>
          <w:u w:val="single"/>
        </w:rPr>
        <w:t>中新知建管施[</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  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共管工程款使用监管办法》等有关规定，经甲、乙、丙三方在平等、自愿基础上协商一致，特订立本协议。</w:t>
      </w:r>
    </w:p>
    <w:p w14:paraId="56B7F2E9">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共管资金及共管账户</w:t>
      </w:r>
    </w:p>
    <w:p w14:paraId="1211AEE4">
      <w:p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 共管资金：指依据《施工合同》及《共管工程款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14:paraId="0FF09CCE">
      <w:pPr>
        <w:numPr>
          <w:ilvl w:val="0"/>
          <w:numId w:val="11"/>
        </w:num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共管账户：乙方应在本协议签订之日起五个工作日内，持本协议及其他开户资料在</w:t>
      </w:r>
      <w:r>
        <w:rPr>
          <w:rFonts w:hint="eastAsia" w:ascii="宋体" w:hAnsi="宋体" w:eastAsia="宋体" w:cs="宋体"/>
          <w:color w:val="auto"/>
          <w:szCs w:val="21"/>
          <w:highlight w:val="none"/>
          <w:u w:val="single"/>
        </w:rPr>
        <w:t>丙方辖区内分支机构开立资金共管账户，</w:t>
      </w:r>
      <w:r>
        <w:rPr>
          <w:rFonts w:hint="eastAsia" w:ascii="宋体" w:hAnsi="宋体" w:eastAsia="宋体" w:cs="宋体"/>
          <w:color w:val="auto"/>
          <w:szCs w:val="21"/>
          <w:highlight w:val="none"/>
        </w:rPr>
        <w:t>用于共管资金的转入及划转。</w:t>
      </w:r>
    </w:p>
    <w:p w14:paraId="2F70CF0F">
      <w:pPr>
        <w:numPr>
          <w:ilvl w:val="0"/>
          <w:numId w:val="11"/>
        </w:num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该账户仅限于本协议约定之专项资金的共管和清算使用，不得用于除此之外的其它任何活动。共管账户由丙方管理，账户资金不得提现、通兑及透支，仅可开通查询版网银。</w:t>
      </w:r>
    </w:p>
    <w:p w14:paraId="4D20182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合同各方的权利与义务</w:t>
      </w:r>
    </w:p>
    <w:p w14:paraId="7A7DBF7D">
      <w:pPr>
        <w:spacing w:line="360" w:lineRule="auto"/>
        <w:ind w:left="1"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 甲方的权利与义务</w:t>
      </w:r>
    </w:p>
    <w:p w14:paraId="0060CC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共管工程款使用监管办法》规定的其他所需材料，并出具《共管账户划款通知书》（格式见附件三）；</w:t>
      </w:r>
    </w:p>
    <w:p w14:paraId="5E7CD3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（2）甲方向丙方提交预留关于《共管账户划款通知》中的印鉴样式。</w:t>
      </w:r>
    </w:p>
    <w:p w14:paraId="290855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有权按本协议约定查阅该共管账户的收支情况；甲方有权依本协议要求乙方提供资金流向支付凭证（包括但不仅限于合同、发票、采购清单等）和银行存款日记账等，要求丙方提供该账户余额、流水等信息。</w:t>
      </w:r>
    </w:p>
    <w:p w14:paraId="4750F672">
      <w:pPr>
        <w:spacing w:line="360" w:lineRule="auto"/>
        <w:ind w:left="1"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 乙方的权利与义务</w:t>
      </w:r>
    </w:p>
    <w:p w14:paraId="1BBA9B8F">
      <w:p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依据本协议约定向甲方提交《用款申请书》（格式见附件一）、《管理人员工资发放明细表》（含经乙方盖章核实的上期实际支付及本期支付计划）（格式见附件二）及相关文件凭证，相关材料必须真实、准确、合法；</w:t>
      </w:r>
    </w:p>
    <w:p w14:paraId="005E72E5">
      <w:p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（2）按照专款专用的原则使用共管资金，不得将资金挪作他用，未经甲方同意不得转入乙方其他银行账户。乙方接受甲方对共管资金使用情况的检查和监督，接受丙方对共管资金支出的监督；</w:t>
      </w:r>
    </w:p>
    <w:p w14:paraId="50473905">
      <w:p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（3）向丙方支付共管资金划转所产生的业务手续费。</w:t>
      </w:r>
    </w:p>
    <w:p w14:paraId="6CB752C5">
      <w:p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（4）乙方应向丙方留存其预留印鉴样式。</w:t>
      </w:r>
    </w:p>
    <w:p w14:paraId="11324F3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（5）区相关职能部门要求乙方退回预付款的，乙方同意按甲方通知的时间全额退回预付款项给甲方，乙方逾期退款的，对因此造成的损失甲方有权向乙方索赔。</w:t>
      </w:r>
    </w:p>
    <w:p w14:paraId="167C6162">
      <w:pPr>
        <w:spacing w:line="360" w:lineRule="auto"/>
        <w:ind w:left="1"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3.丙方权利与义务</w:t>
      </w:r>
    </w:p>
    <w:p w14:paraId="530969E4">
      <w:pPr>
        <w:spacing w:line="360" w:lineRule="auto"/>
        <w:ind w:left="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（1）依法为乙方开立工程款共管账户，提供便捷有效的银行业务服务，保管共管资金，确保资金安全。在没有征得甲乙双方同意情况下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14:paraId="3D431D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（2）协助甲方审核用款申请文件，并出具意见。</w:t>
      </w:r>
    </w:p>
    <w:p w14:paraId="09932D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（3）对《用款申请书》、《共管资金划款通知书》等文件和预留印鉴进行一致性形式性的审查，并按约定将共管资金划入收款方。</w:t>
      </w:r>
    </w:p>
    <w:p w14:paraId="05925CB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共管资金的使用</w:t>
      </w:r>
    </w:p>
    <w:p w14:paraId="7D644C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共管资金指定用途为</w:t>
      </w:r>
      <w:r>
        <w:rPr>
          <w:rFonts w:hint="eastAsia" w:ascii="宋体" w:hAnsi="宋体" w:eastAsia="宋体" w:cs="宋体"/>
          <w:bCs/>
          <w:color w:val="auto"/>
          <w:szCs w:val="21"/>
          <w:highlight w:val="none"/>
        </w:rPr>
        <w:t>《施工合同》</w:t>
      </w:r>
      <w:r>
        <w:rPr>
          <w:rFonts w:hint="eastAsia" w:ascii="宋体" w:hAnsi="宋体" w:eastAsia="宋体" w:cs="宋体"/>
          <w:color w:val="auto"/>
          <w:szCs w:val="21"/>
          <w:highlight w:val="none"/>
        </w:rPr>
        <w:t>工程实施支出；</w:t>
      </w:r>
    </w:p>
    <w:p w14:paraId="4DC613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申请支付共管资金，应在用款前按《共管工程款使用监管办法》规定，向甲、丙方提交《用款申请书》（格式见附件一）和《管理人员工资发放明细表》（含经乙方盖章核实的上期实际支付及本期支付计划）（格式见附件二）及《共管工程款使用监管办法》规定的其他资料。甲方应在预付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14:paraId="4C3DF1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甲、丙方根据乙方提出的用款申请进行审核，如因乙方指令不合规或者提供的其它支付证明材料未符合甲、丙方要求，甲方有权拒绝支付；</w:t>
      </w:r>
    </w:p>
    <w:p w14:paraId="299E3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14:paraId="502867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 乙方办理共管资金支付每一笔款项，仅可通过丙方柜台转账方式，不能通过他行进行提出票处理，如未能遵守该约定造成损失及不良影响，则乙方自行承担。</w:t>
      </w:r>
    </w:p>
    <w:p w14:paraId="6B72082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共管资金的拒付</w:t>
      </w:r>
    </w:p>
    <w:p w14:paraId="43E201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具备下列情形之一的，丙方有权拒绝乙方从共管账户划款的请求，由此造成的后果由乙方承担：</w:t>
      </w:r>
    </w:p>
    <w:p w14:paraId="4C8807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1.《用款申请书》付款金额超出共管资金余额；</w:t>
      </w:r>
    </w:p>
    <w:p w14:paraId="3A64AC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2.乙方提交的资料或证明文件不符合法律法规规定和本协议约定；</w:t>
      </w:r>
    </w:p>
    <w:p w14:paraId="0900A4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3.乙方应经甲、丙方等相关方同意而未经相关方出具同意意见或资金用途不符合相关约定或共管要求；</w:t>
      </w:r>
    </w:p>
    <w:p w14:paraId="06EAD2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4.收款方与本工程项目没有直接的联系，与实际的施工方和材料的供应商不一致。</w:t>
      </w:r>
    </w:p>
    <w:p w14:paraId="769A43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5.乙方提供的《用款申请书》与甲方出具的《共管账户划款通知书》所载内容不一致。</w:t>
      </w:r>
    </w:p>
    <w:p w14:paraId="6F9693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第五条  共管资金的冻结和止付</w:t>
      </w:r>
    </w:p>
    <w:p w14:paraId="397EE1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1.本协议生效之日起，甲方发现乙方将本项目资金挪用、转移或资金流向异常时，有权授权丙方在共管期间中止支付共管账户资金，直至乙方改正为止。</w:t>
      </w:r>
    </w:p>
    <w:p w14:paraId="67771B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2.共管账户资金只用于向乙方支付本协议中涉及的款项或退款，不得用于其他用途。</w:t>
      </w:r>
    </w:p>
    <w:p w14:paraId="2695CED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共管期间及协议终止</w:t>
      </w:r>
    </w:p>
    <w:p w14:paraId="0EB9F8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共管期间为共管资金转入共管账户至转入本金支付完毕止。如甲、乙、丙三方经协商后缩短或延展共管期间或提前终止共管的，须达成书面补充协议。</w:t>
      </w:r>
    </w:p>
    <w:p w14:paraId="34AA67C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违约责任</w:t>
      </w:r>
    </w:p>
    <w:p w14:paraId="69EB70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甲、乙、丙三方均应遵守并履行本协议约定的义务与责任，不得设置任何妨碍其他各方履行本协议的事实上或法律上的障碍，任何一方违反本协议的约定，应承担由此造成相应的经济损失的赔偿责任。</w:t>
      </w:r>
    </w:p>
    <w:p w14:paraId="3DDB7AE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第八条 特别声明</w:t>
      </w:r>
    </w:p>
    <w:p w14:paraId="76DFC0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1.乙方与其交易对象在签订和履行交易合同过程中出现任何问题和纠纷，均应自行协商或通过法律途径解决；</w:t>
      </w:r>
    </w:p>
    <w:p w14:paraId="217FD3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因国家政策或相关法律法规限制，或者共管资金在由丙方保管期间被有权机关托管、查封、止付、冻结、扣划，或存在其他情况，致使资金无法按协议约定划转的，甲方及（或）丙方不承担任何法律责任；</w:t>
      </w:r>
    </w:p>
    <w:p w14:paraId="76645C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乙方承诺并保证共管资金的用途合法，乙方与其交易对象所从事的任何与本协议相关的活动均应符合法律法规，因违反法律法规并给甲方及（或）丙方造成任何损失的，应对甲方及（或）丙方的损失承担赔偿责任；</w:t>
      </w:r>
    </w:p>
    <w:p w14:paraId="1194A6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除法律、法规规定，以及因本项目专项资金共管业务的需要和三方特别约定外，未经三方一致同意，任何一方不得向外提供涉及三方商业秘密的资料。</w:t>
      </w:r>
    </w:p>
    <w:p w14:paraId="7292B597">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第九条 争议解决</w:t>
      </w:r>
    </w:p>
    <w:p w14:paraId="74584A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本协议在履行过程中需对协议进行修订、或需解除本协议时，均须三方协商一致，并达成书面协议。书面协议达成之前，不影响本协议条款效力。</w:t>
      </w:r>
    </w:p>
    <w:p w14:paraId="0EDFFD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本协议未尽事宜，由三方协商解决，未能友好协商解决的，任何一方均有权向甲方所在地人民法院提起诉讼。</w:t>
      </w:r>
    </w:p>
    <w:p w14:paraId="579F066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第十条 本协议的生效</w:t>
      </w:r>
    </w:p>
    <w:p w14:paraId="4F3C72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本协议自甲、乙、丙三方法定代表人（或负责人）或其授权代理人签字并加盖公章之日起生效。</w:t>
      </w:r>
    </w:p>
    <w:p w14:paraId="49BE094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第十一条 附则</w:t>
      </w:r>
    </w:p>
    <w:p w14:paraId="6EC8E3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本协议一式捌份，甲方执肆份，乙方、丙方各执贰份，具有同等法律效力。</w:t>
      </w:r>
    </w:p>
    <w:p w14:paraId="04AD1DB2">
      <w:pPr>
        <w:spacing w:line="360" w:lineRule="auto"/>
        <w:ind w:firstLine="420" w:firstLineChars="200"/>
        <w:rPr>
          <w:rFonts w:ascii="宋体" w:hAnsi="宋体" w:eastAsia="宋体" w:cs="宋体"/>
          <w:color w:val="auto"/>
          <w:szCs w:val="21"/>
          <w:highlight w:val="none"/>
        </w:rPr>
      </w:pPr>
    </w:p>
    <w:p w14:paraId="1B37DD2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p>
    <w:p w14:paraId="409A7F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一、《用款申请书》;</w:t>
      </w:r>
    </w:p>
    <w:p w14:paraId="560F95DD">
      <w:pPr>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二、《上期实际发放管理人员工资明细表》、《本期计划发放管理人员工资明细表</w:t>
      </w:r>
      <w:r>
        <w:rPr>
          <w:rFonts w:hint="eastAsia" w:ascii="宋体" w:hAnsi="宋体" w:eastAsia="宋体" w:cs="宋体"/>
          <w:b/>
          <w:bCs/>
          <w:color w:val="auto"/>
          <w:szCs w:val="21"/>
          <w:highlight w:val="none"/>
        </w:rPr>
        <w:t>》;</w:t>
      </w:r>
    </w:p>
    <w:p w14:paraId="0FBF13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三、《共管账户划款通知书》;</w:t>
      </w:r>
    </w:p>
    <w:p w14:paraId="2E87CE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四、项目资金支付审批流程概览;</w:t>
      </w:r>
    </w:p>
    <w:p w14:paraId="4436CB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五、《共管工程预付款使用监管办法》</w:t>
      </w:r>
    </w:p>
    <w:p w14:paraId="6A0077A5">
      <w:pPr>
        <w:spacing w:line="360" w:lineRule="auto"/>
        <w:ind w:firstLine="420" w:firstLineChars="200"/>
        <w:rPr>
          <w:rFonts w:ascii="宋体" w:hAnsi="宋体" w:eastAsia="宋体" w:cs="宋体"/>
          <w:color w:val="auto"/>
          <w:szCs w:val="21"/>
          <w:highlight w:val="none"/>
        </w:rPr>
      </w:pPr>
    </w:p>
    <w:p w14:paraId="72B20F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3D46B782">
      <w:pPr>
        <w:spacing w:line="360" w:lineRule="auto"/>
        <w:rPr>
          <w:rFonts w:ascii="宋体" w:hAnsi="宋体" w:eastAsia="宋体" w:cs="宋体"/>
          <w:color w:val="auto"/>
          <w:szCs w:val="21"/>
          <w:highlight w:val="none"/>
        </w:rPr>
      </w:pPr>
    </w:p>
    <w:p w14:paraId="09F2BD6B">
      <w:pPr>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甲方（盖公章）：中新广州知识城财政投资建设项目管理中心</w:t>
      </w:r>
    </w:p>
    <w:p w14:paraId="0FB6D98F">
      <w:pPr>
        <w:spacing w:line="360" w:lineRule="auto"/>
        <w:rPr>
          <w:rFonts w:ascii="宋体" w:hAnsi="宋体" w:eastAsia="宋体" w:cs="宋体"/>
          <w:color w:val="auto"/>
          <w:szCs w:val="21"/>
          <w:highlight w:val="none"/>
        </w:rPr>
      </w:pPr>
    </w:p>
    <w:p w14:paraId="42E0F9D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法定代表人（授权代理人）：</w:t>
      </w:r>
    </w:p>
    <w:p w14:paraId="385F2BE3">
      <w:pPr>
        <w:spacing w:line="360" w:lineRule="auto"/>
        <w:rPr>
          <w:rFonts w:ascii="宋体" w:hAnsi="宋体" w:eastAsia="宋体" w:cs="宋体"/>
          <w:color w:val="auto"/>
          <w:szCs w:val="21"/>
          <w:highlight w:val="none"/>
        </w:rPr>
      </w:pPr>
    </w:p>
    <w:p w14:paraId="656D850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p w14:paraId="0C42B502">
      <w:pPr>
        <w:spacing w:line="360" w:lineRule="auto"/>
        <w:rPr>
          <w:rFonts w:ascii="宋体" w:hAnsi="宋体" w:eastAsia="宋体" w:cs="宋体"/>
          <w:color w:val="auto"/>
          <w:szCs w:val="21"/>
          <w:highlight w:val="none"/>
        </w:rPr>
      </w:pPr>
    </w:p>
    <w:p w14:paraId="0352E073">
      <w:pPr>
        <w:spacing w:line="360" w:lineRule="auto"/>
        <w:ind w:right="-867" w:rightChars="-413"/>
        <w:rPr>
          <w:rFonts w:ascii="宋体" w:hAnsi="宋体" w:eastAsia="宋体" w:cs="宋体"/>
          <w:color w:val="auto"/>
          <w:szCs w:val="21"/>
          <w:highlight w:val="none"/>
        </w:rPr>
      </w:pPr>
    </w:p>
    <w:p w14:paraId="6DB25066">
      <w:pPr>
        <w:spacing w:line="360" w:lineRule="auto"/>
        <w:ind w:right="-867" w:rightChars="-413"/>
        <w:rPr>
          <w:rFonts w:ascii="宋体" w:hAnsi="宋体" w:eastAsia="宋体" w:cs="宋体"/>
          <w:color w:val="auto"/>
          <w:szCs w:val="21"/>
          <w:highlight w:val="none"/>
        </w:rPr>
      </w:pPr>
      <w:r>
        <w:rPr>
          <w:rFonts w:hint="eastAsia" w:ascii="宋体" w:hAnsi="宋体" w:eastAsia="宋体" w:cs="宋体"/>
          <w:b/>
          <w:bCs/>
          <w:color w:val="auto"/>
          <w:szCs w:val="21"/>
          <w:highlight w:val="none"/>
        </w:rPr>
        <w:t>乙方（盖公章）：</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 xml:space="preserve">                  </w:t>
      </w:r>
    </w:p>
    <w:p w14:paraId="5EB08BB2">
      <w:pPr>
        <w:spacing w:line="360" w:lineRule="auto"/>
        <w:rPr>
          <w:rFonts w:ascii="宋体" w:hAnsi="宋体" w:eastAsia="宋体" w:cs="宋体"/>
          <w:color w:val="auto"/>
          <w:szCs w:val="21"/>
          <w:highlight w:val="none"/>
        </w:rPr>
      </w:pPr>
    </w:p>
    <w:p w14:paraId="3FA499C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法定代表人（授权代理人）：</w:t>
      </w:r>
    </w:p>
    <w:p w14:paraId="3A6DE135">
      <w:pPr>
        <w:spacing w:line="360" w:lineRule="auto"/>
        <w:rPr>
          <w:rFonts w:ascii="宋体" w:hAnsi="宋体" w:eastAsia="宋体" w:cs="宋体"/>
          <w:color w:val="auto"/>
          <w:szCs w:val="21"/>
          <w:highlight w:val="none"/>
        </w:rPr>
      </w:pPr>
    </w:p>
    <w:p w14:paraId="18F5DFF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p w14:paraId="412D1CED">
      <w:pPr>
        <w:spacing w:line="360" w:lineRule="auto"/>
        <w:rPr>
          <w:rFonts w:ascii="宋体" w:hAnsi="宋体" w:eastAsia="宋体" w:cs="宋体"/>
          <w:color w:val="auto"/>
          <w:szCs w:val="21"/>
          <w:highlight w:val="none"/>
        </w:rPr>
      </w:pPr>
    </w:p>
    <w:p w14:paraId="796216D8">
      <w:pPr>
        <w:spacing w:line="360" w:lineRule="auto"/>
        <w:ind w:right="-867" w:rightChars="-413"/>
        <w:rPr>
          <w:rFonts w:ascii="宋体" w:hAnsi="宋体" w:eastAsia="宋体" w:cs="宋体"/>
          <w:color w:val="auto"/>
          <w:szCs w:val="21"/>
          <w:highlight w:val="none"/>
        </w:rPr>
      </w:pPr>
    </w:p>
    <w:p w14:paraId="01B47A7A">
      <w:pPr>
        <w:spacing w:line="360" w:lineRule="auto"/>
        <w:ind w:right="-867" w:rightChars="-413"/>
        <w:rPr>
          <w:rFonts w:ascii="宋体" w:hAnsi="宋体" w:eastAsia="宋体" w:cs="宋体"/>
          <w:color w:val="auto"/>
          <w:szCs w:val="21"/>
          <w:highlight w:val="none"/>
        </w:rPr>
      </w:pPr>
      <w:r>
        <w:rPr>
          <w:rFonts w:hint="eastAsia" w:ascii="宋体" w:hAnsi="宋体" w:eastAsia="宋体" w:cs="宋体"/>
          <w:b/>
          <w:bCs/>
          <w:color w:val="auto"/>
          <w:szCs w:val="21"/>
          <w:highlight w:val="none"/>
        </w:rPr>
        <w:t xml:space="preserve">丙方（盖公章）： </w:t>
      </w:r>
      <w:r>
        <w:rPr>
          <w:rFonts w:hint="eastAsia" w:ascii="宋体" w:hAnsi="宋体" w:eastAsia="宋体" w:cs="宋体"/>
          <w:color w:val="auto"/>
          <w:szCs w:val="21"/>
          <w:highlight w:val="none"/>
        </w:rPr>
        <w:t xml:space="preserve">                  </w:t>
      </w:r>
    </w:p>
    <w:p w14:paraId="1BE3C330">
      <w:pPr>
        <w:spacing w:line="360" w:lineRule="auto"/>
        <w:rPr>
          <w:rFonts w:ascii="宋体" w:hAnsi="宋体" w:eastAsia="宋体" w:cs="宋体"/>
          <w:color w:val="auto"/>
          <w:szCs w:val="21"/>
          <w:highlight w:val="none"/>
        </w:rPr>
      </w:pPr>
    </w:p>
    <w:p w14:paraId="2DE5369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法定代表人（授权代理人）：</w:t>
      </w:r>
    </w:p>
    <w:p w14:paraId="7317A387">
      <w:pPr>
        <w:spacing w:line="360" w:lineRule="auto"/>
        <w:rPr>
          <w:rFonts w:ascii="宋体" w:hAnsi="宋体" w:eastAsia="宋体" w:cs="宋体"/>
          <w:color w:val="auto"/>
          <w:szCs w:val="21"/>
          <w:highlight w:val="none"/>
        </w:rPr>
      </w:pPr>
    </w:p>
    <w:p w14:paraId="2E810A1B">
      <w:pPr>
        <w:spacing w:line="360" w:lineRule="auto"/>
        <w:rPr>
          <w:rFonts w:ascii="宋体" w:hAnsi="宋体" w:eastAsia="宋体" w:cs="宋体"/>
          <w:color w:val="auto"/>
          <w:szCs w:val="21"/>
          <w:highlight w:val="none"/>
        </w:rPr>
        <w:sectPr>
          <w:headerReference r:id="rId29" w:type="default"/>
          <w:footerReference r:id="rId30" w:type="default"/>
          <w:type w:val="continuous"/>
          <w:pgSz w:w="11906" w:h="16838"/>
          <w:pgMar w:top="1440" w:right="1080" w:bottom="1440" w:left="1080" w:header="851" w:footer="907"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Cs w:val="21"/>
          <w:highlight w:val="none"/>
        </w:rPr>
        <w:t>签订日期：             年     月     日</w:t>
      </w:r>
    </w:p>
    <w:tbl>
      <w:tblPr>
        <w:tblStyle w:val="37"/>
        <w:tblW w:w="15507" w:type="dxa"/>
        <w:jc w:val="center"/>
        <w:tblLayout w:type="autofit"/>
        <w:tblCellMar>
          <w:top w:w="0" w:type="dxa"/>
          <w:left w:w="108" w:type="dxa"/>
          <w:bottom w:w="0" w:type="dxa"/>
          <w:right w:w="108" w:type="dxa"/>
        </w:tblCellMar>
      </w:tblPr>
      <w:tblGrid>
        <w:gridCol w:w="440"/>
        <w:gridCol w:w="1260"/>
        <w:gridCol w:w="887"/>
        <w:gridCol w:w="1035"/>
        <w:gridCol w:w="465"/>
        <w:gridCol w:w="480"/>
        <w:gridCol w:w="280"/>
        <w:gridCol w:w="480"/>
        <w:gridCol w:w="220"/>
        <w:gridCol w:w="1760"/>
        <w:gridCol w:w="284"/>
        <w:gridCol w:w="1116"/>
        <w:gridCol w:w="480"/>
        <w:gridCol w:w="920"/>
        <w:gridCol w:w="480"/>
        <w:gridCol w:w="1115"/>
        <w:gridCol w:w="65"/>
        <w:gridCol w:w="480"/>
        <w:gridCol w:w="460"/>
        <w:gridCol w:w="940"/>
        <w:gridCol w:w="460"/>
        <w:gridCol w:w="1400"/>
      </w:tblGrid>
      <w:tr w14:paraId="6E6B9B46">
        <w:tblPrEx>
          <w:tblCellMar>
            <w:top w:w="0" w:type="dxa"/>
            <w:left w:w="108" w:type="dxa"/>
            <w:bottom w:w="0" w:type="dxa"/>
            <w:right w:w="108" w:type="dxa"/>
          </w:tblCellMar>
        </w:tblPrEx>
        <w:trPr>
          <w:trHeight w:val="315" w:hRule="atLeast"/>
          <w:jc w:val="center"/>
        </w:trPr>
        <w:tc>
          <w:tcPr>
            <w:tcW w:w="2587" w:type="dxa"/>
            <w:gridSpan w:val="3"/>
            <w:tcBorders>
              <w:top w:val="nil"/>
              <w:left w:val="nil"/>
              <w:bottom w:val="nil"/>
              <w:right w:val="nil"/>
            </w:tcBorders>
            <w:noWrap w:val="0"/>
            <w:vAlign w:val="center"/>
          </w:tcPr>
          <w:p w14:paraId="2CAFDCDC">
            <w:pPr>
              <w:widowControl/>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附件一：</w:t>
            </w:r>
          </w:p>
        </w:tc>
        <w:tc>
          <w:tcPr>
            <w:tcW w:w="1500" w:type="dxa"/>
            <w:gridSpan w:val="2"/>
            <w:tcBorders>
              <w:top w:val="nil"/>
              <w:left w:val="nil"/>
              <w:bottom w:val="nil"/>
              <w:right w:val="nil"/>
            </w:tcBorders>
            <w:noWrap w:val="0"/>
            <w:vAlign w:val="center"/>
          </w:tcPr>
          <w:p w14:paraId="6A254170">
            <w:pPr>
              <w:widowControl/>
              <w:jc w:val="center"/>
              <w:rPr>
                <w:rFonts w:ascii="宋体" w:hAnsi="宋体" w:eastAsia="宋体" w:cs="宋体"/>
                <w:color w:val="auto"/>
                <w:kern w:val="0"/>
                <w:sz w:val="24"/>
                <w:szCs w:val="24"/>
                <w:highlight w:val="none"/>
              </w:rPr>
            </w:pPr>
          </w:p>
        </w:tc>
        <w:tc>
          <w:tcPr>
            <w:tcW w:w="760" w:type="dxa"/>
            <w:gridSpan w:val="2"/>
            <w:tcBorders>
              <w:top w:val="nil"/>
              <w:left w:val="nil"/>
              <w:bottom w:val="nil"/>
              <w:right w:val="nil"/>
            </w:tcBorders>
            <w:noWrap w:val="0"/>
            <w:vAlign w:val="center"/>
          </w:tcPr>
          <w:p w14:paraId="638E5E37">
            <w:pPr>
              <w:widowControl/>
              <w:jc w:val="center"/>
              <w:rPr>
                <w:rFonts w:ascii="宋体" w:hAnsi="宋体" w:eastAsia="宋体" w:cs="宋体"/>
                <w:color w:val="auto"/>
                <w:kern w:val="0"/>
                <w:sz w:val="24"/>
                <w:szCs w:val="24"/>
                <w:highlight w:val="none"/>
              </w:rPr>
            </w:pPr>
          </w:p>
        </w:tc>
        <w:tc>
          <w:tcPr>
            <w:tcW w:w="700" w:type="dxa"/>
            <w:gridSpan w:val="2"/>
            <w:tcBorders>
              <w:top w:val="nil"/>
              <w:left w:val="nil"/>
              <w:bottom w:val="nil"/>
              <w:right w:val="nil"/>
            </w:tcBorders>
            <w:noWrap w:val="0"/>
            <w:vAlign w:val="center"/>
          </w:tcPr>
          <w:p w14:paraId="162A8AF3">
            <w:pPr>
              <w:widowControl/>
              <w:jc w:val="center"/>
              <w:rPr>
                <w:rFonts w:ascii="宋体" w:hAnsi="宋体" w:eastAsia="宋体" w:cs="宋体"/>
                <w:color w:val="auto"/>
                <w:kern w:val="0"/>
                <w:sz w:val="24"/>
                <w:szCs w:val="24"/>
                <w:highlight w:val="none"/>
              </w:rPr>
            </w:pPr>
          </w:p>
        </w:tc>
        <w:tc>
          <w:tcPr>
            <w:tcW w:w="1760" w:type="dxa"/>
            <w:tcBorders>
              <w:top w:val="nil"/>
              <w:left w:val="nil"/>
              <w:bottom w:val="nil"/>
              <w:right w:val="nil"/>
            </w:tcBorders>
            <w:noWrap w:val="0"/>
            <w:vAlign w:val="center"/>
          </w:tcPr>
          <w:p w14:paraId="367BEB82">
            <w:pPr>
              <w:widowControl/>
              <w:jc w:val="center"/>
              <w:rPr>
                <w:rFonts w:ascii="宋体" w:hAnsi="宋体" w:eastAsia="宋体" w:cs="宋体"/>
                <w:color w:val="auto"/>
                <w:kern w:val="0"/>
                <w:sz w:val="24"/>
                <w:szCs w:val="24"/>
                <w:highlight w:val="none"/>
              </w:rPr>
            </w:pPr>
          </w:p>
        </w:tc>
        <w:tc>
          <w:tcPr>
            <w:tcW w:w="1400" w:type="dxa"/>
            <w:gridSpan w:val="2"/>
            <w:tcBorders>
              <w:top w:val="nil"/>
              <w:left w:val="nil"/>
              <w:bottom w:val="nil"/>
              <w:right w:val="nil"/>
            </w:tcBorders>
            <w:noWrap w:val="0"/>
            <w:vAlign w:val="center"/>
          </w:tcPr>
          <w:p w14:paraId="32CA49C4">
            <w:pPr>
              <w:widowControl/>
              <w:jc w:val="center"/>
              <w:rPr>
                <w:rFonts w:ascii="宋体" w:hAnsi="宋体" w:eastAsia="宋体" w:cs="宋体"/>
                <w:color w:val="auto"/>
                <w:kern w:val="0"/>
                <w:sz w:val="24"/>
                <w:szCs w:val="24"/>
                <w:highlight w:val="none"/>
              </w:rPr>
            </w:pPr>
          </w:p>
        </w:tc>
        <w:tc>
          <w:tcPr>
            <w:tcW w:w="1400" w:type="dxa"/>
            <w:gridSpan w:val="2"/>
            <w:tcBorders>
              <w:top w:val="nil"/>
              <w:left w:val="nil"/>
              <w:bottom w:val="nil"/>
              <w:right w:val="nil"/>
            </w:tcBorders>
            <w:noWrap w:val="0"/>
            <w:vAlign w:val="center"/>
          </w:tcPr>
          <w:p w14:paraId="79FB7F56">
            <w:pPr>
              <w:widowControl/>
              <w:jc w:val="center"/>
              <w:rPr>
                <w:rFonts w:ascii="宋体" w:hAnsi="宋体" w:eastAsia="宋体" w:cs="宋体"/>
                <w:color w:val="auto"/>
                <w:kern w:val="0"/>
                <w:sz w:val="24"/>
                <w:szCs w:val="24"/>
                <w:highlight w:val="none"/>
              </w:rPr>
            </w:pPr>
          </w:p>
        </w:tc>
        <w:tc>
          <w:tcPr>
            <w:tcW w:w="1660" w:type="dxa"/>
            <w:gridSpan w:val="3"/>
            <w:tcBorders>
              <w:top w:val="nil"/>
              <w:left w:val="nil"/>
              <w:bottom w:val="nil"/>
              <w:right w:val="nil"/>
            </w:tcBorders>
            <w:noWrap w:val="0"/>
            <w:vAlign w:val="center"/>
          </w:tcPr>
          <w:p w14:paraId="29A516BA">
            <w:pPr>
              <w:widowControl/>
              <w:jc w:val="center"/>
              <w:rPr>
                <w:rFonts w:ascii="宋体" w:hAnsi="宋体" w:eastAsia="宋体" w:cs="宋体"/>
                <w:color w:val="auto"/>
                <w:kern w:val="0"/>
                <w:sz w:val="24"/>
                <w:szCs w:val="24"/>
                <w:highlight w:val="none"/>
              </w:rPr>
            </w:pPr>
          </w:p>
        </w:tc>
        <w:tc>
          <w:tcPr>
            <w:tcW w:w="480" w:type="dxa"/>
            <w:tcBorders>
              <w:top w:val="nil"/>
              <w:left w:val="nil"/>
              <w:bottom w:val="nil"/>
              <w:right w:val="nil"/>
            </w:tcBorders>
            <w:noWrap w:val="0"/>
            <w:vAlign w:val="center"/>
          </w:tcPr>
          <w:p w14:paraId="71C57B1C">
            <w:pPr>
              <w:widowControl/>
              <w:jc w:val="center"/>
              <w:rPr>
                <w:rFonts w:ascii="宋体" w:hAnsi="宋体" w:eastAsia="宋体" w:cs="宋体"/>
                <w:color w:val="auto"/>
                <w:kern w:val="0"/>
                <w:sz w:val="24"/>
                <w:szCs w:val="24"/>
                <w:highlight w:val="none"/>
              </w:rPr>
            </w:pPr>
          </w:p>
        </w:tc>
        <w:tc>
          <w:tcPr>
            <w:tcW w:w="1400" w:type="dxa"/>
            <w:gridSpan w:val="2"/>
            <w:tcBorders>
              <w:top w:val="nil"/>
              <w:left w:val="nil"/>
              <w:bottom w:val="nil"/>
              <w:right w:val="nil"/>
            </w:tcBorders>
            <w:noWrap w:val="0"/>
            <w:vAlign w:val="center"/>
          </w:tcPr>
          <w:p w14:paraId="1FEDEC52">
            <w:pPr>
              <w:widowControl/>
              <w:jc w:val="center"/>
              <w:rPr>
                <w:rFonts w:ascii="宋体" w:hAnsi="宋体" w:eastAsia="宋体" w:cs="宋体"/>
                <w:color w:val="auto"/>
                <w:kern w:val="0"/>
                <w:sz w:val="24"/>
                <w:szCs w:val="24"/>
                <w:highlight w:val="none"/>
              </w:rPr>
            </w:pPr>
          </w:p>
        </w:tc>
        <w:tc>
          <w:tcPr>
            <w:tcW w:w="1860" w:type="dxa"/>
            <w:gridSpan w:val="2"/>
            <w:tcBorders>
              <w:top w:val="nil"/>
              <w:left w:val="nil"/>
              <w:bottom w:val="nil"/>
              <w:right w:val="nil"/>
            </w:tcBorders>
            <w:noWrap w:val="0"/>
            <w:vAlign w:val="center"/>
          </w:tcPr>
          <w:p w14:paraId="5B75FF11">
            <w:pPr>
              <w:widowControl/>
              <w:jc w:val="center"/>
              <w:rPr>
                <w:rFonts w:ascii="宋体" w:hAnsi="宋体" w:eastAsia="宋体" w:cs="宋体"/>
                <w:color w:val="auto"/>
                <w:kern w:val="0"/>
                <w:sz w:val="24"/>
                <w:szCs w:val="24"/>
                <w:highlight w:val="none"/>
              </w:rPr>
            </w:pPr>
          </w:p>
        </w:tc>
      </w:tr>
      <w:tr w14:paraId="012117D2">
        <w:tblPrEx>
          <w:tblCellMar>
            <w:top w:w="0" w:type="dxa"/>
            <w:left w:w="108" w:type="dxa"/>
            <w:bottom w:w="0" w:type="dxa"/>
            <w:right w:w="108" w:type="dxa"/>
          </w:tblCellMar>
        </w:tblPrEx>
        <w:trPr>
          <w:trHeight w:val="510" w:hRule="atLeast"/>
          <w:jc w:val="center"/>
        </w:trPr>
        <w:tc>
          <w:tcPr>
            <w:tcW w:w="15507" w:type="dxa"/>
            <w:gridSpan w:val="22"/>
            <w:tcBorders>
              <w:top w:val="nil"/>
              <w:left w:val="nil"/>
              <w:bottom w:val="nil"/>
              <w:right w:val="nil"/>
            </w:tcBorders>
            <w:noWrap w:val="0"/>
            <w:vAlign w:val="center"/>
          </w:tcPr>
          <w:p w14:paraId="3D687169">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工程</w:t>
            </w:r>
          </w:p>
        </w:tc>
      </w:tr>
      <w:tr w14:paraId="2F11BA28">
        <w:tblPrEx>
          <w:tblCellMar>
            <w:top w:w="0" w:type="dxa"/>
            <w:left w:w="108" w:type="dxa"/>
            <w:bottom w:w="0" w:type="dxa"/>
            <w:right w:w="108" w:type="dxa"/>
          </w:tblCellMar>
        </w:tblPrEx>
        <w:trPr>
          <w:trHeight w:val="510" w:hRule="atLeast"/>
          <w:jc w:val="center"/>
        </w:trPr>
        <w:tc>
          <w:tcPr>
            <w:tcW w:w="15507" w:type="dxa"/>
            <w:gridSpan w:val="22"/>
            <w:tcBorders>
              <w:top w:val="nil"/>
              <w:left w:val="nil"/>
              <w:bottom w:val="single" w:color="auto" w:sz="4" w:space="0"/>
              <w:right w:val="nil"/>
            </w:tcBorders>
            <w:noWrap w:val="0"/>
            <w:vAlign w:val="center"/>
          </w:tcPr>
          <w:p w14:paraId="29094764">
            <w:pPr>
              <w:widowControl/>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申请编号：</w:t>
            </w:r>
            <w:r>
              <w:rPr>
                <w:rFonts w:ascii="宋体" w:hAnsi="宋体" w:eastAsia="宋体" w:cs="宋体"/>
                <w:b/>
                <w:bCs/>
                <w:color w:val="auto"/>
                <w:kern w:val="0"/>
                <w:sz w:val="22"/>
                <w:highlight w:val="none"/>
              </w:rPr>
              <w:t xml:space="preserve">20  </w:t>
            </w:r>
            <w:r>
              <w:rPr>
                <w:rFonts w:hint="eastAsia" w:ascii="宋体" w:hAnsi="宋体" w:eastAsia="宋体" w:cs="宋体"/>
                <w:b/>
                <w:bCs/>
                <w:color w:val="auto"/>
                <w:kern w:val="0"/>
                <w:sz w:val="22"/>
                <w:highlight w:val="none"/>
              </w:rPr>
              <w:t>年第</w:t>
            </w:r>
            <w:r>
              <w:rPr>
                <w:rFonts w:ascii="宋体" w:hAnsi="宋体" w:eastAsia="宋体" w:cs="宋体"/>
                <w:b/>
                <w:bCs/>
                <w:color w:val="auto"/>
                <w:kern w:val="0"/>
                <w:sz w:val="22"/>
                <w:highlight w:val="none"/>
              </w:rPr>
              <w:t xml:space="preserve">  </w:t>
            </w:r>
            <w:r>
              <w:rPr>
                <w:rFonts w:hint="eastAsia" w:ascii="宋体" w:hAnsi="宋体" w:eastAsia="宋体" w:cs="宋体"/>
                <w:b/>
                <w:bCs/>
                <w:color w:val="auto"/>
                <w:kern w:val="0"/>
                <w:sz w:val="22"/>
                <w:highlight w:val="none"/>
              </w:rPr>
              <w:t>次申请</w:t>
            </w:r>
            <w:r>
              <w:rPr>
                <w:rFonts w:ascii="宋体" w:hAnsi="宋体" w:eastAsia="宋体" w:cs="宋体"/>
                <w:b/>
                <w:bCs/>
                <w:color w:val="auto"/>
                <w:kern w:val="0"/>
                <w:sz w:val="40"/>
                <w:szCs w:val="40"/>
                <w:highlight w:val="none"/>
              </w:rPr>
              <w:t xml:space="preserve">                  </w:t>
            </w:r>
            <w:r>
              <w:rPr>
                <w:rFonts w:hint="eastAsia" w:ascii="宋体" w:hAnsi="宋体" w:eastAsia="宋体" w:cs="宋体"/>
                <w:b/>
                <w:bCs/>
                <w:color w:val="auto"/>
                <w:kern w:val="0"/>
                <w:sz w:val="40"/>
                <w:szCs w:val="40"/>
                <w:highlight w:val="none"/>
              </w:rPr>
              <w:t>用款申请书</w:t>
            </w:r>
            <w:r>
              <w:rPr>
                <w:rFonts w:ascii="宋体" w:hAnsi="宋体" w:eastAsia="宋体" w:cs="宋体"/>
                <w:b/>
                <w:bCs/>
                <w:color w:val="auto"/>
                <w:kern w:val="0"/>
                <w:sz w:val="40"/>
                <w:szCs w:val="40"/>
                <w:highlight w:val="none"/>
              </w:rPr>
              <w:t xml:space="preserve">                  </w:t>
            </w:r>
            <w:r>
              <w:rPr>
                <w:rFonts w:hint="eastAsia" w:ascii="宋体" w:hAnsi="宋体" w:eastAsia="宋体" w:cs="宋体"/>
                <w:b/>
                <w:bCs/>
                <w:color w:val="auto"/>
                <w:kern w:val="0"/>
                <w:sz w:val="22"/>
                <w:highlight w:val="none"/>
              </w:rPr>
              <w:t>申请日期：</w:t>
            </w:r>
            <w:r>
              <w:rPr>
                <w:rFonts w:ascii="宋体" w:hAnsi="宋体" w:eastAsia="宋体" w:cs="宋体"/>
                <w:b/>
                <w:bCs/>
                <w:color w:val="auto"/>
                <w:kern w:val="0"/>
                <w:sz w:val="22"/>
                <w:highlight w:val="none"/>
              </w:rPr>
              <w:t xml:space="preserve">    </w:t>
            </w:r>
            <w:r>
              <w:rPr>
                <w:rFonts w:hint="eastAsia" w:ascii="宋体" w:hAnsi="宋体" w:eastAsia="宋体" w:cs="宋体"/>
                <w:b/>
                <w:bCs/>
                <w:color w:val="auto"/>
                <w:kern w:val="0"/>
                <w:sz w:val="22"/>
                <w:highlight w:val="none"/>
              </w:rPr>
              <w:t>年</w:t>
            </w:r>
            <w:r>
              <w:rPr>
                <w:rFonts w:ascii="宋体" w:hAnsi="宋体" w:eastAsia="宋体" w:cs="宋体"/>
                <w:b/>
                <w:bCs/>
                <w:color w:val="auto"/>
                <w:kern w:val="0"/>
                <w:sz w:val="22"/>
                <w:highlight w:val="none"/>
              </w:rPr>
              <w:t xml:space="preserve">   </w:t>
            </w:r>
            <w:r>
              <w:rPr>
                <w:rFonts w:hint="eastAsia" w:ascii="宋体" w:hAnsi="宋体" w:eastAsia="宋体" w:cs="宋体"/>
                <w:b/>
                <w:bCs/>
                <w:color w:val="auto"/>
                <w:kern w:val="0"/>
                <w:sz w:val="22"/>
                <w:highlight w:val="none"/>
              </w:rPr>
              <w:t>月</w:t>
            </w:r>
            <w:r>
              <w:rPr>
                <w:rFonts w:ascii="宋体" w:hAnsi="宋体" w:eastAsia="宋体" w:cs="宋体"/>
                <w:b/>
                <w:bCs/>
                <w:color w:val="auto"/>
                <w:kern w:val="0"/>
                <w:sz w:val="22"/>
                <w:highlight w:val="none"/>
              </w:rPr>
              <w:t xml:space="preserve">   </w:t>
            </w:r>
            <w:r>
              <w:rPr>
                <w:rFonts w:hint="eastAsia" w:ascii="宋体" w:hAnsi="宋体" w:eastAsia="宋体" w:cs="宋体"/>
                <w:b/>
                <w:bCs/>
                <w:color w:val="auto"/>
                <w:kern w:val="0"/>
                <w:sz w:val="22"/>
                <w:highlight w:val="none"/>
              </w:rPr>
              <w:t>日</w:t>
            </w:r>
          </w:p>
        </w:tc>
      </w:tr>
      <w:tr w14:paraId="37A21829">
        <w:tblPrEx>
          <w:tblCellMar>
            <w:top w:w="0" w:type="dxa"/>
            <w:left w:w="108" w:type="dxa"/>
            <w:bottom w:w="0" w:type="dxa"/>
            <w:right w:w="108" w:type="dxa"/>
          </w:tblCellMar>
        </w:tblPrEx>
        <w:trPr>
          <w:trHeight w:val="485"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7EA59F9F">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申请单位全称</w:t>
            </w:r>
          </w:p>
        </w:tc>
        <w:tc>
          <w:tcPr>
            <w:tcW w:w="3627" w:type="dxa"/>
            <w:gridSpan w:val="6"/>
            <w:tcBorders>
              <w:top w:val="single" w:color="auto" w:sz="4" w:space="0"/>
              <w:left w:val="nil"/>
              <w:bottom w:val="single" w:color="auto" w:sz="4" w:space="0"/>
              <w:right w:val="single" w:color="000000" w:sz="4" w:space="0"/>
            </w:tcBorders>
            <w:noWrap w:val="0"/>
            <w:vAlign w:val="center"/>
          </w:tcPr>
          <w:p w14:paraId="0EAF1CED">
            <w:pPr>
              <w:widowControl/>
              <w:jc w:val="center"/>
              <w:rPr>
                <w:rFonts w:ascii="宋体" w:hAnsi="宋体" w:eastAsia="宋体" w:cs="宋体"/>
                <w:b/>
                <w:bCs/>
                <w:color w:val="auto"/>
                <w:kern w:val="0"/>
                <w:sz w:val="22"/>
                <w:highlight w:val="none"/>
              </w:rPr>
            </w:pPr>
            <w:r>
              <w:rPr>
                <w:rFonts w:ascii="宋体" w:hAnsi="宋体" w:eastAsia="宋体" w:cs="宋体"/>
                <w:b/>
                <w:bCs/>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24936E16">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共管账户开户银行</w:t>
            </w:r>
          </w:p>
        </w:tc>
        <w:tc>
          <w:tcPr>
            <w:tcW w:w="2996" w:type="dxa"/>
            <w:gridSpan w:val="4"/>
            <w:tcBorders>
              <w:top w:val="single" w:color="auto" w:sz="4" w:space="0"/>
              <w:left w:val="nil"/>
              <w:bottom w:val="single" w:color="auto" w:sz="4" w:space="0"/>
              <w:right w:val="single" w:color="000000" w:sz="4" w:space="0"/>
            </w:tcBorders>
            <w:noWrap w:val="0"/>
            <w:vAlign w:val="center"/>
          </w:tcPr>
          <w:p w14:paraId="79F27ED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6F1534BC">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共管账户银行账号</w:t>
            </w:r>
          </w:p>
        </w:tc>
        <w:tc>
          <w:tcPr>
            <w:tcW w:w="2800" w:type="dxa"/>
            <w:gridSpan w:val="3"/>
            <w:tcBorders>
              <w:top w:val="single" w:color="auto" w:sz="4" w:space="0"/>
              <w:left w:val="nil"/>
              <w:bottom w:val="single" w:color="auto" w:sz="4" w:space="0"/>
              <w:right w:val="single" w:color="000000" w:sz="4" w:space="0"/>
            </w:tcBorders>
            <w:noWrap w:val="0"/>
            <w:vAlign w:val="center"/>
          </w:tcPr>
          <w:p w14:paraId="4BCBBD2B">
            <w:pPr>
              <w:widowControl/>
              <w:jc w:val="center"/>
              <w:rPr>
                <w:rFonts w:ascii="宋体" w:hAnsi="宋体" w:eastAsia="宋体" w:cs="宋体"/>
                <w:b/>
                <w:bCs/>
                <w:color w:val="auto"/>
                <w:kern w:val="0"/>
                <w:sz w:val="22"/>
                <w:highlight w:val="none"/>
              </w:rPr>
            </w:pPr>
            <w:r>
              <w:rPr>
                <w:rFonts w:ascii="宋体" w:hAnsi="宋体" w:eastAsia="宋体" w:cs="宋体"/>
                <w:b/>
                <w:bCs/>
                <w:color w:val="auto"/>
                <w:kern w:val="0"/>
                <w:sz w:val="22"/>
                <w:highlight w:val="none"/>
              </w:rPr>
              <w:t>　</w:t>
            </w:r>
          </w:p>
        </w:tc>
      </w:tr>
      <w:tr w14:paraId="405011B5">
        <w:tblPrEx>
          <w:tblCellMar>
            <w:top w:w="0" w:type="dxa"/>
            <w:left w:w="108" w:type="dxa"/>
            <w:bottom w:w="0" w:type="dxa"/>
            <w:right w:w="108" w:type="dxa"/>
          </w:tblCellMar>
        </w:tblPrEx>
        <w:trPr>
          <w:trHeight w:val="461" w:hRule="atLeast"/>
          <w:jc w:val="center"/>
        </w:trPr>
        <w:tc>
          <w:tcPr>
            <w:tcW w:w="2587" w:type="dxa"/>
            <w:gridSpan w:val="3"/>
            <w:tcBorders>
              <w:top w:val="single" w:color="auto" w:sz="4" w:space="0"/>
              <w:left w:val="single" w:color="auto" w:sz="4" w:space="0"/>
              <w:bottom w:val="single" w:color="auto" w:sz="4" w:space="0"/>
              <w:right w:val="single" w:color="000000" w:sz="4" w:space="0"/>
            </w:tcBorders>
            <w:noWrap w:val="0"/>
            <w:vAlign w:val="center"/>
          </w:tcPr>
          <w:p w14:paraId="26ECFC15">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本期审定应付金额（元）</w:t>
            </w:r>
          </w:p>
        </w:tc>
        <w:tc>
          <w:tcPr>
            <w:tcW w:w="2740" w:type="dxa"/>
            <w:gridSpan w:val="5"/>
            <w:tcBorders>
              <w:top w:val="single" w:color="auto" w:sz="4" w:space="0"/>
              <w:left w:val="nil"/>
              <w:bottom w:val="single" w:color="auto" w:sz="4" w:space="0"/>
              <w:right w:val="single" w:color="000000" w:sz="4" w:space="0"/>
            </w:tcBorders>
            <w:noWrap w:val="0"/>
            <w:vAlign w:val="center"/>
          </w:tcPr>
          <w:p w14:paraId="1276043C">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0E1ACBEB">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共管账户余额（元）</w:t>
            </w:r>
          </w:p>
        </w:tc>
        <w:tc>
          <w:tcPr>
            <w:tcW w:w="2996" w:type="dxa"/>
            <w:gridSpan w:val="4"/>
            <w:tcBorders>
              <w:top w:val="single" w:color="auto" w:sz="4" w:space="0"/>
              <w:left w:val="nil"/>
              <w:bottom w:val="single" w:color="auto" w:sz="4" w:space="0"/>
              <w:right w:val="single" w:color="000000" w:sz="4" w:space="0"/>
            </w:tcBorders>
            <w:noWrap w:val="0"/>
            <w:vAlign w:val="center"/>
          </w:tcPr>
          <w:p w14:paraId="60BDBE9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3520" w:type="dxa"/>
            <w:gridSpan w:val="6"/>
            <w:tcBorders>
              <w:top w:val="single" w:color="auto" w:sz="4" w:space="0"/>
              <w:left w:val="nil"/>
              <w:bottom w:val="single" w:color="auto" w:sz="4" w:space="0"/>
              <w:right w:val="single" w:color="000000" w:sz="4" w:space="0"/>
            </w:tcBorders>
            <w:noWrap w:val="0"/>
            <w:vAlign w:val="center"/>
          </w:tcPr>
          <w:p w14:paraId="4A1E99B8">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本次支付后共管账户余额（元）</w:t>
            </w:r>
          </w:p>
        </w:tc>
        <w:tc>
          <w:tcPr>
            <w:tcW w:w="1400" w:type="dxa"/>
            <w:tcBorders>
              <w:top w:val="nil"/>
              <w:left w:val="nil"/>
              <w:bottom w:val="single" w:color="auto" w:sz="4" w:space="0"/>
              <w:right w:val="single" w:color="auto" w:sz="4" w:space="0"/>
            </w:tcBorders>
            <w:noWrap w:val="0"/>
            <w:vAlign w:val="center"/>
          </w:tcPr>
          <w:p w14:paraId="1F1C8C5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127B2023">
        <w:tblPrEx>
          <w:tblCellMar>
            <w:top w:w="0" w:type="dxa"/>
            <w:left w:w="108" w:type="dxa"/>
            <w:bottom w:w="0" w:type="dxa"/>
            <w:right w:w="108" w:type="dxa"/>
          </w:tblCellMar>
        </w:tblPrEx>
        <w:trPr>
          <w:trHeight w:val="810" w:hRule="atLeast"/>
          <w:jc w:val="center"/>
        </w:trPr>
        <w:tc>
          <w:tcPr>
            <w:tcW w:w="440" w:type="dxa"/>
            <w:tcBorders>
              <w:top w:val="nil"/>
              <w:left w:val="single" w:color="auto" w:sz="4" w:space="0"/>
              <w:bottom w:val="single" w:color="auto" w:sz="4" w:space="0"/>
              <w:right w:val="single" w:color="auto" w:sz="4" w:space="0"/>
            </w:tcBorders>
            <w:noWrap w:val="0"/>
            <w:vAlign w:val="center"/>
          </w:tcPr>
          <w:p w14:paraId="71F4B630">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2147" w:type="dxa"/>
            <w:gridSpan w:val="2"/>
            <w:tcBorders>
              <w:top w:val="single" w:color="auto" w:sz="4" w:space="0"/>
              <w:left w:val="nil"/>
              <w:bottom w:val="single" w:color="auto" w:sz="4" w:space="0"/>
              <w:right w:val="single" w:color="auto" w:sz="4" w:space="0"/>
            </w:tcBorders>
            <w:noWrap w:val="0"/>
            <w:vAlign w:val="center"/>
          </w:tcPr>
          <w:p w14:paraId="6A7BAB78">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用款单位</w:t>
            </w:r>
          </w:p>
        </w:tc>
        <w:tc>
          <w:tcPr>
            <w:tcW w:w="1980" w:type="dxa"/>
            <w:gridSpan w:val="3"/>
            <w:tcBorders>
              <w:top w:val="nil"/>
              <w:left w:val="nil"/>
              <w:bottom w:val="single" w:color="auto" w:sz="4" w:space="0"/>
              <w:right w:val="single" w:color="auto" w:sz="4" w:space="0"/>
            </w:tcBorders>
            <w:noWrap w:val="0"/>
            <w:vAlign w:val="center"/>
          </w:tcPr>
          <w:p w14:paraId="40ECBB7E">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用款单位开户银行和账号</w:t>
            </w:r>
          </w:p>
        </w:tc>
        <w:tc>
          <w:tcPr>
            <w:tcW w:w="760" w:type="dxa"/>
            <w:gridSpan w:val="2"/>
            <w:tcBorders>
              <w:top w:val="nil"/>
              <w:left w:val="nil"/>
              <w:bottom w:val="single" w:color="auto" w:sz="4" w:space="0"/>
              <w:right w:val="single" w:color="auto" w:sz="4" w:space="0"/>
            </w:tcBorders>
            <w:noWrap w:val="0"/>
            <w:vAlign w:val="center"/>
          </w:tcPr>
          <w:p w14:paraId="165FE82A">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合同            编号</w:t>
            </w:r>
          </w:p>
        </w:tc>
        <w:tc>
          <w:tcPr>
            <w:tcW w:w="2264" w:type="dxa"/>
            <w:gridSpan w:val="3"/>
            <w:tcBorders>
              <w:top w:val="single" w:color="auto" w:sz="4" w:space="0"/>
              <w:left w:val="nil"/>
              <w:bottom w:val="single" w:color="auto" w:sz="4" w:space="0"/>
              <w:right w:val="single" w:color="000000" w:sz="4" w:space="0"/>
            </w:tcBorders>
            <w:noWrap w:val="0"/>
            <w:vAlign w:val="center"/>
          </w:tcPr>
          <w:p w14:paraId="2FD7FE75">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合同名称</w:t>
            </w:r>
          </w:p>
        </w:tc>
        <w:tc>
          <w:tcPr>
            <w:tcW w:w="1596" w:type="dxa"/>
            <w:gridSpan w:val="2"/>
            <w:tcBorders>
              <w:top w:val="nil"/>
              <w:left w:val="nil"/>
              <w:bottom w:val="single" w:color="auto" w:sz="4" w:space="0"/>
              <w:right w:val="single" w:color="auto" w:sz="4" w:space="0"/>
            </w:tcBorders>
            <w:noWrap w:val="0"/>
            <w:vAlign w:val="center"/>
          </w:tcPr>
          <w:p w14:paraId="6C6C3754">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合同或结算金额（元）</w:t>
            </w:r>
          </w:p>
        </w:tc>
        <w:tc>
          <w:tcPr>
            <w:tcW w:w="1400" w:type="dxa"/>
            <w:gridSpan w:val="2"/>
            <w:tcBorders>
              <w:top w:val="nil"/>
              <w:left w:val="nil"/>
              <w:bottom w:val="single" w:color="auto" w:sz="4" w:space="0"/>
              <w:right w:val="single" w:color="auto" w:sz="4" w:space="0"/>
            </w:tcBorders>
            <w:noWrap w:val="0"/>
            <w:vAlign w:val="center"/>
          </w:tcPr>
          <w:p w14:paraId="5190328E">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本次申请划款金额（元）</w:t>
            </w:r>
          </w:p>
        </w:tc>
        <w:tc>
          <w:tcPr>
            <w:tcW w:w="2120" w:type="dxa"/>
            <w:gridSpan w:val="4"/>
            <w:tcBorders>
              <w:top w:val="single" w:color="auto" w:sz="4" w:space="0"/>
              <w:left w:val="nil"/>
              <w:bottom w:val="single" w:color="auto" w:sz="4" w:space="0"/>
              <w:right w:val="single" w:color="000000" w:sz="4" w:space="0"/>
            </w:tcBorders>
            <w:noWrap w:val="0"/>
            <w:vAlign w:val="center"/>
          </w:tcPr>
          <w:p w14:paraId="237BF223">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划款用途</w:t>
            </w:r>
          </w:p>
        </w:tc>
        <w:tc>
          <w:tcPr>
            <w:tcW w:w="1400" w:type="dxa"/>
            <w:gridSpan w:val="2"/>
            <w:tcBorders>
              <w:top w:val="nil"/>
              <w:left w:val="nil"/>
              <w:bottom w:val="single" w:color="auto" w:sz="4" w:space="0"/>
              <w:right w:val="single" w:color="auto" w:sz="4" w:space="0"/>
            </w:tcBorders>
            <w:noWrap w:val="0"/>
            <w:vAlign w:val="center"/>
          </w:tcPr>
          <w:p w14:paraId="46E8B663">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至本次止累计划款（元）</w:t>
            </w:r>
          </w:p>
        </w:tc>
        <w:tc>
          <w:tcPr>
            <w:tcW w:w="1400" w:type="dxa"/>
            <w:tcBorders>
              <w:top w:val="nil"/>
              <w:left w:val="nil"/>
              <w:bottom w:val="single" w:color="auto" w:sz="4" w:space="0"/>
              <w:right w:val="single" w:color="auto" w:sz="4" w:space="0"/>
            </w:tcBorders>
            <w:noWrap w:val="0"/>
            <w:vAlign w:val="center"/>
          </w:tcPr>
          <w:p w14:paraId="1DD72ECA">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备注</w:t>
            </w:r>
          </w:p>
        </w:tc>
      </w:tr>
      <w:tr w14:paraId="22187926">
        <w:tblPrEx>
          <w:tblCellMar>
            <w:top w:w="0" w:type="dxa"/>
            <w:left w:w="108" w:type="dxa"/>
            <w:bottom w:w="0" w:type="dxa"/>
            <w:right w:w="108" w:type="dxa"/>
          </w:tblCellMar>
        </w:tblPrEx>
        <w:trPr>
          <w:trHeight w:val="463" w:hRule="atLeast"/>
          <w:jc w:val="center"/>
        </w:trPr>
        <w:tc>
          <w:tcPr>
            <w:tcW w:w="440" w:type="dxa"/>
            <w:tcBorders>
              <w:top w:val="nil"/>
              <w:left w:val="single" w:color="auto" w:sz="4" w:space="0"/>
              <w:bottom w:val="single" w:color="auto" w:sz="4" w:space="0"/>
              <w:right w:val="single" w:color="auto" w:sz="4" w:space="0"/>
            </w:tcBorders>
            <w:noWrap w:val="0"/>
            <w:vAlign w:val="center"/>
          </w:tcPr>
          <w:p w14:paraId="4F4639FE">
            <w:pPr>
              <w:widowControl/>
              <w:jc w:val="center"/>
              <w:rPr>
                <w:rFonts w:ascii="宋体" w:hAnsi="宋体" w:eastAsia="宋体" w:cs="宋体"/>
                <w:b/>
                <w:bCs/>
                <w:color w:val="auto"/>
                <w:kern w:val="0"/>
                <w:sz w:val="22"/>
                <w:highlight w:val="none"/>
              </w:rPr>
            </w:pPr>
            <w:r>
              <w:rPr>
                <w:rFonts w:ascii="宋体" w:hAnsi="宋体" w:eastAsia="宋体" w:cs="宋体"/>
                <w:b/>
                <w:bCs/>
                <w:color w:val="auto"/>
                <w:kern w:val="0"/>
                <w:sz w:val="22"/>
                <w:highlight w:val="none"/>
              </w:rPr>
              <w:t>　</w:t>
            </w:r>
          </w:p>
        </w:tc>
        <w:tc>
          <w:tcPr>
            <w:tcW w:w="15067" w:type="dxa"/>
            <w:gridSpan w:val="21"/>
            <w:tcBorders>
              <w:top w:val="single" w:color="auto" w:sz="4" w:space="0"/>
              <w:left w:val="nil"/>
              <w:bottom w:val="single" w:color="auto" w:sz="4" w:space="0"/>
              <w:right w:val="single" w:color="000000" w:sz="4" w:space="0"/>
            </w:tcBorders>
            <w:noWrap w:val="0"/>
            <w:vAlign w:val="center"/>
          </w:tcPr>
          <w:p w14:paraId="63C46248">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工程建设费用</w:t>
            </w:r>
          </w:p>
        </w:tc>
      </w:tr>
      <w:tr w14:paraId="09C605DE">
        <w:tblPrEx>
          <w:tblCellMar>
            <w:top w:w="0" w:type="dxa"/>
            <w:left w:w="108" w:type="dxa"/>
            <w:bottom w:w="0" w:type="dxa"/>
            <w:right w:w="108" w:type="dxa"/>
          </w:tblCellMar>
        </w:tblPrEx>
        <w:trPr>
          <w:trHeight w:val="452" w:hRule="atLeast"/>
          <w:jc w:val="center"/>
        </w:trPr>
        <w:tc>
          <w:tcPr>
            <w:tcW w:w="440" w:type="dxa"/>
            <w:tcBorders>
              <w:top w:val="nil"/>
              <w:left w:val="single" w:color="auto" w:sz="4" w:space="0"/>
              <w:bottom w:val="single" w:color="auto" w:sz="4" w:space="0"/>
              <w:right w:val="single" w:color="auto" w:sz="4" w:space="0"/>
            </w:tcBorders>
            <w:noWrap w:val="0"/>
            <w:vAlign w:val="center"/>
          </w:tcPr>
          <w:p w14:paraId="147FAA57">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一</w:t>
            </w:r>
          </w:p>
        </w:tc>
        <w:tc>
          <w:tcPr>
            <w:tcW w:w="15067" w:type="dxa"/>
            <w:gridSpan w:val="21"/>
            <w:tcBorders>
              <w:top w:val="single" w:color="auto" w:sz="4" w:space="0"/>
              <w:left w:val="nil"/>
              <w:bottom w:val="single" w:color="auto" w:sz="4" w:space="0"/>
              <w:right w:val="single" w:color="000000" w:sz="4" w:space="0"/>
            </w:tcBorders>
            <w:noWrap w:val="0"/>
            <w:vAlign w:val="center"/>
          </w:tcPr>
          <w:p w14:paraId="79DE25DC">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专业分包工程款</w:t>
            </w:r>
          </w:p>
        </w:tc>
      </w:tr>
      <w:tr w14:paraId="2CFA9BA1">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7E480D5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03932B2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23A8188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1969954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51A4AED0">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7CBA3666">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B351C5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0C5922D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4536C828">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20229F2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581D8E60">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49B1F696">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324FCF8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3A871B0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0D74688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28F0215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23CBC22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FBEC09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4741B52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3796D21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0909114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52EC98AC">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6AF707C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3C47AD9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3C166BB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1FBE0D7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4474895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6A4865B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9CC4F0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5230DD56">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3401D7A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5D52D74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3571E475">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noWrap w:val="0"/>
            <w:vAlign w:val="center"/>
          </w:tcPr>
          <w:p w14:paraId="0515D7A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72307FD1">
        <w:tblPrEx>
          <w:tblCellMar>
            <w:top w:w="0" w:type="dxa"/>
            <w:left w:w="108" w:type="dxa"/>
            <w:bottom w:w="0" w:type="dxa"/>
            <w:right w:w="108" w:type="dxa"/>
          </w:tblCellMar>
        </w:tblPrEx>
        <w:trPr>
          <w:trHeight w:val="389" w:hRule="atLeast"/>
          <w:jc w:val="center"/>
        </w:trPr>
        <w:tc>
          <w:tcPr>
            <w:tcW w:w="440" w:type="dxa"/>
            <w:tcBorders>
              <w:top w:val="nil"/>
              <w:left w:val="single" w:color="auto" w:sz="4" w:space="0"/>
              <w:bottom w:val="single" w:color="auto" w:sz="4" w:space="0"/>
              <w:right w:val="single" w:color="auto" w:sz="4" w:space="0"/>
            </w:tcBorders>
            <w:noWrap w:val="0"/>
            <w:vAlign w:val="center"/>
          </w:tcPr>
          <w:p w14:paraId="0A9368B9">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二</w:t>
            </w:r>
          </w:p>
        </w:tc>
        <w:tc>
          <w:tcPr>
            <w:tcW w:w="15067" w:type="dxa"/>
            <w:gridSpan w:val="21"/>
            <w:tcBorders>
              <w:top w:val="single" w:color="auto" w:sz="4" w:space="0"/>
              <w:left w:val="nil"/>
              <w:bottom w:val="single" w:color="auto" w:sz="4" w:space="0"/>
              <w:right w:val="single" w:color="000000" w:sz="4" w:space="0"/>
            </w:tcBorders>
            <w:noWrap w:val="0"/>
            <w:vAlign w:val="center"/>
          </w:tcPr>
          <w:p w14:paraId="6F422153">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大型设备、大宗材料款</w:t>
            </w:r>
          </w:p>
        </w:tc>
      </w:tr>
      <w:tr w14:paraId="13964138">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2D0492F6">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0E7EB75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33FC9CA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31D0D3C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613E190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4F33B87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5928D04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0F0517D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30A714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7D2250B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3087A2BA">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6587542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7DD8214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C660B7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33A6061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1B95184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2023126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7BB882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15FEB80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9EF772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392624F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53F2997F">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3BFDDEF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4949D08A">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5B10D7C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6FC25F8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4E91825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7CCF4620">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70853D1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4FD2ED6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37FBC1C8">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0FC2075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78C9FEF5">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noWrap w:val="0"/>
            <w:vAlign w:val="center"/>
          </w:tcPr>
          <w:p w14:paraId="42CBF4F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4551A6AD">
        <w:tblPrEx>
          <w:tblCellMar>
            <w:top w:w="0" w:type="dxa"/>
            <w:left w:w="108" w:type="dxa"/>
            <w:bottom w:w="0" w:type="dxa"/>
            <w:right w:w="108" w:type="dxa"/>
          </w:tblCellMar>
        </w:tblPrEx>
        <w:trPr>
          <w:trHeight w:val="453" w:hRule="atLeast"/>
          <w:jc w:val="center"/>
        </w:trPr>
        <w:tc>
          <w:tcPr>
            <w:tcW w:w="440" w:type="dxa"/>
            <w:tcBorders>
              <w:top w:val="nil"/>
              <w:left w:val="single" w:color="auto" w:sz="4" w:space="0"/>
              <w:bottom w:val="single" w:color="auto" w:sz="4" w:space="0"/>
              <w:right w:val="single" w:color="auto" w:sz="4" w:space="0"/>
            </w:tcBorders>
            <w:noWrap w:val="0"/>
            <w:vAlign w:val="center"/>
          </w:tcPr>
          <w:p w14:paraId="127E91B9">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三</w:t>
            </w:r>
          </w:p>
        </w:tc>
        <w:tc>
          <w:tcPr>
            <w:tcW w:w="15067" w:type="dxa"/>
            <w:gridSpan w:val="21"/>
            <w:tcBorders>
              <w:top w:val="single" w:color="auto" w:sz="4" w:space="0"/>
              <w:left w:val="nil"/>
              <w:bottom w:val="single" w:color="auto" w:sz="4" w:space="0"/>
              <w:right w:val="single" w:color="000000" w:sz="4" w:space="0"/>
            </w:tcBorders>
            <w:noWrap w:val="0"/>
            <w:vAlign w:val="center"/>
          </w:tcPr>
          <w:p w14:paraId="78FB7EBB">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劳务班组费用款</w:t>
            </w:r>
          </w:p>
        </w:tc>
      </w:tr>
      <w:tr w14:paraId="7646191E">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410D745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7B28147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224EB85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1402C87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02081B7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42833D7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531A695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3ED15F2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F5FA33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77735110">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48BCEF01">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6CC2D32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6E7DFC2A">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68511E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498C05A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20218248">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2FB3BEA6">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55EBE2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517B482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2D58769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621572F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14882ECE">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44F3C0E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4E95B6B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3B566BA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42A9665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445245A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0C373EB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386FCD8">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56160AA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5CAE87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0086965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142F00E5">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noWrap w:val="0"/>
            <w:vAlign w:val="center"/>
          </w:tcPr>
          <w:p w14:paraId="737D0A1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540A3725">
        <w:tblPrEx>
          <w:tblCellMar>
            <w:top w:w="0" w:type="dxa"/>
            <w:left w:w="108" w:type="dxa"/>
            <w:bottom w:w="0" w:type="dxa"/>
            <w:right w:w="108" w:type="dxa"/>
          </w:tblCellMar>
        </w:tblPrEx>
        <w:trPr>
          <w:trHeight w:val="615" w:hRule="atLeast"/>
          <w:jc w:val="center"/>
        </w:trPr>
        <w:tc>
          <w:tcPr>
            <w:tcW w:w="440" w:type="dxa"/>
            <w:tcBorders>
              <w:top w:val="nil"/>
              <w:left w:val="single" w:color="auto" w:sz="4" w:space="0"/>
              <w:bottom w:val="single" w:color="auto" w:sz="4" w:space="0"/>
              <w:right w:val="single" w:color="auto" w:sz="4" w:space="0"/>
            </w:tcBorders>
            <w:noWrap w:val="0"/>
            <w:vAlign w:val="center"/>
          </w:tcPr>
          <w:p w14:paraId="52E79E8B">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四</w:t>
            </w:r>
          </w:p>
        </w:tc>
        <w:tc>
          <w:tcPr>
            <w:tcW w:w="13667" w:type="dxa"/>
            <w:gridSpan w:val="20"/>
            <w:tcBorders>
              <w:top w:val="single" w:color="auto" w:sz="4" w:space="0"/>
              <w:left w:val="nil"/>
              <w:bottom w:val="single" w:color="auto" w:sz="4" w:space="0"/>
              <w:right w:val="single" w:color="auto" w:sz="4" w:space="0"/>
            </w:tcBorders>
            <w:noWrap w:val="0"/>
            <w:vAlign w:val="center"/>
          </w:tcPr>
          <w:p w14:paraId="04447171">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一般材料费用、管理费、税金及其他费用</w:t>
            </w:r>
          </w:p>
        </w:tc>
        <w:tc>
          <w:tcPr>
            <w:tcW w:w="1400" w:type="dxa"/>
            <w:tcBorders>
              <w:top w:val="nil"/>
              <w:left w:val="nil"/>
              <w:bottom w:val="single" w:color="auto" w:sz="4" w:space="0"/>
              <w:right w:val="single" w:color="auto" w:sz="4" w:space="0"/>
            </w:tcBorders>
            <w:noWrap w:val="0"/>
            <w:vAlign w:val="center"/>
          </w:tcPr>
          <w:p w14:paraId="5FA4BA31">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原则上不超过申请款的30%</w:t>
            </w:r>
          </w:p>
        </w:tc>
      </w:tr>
      <w:tr w14:paraId="2A004117">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5FC0D42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0369942A">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DB7922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2FD9286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auto" w:sz="4" w:space="0"/>
            </w:tcBorders>
            <w:noWrap w:val="0"/>
            <w:vAlign w:val="center"/>
          </w:tcPr>
          <w:p w14:paraId="3A06755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52074F9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724C530">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auto" w:sz="4" w:space="0"/>
            </w:tcBorders>
            <w:noWrap w:val="0"/>
            <w:vAlign w:val="center"/>
          </w:tcPr>
          <w:p w14:paraId="2669E772">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76121AE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7314894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629DA162">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142C13BA">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195D419D">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1D4A48A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5085644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auto" w:sz="4" w:space="0"/>
            </w:tcBorders>
            <w:noWrap w:val="0"/>
            <w:vAlign w:val="center"/>
          </w:tcPr>
          <w:p w14:paraId="53E2B5B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44A7005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56CC00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auto" w:sz="4" w:space="0"/>
            </w:tcBorders>
            <w:noWrap w:val="0"/>
            <w:vAlign w:val="center"/>
          </w:tcPr>
          <w:p w14:paraId="7DB3EC35">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3E80C6F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1AB42D6C">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1784E63B">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noWrap w:val="0"/>
            <w:vAlign w:val="center"/>
          </w:tcPr>
          <w:p w14:paraId="650CF4A7">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6C8E249B">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5BCC719F">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5EE4453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264" w:type="dxa"/>
            <w:gridSpan w:val="3"/>
            <w:tcBorders>
              <w:top w:val="single" w:color="auto" w:sz="4" w:space="0"/>
              <w:left w:val="nil"/>
              <w:bottom w:val="single" w:color="auto" w:sz="4" w:space="0"/>
              <w:right w:val="single" w:color="auto" w:sz="4" w:space="0"/>
            </w:tcBorders>
            <w:noWrap w:val="0"/>
            <w:vAlign w:val="center"/>
          </w:tcPr>
          <w:p w14:paraId="68F244B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5030A258">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17299A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2120" w:type="dxa"/>
            <w:gridSpan w:val="4"/>
            <w:tcBorders>
              <w:top w:val="single" w:color="auto" w:sz="4" w:space="0"/>
              <w:left w:val="nil"/>
              <w:bottom w:val="single" w:color="auto" w:sz="4" w:space="0"/>
              <w:right w:val="single" w:color="auto" w:sz="4" w:space="0"/>
            </w:tcBorders>
            <w:noWrap w:val="0"/>
            <w:vAlign w:val="center"/>
          </w:tcPr>
          <w:p w14:paraId="49813999">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2790B66A">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1400" w:type="dxa"/>
            <w:tcBorders>
              <w:top w:val="nil"/>
              <w:left w:val="nil"/>
              <w:bottom w:val="single" w:color="auto" w:sz="4" w:space="0"/>
              <w:right w:val="single" w:color="auto" w:sz="4" w:space="0"/>
            </w:tcBorders>
            <w:noWrap w:val="0"/>
            <w:vAlign w:val="center"/>
          </w:tcPr>
          <w:p w14:paraId="638B358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47044328">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auto" w:sz="4" w:space="0"/>
            </w:tcBorders>
            <w:noWrap w:val="0"/>
            <w:vAlign w:val="center"/>
          </w:tcPr>
          <w:p w14:paraId="77494E4E">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1E323156">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noWrap w:val="0"/>
            <w:vAlign w:val="center"/>
          </w:tcPr>
          <w:p w14:paraId="5D669D7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724963DC">
        <w:tblPrEx>
          <w:tblCellMar>
            <w:top w:w="0" w:type="dxa"/>
            <w:left w:w="108" w:type="dxa"/>
            <w:bottom w:w="0" w:type="dxa"/>
            <w:right w:w="108" w:type="dxa"/>
          </w:tblCellMar>
        </w:tblPrEx>
        <w:trPr>
          <w:trHeight w:val="300" w:hRule="atLeast"/>
          <w:jc w:val="center"/>
        </w:trPr>
        <w:tc>
          <w:tcPr>
            <w:tcW w:w="9187" w:type="dxa"/>
            <w:gridSpan w:val="13"/>
            <w:tcBorders>
              <w:top w:val="single" w:color="auto" w:sz="4" w:space="0"/>
              <w:left w:val="single" w:color="auto" w:sz="4" w:space="0"/>
              <w:bottom w:val="single" w:color="auto" w:sz="4" w:space="0"/>
              <w:right w:val="single" w:color="auto" w:sz="4" w:space="0"/>
            </w:tcBorders>
            <w:noWrap w:val="0"/>
            <w:vAlign w:val="center"/>
          </w:tcPr>
          <w:p w14:paraId="3FAA4F36">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本次申请划款合计（元）</w:t>
            </w:r>
          </w:p>
        </w:tc>
        <w:tc>
          <w:tcPr>
            <w:tcW w:w="1400" w:type="dxa"/>
            <w:gridSpan w:val="2"/>
            <w:tcBorders>
              <w:top w:val="nil"/>
              <w:left w:val="nil"/>
              <w:bottom w:val="single" w:color="auto" w:sz="4" w:space="0"/>
              <w:right w:val="single" w:color="auto" w:sz="4" w:space="0"/>
            </w:tcBorders>
            <w:noWrap w:val="0"/>
            <w:vAlign w:val="center"/>
          </w:tcPr>
          <w:p w14:paraId="6E0E29C4">
            <w:pPr>
              <w:widowControl/>
              <w:jc w:val="center"/>
              <w:rPr>
                <w:rFonts w:ascii="宋体" w:hAnsi="宋体" w:eastAsia="宋体" w:cs="宋体"/>
                <w:b/>
                <w:bCs/>
                <w:color w:val="auto"/>
                <w:kern w:val="0"/>
                <w:sz w:val="22"/>
                <w:highlight w:val="none"/>
                <w:u w:val="single"/>
              </w:rPr>
            </w:pPr>
            <w:r>
              <w:rPr>
                <w:rFonts w:ascii="宋体" w:hAnsi="宋体" w:eastAsia="宋体" w:cs="宋体"/>
                <w:b/>
                <w:bCs/>
                <w:color w:val="auto"/>
                <w:kern w:val="0"/>
                <w:sz w:val="22"/>
                <w:highlight w:val="none"/>
                <w:u w:val="singl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61B1A6C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c>
          <w:tcPr>
            <w:tcW w:w="1400" w:type="dxa"/>
            <w:gridSpan w:val="2"/>
            <w:tcBorders>
              <w:top w:val="nil"/>
              <w:left w:val="nil"/>
              <w:bottom w:val="single" w:color="auto" w:sz="4" w:space="0"/>
              <w:right w:val="single" w:color="auto" w:sz="4" w:space="0"/>
            </w:tcBorders>
            <w:noWrap w:val="0"/>
            <w:vAlign w:val="center"/>
          </w:tcPr>
          <w:p w14:paraId="50BC008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c>
          <w:tcPr>
            <w:tcW w:w="1400" w:type="dxa"/>
            <w:tcBorders>
              <w:top w:val="nil"/>
              <w:left w:val="nil"/>
              <w:bottom w:val="single" w:color="auto" w:sz="4" w:space="0"/>
              <w:right w:val="single" w:color="auto" w:sz="4" w:space="0"/>
            </w:tcBorders>
            <w:noWrap w:val="0"/>
            <w:vAlign w:val="center"/>
          </w:tcPr>
          <w:p w14:paraId="69D30F23">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w:t>
            </w:r>
          </w:p>
        </w:tc>
      </w:tr>
      <w:tr w14:paraId="3EE01A71">
        <w:tblPrEx>
          <w:tblCellMar>
            <w:top w:w="0" w:type="dxa"/>
            <w:left w:w="108" w:type="dxa"/>
            <w:bottom w:w="0" w:type="dxa"/>
            <w:right w:w="108" w:type="dxa"/>
          </w:tblCellMar>
        </w:tblPrEx>
        <w:trPr>
          <w:trHeight w:val="285" w:hRule="atLeast"/>
          <w:jc w:val="center"/>
        </w:trPr>
        <w:tc>
          <w:tcPr>
            <w:tcW w:w="3622" w:type="dxa"/>
            <w:gridSpan w:val="4"/>
            <w:tcBorders>
              <w:top w:val="single" w:color="auto" w:sz="4" w:space="0"/>
              <w:left w:val="single" w:color="auto" w:sz="4" w:space="0"/>
              <w:bottom w:val="single" w:color="auto" w:sz="4" w:space="0"/>
              <w:right w:val="single" w:color="000000" w:sz="4" w:space="0"/>
            </w:tcBorders>
            <w:noWrap w:val="0"/>
            <w:vAlign w:val="center"/>
          </w:tcPr>
          <w:p w14:paraId="0FDF7664">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申请单位经办人及手机：</w:t>
            </w:r>
          </w:p>
        </w:tc>
        <w:tc>
          <w:tcPr>
            <w:tcW w:w="3969" w:type="dxa"/>
            <w:gridSpan w:val="7"/>
            <w:tcBorders>
              <w:top w:val="single" w:color="auto" w:sz="4" w:space="0"/>
              <w:left w:val="nil"/>
              <w:bottom w:val="single" w:color="auto" w:sz="4" w:space="0"/>
              <w:right w:val="single" w:color="000000" w:sz="4" w:space="0"/>
            </w:tcBorders>
            <w:noWrap w:val="0"/>
            <w:vAlign w:val="center"/>
          </w:tcPr>
          <w:p w14:paraId="0DFE2587">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监理单位审核人：</w:t>
            </w:r>
          </w:p>
        </w:tc>
        <w:tc>
          <w:tcPr>
            <w:tcW w:w="4111" w:type="dxa"/>
            <w:gridSpan w:val="5"/>
            <w:tcBorders>
              <w:top w:val="single" w:color="auto" w:sz="4" w:space="0"/>
              <w:left w:val="nil"/>
              <w:bottom w:val="single" w:color="auto" w:sz="4" w:space="0"/>
              <w:right w:val="single" w:color="000000" w:sz="4" w:space="0"/>
            </w:tcBorders>
            <w:noWrap w:val="0"/>
            <w:vAlign w:val="center"/>
          </w:tcPr>
          <w:p w14:paraId="1929C9CA">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代建单位审核人（适用于代建项目）：</w:t>
            </w:r>
          </w:p>
        </w:tc>
        <w:tc>
          <w:tcPr>
            <w:tcW w:w="3805" w:type="dxa"/>
            <w:gridSpan w:val="6"/>
            <w:tcBorders>
              <w:top w:val="single" w:color="auto" w:sz="4" w:space="0"/>
              <w:left w:val="nil"/>
              <w:bottom w:val="single" w:color="auto" w:sz="4" w:space="0"/>
              <w:right w:val="single" w:color="000000" w:sz="4" w:space="0"/>
            </w:tcBorders>
            <w:noWrap w:val="0"/>
            <w:vAlign w:val="center"/>
          </w:tcPr>
          <w:p w14:paraId="51E15AF1">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建设业主审核人：</w:t>
            </w:r>
          </w:p>
        </w:tc>
      </w:tr>
      <w:tr w14:paraId="35F58001">
        <w:tblPrEx>
          <w:tblCellMar>
            <w:top w:w="0" w:type="dxa"/>
            <w:left w:w="108" w:type="dxa"/>
            <w:bottom w:w="0" w:type="dxa"/>
            <w:right w:w="108" w:type="dxa"/>
          </w:tblCellMar>
        </w:tblPrEx>
        <w:trPr>
          <w:trHeight w:val="810" w:hRule="atLeast"/>
          <w:jc w:val="center"/>
        </w:trPr>
        <w:tc>
          <w:tcPr>
            <w:tcW w:w="3622" w:type="dxa"/>
            <w:gridSpan w:val="4"/>
            <w:tcBorders>
              <w:top w:val="single" w:color="auto" w:sz="4" w:space="0"/>
              <w:left w:val="single" w:color="auto" w:sz="4" w:space="0"/>
              <w:bottom w:val="nil"/>
              <w:right w:val="single" w:color="000000" w:sz="4" w:space="0"/>
            </w:tcBorders>
            <w:noWrap w:val="0"/>
            <w:vAlign w:val="center"/>
          </w:tcPr>
          <w:p w14:paraId="2BAF24C8">
            <w:pPr>
              <w:widowControl/>
              <w:jc w:val="left"/>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3969" w:type="dxa"/>
            <w:gridSpan w:val="7"/>
            <w:tcBorders>
              <w:top w:val="single" w:color="auto" w:sz="4" w:space="0"/>
              <w:left w:val="nil"/>
              <w:bottom w:val="nil"/>
              <w:right w:val="single" w:color="000000" w:sz="4" w:space="0"/>
            </w:tcBorders>
            <w:noWrap w:val="0"/>
            <w:vAlign w:val="center"/>
          </w:tcPr>
          <w:p w14:paraId="240A45B1">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c>
          <w:tcPr>
            <w:tcW w:w="4111" w:type="dxa"/>
            <w:gridSpan w:val="5"/>
            <w:vMerge w:val="restart"/>
            <w:tcBorders>
              <w:top w:val="single" w:color="auto" w:sz="4" w:space="0"/>
              <w:left w:val="nil"/>
              <w:right w:val="single" w:color="000000" w:sz="4" w:space="0"/>
            </w:tcBorders>
            <w:noWrap w:val="0"/>
            <w:vAlign w:val="center"/>
          </w:tcPr>
          <w:p w14:paraId="4F32F684">
            <w:pPr>
              <w:widowControl/>
              <w:jc w:val="center"/>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p w14:paraId="36B7A83E">
            <w:pPr>
              <w:widowControl/>
              <w:jc w:val="left"/>
              <w:rPr>
                <w:rFonts w:ascii="宋体" w:hAnsi="宋体" w:eastAsia="宋体" w:cs="宋体"/>
                <w:color w:val="auto"/>
                <w:kern w:val="0"/>
                <w:sz w:val="22"/>
                <w:highlight w:val="none"/>
              </w:rPr>
            </w:pPr>
          </w:p>
          <w:p w14:paraId="21482822">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盖公章：</w:t>
            </w:r>
          </w:p>
          <w:p w14:paraId="1C89E173">
            <w:pPr>
              <w:widowControl/>
              <w:jc w:val="left"/>
              <w:rPr>
                <w:rFonts w:ascii="宋体" w:hAnsi="宋体" w:eastAsia="宋体" w:cs="宋体"/>
                <w:b/>
                <w:bCs/>
                <w:color w:val="auto"/>
                <w:kern w:val="0"/>
                <w:sz w:val="22"/>
                <w:highlight w:val="none"/>
              </w:rPr>
            </w:pPr>
          </w:p>
          <w:p w14:paraId="2E205F89">
            <w:pPr>
              <w:widowControl/>
              <w:jc w:val="left"/>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日期：  年  月  日</w:t>
            </w:r>
          </w:p>
        </w:tc>
        <w:tc>
          <w:tcPr>
            <w:tcW w:w="3805" w:type="dxa"/>
            <w:gridSpan w:val="6"/>
            <w:tcBorders>
              <w:top w:val="single" w:color="auto" w:sz="4" w:space="0"/>
              <w:left w:val="nil"/>
              <w:bottom w:val="nil"/>
              <w:right w:val="single" w:color="000000" w:sz="4" w:space="0"/>
            </w:tcBorders>
            <w:noWrap w:val="0"/>
            <w:vAlign w:val="center"/>
          </w:tcPr>
          <w:p w14:paraId="16324634">
            <w:pPr>
              <w:widowControl/>
              <w:jc w:val="left"/>
              <w:rPr>
                <w:rFonts w:ascii="宋体" w:hAnsi="宋体" w:eastAsia="宋体" w:cs="宋体"/>
                <w:color w:val="auto"/>
                <w:kern w:val="0"/>
                <w:sz w:val="22"/>
                <w:highlight w:val="none"/>
              </w:rPr>
            </w:pPr>
            <w:r>
              <w:rPr>
                <w:rFonts w:ascii="宋体" w:hAnsi="宋体" w:eastAsia="宋体" w:cs="宋体"/>
                <w:color w:val="auto"/>
                <w:kern w:val="0"/>
                <w:sz w:val="22"/>
                <w:highlight w:val="none"/>
              </w:rPr>
              <w:t>　</w:t>
            </w:r>
          </w:p>
        </w:tc>
      </w:tr>
      <w:tr w14:paraId="12FD7920">
        <w:tblPrEx>
          <w:tblCellMar>
            <w:top w:w="0" w:type="dxa"/>
            <w:left w:w="108" w:type="dxa"/>
            <w:bottom w:w="0" w:type="dxa"/>
            <w:right w:w="108" w:type="dxa"/>
          </w:tblCellMar>
        </w:tblPrEx>
        <w:trPr>
          <w:trHeight w:val="87" w:hRule="atLeast"/>
          <w:jc w:val="center"/>
        </w:trPr>
        <w:tc>
          <w:tcPr>
            <w:tcW w:w="3622" w:type="dxa"/>
            <w:gridSpan w:val="4"/>
            <w:tcBorders>
              <w:top w:val="nil"/>
              <w:left w:val="single" w:color="auto" w:sz="4" w:space="0"/>
              <w:bottom w:val="nil"/>
              <w:right w:val="single" w:color="000000" w:sz="4" w:space="0"/>
            </w:tcBorders>
            <w:noWrap w:val="0"/>
            <w:vAlign w:val="center"/>
          </w:tcPr>
          <w:p w14:paraId="404CC798">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盖公章：</w:t>
            </w:r>
          </w:p>
        </w:tc>
        <w:tc>
          <w:tcPr>
            <w:tcW w:w="3969" w:type="dxa"/>
            <w:gridSpan w:val="7"/>
            <w:tcBorders>
              <w:top w:val="nil"/>
              <w:left w:val="nil"/>
              <w:bottom w:val="nil"/>
              <w:right w:val="single" w:color="000000" w:sz="4" w:space="0"/>
            </w:tcBorders>
            <w:noWrap w:val="0"/>
            <w:vAlign w:val="center"/>
          </w:tcPr>
          <w:p w14:paraId="7CE577D6">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盖公章：</w:t>
            </w:r>
          </w:p>
        </w:tc>
        <w:tc>
          <w:tcPr>
            <w:tcW w:w="4111" w:type="dxa"/>
            <w:gridSpan w:val="5"/>
            <w:vMerge w:val="continue"/>
            <w:tcBorders>
              <w:left w:val="nil"/>
              <w:right w:val="single" w:color="000000" w:sz="4" w:space="0"/>
            </w:tcBorders>
            <w:noWrap/>
            <w:vAlign w:val="bottom"/>
          </w:tcPr>
          <w:p w14:paraId="00D2069A">
            <w:pPr>
              <w:jc w:val="left"/>
              <w:rPr>
                <w:rFonts w:ascii="宋体" w:hAnsi="宋体" w:eastAsia="宋体" w:cs="宋体"/>
                <w:b/>
                <w:bCs/>
                <w:color w:val="auto"/>
                <w:kern w:val="0"/>
                <w:sz w:val="22"/>
                <w:highlight w:val="none"/>
              </w:rPr>
            </w:pPr>
          </w:p>
        </w:tc>
        <w:tc>
          <w:tcPr>
            <w:tcW w:w="3805" w:type="dxa"/>
            <w:gridSpan w:val="6"/>
            <w:tcBorders>
              <w:top w:val="nil"/>
              <w:left w:val="nil"/>
              <w:bottom w:val="nil"/>
              <w:right w:val="single" w:color="000000" w:sz="4" w:space="0"/>
            </w:tcBorders>
            <w:noWrap/>
            <w:vAlign w:val="bottom"/>
          </w:tcPr>
          <w:p w14:paraId="1809CEE1">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盖公章：</w:t>
            </w:r>
          </w:p>
        </w:tc>
      </w:tr>
      <w:tr w14:paraId="179EA256">
        <w:tblPrEx>
          <w:tblCellMar>
            <w:top w:w="0" w:type="dxa"/>
            <w:left w:w="108" w:type="dxa"/>
            <w:bottom w:w="0" w:type="dxa"/>
            <w:right w:w="108" w:type="dxa"/>
          </w:tblCellMar>
        </w:tblPrEx>
        <w:trPr>
          <w:trHeight w:val="314" w:hRule="atLeast"/>
          <w:jc w:val="center"/>
        </w:trPr>
        <w:tc>
          <w:tcPr>
            <w:tcW w:w="3622" w:type="dxa"/>
            <w:gridSpan w:val="4"/>
            <w:tcBorders>
              <w:top w:val="nil"/>
              <w:left w:val="single" w:color="auto" w:sz="4" w:space="0"/>
              <w:bottom w:val="single" w:color="auto" w:sz="4" w:space="0"/>
              <w:right w:val="single" w:color="000000" w:sz="4" w:space="0"/>
            </w:tcBorders>
            <w:noWrap w:val="0"/>
            <w:vAlign w:val="center"/>
          </w:tcPr>
          <w:p w14:paraId="4D3C1DA8">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日期：  年  月  日</w:t>
            </w:r>
          </w:p>
        </w:tc>
        <w:tc>
          <w:tcPr>
            <w:tcW w:w="3969" w:type="dxa"/>
            <w:gridSpan w:val="7"/>
            <w:tcBorders>
              <w:top w:val="nil"/>
              <w:left w:val="nil"/>
              <w:bottom w:val="single" w:color="auto" w:sz="4" w:space="0"/>
              <w:right w:val="single" w:color="000000" w:sz="4" w:space="0"/>
            </w:tcBorders>
            <w:noWrap w:val="0"/>
            <w:vAlign w:val="center"/>
          </w:tcPr>
          <w:p w14:paraId="5DAE66D8">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日期：  年  月  日</w:t>
            </w:r>
          </w:p>
        </w:tc>
        <w:tc>
          <w:tcPr>
            <w:tcW w:w="4111" w:type="dxa"/>
            <w:gridSpan w:val="5"/>
            <w:vMerge w:val="continue"/>
            <w:tcBorders>
              <w:left w:val="nil"/>
              <w:bottom w:val="single" w:color="auto" w:sz="4" w:space="0"/>
              <w:right w:val="single" w:color="000000" w:sz="4" w:space="0"/>
            </w:tcBorders>
            <w:noWrap w:val="0"/>
            <w:vAlign w:val="center"/>
          </w:tcPr>
          <w:p w14:paraId="78E9C132">
            <w:pPr>
              <w:widowControl/>
              <w:jc w:val="left"/>
              <w:rPr>
                <w:rFonts w:ascii="宋体" w:hAnsi="宋体" w:eastAsia="宋体" w:cs="宋体"/>
                <w:b/>
                <w:bCs/>
                <w:color w:val="auto"/>
                <w:kern w:val="0"/>
                <w:sz w:val="22"/>
                <w:highlight w:val="none"/>
              </w:rPr>
            </w:pPr>
          </w:p>
        </w:tc>
        <w:tc>
          <w:tcPr>
            <w:tcW w:w="3805" w:type="dxa"/>
            <w:gridSpan w:val="6"/>
            <w:tcBorders>
              <w:top w:val="nil"/>
              <w:left w:val="nil"/>
              <w:bottom w:val="single" w:color="auto" w:sz="4" w:space="0"/>
              <w:right w:val="single" w:color="000000" w:sz="4" w:space="0"/>
            </w:tcBorders>
            <w:noWrap w:val="0"/>
            <w:vAlign w:val="center"/>
          </w:tcPr>
          <w:p w14:paraId="691BECD5">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日期：  年  月  日</w:t>
            </w:r>
          </w:p>
        </w:tc>
      </w:tr>
      <w:tr w14:paraId="6C3780D6">
        <w:tblPrEx>
          <w:tblCellMar>
            <w:top w:w="0" w:type="dxa"/>
            <w:left w:w="108" w:type="dxa"/>
            <w:bottom w:w="0" w:type="dxa"/>
            <w:right w:w="108" w:type="dxa"/>
          </w:tblCellMar>
        </w:tblPrEx>
        <w:trPr>
          <w:trHeight w:val="1335" w:hRule="atLeast"/>
          <w:jc w:val="center"/>
        </w:trPr>
        <w:tc>
          <w:tcPr>
            <w:tcW w:w="15507" w:type="dxa"/>
            <w:gridSpan w:val="22"/>
            <w:tcBorders>
              <w:top w:val="single" w:color="auto" w:sz="4" w:space="0"/>
              <w:left w:val="nil"/>
              <w:bottom w:val="nil"/>
              <w:right w:val="nil"/>
            </w:tcBorders>
            <w:noWrap w:val="0"/>
            <w:vAlign w:val="bottom"/>
          </w:tcPr>
          <w:p w14:paraId="44A592E8">
            <w:pPr>
              <w:widowControl/>
              <w:spacing w:after="24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备注：本表根据本期审定资金额编制用款计划，加盖单位公章、一式六份</w:t>
            </w:r>
            <w:r>
              <w:rPr>
                <w:rFonts w:ascii="宋体" w:hAnsi="宋体" w:eastAsia="宋体" w:cs="宋体"/>
                <w:b/>
                <w:bCs/>
                <w:color w:val="auto"/>
                <w:kern w:val="0"/>
                <w:sz w:val="24"/>
                <w:szCs w:val="24"/>
                <w:highlight w:val="none"/>
              </w:rPr>
              <w:t xml:space="preserve">         </w:t>
            </w:r>
          </w:p>
        </w:tc>
      </w:tr>
    </w:tbl>
    <w:p w14:paraId="05C621D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br w:type="page"/>
      </w:r>
    </w:p>
    <w:tbl>
      <w:tblPr>
        <w:tblStyle w:val="37"/>
        <w:tblW w:w="14420" w:type="dxa"/>
        <w:jc w:val="center"/>
        <w:tblLayout w:type="autofit"/>
        <w:tblCellMar>
          <w:top w:w="0" w:type="dxa"/>
          <w:left w:w="108" w:type="dxa"/>
          <w:bottom w:w="0" w:type="dxa"/>
          <w:right w:w="108" w:type="dxa"/>
        </w:tblCellMar>
      </w:tblPr>
      <w:tblGrid>
        <w:gridCol w:w="1080"/>
        <w:gridCol w:w="1080"/>
        <w:gridCol w:w="733"/>
        <w:gridCol w:w="516"/>
        <w:gridCol w:w="1112"/>
        <w:gridCol w:w="259"/>
        <w:gridCol w:w="993"/>
        <w:gridCol w:w="87"/>
        <w:gridCol w:w="813"/>
        <w:gridCol w:w="267"/>
        <w:gridCol w:w="460"/>
        <w:gridCol w:w="893"/>
        <w:gridCol w:w="187"/>
        <w:gridCol w:w="1080"/>
        <w:gridCol w:w="2069"/>
        <w:gridCol w:w="631"/>
        <w:gridCol w:w="1080"/>
        <w:gridCol w:w="1080"/>
      </w:tblGrid>
      <w:tr w14:paraId="79162ED8">
        <w:tblPrEx>
          <w:tblCellMar>
            <w:top w:w="0" w:type="dxa"/>
            <w:left w:w="108" w:type="dxa"/>
            <w:bottom w:w="0" w:type="dxa"/>
            <w:right w:w="108" w:type="dxa"/>
          </w:tblCellMar>
        </w:tblPrEx>
        <w:trPr>
          <w:trHeight w:val="397" w:hRule="atLeast"/>
          <w:jc w:val="center"/>
        </w:trPr>
        <w:tc>
          <w:tcPr>
            <w:tcW w:w="14420" w:type="dxa"/>
            <w:gridSpan w:val="18"/>
            <w:noWrap/>
            <w:vAlign w:val="center"/>
          </w:tcPr>
          <w:p w14:paraId="39CB8CCA">
            <w:pPr>
              <w:widowControl/>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附件二：</w:t>
            </w:r>
          </w:p>
          <w:p w14:paraId="68F52FFA">
            <w:pPr>
              <w:widowControl/>
              <w:jc w:val="center"/>
              <w:rPr>
                <w:rFonts w:ascii="宋体" w:hAnsi="宋体" w:eastAsia="宋体" w:cs="宋体"/>
                <w:b/>
                <w:bCs/>
                <w:snapToGrid w:val="0"/>
                <w:color w:val="auto"/>
                <w:kern w:val="0"/>
                <w:sz w:val="44"/>
                <w:szCs w:val="44"/>
                <w:highlight w:val="none"/>
              </w:rPr>
            </w:pPr>
            <w:r>
              <w:rPr>
                <w:rFonts w:hint="eastAsia" w:ascii="宋体" w:hAnsi="宋体" w:eastAsia="宋体" w:cs="宋体"/>
                <w:b/>
                <w:bCs/>
                <w:color w:val="auto"/>
                <w:kern w:val="0"/>
                <w:sz w:val="28"/>
                <w:szCs w:val="28"/>
                <w:highlight w:val="none"/>
              </w:rPr>
              <w:t>工程</w:t>
            </w:r>
          </w:p>
          <w:p w14:paraId="440B7051">
            <w:pPr>
              <w:widowControl/>
              <w:jc w:val="center"/>
              <w:rPr>
                <w:rFonts w:ascii="宋体" w:hAnsi="宋体" w:eastAsia="宋体" w:cs="宋体"/>
                <w:b/>
                <w:bCs/>
                <w:snapToGrid w:val="0"/>
                <w:color w:val="auto"/>
                <w:kern w:val="0"/>
                <w:sz w:val="44"/>
                <w:szCs w:val="44"/>
                <w:highlight w:val="none"/>
              </w:rPr>
            </w:pPr>
            <w:r>
              <w:rPr>
                <w:rFonts w:hint="eastAsia" w:ascii="宋体" w:hAnsi="宋体" w:eastAsia="宋体" w:cs="宋体"/>
                <w:b/>
                <w:bCs/>
                <w:snapToGrid w:val="0"/>
                <w:color w:val="auto"/>
                <w:kern w:val="0"/>
                <w:sz w:val="44"/>
                <w:szCs w:val="44"/>
                <w:highlight w:val="none"/>
              </w:rPr>
              <w:t>上期实际发放管理人员工资明细表</w:t>
            </w:r>
          </w:p>
        </w:tc>
      </w:tr>
      <w:tr w14:paraId="2C50D246">
        <w:tblPrEx>
          <w:tblCellMar>
            <w:top w:w="0" w:type="dxa"/>
            <w:left w:w="108" w:type="dxa"/>
            <w:bottom w:w="0" w:type="dxa"/>
            <w:right w:w="108" w:type="dxa"/>
          </w:tblCellMar>
        </w:tblPrEx>
        <w:trPr>
          <w:trHeight w:val="397" w:hRule="atLeast"/>
          <w:jc w:val="center"/>
        </w:trPr>
        <w:tc>
          <w:tcPr>
            <w:tcW w:w="2893" w:type="dxa"/>
            <w:gridSpan w:val="3"/>
            <w:noWrap/>
            <w:vAlign w:val="center"/>
          </w:tcPr>
          <w:p w14:paraId="628D6314">
            <w:pPr>
              <w:widowControl/>
              <w:jc w:val="left"/>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施工单位名称（盖公章）：</w:t>
            </w:r>
          </w:p>
        </w:tc>
        <w:tc>
          <w:tcPr>
            <w:tcW w:w="516" w:type="dxa"/>
            <w:noWrap/>
            <w:vAlign w:val="center"/>
          </w:tcPr>
          <w:p w14:paraId="0AF4EF52">
            <w:pPr>
              <w:widowControl/>
              <w:jc w:val="left"/>
              <w:rPr>
                <w:rFonts w:ascii="宋体" w:hAnsi="宋体" w:eastAsia="宋体" w:cs="宋体"/>
                <w:snapToGrid w:val="0"/>
                <w:color w:val="auto"/>
                <w:kern w:val="0"/>
                <w:sz w:val="24"/>
                <w:highlight w:val="none"/>
              </w:rPr>
            </w:pPr>
          </w:p>
        </w:tc>
        <w:tc>
          <w:tcPr>
            <w:tcW w:w="1112" w:type="dxa"/>
            <w:noWrap/>
            <w:vAlign w:val="center"/>
          </w:tcPr>
          <w:p w14:paraId="11208663">
            <w:pPr>
              <w:widowControl/>
              <w:jc w:val="left"/>
              <w:rPr>
                <w:rFonts w:ascii="宋体" w:hAnsi="宋体" w:eastAsia="宋体" w:cs="宋体"/>
                <w:snapToGrid w:val="0"/>
                <w:color w:val="auto"/>
                <w:kern w:val="0"/>
                <w:sz w:val="24"/>
                <w:highlight w:val="none"/>
              </w:rPr>
            </w:pPr>
          </w:p>
        </w:tc>
        <w:tc>
          <w:tcPr>
            <w:tcW w:w="1252" w:type="dxa"/>
            <w:gridSpan w:val="2"/>
            <w:noWrap/>
            <w:vAlign w:val="center"/>
          </w:tcPr>
          <w:p w14:paraId="5ADD25A8">
            <w:pPr>
              <w:widowControl/>
              <w:jc w:val="left"/>
              <w:rPr>
                <w:rFonts w:ascii="宋体" w:hAnsi="宋体" w:eastAsia="宋体" w:cs="宋体"/>
                <w:snapToGrid w:val="0"/>
                <w:color w:val="auto"/>
                <w:kern w:val="0"/>
                <w:sz w:val="24"/>
                <w:highlight w:val="none"/>
              </w:rPr>
            </w:pPr>
          </w:p>
        </w:tc>
        <w:tc>
          <w:tcPr>
            <w:tcW w:w="2520" w:type="dxa"/>
            <w:gridSpan w:val="5"/>
            <w:noWrap/>
            <w:vAlign w:val="center"/>
          </w:tcPr>
          <w:p w14:paraId="07F3F93C">
            <w:pPr>
              <w:widowControl/>
              <w:jc w:val="left"/>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制表日期：</w:t>
            </w:r>
          </w:p>
        </w:tc>
        <w:tc>
          <w:tcPr>
            <w:tcW w:w="3336" w:type="dxa"/>
            <w:gridSpan w:val="3"/>
            <w:noWrap/>
            <w:vAlign w:val="center"/>
          </w:tcPr>
          <w:p w14:paraId="1E394253">
            <w:pPr>
              <w:widowControl/>
              <w:jc w:val="left"/>
              <w:rPr>
                <w:rFonts w:ascii="宋体" w:hAnsi="宋体" w:eastAsia="宋体" w:cs="宋体"/>
                <w:snapToGrid w:val="0"/>
                <w:color w:val="auto"/>
                <w:kern w:val="0"/>
                <w:sz w:val="24"/>
                <w:highlight w:val="none"/>
              </w:rPr>
            </w:pPr>
          </w:p>
        </w:tc>
        <w:tc>
          <w:tcPr>
            <w:tcW w:w="2791" w:type="dxa"/>
            <w:gridSpan w:val="3"/>
            <w:noWrap/>
            <w:vAlign w:val="center"/>
          </w:tcPr>
          <w:p w14:paraId="04D600C7">
            <w:pPr>
              <w:widowControl/>
              <w:jc w:val="left"/>
              <w:rPr>
                <w:rFonts w:ascii="宋体" w:hAnsi="宋体" w:eastAsia="宋体" w:cs="宋体"/>
                <w:snapToGrid w:val="0"/>
                <w:color w:val="auto"/>
                <w:kern w:val="0"/>
                <w:sz w:val="24"/>
                <w:highlight w:val="none"/>
              </w:rPr>
            </w:pPr>
          </w:p>
        </w:tc>
      </w:tr>
      <w:tr w14:paraId="4FF062A3">
        <w:tblPrEx>
          <w:tblCellMar>
            <w:top w:w="0" w:type="dxa"/>
            <w:left w:w="108" w:type="dxa"/>
            <w:bottom w:w="0" w:type="dxa"/>
            <w:right w:w="108" w:type="dxa"/>
          </w:tblCellMar>
        </w:tblPrEx>
        <w:trPr>
          <w:trHeight w:val="397" w:hRule="atLeast"/>
          <w:jc w:val="center"/>
        </w:trPr>
        <w:tc>
          <w:tcPr>
            <w:tcW w:w="2893" w:type="dxa"/>
            <w:gridSpan w:val="3"/>
            <w:noWrap/>
            <w:vAlign w:val="center"/>
          </w:tcPr>
          <w:p w14:paraId="6BD21F82">
            <w:pPr>
              <w:widowControl/>
              <w:jc w:val="left"/>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所属月份：</w:t>
            </w:r>
          </w:p>
        </w:tc>
        <w:tc>
          <w:tcPr>
            <w:tcW w:w="516" w:type="dxa"/>
            <w:noWrap/>
            <w:vAlign w:val="center"/>
          </w:tcPr>
          <w:p w14:paraId="40AB9213">
            <w:pPr>
              <w:widowControl/>
              <w:jc w:val="left"/>
              <w:rPr>
                <w:rFonts w:ascii="宋体" w:hAnsi="宋体" w:eastAsia="宋体" w:cs="宋体"/>
                <w:snapToGrid w:val="0"/>
                <w:color w:val="auto"/>
                <w:kern w:val="0"/>
                <w:sz w:val="24"/>
                <w:highlight w:val="none"/>
              </w:rPr>
            </w:pPr>
          </w:p>
        </w:tc>
        <w:tc>
          <w:tcPr>
            <w:tcW w:w="1112" w:type="dxa"/>
            <w:noWrap/>
            <w:vAlign w:val="center"/>
          </w:tcPr>
          <w:p w14:paraId="7BFAD72A">
            <w:pPr>
              <w:widowControl/>
              <w:jc w:val="left"/>
              <w:rPr>
                <w:rFonts w:ascii="宋体" w:hAnsi="宋体" w:eastAsia="宋体" w:cs="宋体"/>
                <w:snapToGrid w:val="0"/>
                <w:color w:val="auto"/>
                <w:kern w:val="0"/>
                <w:sz w:val="24"/>
                <w:highlight w:val="none"/>
              </w:rPr>
            </w:pPr>
          </w:p>
        </w:tc>
        <w:tc>
          <w:tcPr>
            <w:tcW w:w="1252" w:type="dxa"/>
            <w:gridSpan w:val="2"/>
            <w:noWrap/>
            <w:vAlign w:val="center"/>
          </w:tcPr>
          <w:p w14:paraId="0210D6D8">
            <w:pPr>
              <w:widowControl/>
              <w:jc w:val="left"/>
              <w:rPr>
                <w:rFonts w:ascii="宋体" w:hAnsi="宋体" w:eastAsia="宋体" w:cs="宋体"/>
                <w:snapToGrid w:val="0"/>
                <w:color w:val="auto"/>
                <w:kern w:val="0"/>
                <w:sz w:val="24"/>
                <w:highlight w:val="none"/>
              </w:rPr>
            </w:pPr>
          </w:p>
        </w:tc>
        <w:tc>
          <w:tcPr>
            <w:tcW w:w="900" w:type="dxa"/>
            <w:gridSpan w:val="2"/>
            <w:noWrap/>
            <w:vAlign w:val="center"/>
          </w:tcPr>
          <w:p w14:paraId="3B3365F1">
            <w:pPr>
              <w:widowControl/>
              <w:jc w:val="left"/>
              <w:rPr>
                <w:rFonts w:ascii="宋体" w:hAnsi="宋体" w:eastAsia="宋体" w:cs="宋体"/>
                <w:snapToGrid w:val="0"/>
                <w:color w:val="auto"/>
                <w:kern w:val="0"/>
                <w:sz w:val="24"/>
                <w:highlight w:val="none"/>
              </w:rPr>
            </w:pPr>
          </w:p>
        </w:tc>
        <w:tc>
          <w:tcPr>
            <w:tcW w:w="1620" w:type="dxa"/>
            <w:gridSpan w:val="3"/>
            <w:noWrap/>
            <w:vAlign w:val="center"/>
          </w:tcPr>
          <w:p w14:paraId="32EF6A32">
            <w:pPr>
              <w:widowControl/>
              <w:jc w:val="left"/>
              <w:rPr>
                <w:rFonts w:ascii="宋体" w:hAnsi="宋体" w:eastAsia="宋体" w:cs="宋体"/>
                <w:snapToGrid w:val="0"/>
                <w:color w:val="auto"/>
                <w:kern w:val="0"/>
                <w:sz w:val="24"/>
                <w:highlight w:val="none"/>
              </w:rPr>
            </w:pPr>
          </w:p>
        </w:tc>
        <w:tc>
          <w:tcPr>
            <w:tcW w:w="3336" w:type="dxa"/>
            <w:gridSpan w:val="3"/>
            <w:noWrap/>
            <w:vAlign w:val="center"/>
          </w:tcPr>
          <w:p w14:paraId="6CED2F41">
            <w:pPr>
              <w:widowControl/>
              <w:jc w:val="left"/>
              <w:rPr>
                <w:rFonts w:ascii="宋体" w:hAnsi="宋体" w:eastAsia="宋体" w:cs="宋体"/>
                <w:snapToGrid w:val="0"/>
                <w:color w:val="auto"/>
                <w:kern w:val="0"/>
                <w:sz w:val="24"/>
                <w:highlight w:val="none"/>
              </w:rPr>
            </w:pPr>
          </w:p>
        </w:tc>
        <w:tc>
          <w:tcPr>
            <w:tcW w:w="2791" w:type="dxa"/>
            <w:gridSpan w:val="3"/>
            <w:noWrap/>
            <w:vAlign w:val="center"/>
          </w:tcPr>
          <w:p w14:paraId="5303483E">
            <w:pPr>
              <w:widowControl/>
              <w:jc w:val="left"/>
              <w:rPr>
                <w:rFonts w:ascii="宋体" w:hAnsi="宋体" w:eastAsia="宋体" w:cs="宋体"/>
                <w:snapToGrid w:val="0"/>
                <w:color w:val="auto"/>
                <w:kern w:val="0"/>
                <w:sz w:val="24"/>
                <w:highlight w:val="none"/>
              </w:rPr>
            </w:pPr>
          </w:p>
        </w:tc>
      </w:tr>
      <w:tr w14:paraId="427FA9E5">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4B533E1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2BEA755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2620" w:type="dxa"/>
            <w:gridSpan w:val="4"/>
            <w:tcBorders>
              <w:top w:val="single" w:color="auto" w:sz="4" w:space="0"/>
              <w:left w:val="nil"/>
              <w:bottom w:val="single" w:color="auto" w:sz="4" w:space="0"/>
              <w:right w:val="single" w:color="auto" w:sz="4" w:space="0"/>
            </w:tcBorders>
            <w:noWrap/>
            <w:vAlign w:val="bottom"/>
          </w:tcPr>
          <w:p w14:paraId="447023E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w:t>
            </w:r>
          </w:p>
        </w:tc>
        <w:tc>
          <w:tcPr>
            <w:tcW w:w="1080" w:type="dxa"/>
            <w:gridSpan w:val="2"/>
            <w:tcBorders>
              <w:top w:val="single" w:color="auto" w:sz="4" w:space="0"/>
              <w:left w:val="nil"/>
              <w:bottom w:val="single" w:color="auto" w:sz="4" w:space="0"/>
              <w:right w:val="single" w:color="auto" w:sz="4" w:space="0"/>
            </w:tcBorders>
            <w:noWrap w:val="0"/>
            <w:vAlign w:val="bottom"/>
          </w:tcPr>
          <w:p w14:paraId="71B60DD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c>
          <w:tcPr>
            <w:tcW w:w="1080" w:type="dxa"/>
            <w:gridSpan w:val="2"/>
            <w:tcBorders>
              <w:top w:val="single" w:color="auto" w:sz="4" w:space="0"/>
              <w:left w:val="nil"/>
              <w:bottom w:val="single" w:color="auto" w:sz="4" w:space="0"/>
              <w:right w:val="single" w:color="auto" w:sz="4" w:space="0"/>
            </w:tcBorders>
            <w:noWrap/>
            <w:vAlign w:val="bottom"/>
          </w:tcPr>
          <w:p w14:paraId="1C95BD2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  名</w:t>
            </w:r>
          </w:p>
        </w:tc>
        <w:tc>
          <w:tcPr>
            <w:tcW w:w="460" w:type="dxa"/>
            <w:tcBorders>
              <w:top w:val="nil"/>
              <w:left w:val="nil"/>
              <w:bottom w:val="nil"/>
              <w:right w:val="nil"/>
            </w:tcBorders>
            <w:noWrap/>
            <w:vAlign w:val="bottom"/>
          </w:tcPr>
          <w:p w14:paraId="7C7F93C0">
            <w:pPr>
              <w:widowControl/>
              <w:jc w:val="left"/>
              <w:rPr>
                <w:rFonts w:ascii="宋体" w:hAnsi="宋体" w:eastAsia="宋体" w:cs="宋体"/>
                <w:color w:val="auto"/>
                <w:kern w:val="0"/>
                <w:sz w:val="24"/>
                <w:szCs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14:paraId="74A568B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3587969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2700" w:type="dxa"/>
            <w:gridSpan w:val="2"/>
            <w:tcBorders>
              <w:top w:val="single" w:color="auto" w:sz="4" w:space="0"/>
              <w:left w:val="nil"/>
              <w:bottom w:val="single" w:color="auto" w:sz="4" w:space="0"/>
              <w:right w:val="single" w:color="auto" w:sz="4" w:space="0"/>
            </w:tcBorders>
            <w:noWrap/>
            <w:vAlign w:val="bottom"/>
          </w:tcPr>
          <w:p w14:paraId="36B2095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w:t>
            </w:r>
          </w:p>
        </w:tc>
        <w:tc>
          <w:tcPr>
            <w:tcW w:w="1080" w:type="dxa"/>
            <w:tcBorders>
              <w:top w:val="single" w:color="auto" w:sz="4" w:space="0"/>
              <w:left w:val="nil"/>
              <w:bottom w:val="single" w:color="auto" w:sz="4" w:space="0"/>
              <w:right w:val="single" w:color="auto" w:sz="4" w:space="0"/>
            </w:tcBorders>
            <w:noWrap w:val="0"/>
            <w:vAlign w:val="bottom"/>
          </w:tcPr>
          <w:p w14:paraId="17F0135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c>
          <w:tcPr>
            <w:tcW w:w="1080" w:type="dxa"/>
            <w:tcBorders>
              <w:top w:val="single" w:color="auto" w:sz="4" w:space="0"/>
              <w:left w:val="nil"/>
              <w:bottom w:val="single" w:color="auto" w:sz="4" w:space="0"/>
              <w:right w:val="single" w:color="auto" w:sz="4" w:space="0"/>
            </w:tcBorders>
            <w:noWrap/>
            <w:vAlign w:val="bottom"/>
          </w:tcPr>
          <w:p w14:paraId="053B676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  名</w:t>
            </w:r>
          </w:p>
        </w:tc>
      </w:tr>
      <w:tr w14:paraId="63CDE67A">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53E749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759574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90C525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08C84DD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41F2D3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35FD3AEF">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B34E51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D1CFDE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6C63006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2BC4D1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2CBB05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3840540">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42892A2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925C75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DD8F9E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E57495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469B68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4E9E56C0">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3EB0DC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DDE369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2084CE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D32DD2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162E33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F714754">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00A0D44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257BD8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9E3C3B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E2F056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EA4CDD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0A3207AF">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D749BD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A45C44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95D0E2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613917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B32ED8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A7125BB">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611363A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FB17E5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4BC932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0A53957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8A30DA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643E0B9D">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41E61F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A786D0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1047A8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8068F4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BCA2C7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FC6FE6F">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47AB1E6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9F4689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D684BE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E10BD6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061C27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0A5CFF6E">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87A580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6EBC54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214C92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49CE5E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7B4587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2819BC7">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253FF56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8595BB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D86683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9F533C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2F82FED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063458E4">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624D37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507447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2E47B27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2D0072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D3FEF6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CD08F7F">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32C91D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CA05D1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E35006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1BFF233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D50491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5F059182">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EBAAD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0DE0C3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6A58A4E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95FAF6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AA9D43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7E4AF1D">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2F1FEF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E62B45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9DD4C8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3C81A72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7E463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77877D68">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5BC0B2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807CAD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52D4023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17B12F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BB0778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626235">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46B908E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460209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7909DCF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2593B8E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20373E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5FE65F18">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F95E7C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805B5B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89B486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6162DF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8DCD55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E3FE5BA">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502A62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E4E601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2A594C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2691962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655AE5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45AFAB64">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9F8531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4FABF1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F5D7D0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52D449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BEB580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BD5A69E">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3348B39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1862F3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5FC614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4DD35B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E12C29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3F7B1CFA">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7A788C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28AA8F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214F43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2D4252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EF1080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BACBD0">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73EDF9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E41BD6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700CA2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183907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5A3DB6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02F83BBF">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7845F7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76409F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01DBC6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B24A57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1A9AE7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EAFEC9D">
        <w:tblPrEx>
          <w:tblCellMar>
            <w:top w:w="0" w:type="dxa"/>
            <w:left w:w="108" w:type="dxa"/>
            <w:bottom w:w="0" w:type="dxa"/>
            <w:right w:w="108" w:type="dxa"/>
          </w:tblCellMar>
        </w:tblPrEx>
        <w:trPr>
          <w:trHeight w:val="429" w:hRule="atLeast"/>
          <w:jc w:val="center"/>
        </w:trPr>
        <w:tc>
          <w:tcPr>
            <w:tcW w:w="14420" w:type="dxa"/>
            <w:gridSpan w:val="18"/>
            <w:tcBorders>
              <w:top w:val="single" w:color="auto" w:sz="4" w:space="0"/>
              <w:left w:val="single" w:color="auto" w:sz="4" w:space="0"/>
              <w:bottom w:val="single" w:color="auto" w:sz="4" w:space="0"/>
              <w:right w:val="single" w:color="auto" w:sz="4" w:space="0"/>
            </w:tcBorders>
            <w:noWrap/>
            <w:vAlign w:val="bottom"/>
          </w:tcPr>
          <w:p w14:paraId="221E7A40">
            <w:pPr>
              <w:widowControl/>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工资发放总额合计：</w:t>
            </w:r>
          </w:p>
        </w:tc>
      </w:tr>
      <w:tr w14:paraId="0253377E">
        <w:tblPrEx>
          <w:tblCellMar>
            <w:top w:w="0" w:type="dxa"/>
            <w:left w:w="108" w:type="dxa"/>
            <w:bottom w:w="0" w:type="dxa"/>
            <w:right w:w="108" w:type="dxa"/>
          </w:tblCellMar>
        </w:tblPrEx>
        <w:trPr>
          <w:trHeight w:val="525" w:hRule="atLeast"/>
          <w:jc w:val="center"/>
        </w:trPr>
        <w:tc>
          <w:tcPr>
            <w:tcW w:w="14420" w:type="dxa"/>
            <w:gridSpan w:val="18"/>
            <w:tcBorders>
              <w:top w:val="single" w:color="auto" w:sz="4" w:space="0"/>
              <w:left w:val="nil"/>
              <w:bottom w:val="single" w:color="auto" w:sz="4" w:space="0"/>
              <w:right w:val="nil"/>
            </w:tcBorders>
            <w:noWrap/>
            <w:vAlign w:val="bottom"/>
          </w:tcPr>
          <w:p w14:paraId="134411B4">
            <w:pPr>
              <w:widowControl/>
              <w:jc w:val="left"/>
              <w:rPr>
                <w:rFonts w:ascii="宋体" w:hAnsi="宋体" w:eastAsia="宋体" w:cs="宋体"/>
                <w:b/>
                <w:bCs/>
                <w:color w:val="auto"/>
                <w:kern w:val="0"/>
                <w:highlight w:val="none"/>
              </w:rPr>
            </w:pPr>
            <w:r>
              <w:rPr>
                <w:rFonts w:hint="eastAsia" w:ascii="宋体" w:hAnsi="宋体" w:eastAsia="宋体" w:cs="宋体"/>
                <w:b/>
                <w:bCs/>
                <w:color w:val="auto"/>
                <w:kern w:val="0"/>
                <w:highlight w:val="none"/>
              </w:rPr>
              <w:t>备注：本工资发放表按实际发放完成后，把本表复印一式六份并加盖公章，并提供一份原件核对。</w:t>
            </w:r>
          </w:p>
        </w:tc>
      </w:tr>
    </w:tbl>
    <w:p w14:paraId="2D7F5188">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br w:type="page"/>
      </w:r>
    </w:p>
    <w:tbl>
      <w:tblPr>
        <w:tblStyle w:val="37"/>
        <w:tblW w:w="14420" w:type="dxa"/>
        <w:jc w:val="center"/>
        <w:tblLayout w:type="autofit"/>
        <w:tblCellMar>
          <w:top w:w="0" w:type="dxa"/>
          <w:left w:w="108" w:type="dxa"/>
          <w:bottom w:w="0" w:type="dxa"/>
          <w:right w:w="108" w:type="dxa"/>
        </w:tblCellMar>
      </w:tblPr>
      <w:tblGrid>
        <w:gridCol w:w="1080"/>
        <w:gridCol w:w="1080"/>
        <w:gridCol w:w="733"/>
        <w:gridCol w:w="516"/>
        <w:gridCol w:w="1112"/>
        <w:gridCol w:w="259"/>
        <w:gridCol w:w="993"/>
        <w:gridCol w:w="900"/>
        <w:gridCol w:w="267"/>
        <w:gridCol w:w="460"/>
        <w:gridCol w:w="893"/>
        <w:gridCol w:w="187"/>
        <w:gridCol w:w="1080"/>
        <w:gridCol w:w="2069"/>
        <w:gridCol w:w="631"/>
        <w:gridCol w:w="1080"/>
        <w:gridCol w:w="1080"/>
      </w:tblGrid>
      <w:tr w14:paraId="46D22E89">
        <w:tblPrEx>
          <w:tblCellMar>
            <w:top w:w="0" w:type="dxa"/>
            <w:left w:w="108" w:type="dxa"/>
            <w:bottom w:w="0" w:type="dxa"/>
            <w:right w:w="108" w:type="dxa"/>
          </w:tblCellMar>
        </w:tblPrEx>
        <w:trPr>
          <w:trHeight w:val="397" w:hRule="atLeast"/>
          <w:jc w:val="center"/>
        </w:trPr>
        <w:tc>
          <w:tcPr>
            <w:tcW w:w="14420" w:type="dxa"/>
            <w:gridSpan w:val="17"/>
            <w:noWrap/>
            <w:vAlign w:val="center"/>
          </w:tcPr>
          <w:p w14:paraId="766C451C">
            <w:pPr>
              <w:widowControl/>
              <w:jc w:val="center"/>
              <w:rPr>
                <w:rFonts w:ascii="宋体" w:hAnsi="宋体" w:eastAsia="宋体" w:cs="宋体"/>
                <w:b/>
                <w:bCs/>
                <w:snapToGrid w:val="0"/>
                <w:color w:val="auto"/>
                <w:kern w:val="0"/>
                <w:sz w:val="44"/>
                <w:szCs w:val="44"/>
                <w:highlight w:val="none"/>
              </w:rPr>
            </w:pPr>
            <w:r>
              <w:rPr>
                <w:rFonts w:hint="eastAsia" w:ascii="宋体" w:hAnsi="宋体" w:eastAsia="宋体" w:cs="宋体"/>
                <w:b/>
                <w:bCs/>
                <w:color w:val="auto"/>
                <w:kern w:val="0"/>
                <w:sz w:val="28"/>
                <w:szCs w:val="28"/>
                <w:highlight w:val="none"/>
              </w:rPr>
              <w:t>工程</w:t>
            </w:r>
          </w:p>
          <w:p w14:paraId="1D534756">
            <w:pPr>
              <w:widowControl/>
              <w:jc w:val="center"/>
              <w:rPr>
                <w:rFonts w:ascii="宋体" w:hAnsi="宋体" w:eastAsia="宋体" w:cs="宋体"/>
                <w:b/>
                <w:bCs/>
                <w:snapToGrid w:val="0"/>
                <w:color w:val="auto"/>
                <w:kern w:val="0"/>
                <w:sz w:val="44"/>
                <w:szCs w:val="44"/>
                <w:highlight w:val="none"/>
              </w:rPr>
            </w:pPr>
            <w:r>
              <w:rPr>
                <w:rFonts w:hint="eastAsia" w:ascii="宋体" w:hAnsi="宋体" w:eastAsia="宋体" w:cs="宋体"/>
                <w:b/>
                <w:bCs/>
                <w:snapToGrid w:val="0"/>
                <w:color w:val="auto"/>
                <w:kern w:val="0"/>
                <w:sz w:val="44"/>
                <w:szCs w:val="44"/>
                <w:highlight w:val="none"/>
              </w:rPr>
              <w:t>本期计划发放管理人员工资明细表</w:t>
            </w:r>
          </w:p>
        </w:tc>
      </w:tr>
      <w:tr w14:paraId="3427F941">
        <w:tblPrEx>
          <w:tblCellMar>
            <w:top w:w="0" w:type="dxa"/>
            <w:left w:w="108" w:type="dxa"/>
            <w:bottom w:w="0" w:type="dxa"/>
            <w:right w:w="108" w:type="dxa"/>
          </w:tblCellMar>
        </w:tblPrEx>
        <w:trPr>
          <w:trHeight w:val="397" w:hRule="atLeast"/>
          <w:jc w:val="center"/>
        </w:trPr>
        <w:tc>
          <w:tcPr>
            <w:tcW w:w="2893" w:type="dxa"/>
            <w:gridSpan w:val="3"/>
            <w:noWrap/>
            <w:vAlign w:val="center"/>
          </w:tcPr>
          <w:p w14:paraId="651BE156">
            <w:pPr>
              <w:widowControl/>
              <w:jc w:val="left"/>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施工单位名称（盖公章）：</w:t>
            </w:r>
          </w:p>
        </w:tc>
        <w:tc>
          <w:tcPr>
            <w:tcW w:w="516" w:type="dxa"/>
            <w:noWrap/>
            <w:vAlign w:val="center"/>
          </w:tcPr>
          <w:p w14:paraId="154DEB54">
            <w:pPr>
              <w:widowControl/>
              <w:jc w:val="left"/>
              <w:rPr>
                <w:rFonts w:ascii="宋体" w:hAnsi="宋体" w:eastAsia="宋体" w:cs="宋体"/>
                <w:snapToGrid w:val="0"/>
                <w:color w:val="auto"/>
                <w:kern w:val="0"/>
                <w:sz w:val="24"/>
                <w:highlight w:val="none"/>
              </w:rPr>
            </w:pPr>
          </w:p>
        </w:tc>
        <w:tc>
          <w:tcPr>
            <w:tcW w:w="1112" w:type="dxa"/>
            <w:noWrap/>
            <w:vAlign w:val="center"/>
          </w:tcPr>
          <w:p w14:paraId="381237B5">
            <w:pPr>
              <w:widowControl/>
              <w:jc w:val="left"/>
              <w:rPr>
                <w:rFonts w:ascii="宋体" w:hAnsi="宋体" w:eastAsia="宋体" w:cs="宋体"/>
                <w:snapToGrid w:val="0"/>
                <w:color w:val="auto"/>
                <w:kern w:val="0"/>
                <w:sz w:val="24"/>
                <w:highlight w:val="none"/>
              </w:rPr>
            </w:pPr>
          </w:p>
        </w:tc>
        <w:tc>
          <w:tcPr>
            <w:tcW w:w="1252" w:type="dxa"/>
            <w:gridSpan w:val="2"/>
            <w:noWrap/>
            <w:vAlign w:val="center"/>
          </w:tcPr>
          <w:p w14:paraId="2D06B46A">
            <w:pPr>
              <w:widowControl/>
              <w:jc w:val="left"/>
              <w:rPr>
                <w:rFonts w:ascii="宋体" w:hAnsi="宋体" w:eastAsia="宋体" w:cs="宋体"/>
                <w:snapToGrid w:val="0"/>
                <w:color w:val="auto"/>
                <w:kern w:val="0"/>
                <w:sz w:val="24"/>
                <w:highlight w:val="none"/>
              </w:rPr>
            </w:pPr>
          </w:p>
        </w:tc>
        <w:tc>
          <w:tcPr>
            <w:tcW w:w="2520" w:type="dxa"/>
            <w:gridSpan w:val="4"/>
            <w:noWrap/>
            <w:vAlign w:val="center"/>
          </w:tcPr>
          <w:p w14:paraId="032439B5">
            <w:pPr>
              <w:widowControl/>
              <w:jc w:val="left"/>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制表日期：</w:t>
            </w:r>
          </w:p>
        </w:tc>
        <w:tc>
          <w:tcPr>
            <w:tcW w:w="3336" w:type="dxa"/>
            <w:gridSpan w:val="3"/>
            <w:noWrap/>
            <w:vAlign w:val="center"/>
          </w:tcPr>
          <w:p w14:paraId="0964E63A">
            <w:pPr>
              <w:widowControl/>
              <w:jc w:val="left"/>
              <w:rPr>
                <w:rFonts w:ascii="宋体" w:hAnsi="宋体" w:eastAsia="宋体" w:cs="宋体"/>
                <w:snapToGrid w:val="0"/>
                <w:color w:val="auto"/>
                <w:kern w:val="0"/>
                <w:sz w:val="24"/>
                <w:highlight w:val="none"/>
              </w:rPr>
            </w:pPr>
          </w:p>
        </w:tc>
        <w:tc>
          <w:tcPr>
            <w:tcW w:w="2791" w:type="dxa"/>
            <w:gridSpan w:val="3"/>
            <w:noWrap/>
            <w:vAlign w:val="center"/>
          </w:tcPr>
          <w:p w14:paraId="4DF3A21B">
            <w:pPr>
              <w:widowControl/>
              <w:jc w:val="left"/>
              <w:rPr>
                <w:rFonts w:ascii="宋体" w:hAnsi="宋体" w:eastAsia="宋体" w:cs="宋体"/>
                <w:snapToGrid w:val="0"/>
                <w:color w:val="auto"/>
                <w:kern w:val="0"/>
                <w:sz w:val="24"/>
                <w:highlight w:val="none"/>
              </w:rPr>
            </w:pPr>
          </w:p>
        </w:tc>
      </w:tr>
      <w:tr w14:paraId="21F2DC03">
        <w:tblPrEx>
          <w:tblCellMar>
            <w:top w:w="0" w:type="dxa"/>
            <w:left w:w="108" w:type="dxa"/>
            <w:bottom w:w="0" w:type="dxa"/>
            <w:right w:w="108" w:type="dxa"/>
          </w:tblCellMar>
        </w:tblPrEx>
        <w:trPr>
          <w:trHeight w:val="397" w:hRule="atLeast"/>
          <w:jc w:val="center"/>
        </w:trPr>
        <w:tc>
          <w:tcPr>
            <w:tcW w:w="2893" w:type="dxa"/>
            <w:gridSpan w:val="3"/>
            <w:noWrap/>
            <w:vAlign w:val="center"/>
          </w:tcPr>
          <w:p w14:paraId="4885CA29">
            <w:pPr>
              <w:widowControl/>
              <w:jc w:val="left"/>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所属月份：</w:t>
            </w:r>
          </w:p>
        </w:tc>
        <w:tc>
          <w:tcPr>
            <w:tcW w:w="516" w:type="dxa"/>
            <w:noWrap/>
            <w:vAlign w:val="center"/>
          </w:tcPr>
          <w:p w14:paraId="33B7E8CB">
            <w:pPr>
              <w:widowControl/>
              <w:jc w:val="left"/>
              <w:rPr>
                <w:rFonts w:ascii="宋体" w:hAnsi="宋体" w:eastAsia="宋体" w:cs="宋体"/>
                <w:snapToGrid w:val="0"/>
                <w:color w:val="auto"/>
                <w:kern w:val="0"/>
                <w:sz w:val="24"/>
                <w:highlight w:val="none"/>
              </w:rPr>
            </w:pPr>
          </w:p>
        </w:tc>
        <w:tc>
          <w:tcPr>
            <w:tcW w:w="1112" w:type="dxa"/>
            <w:noWrap/>
            <w:vAlign w:val="center"/>
          </w:tcPr>
          <w:p w14:paraId="3C492534">
            <w:pPr>
              <w:widowControl/>
              <w:jc w:val="left"/>
              <w:rPr>
                <w:rFonts w:ascii="宋体" w:hAnsi="宋体" w:eastAsia="宋体" w:cs="宋体"/>
                <w:snapToGrid w:val="0"/>
                <w:color w:val="auto"/>
                <w:kern w:val="0"/>
                <w:sz w:val="24"/>
                <w:highlight w:val="none"/>
              </w:rPr>
            </w:pPr>
          </w:p>
        </w:tc>
        <w:tc>
          <w:tcPr>
            <w:tcW w:w="1252" w:type="dxa"/>
            <w:gridSpan w:val="2"/>
            <w:noWrap/>
            <w:vAlign w:val="center"/>
          </w:tcPr>
          <w:p w14:paraId="5B4F442F">
            <w:pPr>
              <w:widowControl/>
              <w:jc w:val="left"/>
              <w:rPr>
                <w:rFonts w:ascii="宋体" w:hAnsi="宋体" w:eastAsia="宋体" w:cs="宋体"/>
                <w:snapToGrid w:val="0"/>
                <w:color w:val="auto"/>
                <w:kern w:val="0"/>
                <w:sz w:val="24"/>
                <w:highlight w:val="none"/>
              </w:rPr>
            </w:pPr>
          </w:p>
        </w:tc>
        <w:tc>
          <w:tcPr>
            <w:tcW w:w="900" w:type="dxa"/>
            <w:noWrap/>
            <w:vAlign w:val="center"/>
          </w:tcPr>
          <w:p w14:paraId="3140FBC0">
            <w:pPr>
              <w:widowControl/>
              <w:jc w:val="left"/>
              <w:rPr>
                <w:rFonts w:ascii="宋体" w:hAnsi="宋体" w:eastAsia="宋体" w:cs="宋体"/>
                <w:snapToGrid w:val="0"/>
                <w:color w:val="auto"/>
                <w:kern w:val="0"/>
                <w:sz w:val="24"/>
                <w:highlight w:val="none"/>
              </w:rPr>
            </w:pPr>
          </w:p>
        </w:tc>
        <w:tc>
          <w:tcPr>
            <w:tcW w:w="1620" w:type="dxa"/>
            <w:gridSpan w:val="3"/>
            <w:noWrap/>
            <w:vAlign w:val="center"/>
          </w:tcPr>
          <w:p w14:paraId="662DE969">
            <w:pPr>
              <w:widowControl/>
              <w:jc w:val="left"/>
              <w:rPr>
                <w:rFonts w:ascii="宋体" w:hAnsi="宋体" w:eastAsia="宋体" w:cs="宋体"/>
                <w:snapToGrid w:val="0"/>
                <w:color w:val="auto"/>
                <w:kern w:val="0"/>
                <w:sz w:val="24"/>
                <w:highlight w:val="none"/>
              </w:rPr>
            </w:pPr>
          </w:p>
        </w:tc>
        <w:tc>
          <w:tcPr>
            <w:tcW w:w="3336" w:type="dxa"/>
            <w:gridSpan w:val="3"/>
            <w:noWrap/>
            <w:vAlign w:val="center"/>
          </w:tcPr>
          <w:p w14:paraId="562424A9">
            <w:pPr>
              <w:widowControl/>
              <w:jc w:val="left"/>
              <w:rPr>
                <w:rFonts w:ascii="宋体" w:hAnsi="宋体" w:eastAsia="宋体" w:cs="宋体"/>
                <w:snapToGrid w:val="0"/>
                <w:color w:val="auto"/>
                <w:kern w:val="0"/>
                <w:sz w:val="24"/>
                <w:highlight w:val="none"/>
              </w:rPr>
            </w:pPr>
          </w:p>
        </w:tc>
        <w:tc>
          <w:tcPr>
            <w:tcW w:w="2791" w:type="dxa"/>
            <w:gridSpan w:val="3"/>
            <w:noWrap/>
            <w:vAlign w:val="center"/>
          </w:tcPr>
          <w:p w14:paraId="33294552">
            <w:pPr>
              <w:widowControl/>
              <w:jc w:val="left"/>
              <w:rPr>
                <w:rFonts w:ascii="宋体" w:hAnsi="宋体" w:eastAsia="宋体" w:cs="宋体"/>
                <w:snapToGrid w:val="0"/>
                <w:color w:val="auto"/>
                <w:kern w:val="0"/>
                <w:sz w:val="24"/>
                <w:highlight w:val="none"/>
              </w:rPr>
            </w:pPr>
          </w:p>
        </w:tc>
      </w:tr>
      <w:tr w14:paraId="433F9AAF">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7256ED8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3C68E8D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2620" w:type="dxa"/>
            <w:gridSpan w:val="4"/>
            <w:tcBorders>
              <w:top w:val="single" w:color="auto" w:sz="4" w:space="0"/>
              <w:left w:val="nil"/>
              <w:bottom w:val="single" w:color="auto" w:sz="4" w:space="0"/>
              <w:right w:val="single" w:color="auto" w:sz="4" w:space="0"/>
            </w:tcBorders>
            <w:noWrap/>
            <w:vAlign w:val="bottom"/>
          </w:tcPr>
          <w:p w14:paraId="1C85D73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w:t>
            </w:r>
          </w:p>
        </w:tc>
        <w:tc>
          <w:tcPr>
            <w:tcW w:w="2160" w:type="dxa"/>
            <w:gridSpan w:val="3"/>
            <w:tcBorders>
              <w:top w:val="single" w:color="auto" w:sz="4" w:space="0"/>
              <w:left w:val="nil"/>
              <w:bottom w:val="single" w:color="auto" w:sz="4" w:space="0"/>
              <w:right w:val="single" w:color="auto" w:sz="4" w:space="0"/>
            </w:tcBorders>
            <w:noWrap w:val="0"/>
            <w:vAlign w:val="bottom"/>
          </w:tcPr>
          <w:p w14:paraId="0A583D2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c>
          <w:tcPr>
            <w:tcW w:w="460" w:type="dxa"/>
            <w:tcBorders>
              <w:top w:val="nil"/>
              <w:left w:val="nil"/>
              <w:bottom w:val="nil"/>
              <w:right w:val="nil"/>
            </w:tcBorders>
            <w:noWrap/>
            <w:vAlign w:val="bottom"/>
          </w:tcPr>
          <w:p w14:paraId="6B01AC5B">
            <w:pPr>
              <w:widowControl/>
              <w:jc w:val="left"/>
              <w:rPr>
                <w:rFonts w:ascii="宋体" w:hAnsi="宋体" w:eastAsia="宋体" w:cs="宋体"/>
                <w:color w:val="auto"/>
                <w:kern w:val="0"/>
                <w:sz w:val="24"/>
                <w:szCs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14:paraId="004998E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2B7A940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2700" w:type="dxa"/>
            <w:gridSpan w:val="2"/>
            <w:tcBorders>
              <w:top w:val="single" w:color="auto" w:sz="4" w:space="0"/>
              <w:left w:val="nil"/>
              <w:bottom w:val="single" w:color="auto" w:sz="4" w:space="0"/>
              <w:right w:val="single" w:color="auto" w:sz="4" w:space="0"/>
            </w:tcBorders>
            <w:noWrap/>
            <w:vAlign w:val="bottom"/>
          </w:tcPr>
          <w:p w14:paraId="7E88AB3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w:t>
            </w:r>
          </w:p>
        </w:tc>
        <w:tc>
          <w:tcPr>
            <w:tcW w:w="2160" w:type="dxa"/>
            <w:gridSpan w:val="2"/>
            <w:tcBorders>
              <w:top w:val="single" w:color="auto" w:sz="4" w:space="0"/>
              <w:left w:val="nil"/>
              <w:bottom w:val="single" w:color="auto" w:sz="4" w:space="0"/>
              <w:right w:val="single" w:color="auto" w:sz="4" w:space="0"/>
            </w:tcBorders>
            <w:noWrap w:val="0"/>
            <w:vAlign w:val="bottom"/>
          </w:tcPr>
          <w:p w14:paraId="155D4DD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r>
      <w:tr w14:paraId="02405E66">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2784228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EEBFED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38E654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18A986E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0D777889">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D8A0A9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A45971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F85F23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E6F1EF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9CD9AF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5DA40B7">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320E436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6E5A2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E06CD0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F680B7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39319622">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CD09AE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FC28C3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C5661C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49B2B2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6473DD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C114CE2">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25FBAFA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87A6B3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E93427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09ADC00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33D6131F">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1D56DA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7D3314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1584E2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B365FB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497FB0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BA2412C">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67B69D3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6662D2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C01254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305D0FC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6D20E2EA">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E2FA3D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E1D3D2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1A06E1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017D6D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958B20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6F2B4D2">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2001565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15A919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3FD1FE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775E300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18878AC0">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A09E27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86046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E21E37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8B6690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DE4955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0E0575">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7C7FB5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6739ED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B00B3D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4D2D3C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518013BA">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DFE84E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EF32A2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39AD23A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3E7E4A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14BFCD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C64BA74">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60D82B6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ED4A49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D750ED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F7CCBD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109FC08F">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45AE49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FF1095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FAD840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099A6E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0CE3CA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FE7B081">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3B3C1C9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7673E9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60DE53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23DD045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42B37B8E">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D0F37B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B5BFAC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2B5A99E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E058E3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9FC60D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3D2AA5">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385A95D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7B9324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E63C04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F59B1B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61537D42">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7508A6B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9CBF1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C78F49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E3FA45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30734D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D1C3C57">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7654961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980993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7E6D185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454736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43AFE216">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D55F5B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2A2983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9B5192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DA313A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18C5FC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739D5EA">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B9C13B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28D6BC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E981BE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863488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12764074">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9C8947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F358E2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5FEC8F9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319A87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5EAC3E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A982187">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14:paraId="1F0DA3F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6931AA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633C71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71DF5F0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0" w:type="dxa"/>
            <w:tcBorders>
              <w:top w:val="nil"/>
              <w:left w:val="nil"/>
              <w:bottom w:val="nil"/>
              <w:right w:val="nil"/>
            </w:tcBorders>
            <w:noWrap/>
            <w:vAlign w:val="bottom"/>
          </w:tcPr>
          <w:p w14:paraId="00D80295">
            <w:pPr>
              <w:widowControl/>
              <w:jc w:val="left"/>
              <w:rPr>
                <w:rFonts w:ascii="宋体" w:hAnsi="宋体" w:eastAsia="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5EF964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29A361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07080B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C0669E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AE64AB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FAAE05D">
        <w:tblPrEx>
          <w:tblCellMar>
            <w:top w:w="0" w:type="dxa"/>
            <w:left w:w="108" w:type="dxa"/>
            <w:bottom w:w="0" w:type="dxa"/>
            <w:right w:w="108" w:type="dxa"/>
          </w:tblCellMar>
        </w:tblPrEx>
        <w:trPr>
          <w:trHeight w:val="705" w:hRule="atLeast"/>
          <w:jc w:val="center"/>
        </w:trPr>
        <w:tc>
          <w:tcPr>
            <w:tcW w:w="14420" w:type="dxa"/>
            <w:gridSpan w:val="17"/>
            <w:tcBorders>
              <w:top w:val="single" w:color="auto" w:sz="4" w:space="0"/>
              <w:left w:val="single" w:color="auto" w:sz="4" w:space="0"/>
              <w:bottom w:val="single" w:color="auto" w:sz="4" w:space="0"/>
              <w:right w:val="single" w:color="auto" w:sz="4" w:space="0"/>
            </w:tcBorders>
            <w:noWrap/>
            <w:vAlign w:val="bottom"/>
          </w:tcPr>
          <w:p w14:paraId="7EB69115">
            <w:pPr>
              <w:widowControl/>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工资发放总额合计：</w:t>
            </w:r>
          </w:p>
        </w:tc>
      </w:tr>
      <w:tr w14:paraId="0B725B86">
        <w:tblPrEx>
          <w:tblCellMar>
            <w:top w:w="0" w:type="dxa"/>
            <w:left w:w="108" w:type="dxa"/>
            <w:bottom w:w="0" w:type="dxa"/>
            <w:right w:w="108" w:type="dxa"/>
          </w:tblCellMar>
        </w:tblPrEx>
        <w:trPr>
          <w:trHeight w:val="525" w:hRule="atLeast"/>
          <w:jc w:val="center"/>
        </w:trPr>
        <w:tc>
          <w:tcPr>
            <w:tcW w:w="14420" w:type="dxa"/>
            <w:gridSpan w:val="17"/>
            <w:tcBorders>
              <w:top w:val="single" w:color="auto" w:sz="4" w:space="0"/>
              <w:left w:val="nil"/>
              <w:bottom w:val="nil"/>
              <w:right w:val="nil"/>
            </w:tcBorders>
            <w:noWrap/>
            <w:vAlign w:val="bottom"/>
          </w:tcPr>
          <w:p w14:paraId="3EACB063">
            <w:pPr>
              <w:widowControl/>
              <w:jc w:val="left"/>
              <w:rPr>
                <w:rFonts w:ascii="宋体" w:hAnsi="宋体" w:eastAsia="宋体" w:cs="宋体"/>
                <w:b/>
                <w:bCs/>
                <w:color w:val="auto"/>
                <w:kern w:val="0"/>
                <w:highlight w:val="none"/>
              </w:rPr>
            </w:pPr>
            <w:r>
              <w:rPr>
                <w:rFonts w:hint="eastAsia" w:ascii="宋体" w:hAnsi="宋体" w:eastAsia="宋体" w:cs="宋体"/>
                <w:b/>
                <w:bCs/>
                <w:color w:val="auto"/>
                <w:kern w:val="0"/>
                <w:highlight w:val="none"/>
              </w:rPr>
              <w:t>注：本表一式六份并加盖公章。</w:t>
            </w:r>
          </w:p>
        </w:tc>
      </w:tr>
    </w:tbl>
    <w:p w14:paraId="2C1A6143">
      <w:pPr>
        <w:spacing w:line="360" w:lineRule="auto"/>
        <w:rPr>
          <w:rFonts w:ascii="宋体" w:hAnsi="宋体" w:eastAsia="宋体" w:cs="宋体"/>
          <w:snapToGrid w:val="0"/>
          <w:color w:val="auto"/>
          <w:kern w:val="0"/>
          <w:sz w:val="28"/>
          <w:szCs w:val="28"/>
          <w:highlight w:val="none"/>
        </w:rPr>
        <w:sectPr>
          <w:pgSz w:w="16838" w:h="11906" w:orient="landscape"/>
          <w:pgMar w:top="1440" w:right="1080" w:bottom="1440" w:left="1080" w:header="851" w:footer="907" w:gutter="0"/>
          <w:pgBorders>
            <w:top w:val="none" w:sz="0" w:space="0"/>
            <w:left w:val="none" w:sz="0" w:space="0"/>
            <w:bottom w:val="none" w:sz="0" w:space="0"/>
            <w:right w:val="none" w:sz="0" w:space="0"/>
          </w:pgBorders>
          <w:pgNumType w:fmt="numberInDash"/>
          <w:cols w:space="720" w:num="1"/>
          <w:docGrid w:linePitch="312" w:charSpace="0"/>
        </w:sectPr>
      </w:pPr>
    </w:p>
    <w:p w14:paraId="7199E80D">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p>
    <w:p w14:paraId="5C45B47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共管账户划款通知书</w:t>
      </w:r>
    </w:p>
    <w:p w14:paraId="5EECE61C">
      <w:pPr>
        <w:spacing w:line="360" w:lineRule="auto"/>
        <w:jc w:val="cente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年</w:t>
      </w:r>
      <w:r>
        <w:rPr>
          <w:rFonts w:ascii="宋体" w:hAnsi="宋体" w:eastAsia="宋体" w:cs="宋体"/>
          <w:color w:val="auto"/>
          <w:sz w:val="28"/>
          <w:szCs w:val="21"/>
          <w:highlight w:val="none"/>
        </w:rPr>
        <w:t xml:space="preserve">   </w:t>
      </w:r>
      <w:r>
        <w:rPr>
          <w:rFonts w:hint="eastAsia" w:ascii="宋体" w:hAnsi="宋体" w:eastAsia="宋体" w:cs="宋体"/>
          <w:color w:val="auto"/>
          <w:sz w:val="28"/>
          <w:szCs w:val="21"/>
          <w:highlight w:val="none"/>
        </w:rPr>
        <w:t>月</w:t>
      </w:r>
      <w:r>
        <w:rPr>
          <w:rFonts w:ascii="宋体" w:hAnsi="宋体" w:eastAsia="宋体" w:cs="宋体"/>
          <w:color w:val="auto"/>
          <w:sz w:val="28"/>
          <w:szCs w:val="21"/>
          <w:highlight w:val="none"/>
        </w:rPr>
        <w:t xml:space="preserve">    </w:t>
      </w:r>
      <w:r>
        <w:rPr>
          <w:rFonts w:hint="eastAsia" w:ascii="宋体" w:hAnsi="宋体" w:eastAsia="宋体" w:cs="宋体"/>
          <w:color w:val="auto"/>
          <w:sz w:val="28"/>
          <w:szCs w:val="21"/>
          <w:highlight w:val="none"/>
        </w:rPr>
        <w:t>日</w:t>
      </w:r>
    </w:p>
    <w:tbl>
      <w:tblPr>
        <w:tblStyle w:val="3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5040"/>
      </w:tblGrid>
      <w:tr w14:paraId="246F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88" w:type="dxa"/>
            <w:noWrap w:val="0"/>
            <w:vAlign w:val="top"/>
          </w:tcPr>
          <w:p w14:paraId="4904FC83">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账户名称</w:t>
            </w:r>
          </w:p>
        </w:tc>
        <w:tc>
          <w:tcPr>
            <w:tcW w:w="5040" w:type="dxa"/>
            <w:noWrap w:val="0"/>
            <w:vAlign w:val="top"/>
          </w:tcPr>
          <w:p w14:paraId="37D0857E">
            <w:pPr>
              <w:rPr>
                <w:rFonts w:ascii="宋体" w:hAnsi="宋体" w:eastAsia="宋体" w:cs="宋体"/>
                <w:color w:val="auto"/>
                <w:sz w:val="28"/>
                <w:szCs w:val="21"/>
                <w:highlight w:val="none"/>
              </w:rPr>
            </w:pPr>
          </w:p>
        </w:tc>
      </w:tr>
      <w:tr w14:paraId="412D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88" w:type="dxa"/>
            <w:noWrap w:val="0"/>
            <w:vAlign w:val="top"/>
          </w:tcPr>
          <w:p w14:paraId="617D1FA5">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账户账号</w:t>
            </w:r>
          </w:p>
        </w:tc>
        <w:tc>
          <w:tcPr>
            <w:tcW w:w="5040" w:type="dxa"/>
            <w:noWrap w:val="0"/>
            <w:vAlign w:val="top"/>
          </w:tcPr>
          <w:p w14:paraId="62BB1E72">
            <w:pPr>
              <w:rPr>
                <w:rFonts w:ascii="宋体" w:hAnsi="宋体" w:eastAsia="宋体" w:cs="宋体"/>
                <w:color w:val="auto"/>
                <w:sz w:val="28"/>
                <w:szCs w:val="21"/>
                <w:highlight w:val="none"/>
              </w:rPr>
            </w:pPr>
          </w:p>
        </w:tc>
      </w:tr>
      <w:tr w14:paraId="163D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88" w:type="dxa"/>
            <w:noWrap w:val="0"/>
            <w:vAlign w:val="top"/>
          </w:tcPr>
          <w:p w14:paraId="3A6D95DE">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工程项目名称</w:t>
            </w:r>
          </w:p>
        </w:tc>
        <w:tc>
          <w:tcPr>
            <w:tcW w:w="5040" w:type="dxa"/>
            <w:noWrap w:val="0"/>
            <w:vAlign w:val="top"/>
          </w:tcPr>
          <w:p w14:paraId="4AF3E059">
            <w:pPr>
              <w:rPr>
                <w:rFonts w:ascii="宋体" w:hAnsi="宋体" w:eastAsia="宋体" w:cs="宋体"/>
                <w:color w:val="auto"/>
                <w:sz w:val="28"/>
                <w:szCs w:val="21"/>
                <w:highlight w:val="none"/>
              </w:rPr>
            </w:pPr>
          </w:p>
        </w:tc>
      </w:tr>
      <w:tr w14:paraId="5ACE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88" w:type="dxa"/>
            <w:noWrap w:val="0"/>
            <w:vAlign w:val="top"/>
          </w:tcPr>
          <w:p w14:paraId="60E48863">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本次申请使用款项金额</w:t>
            </w:r>
          </w:p>
        </w:tc>
        <w:tc>
          <w:tcPr>
            <w:tcW w:w="5040" w:type="dxa"/>
            <w:noWrap w:val="0"/>
            <w:vAlign w:val="top"/>
          </w:tcPr>
          <w:p w14:paraId="0FEAB9EE">
            <w:pPr>
              <w:rPr>
                <w:rFonts w:ascii="宋体" w:hAnsi="宋体" w:eastAsia="宋体" w:cs="宋体"/>
                <w:color w:val="auto"/>
                <w:sz w:val="28"/>
                <w:szCs w:val="21"/>
                <w:highlight w:val="none"/>
              </w:rPr>
            </w:pPr>
          </w:p>
        </w:tc>
      </w:tr>
      <w:tr w14:paraId="20A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88" w:type="dxa"/>
            <w:noWrap w:val="0"/>
            <w:vAlign w:val="top"/>
          </w:tcPr>
          <w:p w14:paraId="7BEE46F5">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本次用途</w:t>
            </w:r>
          </w:p>
        </w:tc>
        <w:tc>
          <w:tcPr>
            <w:tcW w:w="5040" w:type="dxa"/>
            <w:noWrap w:val="0"/>
            <w:vAlign w:val="top"/>
          </w:tcPr>
          <w:p w14:paraId="4663AE66">
            <w:pPr>
              <w:rPr>
                <w:rFonts w:ascii="宋体" w:hAnsi="宋体" w:eastAsia="宋体" w:cs="宋体"/>
                <w:color w:val="auto"/>
                <w:sz w:val="28"/>
                <w:szCs w:val="21"/>
                <w:highlight w:val="none"/>
              </w:rPr>
            </w:pPr>
          </w:p>
        </w:tc>
      </w:tr>
      <w:tr w14:paraId="302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88" w:type="dxa"/>
            <w:noWrap w:val="0"/>
            <w:vAlign w:val="top"/>
          </w:tcPr>
          <w:p w14:paraId="326BAACF">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累计用款额（万元）</w:t>
            </w:r>
          </w:p>
        </w:tc>
        <w:tc>
          <w:tcPr>
            <w:tcW w:w="5040" w:type="dxa"/>
            <w:noWrap w:val="0"/>
            <w:vAlign w:val="top"/>
          </w:tcPr>
          <w:p w14:paraId="3F657595">
            <w:pPr>
              <w:rPr>
                <w:rFonts w:ascii="宋体" w:hAnsi="宋体" w:eastAsia="宋体" w:cs="宋体"/>
                <w:color w:val="auto"/>
                <w:sz w:val="28"/>
                <w:szCs w:val="21"/>
                <w:highlight w:val="none"/>
              </w:rPr>
            </w:pPr>
          </w:p>
        </w:tc>
      </w:tr>
      <w:tr w14:paraId="228B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3888" w:type="dxa"/>
            <w:vMerge w:val="restart"/>
            <w:noWrap w:val="0"/>
            <w:vAlign w:val="top"/>
          </w:tcPr>
          <w:p w14:paraId="72EE6EE8">
            <w:pPr>
              <w:rPr>
                <w:rFonts w:ascii="宋体" w:hAnsi="宋体" w:eastAsia="宋体" w:cs="宋体"/>
                <w:color w:val="auto"/>
                <w:sz w:val="28"/>
                <w:szCs w:val="21"/>
                <w:highlight w:val="none"/>
              </w:rPr>
            </w:pPr>
          </w:p>
          <w:p w14:paraId="1E4DB463">
            <w:pPr>
              <w:rPr>
                <w:rFonts w:ascii="宋体" w:hAnsi="宋体" w:eastAsia="宋体" w:cs="宋体"/>
                <w:color w:val="auto"/>
                <w:sz w:val="28"/>
                <w:szCs w:val="21"/>
                <w:highlight w:val="none"/>
              </w:rPr>
            </w:pPr>
          </w:p>
          <w:p w14:paraId="74C6EC26">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中新广州知识城财政投资建设项目管理中心审批意见</w:t>
            </w:r>
          </w:p>
        </w:tc>
        <w:tc>
          <w:tcPr>
            <w:tcW w:w="5040" w:type="dxa"/>
            <w:noWrap w:val="0"/>
            <w:vAlign w:val="top"/>
          </w:tcPr>
          <w:p w14:paraId="6F801050">
            <w:pPr>
              <w:rPr>
                <w:rFonts w:ascii="宋体" w:hAnsi="宋体" w:eastAsia="宋体" w:cs="宋体"/>
                <w:color w:val="auto"/>
                <w:sz w:val="28"/>
                <w:szCs w:val="21"/>
                <w:highlight w:val="none"/>
              </w:rPr>
            </w:pPr>
          </w:p>
          <w:p w14:paraId="41B96D91">
            <w:pPr>
              <w:rPr>
                <w:rFonts w:ascii="宋体" w:hAnsi="宋体" w:eastAsia="宋体" w:cs="宋体"/>
                <w:color w:val="auto"/>
                <w:sz w:val="28"/>
                <w:szCs w:val="21"/>
                <w:highlight w:val="none"/>
              </w:rPr>
            </w:pPr>
          </w:p>
          <w:p w14:paraId="3DB45804">
            <w:pPr>
              <w:jc w:val="center"/>
              <w:rPr>
                <w:rFonts w:ascii="宋体" w:hAnsi="宋体" w:eastAsia="宋体" w:cs="宋体"/>
                <w:color w:val="auto"/>
                <w:sz w:val="28"/>
                <w:szCs w:val="21"/>
                <w:highlight w:val="none"/>
              </w:rPr>
            </w:pPr>
            <w:r>
              <w:rPr>
                <w:rFonts w:ascii="宋体" w:hAnsi="宋体" w:eastAsia="宋体" w:cs="宋体"/>
                <w:color w:val="auto"/>
                <w:sz w:val="28"/>
                <w:szCs w:val="21"/>
                <w:highlight w:val="none"/>
              </w:rPr>
              <w:t>(公章)：</w:t>
            </w:r>
          </w:p>
        </w:tc>
      </w:tr>
      <w:tr w14:paraId="7DEA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888" w:type="dxa"/>
            <w:vMerge w:val="continue"/>
            <w:noWrap w:val="0"/>
            <w:vAlign w:val="top"/>
          </w:tcPr>
          <w:p w14:paraId="786DD854">
            <w:pPr>
              <w:rPr>
                <w:rFonts w:ascii="宋体" w:hAnsi="宋体" w:eastAsia="宋体" w:cs="宋体"/>
                <w:color w:val="auto"/>
                <w:sz w:val="28"/>
                <w:szCs w:val="21"/>
                <w:highlight w:val="none"/>
              </w:rPr>
            </w:pPr>
          </w:p>
        </w:tc>
        <w:tc>
          <w:tcPr>
            <w:tcW w:w="5040" w:type="dxa"/>
            <w:noWrap w:val="0"/>
            <w:vAlign w:val="top"/>
          </w:tcPr>
          <w:p w14:paraId="3E88867B">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经办人：</w:t>
            </w:r>
            <w:r>
              <w:rPr>
                <w:rFonts w:ascii="宋体" w:hAnsi="宋体" w:eastAsia="宋体" w:cs="宋体"/>
                <w:color w:val="auto"/>
                <w:sz w:val="28"/>
                <w:szCs w:val="21"/>
                <w:highlight w:val="none"/>
              </w:rPr>
              <w:t xml:space="preserve"> </w:t>
            </w:r>
          </w:p>
          <w:p w14:paraId="4857F6C7">
            <w:pPr>
              <w:rPr>
                <w:rFonts w:ascii="宋体" w:hAnsi="宋体" w:eastAsia="宋体" w:cs="宋体"/>
                <w:color w:val="auto"/>
                <w:sz w:val="28"/>
                <w:szCs w:val="21"/>
                <w:highlight w:val="none"/>
              </w:rPr>
            </w:pPr>
            <w:r>
              <w:rPr>
                <w:rFonts w:ascii="宋体" w:hAnsi="宋体" w:eastAsia="宋体" w:cs="宋体"/>
                <w:color w:val="auto"/>
                <w:sz w:val="28"/>
                <w:szCs w:val="21"/>
                <w:highlight w:val="none"/>
              </w:rPr>
              <w:t>(</w:t>
            </w:r>
            <w:r>
              <w:rPr>
                <w:rFonts w:hint="eastAsia" w:ascii="宋体" w:hAnsi="宋体" w:eastAsia="宋体" w:cs="宋体"/>
                <w:color w:val="auto"/>
                <w:sz w:val="28"/>
                <w:szCs w:val="21"/>
                <w:highlight w:val="none"/>
              </w:rPr>
              <w:t>联系电话及手机号码：</w:t>
            </w:r>
            <w:r>
              <w:rPr>
                <w:rFonts w:ascii="宋体" w:hAnsi="宋体" w:eastAsia="宋体" w:cs="宋体"/>
                <w:color w:val="auto"/>
                <w:sz w:val="28"/>
                <w:szCs w:val="21"/>
                <w:highlight w:val="none"/>
              </w:rPr>
              <w:t>)</w:t>
            </w:r>
          </w:p>
          <w:p w14:paraId="7A654681">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负责人：</w:t>
            </w:r>
          </w:p>
          <w:p w14:paraId="750B725F">
            <w:pPr>
              <w:rPr>
                <w:rFonts w:ascii="宋体" w:hAnsi="宋体" w:eastAsia="宋体" w:cs="宋体"/>
                <w:color w:val="auto"/>
                <w:sz w:val="28"/>
                <w:szCs w:val="21"/>
                <w:highlight w:val="none"/>
              </w:rPr>
            </w:pPr>
          </w:p>
        </w:tc>
      </w:tr>
      <w:tr w14:paraId="1AE2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dxa"/>
            <w:noWrap w:val="0"/>
            <w:vAlign w:val="top"/>
          </w:tcPr>
          <w:p w14:paraId="758BD118">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开户银行审批意见</w:t>
            </w:r>
          </w:p>
        </w:tc>
        <w:tc>
          <w:tcPr>
            <w:tcW w:w="5040" w:type="dxa"/>
            <w:noWrap w:val="0"/>
            <w:vAlign w:val="top"/>
          </w:tcPr>
          <w:p w14:paraId="0290E9D6">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经办人：</w:t>
            </w:r>
            <w:r>
              <w:rPr>
                <w:rFonts w:ascii="宋体" w:hAnsi="宋体" w:eastAsia="宋体" w:cs="宋体"/>
                <w:color w:val="auto"/>
                <w:sz w:val="28"/>
                <w:szCs w:val="21"/>
                <w:highlight w:val="none"/>
              </w:rPr>
              <w:t xml:space="preserve"> </w:t>
            </w:r>
          </w:p>
          <w:p w14:paraId="2EADC41D">
            <w:pPr>
              <w:rPr>
                <w:rFonts w:ascii="宋体" w:hAnsi="宋体" w:eastAsia="宋体" w:cs="宋体"/>
                <w:color w:val="auto"/>
                <w:sz w:val="28"/>
                <w:szCs w:val="21"/>
                <w:highlight w:val="none"/>
              </w:rPr>
            </w:pPr>
          </w:p>
          <w:p w14:paraId="421674B9">
            <w:pPr>
              <w:rPr>
                <w:rFonts w:ascii="宋体" w:hAnsi="宋体" w:eastAsia="宋体" w:cs="宋体"/>
                <w:color w:val="auto"/>
                <w:sz w:val="28"/>
                <w:szCs w:val="21"/>
                <w:highlight w:val="none"/>
              </w:rPr>
            </w:pPr>
            <w:r>
              <w:rPr>
                <w:rFonts w:hint="eastAsia" w:ascii="宋体" w:hAnsi="宋体" w:eastAsia="宋体" w:cs="宋体"/>
                <w:color w:val="auto"/>
                <w:sz w:val="28"/>
                <w:szCs w:val="21"/>
                <w:highlight w:val="none"/>
              </w:rPr>
              <w:t>负责人：</w:t>
            </w:r>
          </w:p>
        </w:tc>
      </w:tr>
    </w:tbl>
    <w:p w14:paraId="7C2C602C">
      <w:pPr>
        <w:spacing w:line="360" w:lineRule="auto"/>
        <w:rPr>
          <w:rFonts w:ascii="宋体" w:hAnsi="宋体" w:eastAsia="宋体" w:cs="宋体"/>
          <w:color w:val="auto"/>
          <w:szCs w:val="21"/>
          <w:highlight w:val="none"/>
        </w:rPr>
      </w:pPr>
    </w:p>
    <w:p w14:paraId="0C03D10F">
      <w:pPr>
        <w:spacing w:line="360" w:lineRule="auto"/>
        <w:ind w:left="1136" w:hanging="1136" w:hangingChars="539"/>
        <w:rPr>
          <w:rFonts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备注：</w:t>
      </w:r>
      <w:r>
        <w:rPr>
          <w:rFonts w:ascii="宋体" w:hAnsi="宋体" w:eastAsia="宋体" w:cs="宋体"/>
          <w:b/>
          <w:snapToGrid w:val="0"/>
          <w:color w:val="auto"/>
          <w:kern w:val="0"/>
          <w:szCs w:val="21"/>
          <w:highlight w:val="none"/>
        </w:rPr>
        <w:t xml:space="preserve"> 1、本表适用甲方、乙方，一式六份。</w:t>
      </w:r>
    </w:p>
    <w:p w14:paraId="56B7887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附件四：</w:t>
      </w:r>
    </w:p>
    <w:p w14:paraId="5BF9D1D8">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项目资金支付审批流程概览</w:t>
      </w:r>
    </w:p>
    <w:p w14:paraId="2FED519C">
      <w:pPr>
        <w:autoSpaceDN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mc:AlternateContent>
          <mc:Choice Requires="wpc">
            <w:drawing>
              <wp:anchor distT="0" distB="0" distL="114300" distR="114300" simplePos="0" relativeHeight="251661312" behindDoc="1" locked="0" layoutInCell="1" allowOverlap="1">
                <wp:simplePos x="0" y="0"/>
                <wp:positionH relativeFrom="column">
                  <wp:posOffset>0</wp:posOffset>
                </wp:positionH>
                <wp:positionV relativeFrom="paragraph">
                  <wp:posOffset>-550545</wp:posOffset>
                </wp:positionV>
                <wp:extent cx="5875020" cy="8035290"/>
                <wp:effectExtent l="0" t="0" r="0" b="0"/>
                <wp:wrapNone/>
                <wp:docPr id="39"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文本框 7"/>
                        <wps:cNvSpPr txBox="1">
                          <a:spLocks noChangeArrowheads="1"/>
                        </wps:cNvSpPr>
                        <wps:spPr bwMode="auto">
                          <a:xfrm>
                            <a:off x="3086100" y="495300"/>
                            <a:ext cx="1257300" cy="826770"/>
                          </a:xfrm>
                          <a:prstGeom prst="rect">
                            <a:avLst/>
                          </a:prstGeom>
                          <a:solidFill>
                            <a:srgbClr val="FFFFFF"/>
                          </a:solidFill>
                          <a:ln w="9525">
                            <a:solidFill>
                              <a:srgbClr val="000000"/>
                            </a:solidFill>
                            <a:miter lim="800000"/>
                          </a:ln>
                          <a:effectLst/>
                        </wps:spPr>
                        <wps:txbx>
                          <w:txbxContent>
                            <w:p w14:paraId="62920EAA">
                              <w:pPr>
                                <w:rPr>
                                  <w:rFonts w:ascii="宋体" w:hAnsi="宋体"/>
                                  <w:sz w:val="24"/>
                                  <w:szCs w:val="24"/>
                                </w:rPr>
                              </w:pPr>
                              <w:r>
                                <w:rPr>
                                  <w:rFonts w:hint="eastAsia" w:ascii="宋体" w:hAnsi="宋体"/>
                                  <w:sz w:val="24"/>
                                  <w:szCs w:val="24"/>
                                </w:rPr>
                                <w:t>呈交每期资金使用计划</w:t>
                              </w:r>
                            </w:p>
                          </w:txbxContent>
                        </wps:txbx>
                        <wps:bodyPr rot="0" vert="horz" wrap="square" lIns="91440" tIns="45720" rIns="91440" bIns="45720" anchor="t" anchorCtr="0" upright="1">
                          <a:noAutofit/>
                        </wps:bodyPr>
                      </wps:wsp>
                      <wps:wsp>
                        <wps:cNvPr id="8" name="文本框 8"/>
                        <wps:cNvSpPr txBox="1">
                          <a:spLocks noChangeArrowheads="1"/>
                        </wps:cNvSpPr>
                        <wps:spPr bwMode="auto">
                          <a:xfrm>
                            <a:off x="800100" y="495300"/>
                            <a:ext cx="1028700" cy="396240"/>
                          </a:xfrm>
                          <a:prstGeom prst="rect">
                            <a:avLst/>
                          </a:prstGeom>
                          <a:solidFill>
                            <a:srgbClr val="FFFFFF"/>
                          </a:solidFill>
                          <a:ln w="9525">
                            <a:solidFill>
                              <a:srgbClr val="000000"/>
                            </a:solidFill>
                            <a:miter lim="800000"/>
                          </a:ln>
                          <a:effectLst/>
                        </wps:spPr>
                        <wps:txbx>
                          <w:txbxContent>
                            <w:p w14:paraId="06370ECB">
                              <w:pPr>
                                <w:jc w:val="center"/>
                                <w:rPr>
                                  <w:rFonts w:ascii="宋体" w:hAnsi="宋体"/>
                                  <w:sz w:val="24"/>
                                  <w:szCs w:val="24"/>
                                </w:rPr>
                              </w:pPr>
                              <w:r>
                                <w:rPr>
                                  <w:rFonts w:hint="eastAsia" w:ascii="宋体" w:hAnsi="宋体"/>
                                  <w:sz w:val="24"/>
                                  <w:szCs w:val="24"/>
                                </w:rPr>
                                <w:t>施工单位</w:t>
                              </w:r>
                            </w:p>
                          </w:txbxContent>
                        </wps:txbx>
                        <wps:bodyPr rot="0" vert="horz" wrap="square" lIns="91440" tIns="72000" rIns="91440" bIns="45720" anchor="t" anchorCtr="0" upright="1">
                          <a:noAutofit/>
                        </wps:bodyPr>
                      </wps:wsp>
                      <wps:wsp>
                        <wps:cNvPr id="9" name="直接连接符 9"/>
                        <wps:cNvCnPr/>
                        <wps:spPr bwMode="auto">
                          <a:xfrm>
                            <a:off x="1257300" y="891540"/>
                            <a:ext cx="635" cy="693420"/>
                          </a:xfrm>
                          <a:prstGeom prst="line">
                            <a:avLst/>
                          </a:prstGeom>
                          <a:noFill/>
                          <a:ln w="9525">
                            <a:solidFill>
                              <a:srgbClr val="000000"/>
                            </a:solidFill>
                            <a:round/>
                            <a:tailEnd type="triangle" w="med" len="med"/>
                          </a:ln>
                          <a:effectLst/>
                        </wps:spPr>
                        <wps:bodyPr/>
                      </wps:wsp>
                      <wps:wsp>
                        <wps:cNvPr id="10" name="文本框 10"/>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14:paraId="4BEC8772">
                              <w:pPr>
                                <w:jc w:val="center"/>
                                <w:rPr>
                                  <w:rFonts w:ascii="宋体" w:hAnsi="宋体"/>
                                  <w:sz w:val="24"/>
                                  <w:szCs w:val="24"/>
                                </w:rPr>
                              </w:pPr>
                              <w:r>
                                <w:rPr>
                                  <w:rFonts w:hint="eastAsia" w:ascii="宋体" w:hAnsi="宋体"/>
                                  <w:sz w:val="24"/>
                                  <w:szCs w:val="24"/>
                                </w:rPr>
                                <w:t>监理单位</w:t>
                              </w:r>
                            </w:p>
                          </w:txbxContent>
                        </wps:txbx>
                        <wps:bodyPr rot="0" vert="horz" wrap="square" lIns="91440" tIns="72000" rIns="91440" bIns="45720" anchor="t" anchorCtr="0" upright="1">
                          <a:noAutofit/>
                        </wps:bodyPr>
                      </wps:wsp>
                      <wps:wsp>
                        <wps:cNvPr id="22" name="文本框 22"/>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14:paraId="124492F7">
                              <w:pPr>
                                <w:jc w:val="center"/>
                                <w:rPr>
                                  <w:rFonts w:ascii="宋体" w:hAnsi="宋体"/>
                                  <w:sz w:val="24"/>
                                  <w:szCs w:val="24"/>
                                </w:rPr>
                              </w:pPr>
                              <w:r>
                                <w:rPr>
                                  <w:rFonts w:hint="eastAsia" w:ascii="宋体" w:hAnsi="宋体"/>
                                  <w:sz w:val="24"/>
                                  <w:szCs w:val="24"/>
                                </w:rPr>
                                <w:t>代建单位（若有时）</w:t>
                              </w:r>
                            </w:p>
                            <w:p w14:paraId="50790858">
                              <w:pPr>
                                <w:rPr>
                                  <w:rFonts w:ascii="宋体" w:hAnsi="宋体"/>
                                  <w:sz w:val="24"/>
                                  <w:szCs w:val="24"/>
                                </w:rPr>
                              </w:pPr>
                            </w:p>
                          </w:txbxContent>
                        </wps:txbx>
                        <wps:bodyPr rot="0" vert="horz" wrap="square" lIns="91440" tIns="72000" rIns="91440" bIns="45720" anchor="t" anchorCtr="0" upright="1">
                          <a:noAutofit/>
                        </wps:bodyPr>
                      </wps:wsp>
                      <wps:wsp>
                        <wps:cNvPr id="23" name="直接连接符 23"/>
                        <wps:cNvCnPr/>
                        <wps:spPr bwMode="auto">
                          <a:xfrm>
                            <a:off x="1257300" y="3268980"/>
                            <a:ext cx="635" cy="693420"/>
                          </a:xfrm>
                          <a:prstGeom prst="line">
                            <a:avLst/>
                          </a:prstGeom>
                          <a:noFill/>
                          <a:ln w="9525">
                            <a:solidFill>
                              <a:srgbClr val="000000"/>
                            </a:solidFill>
                            <a:round/>
                            <a:tailEnd type="triangle" w="med" len="med"/>
                          </a:ln>
                          <a:effectLst/>
                        </wps:spPr>
                        <wps:bodyPr/>
                      </wps:wsp>
                      <wps:wsp>
                        <wps:cNvPr id="24" name="直接连接符 24"/>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25" name="直接连接符 25"/>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26" name="直接连接符 26"/>
                        <wps:cNvCnPr/>
                        <wps:spPr bwMode="auto">
                          <a:xfrm>
                            <a:off x="1714500" y="693420"/>
                            <a:ext cx="1371600" cy="635"/>
                          </a:xfrm>
                          <a:prstGeom prst="line">
                            <a:avLst/>
                          </a:prstGeom>
                          <a:noFill/>
                          <a:ln w="9525">
                            <a:solidFill>
                              <a:srgbClr val="000000"/>
                            </a:solidFill>
                            <a:round/>
                            <a:tailEnd type="triangle" w="med" len="med"/>
                          </a:ln>
                          <a:effectLst/>
                        </wps:spPr>
                        <wps:bodyPr/>
                      </wps:wsp>
                      <wps:wsp>
                        <wps:cNvPr id="27" name="文本框 27"/>
                        <wps:cNvSpPr txBox="1">
                          <a:spLocks noChangeArrowheads="1"/>
                        </wps:cNvSpPr>
                        <wps:spPr bwMode="auto">
                          <a:xfrm>
                            <a:off x="2788920" y="1684020"/>
                            <a:ext cx="1501775" cy="828040"/>
                          </a:xfrm>
                          <a:prstGeom prst="rect">
                            <a:avLst/>
                          </a:prstGeom>
                          <a:solidFill>
                            <a:srgbClr val="FFFFFF"/>
                          </a:solidFill>
                          <a:ln w="9525">
                            <a:solidFill>
                              <a:srgbClr val="000000"/>
                            </a:solidFill>
                            <a:miter lim="800000"/>
                          </a:ln>
                          <a:effectLst/>
                        </wps:spPr>
                        <wps:txbx>
                          <w:txbxContent>
                            <w:p w14:paraId="135E6997">
                              <w:pPr>
                                <w:rPr>
                                  <w:rFonts w:ascii="宋体" w:hAnsi="宋体"/>
                                  <w:sz w:val="24"/>
                                  <w:szCs w:val="24"/>
                                </w:rPr>
                              </w:pPr>
                              <w:r>
                                <w:rPr>
                                  <w:rFonts w:hint="eastAsia" w:ascii="宋体" w:hAnsi="宋体"/>
                                  <w:sz w:val="24"/>
                                  <w:szCs w:val="24"/>
                                </w:rPr>
                                <w:t>按照工程进度对资金使用计划初审</w:t>
                              </w:r>
                            </w:p>
                            <w:p w14:paraId="62F5F624">
                              <w:pPr>
                                <w:rPr>
                                  <w:rFonts w:ascii="宋体" w:hAnsi="宋体"/>
                                  <w:sz w:val="24"/>
                                  <w:szCs w:val="24"/>
                                </w:rPr>
                              </w:pPr>
                            </w:p>
                            <w:p w14:paraId="0C127B69">
                              <w:pPr>
                                <w:rPr>
                                  <w:rFonts w:ascii="宋体" w:hAnsi="宋体"/>
                                  <w:sz w:val="24"/>
                                  <w:szCs w:val="24"/>
                                </w:rPr>
                              </w:pPr>
                            </w:p>
                          </w:txbxContent>
                        </wps:txbx>
                        <wps:bodyPr rot="0" vert="horz" wrap="square" lIns="91440" tIns="45720" rIns="91440" bIns="45720" anchor="t" anchorCtr="0" upright="1">
                          <a:noAutofit/>
                        </wps:bodyPr>
                      </wps:wsp>
                      <wps:wsp>
                        <wps:cNvPr id="28" name="文本框 28"/>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14:paraId="7AC6612E">
                              <w:pPr>
                                <w:jc w:val="center"/>
                                <w:rPr>
                                  <w:rFonts w:ascii="宋体" w:hAnsi="宋体"/>
                                  <w:sz w:val="24"/>
                                  <w:szCs w:val="24"/>
                                </w:rPr>
                              </w:pPr>
                              <w:r>
                                <w:rPr>
                                  <w:rFonts w:hint="eastAsia" w:ascii="宋体" w:hAnsi="宋体"/>
                                  <w:sz w:val="24"/>
                                  <w:szCs w:val="24"/>
                                </w:rPr>
                                <w:t>知识城建管中心</w:t>
                              </w:r>
                            </w:p>
                          </w:txbxContent>
                        </wps:txbx>
                        <wps:bodyPr rot="0" vert="horz" wrap="square" lIns="91440" tIns="72000" rIns="91440" bIns="45720" anchor="t" anchorCtr="0" upright="1">
                          <a:noAutofit/>
                        </wps:bodyPr>
                      </wps:wsp>
                      <wps:wsp>
                        <wps:cNvPr id="29" name="直接连接符 29"/>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30" name="直接连接符 30"/>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31" name="直接连接符 31"/>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32" name="文本框 32"/>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14:paraId="2E9BD39C">
                              <w:pPr>
                                <w:jc w:val="center"/>
                                <w:rPr>
                                  <w:rFonts w:ascii="宋体" w:hAnsi="宋体"/>
                                  <w:sz w:val="24"/>
                                  <w:szCs w:val="24"/>
                                </w:rPr>
                              </w:pPr>
                              <w:r>
                                <w:rPr>
                                  <w:rFonts w:hint="eastAsia" w:ascii="宋体" w:hAnsi="宋体"/>
                                  <w:sz w:val="24"/>
                                  <w:szCs w:val="24"/>
                                </w:rPr>
                                <w:t>资金使用审批</w:t>
                              </w:r>
                            </w:p>
                          </w:txbxContent>
                        </wps:txbx>
                        <wps:bodyPr rot="0" vert="horz" wrap="square" lIns="91440" tIns="72000" rIns="91440" bIns="45720" anchor="t" anchorCtr="0" upright="1">
                          <a:noAutofit/>
                        </wps:bodyPr>
                      </wps:wsp>
                      <wps:wsp>
                        <wps:cNvPr id="33" name="直接连接符 33"/>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34" name="文本框 34"/>
                        <wps:cNvSpPr txBox="1">
                          <a:spLocks noChangeArrowheads="1"/>
                        </wps:cNvSpPr>
                        <wps:spPr bwMode="auto">
                          <a:xfrm>
                            <a:off x="3810000" y="6884670"/>
                            <a:ext cx="1211580" cy="396240"/>
                          </a:xfrm>
                          <a:prstGeom prst="rect">
                            <a:avLst/>
                          </a:prstGeom>
                          <a:solidFill>
                            <a:srgbClr val="FFFFFF"/>
                          </a:solidFill>
                          <a:ln w="9525">
                            <a:solidFill>
                              <a:srgbClr val="000000"/>
                            </a:solidFill>
                            <a:miter lim="800000"/>
                          </a:ln>
                          <a:effectLst/>
                        </wps:spPr>
                        <wps:txbx>
                          <w:txbxContent>
                            <w:p w14:paraId="57A5E689">
                              <w:pPr>
                                <w:jc w:val="center"/>
                                <w:rPr>
                                  <w:rFonts w:ascii="宋体" w:hAnsi="宋体"/>
                                  <w:sz w:val="24"/>
                                  <w:szCs w:val="24"/>
                                </w:rPr>
                              </w:pPr>
                              <w:r>
                                <w:rPr>
                                  <w:rFonts w:hint="eastAsia" w:ascii="宋体" w:hAnsi="宋体"/>
                                  <w:sz w:val="24"/>
                                  <w:szCs w:val="24"/>
                                </w:rPr>
                                <w:t>资金支付</w:t>
                              </w:r>
                            </w:p>
                          </w:txbxContent>
                        </wps:txbx>
                        <wps:bodyPr rot="0" vert="horz" wrap="square" lIns="91440" tIns="72000" rIns="91440" bIns="45720" anchor="t" anchorCtr="0" upright="1">
                          <a:noAutofit/>
                        </wps:bodyPr>
                      </wps:wsp>
                      <wps:wsp>
                        <wps:cNvPr id="35" name="文本框 35"/>
                        <wps:cNvSpPr txBox="1">
                          <a:spLocks noChangeArrowheads="1"/>
                        </wps:cNvSpPr>
                        <wps:spPr bwMode="auto">
                          <a:xfrm>
                            <a:off x="3314700" y="5052060"/>
                            <a:ext cx="2286000" cy="1417320"/>
                          </a:xfrm>
                          <a:prstGeom prst="rect">
                            <a:avLst/>
                          </a:prstGeom>
                          <a:solidFill>
                            <a:srgbClr val="FFFFFF"/>
                          </a:solidFill>
                          <a:ln w="9525">
                            <a:solidFill>
                              <a:srgbClr val="000000"/>
                            </a:solidFill>
                            <a:miter lim="800000"/>
                          </a:ln>
                          <a:effectLst/>
                        </wps:spPr>
                        <wps:txbx>
                          <w:txbxContent>
                            <w:p w14:paraId="40085241">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wps:txbx>
                        <wps:bodyPr rot="0" vert="horz" wrap="square" lIns="91440" tIns="118800" rIns="91440" bIns="45720" anchor="t" anchorCtr="0" upright="1">
                          <a:noAutofit/>
                        </wps:bodyPr>
                      </wps:wsp>
                      <wps:wsp>
                        <wps:cNvPr id="36" name="矩形 36"/>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14:paraId="3ED38998">
                              <w:pPr>
                                <w:ind w:firstLine="600" w:firstLineChars="250"/>
                                <w:rPr>
                                  <w:rFonts w:ascii="宋体" w:hAnsi="宋体"/>
                                  <w:sz w:val="24"/>
                                  <w:szCs w:val="24"/>
                                </w:rPr>
                              </w:pPr>
                              <w:r>
                                <w:rPr>
                                  <w:rFonts w:hint="eastAsia" w:ascii="宋体" w:hAnsi="宋体"/>
                                  <w:sz w:val="24"/>
                                  <w:szCs w:val="24"/>
                                </w:rPr>
                                <w:t>开户行</w:t>
                              </w:r>
                            </w:p>
                          </w:txbxContent>
                        </wps:txbx>
                        <wps:bodyPr rot="0" vert="horz" wrap="square" lIns="91440" tIns="45720" rIns="91440" bIns="45720" anchor="t" anchorCtr="0" upright="1">
                          <a:noAutofit/>
                        </wps:bodyPr>
                      </wps:wsp>
                      <wps:wsp>
                        <wps:cNvPr id="37" name="直接连接符 37"/>
                        <wps:cNvCnPr/>
                        <wps:spPr bwMode="auto">
                          <a:xfrm>
                            <a:off x="4457700" y="6459855"/>
                            <a:ext cx="635" cy="396240"/>
                          </a:xfrm>
                          <a:prstGeom prst="line">
                            <a:avLst/>
                          </a:prstGeom>
                          <a:noFill/>
                          <a:ln w="9525">
                            <a:solidFill>
                              <a:srgbClr val="000000"/>
                            </a:solidFill>
                            <a:round/>
                            <a:tailEnd type="triangle" w="med" len="med"/>
                          </a:ln>
                          <a:effectLst/>
                        </wps:spPr>
                        <wps:bodyPr/>
                      </wps:wsp>
                      <wps:wsp>
                        <wps:cNvPr id="38" name="矩形 38"/>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14:paraId="70FEC67A">
                              <w:r>
                                <w:rPr>
                                  <w:rFonts w:hint="eastAsia"/>
                                </w:rPr>
                                <w:t>出具划款通知书</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0pt;margin-top:-43.35pt;height:632.7pt;width:462.6pt;z-index:-251655168;mso-width-relative:page;mso-height-relative:page;" coordsize="5875020,8035290" editas="canvas" o:gfxdata="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HnNdxraAAAACQEAAA8AAAAAAAAAAQAgAAAAIgAAAGRycy9kb3du&#10;cmV2LnhtbFBLAQIUABQAAAAIAIdO4kC6tTErOAYAAGM0AAAOAAAAAAAAAAEAIAAAACkBAABkcnMv&#10;ZTJvRG9jLnhtbFBLBQYAAAAABgAGAFkBAADTCQAAAAA=&#10;">
                <o:lock v:ext="edit" aspectratio="f"/>
                <v:shape id="_x0000_s1026" o:spid="_x0000_s1026" style="position:absolute;left:0;top:0;height:8035290;width:5875020;" filled="f" stroked="f" coordsize="21600,21600" o:gfxdata="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HnNdxraAAAACQEAAA8AAAAAAAAAAQAgAAAAIgAAAGRycy9kb3ducmV2LnhtbFBLAQIUABQAAAAI&#10;AIdO4kBkkGUR7QUAAN4zAAAOAAAAAAAAAAEAIAAAACkBAABkcnMvZTJvRG9jLnhtbFBLBQYAAAAA&#10;BgAGAFkBAACICQAAAAA=&#10;">
                  <v:fill on="f" focussize="0,0"/>
                  <v:stroke on="f"/>
                  <v:imagedata o:title=""/>
                  <o:lock v:ext="edit" aspectratio="t"/>
                </v:shape>
                <v:shape id="_x0000_s1026" o:spid="_x0000_s1026" o:spt="202" type="#_x0000_t202" style="position:absolute;left:3086100;top:495300;height:826770;width:1257300;" fillcolor="#FFFFFF" filled="t" stroked="t" coordsize="21600,21600" o:gfxdata="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0eoAdkAAAAJAQAA&#10;DwAAAAAAAAABACAAAAAiAAAAZHJzL2Rvd25yZXYueG1sUEsBAhQAFAAAAAgAh07iQJdIHNFRAgAA&#10;oAQAAA4AAAAAAAAAAQAgAAAAKAEAAGRycy9lMm9Eb2MueG1sUEsFBgAAAAAGAAYAWQEAAOsFAAAA&#10;AA==&#10;">
                  <v:fill on="t" focussize="0,0"/>
                  <v:stroke color="#000000" miterlimit="8" joinstyle="miter"/>
                  <v:imagedata o:title=""/>
                  <o:lock v:ext="edit" aspectratio="f"/>
                  <v:textbox>
                    <w:txbxContent>
                      <w:p w14:paraId="62920EAA">
                        <w:pPr>
                          <w:rPr>
                            <w:rFonts w:ascii="宋体" w:hAnsi="宋体"/>
                            <w:sz w:val="24"/>
                            <w:szCs w:val="24"/>
                          </w:rPr>
                        </w:pPr>
                        <w:r>
                          <w:rPr>
                            <w:rFonts w:hint="eastAsia" w:ascii="宋体" w:hAnsi="宋体"/>
                            <w:sz w:val="24"/>
                            <w:szCs w:val="24"/>
                          </w:rPr>
                          <w:t>呈交每期资金使用计划</w:t>
                        </w:r>
                      </w:p>
                    </w:txbxContent>
                  </v:textbox>
                </v:shape>
                <v:shape id="_x0000_s1026" o:spid="_x0000_s1026" o:spt="202" type="#_x0000_t202" style="position:absolute;left:800100;top:495300;height:396240;width:102870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z3KpDVAAAACQEAAA8A&#10;AAAAAAAAAQAgAAAAIgAAAGRycy9kb3ducmV2LnhtbFBLAQIUABQAAAAIAIdO4kDnnj4oUwIAAJ8E&#10;AAAOAAAAAAAAAAEAIAAAACQBAABkcnMvZTJvRG9jLnhtbFBLBQYAAAAABgAGAFkBAADpBQAAAAA=&#10;">
                  <v:fill on="t" focussize="0,0"/>
                  <v:stroke color="#000000" miterlimit="8" joinstyle="miter"/>
                  <v:imagedata o:title=""/>
                  <o:lock v:ext="edit" aspectratio="f"/>
                  <v:textbox inset="2.54mm,2mm,2.54mm,1.27mm">
                    <w:txbxContent>
                      <w:p w14:paraId="06370ECB">
                        <w:pPr>
                          <w:jc w:val="center"/>
                          <w:rPr>
                            <w:rFonts w:ascii="宋体" w:hAnsi="宋体"/>
                            <w:sz w:val="24"/>
                            <w:szCs w:val="24"/>
                          </w:rPr>
                        </w:pPr>
                        <w:r>
                          <w:rPr>
                            <w:rFonts w:hint="eastAsia" w:ascii="宋体" w:hAnsi="宋体"/>
                            <w:sz w:val="24"/>
                            <w:szCs w:val="24"/>
                          </w:rPr>
                          <w:t>施工单位</w:t>
                        </w:r>
                      </w:p>
                    </w:txbxContent>
                  </v:textbox>
                </v:shape>
                <v:line id="_x0000_s1026" o:spid="_x0000_s1026" o:spt="20" style="position:absolute;left:1257300;top:891540;height:69342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TJSGNoAAAAJAQAADwAAAAAAAAABACAAAAAiAAAAZHJzL2Rvd25yZXYu&#10;eG1sUEsBAhQAFAAAAAgAh07iQEVIlob5AQAAwAMAAA4AAAAAAAAAAQAgAAAAKQEAAGRycy9lMm9E&#10;b2MueG1sUEsFBgAAAAAGAAYAWQEAAJQFAAAAAA==&#10;">
                  <v:fill on="f" focussize="0,0"/>
                  <v:stroke color="#000000" joinstyle="round" endarrow="block"/>
                  <v:imagedata o:title=""/>
                  <o:lock v:ext="edit" aspectratio="f"/>
                </v:line>
                <v:shape id="_x0000_s1026" o:spid="_x0000_s1026" o:spt="202" type="#_x0000_t202" style="position:absolute;left:685800;top:1584960;height:396240;width:102870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PcqkNUAAAAJAQAA&#10;DwAAAAAAAAABACAAAAAiAAAAZHJzL2Rvd25yZXYueG1sUEsBAhQAFAAAAAgAh07iQJkjZDVVAgAA&#10;ogQAAA4AAAAAAAAAAQAgAAAAJAEAAGRycy9lMm9Eb2MueG1sUEsFBgAAAAAGAAYAWQEAAOsFAAAA&#10;AA==&#10;">
                  <v:fill on="t" focussize="0,0"/>
                  <v:stroke color="#000000" miterlimit="8" joinstyle="miter"/>
                  <v:imagedata o:title=""/>
                  <o:lock v:ext="edit" aspectratio="f"/>
                  <v:textbox inset="2.54mm,2mm,2.54mm,1.27mm">
                    <w:txbxContent>
                      <w:p w14:paraId="4BEC8772">
                        <w:pPr>
                          <w:jc w:val="center"/>
                          <w:rPr>
                            <w:rFonts w:ascii="宋体" w:hAnsi="宋体"/>
                            <w:sz w:val="24"/>
                            <w:szCs w:val="24"/>
                          </w:rPr>
                        </w:pPr>
                        <w:r>
                          <w:rPr>
                            <w:rFonts w:hint="eastAsia" w:ascii="宋体" w:hAnsi="宋体"/>
                            <w:sz w:val="24"/>
                            <w:szCs w:val="24"/>
                          </w:rPr>
                          <w:t>监理单位</w:t>
                        </w:r>
                      </w:p>
                    </w:txbxContent>
                  </v:textbox>
                </v:shape>
                <v:shape id="_x0000_s1026" o:spid="_x0000_s1026" o:spt="202" type="#_x0000_t202" style="position:absolute;left:461645;top:2872740;height:513080;width:1481455;"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PcqkNUAAAAJAQAA&#10;DwAAAAAAAAABACAAAAAiAAAAZHJzL2Rvd25yZXYueG1sUEsBAhQAFAAAAAgAh07iQKgJEOJVAgAA&#10;ogQAAA4AAAAAAAAAAQAgAAAAJAEAAGRycy9lMm9Eb2MueG1sUEsFBgAAAAAGAAYAWQEAAOsFAAAA&#10;AA==&#10;">
                  <v:fill on="t" focussize="0,0"/>
                  <v:stroke color="#000000" miterlimit="8" joinstyle="miter"/>
                  <v:imagedata o:title=""/>
                  <o:lock v:ext="edit" aspectratio="f"/>
                  <v:textbox inset="2.54mm,2mm,2.54mm,1.27mm">
                    <w:txbxContent>
                      <w:p w14:paraId="124492F7">
                        <w:pPr>
                          <w:jc w:val="center"/>
                          <w:rPr>
                            <w:rFonts w:ascii="宋体" w:hAnsi="宋体"/>
                            <w:sz w:val="24"/>
                            <w:szCs w:val="24"/>
                          </w:rPr>
                        </w:pPr>
                        <w:r>
                          <w:rPr>
                            <w:rFonts w:hint="eastAsia" w:ascii="宋体" w:hAnsi="宋体"/>
                            <w:sz w:val="24"/>
                            <w:szCs w:val="24"/>
                          </w:rPr>
                          <w:t>代建单位（若有时）</w:t>
                        </w:r>
                      </w:p>
                      <w:p w14:paraId="50790858">
                        <w:pPr>
                          <w:rPr>
                            <w:rFonts w:ascii="宋体" w:hAnsi="宋体"/>
                            <w:sz w:val="24"/>
                            <w:szCs w:val="24"/>
                          </w:rPr>
                        </w:pPr>
                      </w:p>
                    </w:txbxContent>
                  </v:textbox>
                </v:shape>
                <v:line id="_x0000_s1026" o:spid="_x0000_s1026" o:spt="20" style="position:absolute;left:1257300;top:3268980;height:69342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TJSGNoAAAAJAQAADwAAAAAAAAABACAAAAAiAAAAZHJzL2Rvd25y&#10;ZXYueG1sUEsBAhQAFAAAAAgAh07iQCEuFQL8AQAAwwMAAA4AAAAAAAAAAQAgAAAAKQEAAGRycy9l&#10;Mm9Eb2MueG1sUEsFBgAAAAAGAAYAWQEAAJcFAAAAAA==&#10;">
                  <v:fill on="f" focussize="0,0"/>
                  <v:stroke color="#000000" joinstyle="round" endarrow="block"/>
                  <v:imagedata o:title=""/>
                  <o:lock v:ext="edit" aspectratio="f"/>
                </v:line>
                <v:line id="_x0000_s1026" o:spid="_x0000_s1026" o:spt="20" style="position:absolute;left:1257300;top:1981200;flip:x;height:891540;width:635;" filled="f" stroked="t" coordsize="21600,21600" o:gfxdata="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RA7E9oAAAAJAQAADwAAAAAAAAABACAAAAAiAAAAZHJz&#10;L2Rvd25yZXYueG1sUEsBAhQAFAAAAAgAh07iQK8y/YYCAgAAzQMAAA4AAAAAAAAAAQAgAAAAKQEA&#10;AGRycy9lMm9Eb2MueG1sUEsFBgAAAAAGAAYAWQEAAJ0FAAAAAA==&#10;">
                  <v:fill on="f" focussize="0,0"/>
                  <v:stroke color="#000000" joinstyle="round" endarrow="block"/>
                  <v:imagedata o:title=""/>
                  <o:lock v:ext="edit" aspectratio="f"/>
                </v:line>
                <v:line id="_x0000_s1026" o:spid="_x0000_s1026" o:spt="20" style="position:absolute;left:1714500;top:1882140;height:635;width:107442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TJSGNoAAAAJAQAADwAAAAAAAAABACAAAAAiAAAAZHJzL2Rvd25yZXYu&#10;eG1sUEsBAhQAFAAAAAgAh07iQDxxn6n5AQAAxAMAAA4AAAAAAAAAAQAgAAAAKQEAAGRycy9lMm9E&#10;b2MueG1sUEsFBgAAAAAGAAYAWQEAAJQFAAAAAA==&#10;">
                  <v:fill on="f" focussize="0,0"/>
                  <v:stroke color="#000000" joinstyle="round" endarrow="block"/>
                  <v:imagedata o:title=""/>
                  <o:lock v:ext="edit" aspectratio="f"/>
                </v:line>
                <v:line id="_x0000_s1026" o:spid="_x0000_s1026" o:spt="20" style="position:absolute;left:1714500;top:693420;height:635;width:137160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MlIY2gAAAAkBAAAPAAAAAAAAAAEAIAAAACIAAABkcnMvZG93bnJldi54&#10;bWxQSwECFAAUAAAACACHTuJAta4p2vgBAADDAwAADgAAAAAAAAABACAAAAApAQAAZHJzL2Uyb0Rv&#10;Yy54bWxQSwUGAAAAAAYABgBZAQAAkwUAAAAA&#10;">
                  <v:fill on="f" focussize="0,0"/>
                  <v:stroke color="#000000" joinstyle="round" endarrow="block"/>
                  <v:imagedata o:title=""/>
                  <o:lock v:ext="edit" aspectratio="f"/>
                </v:line>
                <v:shape id="_x0000_s1026" o:spid="_x0000_s1026" o:spt="202" type="#_x0000_t202" style="position:absolute;left:2788920;top:1684020;height:828040;width:1501775;" fillcolor="#FFFFFF" filled="t" stroked="t" coordsize="21600,21600" o:gfxdata="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DR6gB2QAAAAkB&#10;AAAPAAAAAAAAAAEAIAAAACIAAABkcnMvZG93bnJldi54bWxQSwECFAAUAAAACACHTuJAJMg8+FMC&#10;AACjBAAADgAAAAAAAAABACAAAAAoAQAAZHJzL2Uyb0RvYy54bWxQSwUGAAAAAAYABgBZAQAA7QUA&#10;AAAA&#10;">
                  <v:fill on="t" focussize="0,0"/>
                  <v:stroke color="#000000" miterlimit="8" joinstyle="miter"/>
                  <v:imagedata o:title=""/>
                  <o:lock v:ext="edit" aspectratio="f"/>
                  <v:textbox>
                    <w:txbxContent>
                      <w:p w14:paraId="135E6997">
                        <w:pPr>
                          <w:rPr>
                            <w:rFonts w:ascii="宋体" w:hAnsi="宋体"/>
                            <w:sz w:val="24"/>
                            <w:szCs w:val="24"/>
                          </w:rPr>
                        </w:pPr>
                        <w:r>
                          <w:rPr>
                            <w:rFonts w:hint="eastAsia" w:ascii="宋体" w:hAnsi="宋体"/>
                            <w:sz w:val="24"/>
                            <w:szCs w:val="24"/>
                          </w:rPr>
                          <w:t>按照工程进度对资金使用计划初审</w:t>
                        </w:r>
                      </w:p>
                      <w:p w14:paraId="62F5F624">
                        <w:pPr>
                          <w:rPr>
                            <w:rFonts w:ascii="宋体" w:hAnsi="宋体"/>
                            <w:sz w:val="24"/>
                            <w:szCs w:val="24"/>
                          </w:rPr>
                        </w:pPr>
                      </w:p>
                      <w:p w14:paraId="0C127B69">
                        <w:pPr>
                          <w:rPr>
                            <w:rFonts w:ascii="宋体" w:hAnsi="宋体"/>
                            <w:sz w:val="24"/>
                            <w:szCs w:val="24"/>
                          </w:rPr>
                        </w:pPr>
                      </w:p>
                    </w:txbxContent>
                  </v:textbox>
                </v:shape>
                <v:shape id="_x0000_s1026" o:spid="_x0000_s1026" o:spt="202" type="#_x0000_t202" style="position:absolute;left:571500;top:3962400;height:396240;width:137160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s9yqQ1QAAAAkBAAAPAAAA&#10;AAAAAAEAIAAAACIAAABkcnMvZG93bnJldi54bWxQSwECFAAUAAAACACHTuJAEiYCOFECAACiBAAA&#10;DgAAAAAAAAABACAAAAAkAQAAZHJzL2Uyb0RvYy54bWxQSwUGAAAAAAYABgBZAQAA5wUAAAAA&#10;">
                  <v:fill on="t" focussize="0,0"/>
                  <v:stroke color="#000000" miterlimit="8" joinstyle="miter"/>
                  <v:imagedata o:title=""/>
                  <o:lock v:ext="edit" aspectratio="f"/>
                  <v:textbox inset="2.54mm,2mm,2.54mm,1.27mm">
                    <w:txbxContent>
                      <w:p w14:paraId="7AC6612E">
                        <w:pPr>
                          <w:jc w:val="center"/>
                          <w:rPr>
                            <w:rFonts w:ascii="宋体" w:hAnsi="宋体"/>
                            <w:sz w:val="24"/>
                            <w:szCs w:val="24"/>
                          </w:rPr>
                        </w:pPr>
                        <w:r>
                          <w:rPr>
                            <w:rFonts w:hint="eastAsia" w:ascii="宋体" w:hAnsi="宋体"/>
                            <w:sz w:val="24"/>
                            <w:szCs w:val="24"/>
                          </w:rPr>
                          <w:t>知识城建管中心</w:t>
                        </w:r>
                      </w:p>
                    </w:txbxContent>
                  </v:textbox>
                </v:shape>
                <v:line id="_x0000_s1026" o:spid="_x0000_s1026" o:spt="20" style="position:absolute;left:1257300;top:4358640;height:89154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MlIY2gAAAAkBAAAPAAAAAAAAAAEAIAAAACIAAABkcnMvZG93bnJl&#10;di54bWxQSwECFAAUAAAACACHTuJAHGEpbPsBAADDAwAADgAAAAAAAAABACAAAAApAQAAZHJzL2Uy&#10;b0RvYy54bWxQSwUGAAAAAAYABgBZAQAAlgUAAAAA&#10;">
                  <v:fill on="f" focussize="0,0"/>
                  <v:stroke color="#000000" joinstyle="round" endarrow="block"/>
                  <v:imagedata o:title=""/>
                  <o:lock v:ext="edit" aspectratio="f"/>
                </v:line>
                <v:line id="_x0000_s1026" o:spid="_x0000_s1026" o:spt="20" style="position:absolute;left:1943100;top:3070860;height:635;width:137160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0yUhjaAAAACQEAAA8AAAAAAAAAAQAgAAAAIgAAAGRycy9kb3ducmV2Lnht&#10;bFBLAQIUABQAAAAIAIdO4kDh6Xjt9wEAAMQDAAAOAAAAAAAAAAEAIAAAACkBAABkcnMvZTJvRG9j&#10;LnhtbFBLBQYAAAAABgAGAFkBAACSBQAAAAA=&#10;">
                  <v:fill on="f" focussize="0,0"/>
                  <v:stroke color="#000000" joinstyle="round" endarrow="block"/>
                  <v:imagedata o:title=""/>
                  <o:lock v:ext="edit" aspectratio="f"/>
                </v:line>
                <v:line id="_x0000_s1026" o:spid="_x0000_s1026" o:spt="20" style="position:absolute;left:1257300;top:4754880;height:635;width:125730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MlIY2gAAAAkBAAAPAAAAAAAAAAEAIAAAACIAAABkcnMvZG93bnJldi54bWxQ&#10;SwECFAAUAAAACACHTuJAo+w6k/UBAADEAwAADgAAAAAAAAABACAAAAApAQAAZHJzL2Uyb0RvYy54&#10;bWxQSwUGAAAAAAYABgBZAQAAkAUAAAAA&#10;">
                  <v:fill on="f" focussize="0,0"/>
                  <v:stroke color="#000000" joinstyle="round" endarrow="block"/>
                  <v:imagedata o:title=""/>
                  <o:lock v:ext="edit" aspectratio="f"/>
                </v:line>
                <v:shape id="_x0000_s1026" o:spid="_x0000_s1026" o:spt="202" type="#_x0000_t202" style="position:absolute;left:3314700;top:2872740;height:396240;width:121158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3KpDVAAAACQEA&#10;AA8AAAAAAAAAAQAgAAAAIgAAAGRycy9kb3ducmV2LnhtbFBLAQIUABQAAAAIAIdO4kDbFCt6VgIA&#10;AKMEAAAOAAAAAAAAAAEAIAAAACQBAABkcnMvZTJvRG9jLnhtbFBLBQYAAAAABgAGAFkBAADsBQAA&#10;AAA=&#10;">
                  <v:fill on="t" focussize="0,0"/>
                  <v:stroke color="#000000" miterlimit="8" joinstyle="miter"/>
                  <v:imagedata o:title=""/>
                  <o:lock v:ext="edit" aspectratio="f"/>
                  <v:textbox inset="2.54mm,2mm,2.54mm,1.27mm">
                    <w:txbxContent>
                      <w:p w14:paraId="2E9BD39C">
                        <w:pPr>
                          <w:jc w:val="center"/>
                          <w:rPr>
                            <w:rFonts w:ascii="宋体" w:hAnsi="宋体"/>
                            <w:sz w:val="24"/>
                            <w:szCs w:val="24"/>
                          </w:rPr>
                        </w:pPr>
                        <w:r>
                          <w:rPr>
                            <w:rFonts w:hint="eastAsia" w:ascii="宋体" w:hAnsi="宋体"/>
                            <w:sz w:val="24"/>
                            <w:szCs w:val="24"/>
                          </w:rPr>
                          <w:t>资金使用审批</w:t>
                        </w:r>
                      </w:p>
                    </w:txbxContent>
                  </v:textbox>
                </v:shape>
                <v:line id="_x0000_s1026" o:spid="_x0000_s1026" o:spt="20" style="position:absolute;left:1943100;top:5448300;height:635;width:1371600;" filled="f" stroked="t" coordsize="21600,21600" o:gfxdata="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k7qwZ2AAAAAkBAAAPAAAAAAAAAAEAIAAAACIAAABkcnMvZG93bnJldi54bWxQ&#10;SwECFAAUAAAACACHTuJA/TALf/cBAADFAwAADgAAAAAAAAABACAAAAAnAQAAZHJzL2Uyb0RvYy54&#10;bWxQSwUGAAAAAAYABgBZAQAAkAUAAAAA&#10;">
                  <v:fill on="f" focussize="0,0"/>
                  <v:stroke weight="1pt" color="#000000" joinstyle="round" endarrow="block"/>
                  <v:imagedata o:title=""/>
                  <o:lock v:ext="edit" aspectratio="f"/>
                </v:line>
                <v:shape id="_x0000_s1026" o:spid="_x0000_s1026" o:spt="202" type="#_x0000_t202" style="position:absolute;left:3810000;top:6884670;height:396240;width:121158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z3KpDVAAAA&#10;CQEAAA8AAAAAAAAAAQAgAAAAIgAAAGRycy9kb3ducmV2LnhtbFBLAQIUABQAAAAIAIdO4kB67HZG&#10;WQIAAKMEAAAOAAAAAAAAAAEAIAAAACQBAABkcnMvZTJvRG9jLnhtbFBLBQYAAAAABgAGAFkBAADv&#10;BQAAAAA=&#10;">
                  <v:fill on="t" focussize="0,0"/>
                  <v:stroke color="#000000" miterlimit="8" joinstyle="miter"/>
                  <v:imagedata o:title=""/>
                  <o:lock v:ext="edit" aspectratio="f"/>
                  <v:textbox inset="2.54mm,2mm,2.54mm,1.27mm">
                    <w:txbxContent>
                      <w:p w14:paraId="57A5E689">
                        <w:pPr>
                          <w:jc w:val="center"/>
                          <w:rPr>
                            <w:rFonts w:ascii="宋体" w:hAnsi="宋体"/>
                            <w:sz w:val="24"/>
                            <w:szCs w:val="24"/>
                          </w:rPr>
                        </w:pPr>
                        <w:r>
                          <w:rPr>
                            <w:rFonts w:hint="eastAsia" w:ascii="宋体" w:hAnsi="宋体"/>
                            <w:sz w:val="24"/>
                            <w:szCs w:val="24"/>
                          </w:rPr>
                          <w:t>资金支付</w:t>
                        </w:r>
                      </w:p>
                    </w:txbxContent>
                  </v:textbox>
                </v:shape>
                <v:shape id="_x0000_s1026" o:spid="_x0000_s1026" o:spt="202" type="#_x0000_t202" style="position:absolute;left:3314700;top:5052060;height:1417320;width:2286000;" fillcolor="#FFFFFF" filled="t" stroked="t" coordsize="21600,21600" o:gfxdata="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6j3IG&#10;1gAAAAkBAAAPAAAAAAAAAAEAIAAAACIAAABkcnMvZG93bnJldi54bWxQSwECFAAUAAAACACHTuJA&#10;UhrLhVwCAAClBAAADgAAAAAAAAABACAAAAAlAQAAZHJzL2Uyb0RvYy54bWxQSwUGAAAAAAYABgBZ&#10;AQAA8wUAAAAA&#10;">
                  <v:fill on="t" focussize="0,0"/>
                  <v:stroke color="#000000" miterlimit="8" joinstyle="miter"/>
                  <v:imagedata o:title=""/>
                  <o:lock v:ext="edit" aspectratio="f"/>
                  <v:textbox inset="2.54mm,3.3mm,2.54mm,1.27mm">
                    <w:txbxContent>
                      <w:p w14:paraId="40085241">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_x0000_s1026" o:spid="_x0000_s1026" o:spt="1" style="position:absolute;left:571500;top:5250180;height:396240;width:1371600;" fillcolor="#FFFFFF" filled="t" stroked="t" coordsize="21600,21600" o:gfxdata="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3Ep1XYAAAACQEAAA8AAAAAAAAA&#10;AQAgAAAAIgAAAGRycy9kb3ducmV2LnhtbFBLAQIUABQAAAAIAIdO4kBDV83nSgIAAJUEAAAOAAAA&#10;AAAAAAEAIAAAACcBAABkcnMvZTJvRG9jLnhtbFBLBQYAAAAABgAGAFkBAADjBQAAAAA=&#10;">
                  <v:fill on="t" focussize="0,0"/>
                  <v:stroke color="#000000" miterlimit="8" joinstyle="miter"/>
                  <v:imagedata o:title=""/>
                  <o:lock v:ext="edit" aspectratio="f"/>
                  <v:textbox>
                    <w:txbxContent>
                      <w:p w14:paraId="3ED38998">
                        <w:pPr>
                          <w:ind w:firstLine="600" w:firstLineChars="250"/>
                          <w:rPr>
                            <w:rFonts w:ascii="宋体" w:hAnsi="宋体"/>
                            <w:sz w:val="24"/>
                            <w:szCs w:val="24"/>
                          </w:rPr>
                        </w:pPr>
                        <w:r>
                          <w:rPr>
                            <w:rFonts w:hint="eastAsia" w:ascii="宋体" w:hAnsi="宋体"/>
                            <w:sz w:val="24"/>
                            <w:szCs w:val="24"/>
                          </w:rPr>
                          <w:t>开户行</w:t>
                        </w:r>
                      </w:p>
                    </w:txbxContent>
                  </v:textbox>
                </v:rect>
                <v:line id="_x0000_s1026" o:spid="_x0000_s1026" o:spt="20" style="position:absolute;left:4457700;top:6459855;height:39624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MlIY2gAAAAkBAAAPAAAAAAAAAAEAIAAAACIAAABkcnMvZG93&#10;bnJldi54bWxQSwECFAAUAAAACACHTuJAaBoRlP4BAADDAwAADgAAAAAAAAABACAAAAApAQAAZHJz&#10;L2Uyb0RvYy54bWxQSwUGAAAAAAYABgBZAQAAmQUAAAAA&#10;">
                  <v:fill on="f" focussize="0,0"/>
                  <v:stroke color="#000000" joinstyle="round" endarrow="block"/>
                  <v:imagedata o:title=""/>
                  <o:lock v:ext="edit" aspectratio="f"/>
                </v:line>
                <v:rect id="_x0000_s1026" o:spid="_x0000_s1026" o:spt="1" style="position:absolute;left:2514600;top:4556760;height:396240;width:1143000;" fillcolor="#FFFFFF" filled="t" stroked="t" coordsize="21600,21600" o:gfxdata="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txKdV2AAAAAkBAAAPAAAA&#10;AAAAAAEAIAAAACIAAABkcnMvZG93bnJldi54bWxQSwECFAAUAAAACACHTuJA8V9KAk4CAACWBAAA&#10;DgAAAAAAAAABACAAAAAnAQAAZHJzL2Uyb0RvYy54bWxQSwUGAAAAAAYABgBZAQAA5wUAAAAA&#10;">
                  <v:fill on="t" focussize="0,0"/>
                  <v:stroke color="#000000" miterlimit="8" joinstyle="miter"/>
                  <v:imagedata o:title=""/>
                  <o:lock v:ext="edit" aspectratio="f"/>
                  <v:textbox>
                    <w:txbxContent>
                      <w:p w14:paraId="70FEC67A">
                        <w:r>
                          <w:rPr>
                            <w:rFonts w:hint="eastAsia"/>
                          </w:rPr>
                          <w:t>出具划款通知书</w:t>
                        </w:r>
                      </w:p>
                    </w:txbxContent>
                  </v:textbox>
                </v:rect>
              </v:group>
            </w:pict>
          </mc:Fallback>
        </mc:AlternateContent>
      </w:r>
    </w:p>
    <w:p w14:paraId="6B0C6073">
      <w:pPr>
        <w:autoSpaceDN w:val="0"/>
        <w:spacing w:line="360" w:lineRule="auto"/>
        <w:rPr>
          <w:rFonts w:hint="eastAsia" w:ascii="宋体" w:hAnsi="宋体" w:eastAsia="宋体" w:cs="宋体"/>
          <w:b/>
          <w:bCs w:val="0"/>
          <w:color w:val="auto"/>
          <w:sz w:val="24"/>
          <w:szCs w:val="24"/>
          <w:highlight w:val="none"/>
        </w:rPr>
      </w:pPr>
    </w:p>
    <w:p w14:paraId="2F2F957D">
      <w:pPr>
        <w:autoSpaceDN w:val="0"/>
        <w:spacing w:line="360" w:lineRule="auto"/>
        <w:rPr>
          <w:rFonts w:hint="eastAsia" w:ascii="宋体" w:hAnsi="宋体" w:eastAsia="宋体" w:cs="宋体"/>
          <w:b/>
          <w:bCs w:val="0"/>
          <w:color w:val="auto"/>
          <w:sz w:val="24"/>
          <w:szCs w:val="24"/>
          <w:highlight w:val="none"/>
        </w:rPr>
      </w:pPr>
    </w:p>
    <w:p w14:paraId="7B24EF0B">
      <w:pPr>
        <w:autoSpaceDN w:val="0"/>
        <w:spacing w:line="360" w:lineRule="auto"/>
        <w:rPr>
          <w:rFonts w:hint="eastAsia" w:ascii="宋体" w:hAnsi="宋体" w:eastAsia="宋体" w:cs="宋体"/>
          <w:b/>
          <w:bCs w:val="0"/>
          <w:color w:val="auto"/>
          <w:sz w:val="24"/>
          <w:szCs w:val="24"/>
          <w:highlight w:val="none"/>
        </w:rPr>
      </w:pPr>
    </w:p>
    <w:p w14:paraId="0CC70728">
      <w:pPr>
        <w:autoSpaceDN w:val="0"/>
        <w:spacing w:line="360" w:lineRule="auto"/>
        <w:rPr>
          <w:rFonts w:hint="eastAsia" w:ascii="宋体" w:hAnsi="宋体" w:eastAsia="宋体" w:cs="宋体"/>
          <w:b/>
          <w:bCs w:val="0"/>
          <w:color w:val="auto"/>
          <w:sz w:val="24"/>
          <w:szCs w:val="24"/>
          <w:highlight w:val="none"/>
        </w:rPr>
      </w:pPr>
    </w:p>
    <w:p w14:paraId="21F1EC43">
      <w:pPr>
        <w:autoSpaceDN w:val="0"/>
        <w:spacing w:line="360" w:lineRule="auto"/>
        <w:rPr>
          <w:rFonts w:hint="eastAsia" w:ascii="宋体" w:hAnsi="宋体" w:eastAsia="宋体" w:cs="宋体"/>
          <w:b/>
          <w:bCs w:val="0"/>
          <w:color w:val="auto"/>
          <w:sz w:val="24"/>
          <w:szCs w:val="24"/>
          <w:highlight w:val="none"/>
        </w:rPr>
      </w:pPr>
    </w:p>
    <w:p w14:paraId="692F9CD1">
      <w:pPr>
        <w:autoSpaceDN w:val="0"/>
        <w:spacing w:line="360" w:lineRule="auto"/>
        <w:rPr>
          <w:rFonts w:hint="eastAsia" w:ascii="宋体" w:hAnsi="宋体" w:eastAsia="宋体" w:cs="宋体"/>
          <w:b/>
          <w:bCs w:val="0"/>
          <w:color w:val="auto"/>
          <w:sz w:val="24"/>
          <w:szCs w:val="24"/>
          <w:highlight w:val="none"/>
        </w:rPr>
      </w:pPr>
    </w:p>
    <w:p w14:paraId="64830588">
      <w:pPr>
        <w:autoSpaceDN w:val="0"/>
        <w:spacing w:line="360" w:lineRule="auto"/>
        <w:rPr>
          <w:rFonts w:hint="eastAsia" w:ascii="宋体" w:hAnsi="宋体" w:eastAsia="宋体" w:cs="宋体"/>
          <w:b/>
          <w:bCs w:val="0"/>
          <w:color w:val="auto"/>
          <w:sz w:val="24"/>
          <w:szCs w:val="24"/>
          <w:highlight w:val="none"/>
        </w:rPr>
      </w:pPr>
    </w:p>
    <w:p w14:paraId="3AB375C3">
      <w:pPr>
        <w:autoSpaceDN w:val="0"/>
        <w:spacing w:line="360" w:lineRule="auto"/>
        <w:rPr>
          <w:rFonts w:hint="eastAsia" w:ascii="宋体" w:hAnsi="宋体" w:eastAsia="宋体" w:cs="宋体"/>
          <w:b/>
          <w:bCs w:val="0"/>
          <w:color w:val="auto"/>
          <w:sz w:val="24"/>
          <w:szCs w:val="24"/>
          <w:highlight w:val="none"/>
        </w:rPr>
      </w:pPr>
    </w:p>
    <w:p w14:paraId="30BACEE8">
      <w:pPr>
        <w:autoSpaceDN w:val="0"/>
        <w:spacing w:line="360" w:lineRule="auto"/>
        <w:rPr>
          <w:rFonts w:hint="eastAsia" w:ascii="宋体" w:hAnsi="宋体" w:eastAsia="宋体" w:cs="宋体"/>
          <w:b/>
          <w:bCs w:val="0"/>
          <w:color w:val="auto"/>
          <w:sz w:val="24"/>
          <w:szCs w:val="24"/>
          <w:highlight w:val="none"/>
        </w:rPr>
      </w:pPr>
    </w:p>
    <w:p w14:paraId="55009838">
      <w:pPr>
        <w:autoSpaceDN w:val="0"/>
        <w:spacing w:line="360" w:lineRule="auto"/>
        <w:rPr>
          <w:rFonts w:hint="eastAsia" w:ascii="宋体" w:hAnsi="宋体" w:eastAsia="宋体" w:cs="宋体"/>
          <w:b/>
          <w:bCs w:val="0"/>
          <w:color w:val="auto"/>
          <w:sz w:val="24"/>
          <w:szCs w:val="24"/>
          <w:highlight w:val="none"/>
        </w:rPr>
      </w:pPr>
    </w:p>
    <w:p w14:paraId="038BE1F5">
      <w:pPr>
        <w:autoSpaceDN w:val="0"/>
        <w:spacing w:line="360" w:lineRule="auto"/>
        <w:rPr>
          <w:rFonts w:hint="eastAsia" w:ascii="宋体" w:hAnsi="宋体" w:eastAsia="宋体" w:cs="宋体"/>
          <w:b/>
          <w:bCs w:val="0"/>
          <w:color w:val="auto"/>
          <w:sz w:val="24"/>
          <w:szCs w:val="24"/>
          <w:highlight w:val="none"/>
        </w:rPr>
      </w:pPr>
    </w:p>
    <w:p w14:paraId="5518D0CE">
      <w:pPr>
        <w:autoSpaceDN w:val="0"/>
        <w:spacing w:line="360" w:lineRule="auto"/>
        <w:rPr>
          <w:rFonts w:hint="eastAsia" w:ascii="宋体" w:hAnsi="宋体" w:eastAsia="宋体" w:cs="宋体"/>
          <w:b/>
          <w:bCs w:val="0"/>
          <w:color w:val="auto"/>
          <w:sz w:val="24"/>
          <w:szCs w:val="24"/>
          <w:highlight w:val="none"/>
        </w:rPr>
      </w:pPr>
    </w:p>
    <w:p w14:paraId="7D55E202">
      <w:pPr>
        <w:autoSpaceDN w:val="0"/>
        <w:spacing w:line="360" w:lineRule="auto"/>
        <w:rPr>
          <w:rFonts w:hint="eastAsia" w:ascii="宋体" w:hAnsi="宋体" w:eastAsia="宋体" w:cs="宋体"/>
          <w:b/>
          <w:bCs w:val="0"/>
          <w:color w:val="auto"/>
          <w:sz w:val="24"/>
          <w:szCs w:val="24"/>
          <w:highlight w:val="none"/>
        </w:rPr>
      </w:pPr>
    </w:p>
    <w:p w14:paraId="66FC4BC1">
      <w:pPr>
        <w:autoSpaceDN w:val="0"/>
        <w:spacing w:line="360" w:lineRule="auto"/>
        <w:rPr>
          <w:rFonts w:hint="eastAsia" w:ascii="宋体" w:hAnsi="宋体" w:eastAsia="宋体" w:cs="宋体"/>
          <w:b/>
          <w:bCs w:val="0"/>
          <w:color w:val="auto"/>
          <w:sz w:val="24"/>
          <w:szCs w:val="24"/>
          <w:highlight w:val="none"/>
        </w:rPr>
      </w:pPr>
    </w:p>
    <w:p w14:paraId="36711431">
      <w:pPr>
        <w:autoSpaceDN w:val="0"/>
        <w:spacing w:line="360" w:lineRule="auto"/>
        <w:rPr>
          <w:rFonts w:hint="eastAsia" w:ascii="宋体" w:hAnsi="宋体" w:eastAsia="宋体" w:cs="宋体"/>
          <w:b/>
          <w:bCs w:val="0"/>
          <w:color w:val="auto"/>
          <w:sz w:val="24"/>
          <w:szCs w:val="24"/>
          <w:highlight w:val="none"/>
        </w:rPr>
      </w:pPr>
    </w:p>
    <w:p w14:paraId="502AB294">
      <w:pPr>
        <w:autoSpaceDN w:val="0"/>
        <w:spacing w:line="360" w:lineRule="auto"/>
        <w:rPr>
          <w:rFonts w:hint="eastAsia" w:ascii="宋体" w:hAnsi="宋体" w:eastAsia="宋体" w:cs="宋体"/>
          <w:b/>
          <w:bCs w:val="0"/>
          <w:color w:val="auto"/>
          <w:sz w:val="24"/>
          <w:szCs w:val="24"/>
          <w:highlight w:val="none"/>
        </w:rPr>
      </w:pPr>
    </w:p>
    <w:p w14:paraId="2A010BC1">
      <w:pPr>
        <w:autoSpaceDN w:val="0"/>
        <w:spacing w:line="360" w:lineRule="auto"/>
        <w:rPr>
          <w:rFonts w:hint="eastAsia" w:ascii="宋体" w:hAnsi="宋体" w:eastAsia="宋体" w:cs="宋体"/>
          <w:b/>
          <w:bCs w:val="0"/>
          <w:color w:val="auto"/>
          <w:sz w:val="24"/>
          <w:szCs w:val="24"/>
          <w:highlight w:val="none"/>
        </w:rPr>
      </w:pPr>
    </w:p>
    <w:p w14:paraId="7E9E6737">
      <w:pPr>
        <w:autoSpaceDN w:val="0"/>
        <w:spacing w:line="360" w:lineRule="auto"/>
        <w:rPr>
          <w:rFonts w:hint="eastAsia" w:ascii="宋体" w:hAnsi="宋体" w:eastAsia="宋体" w:cs="宋体"/>
          <w:b/>
          <w:bCs w:val="0"/>
          <w:color w:val="auto"/>
          <w:sz w:val="24"/>
          <w:szCs w:val="24"/>
          <w:highlight w:val="none"/>
        </w:rPr>
      </w:pPr>
    </w:p>
    <w:p w14:paraId="0B0814A2">
      <w:pPr>
        <w:autoSpaceDN w:val="0"/>
        <w:spacing w:line="360" w:lineRule="auto"/>
        <w:rPr>
          <w:rFonts w:hint="eastAsia" w:ascii="宋体" w:hAnsi="宋体" w:eastAsia="宋体" w:cs="宋体"/>
          <w:b/>
          <w:bCs w:val="0"/>
          <w:color w:val="auto"/>
          <w:sz w:val="24"/>
          <w:szCs w:val="24"/>
          <w:highlight w:val="none"/>
        </w:rPr>
      </w:pPr>
    </w:p>
    <w:p w14:paraId="0FCBA314">
      <w:pPr>
        <w:autoSpaceDN w:val="0"/>
        <w:spacing w:line="360" w:lineRule="auto"/>
        <w:rPr>
          <w:rFonts w:hint="eastAsia" w:ascii="宋体" w:hAnsi="宋体" w:eastAsia="宋体" w:cs="宋体"/>
          <w:b/>
          <w:bCs w:val="0"/>
          <w:color w:val="auto"/>
          <w:sz w:val="24"/>
          <w:szCs w:val="24"/>
          <w:highlight w:val="none"/>
        </w:rPr>
      </w:pPr>
    </w:p>
    <w:p w14:paraId="67D9E860">
      <w:pPr>
        <w:autoSpaceDN w:val="0"/>
        <w:spacing w:line="360" w:lineRule="auto"/>
        <w:rPr>
          <w:rFonts w:hint="eastAsia" w:ascii="宋体" w:hAnsi="宋体" w:eastAsia="宋体" w:cs="宋体"/>
          <w:b/>
          <w:bCs w:val="0"/>
          <w:color w:val="auto"/>
          <w:sz w:val="24"/>
          <w:szCs w:val="24"/>
          <w:highlight w:val="none"/>
        </w:rPr>
      </w:pPr>
    </w:p>
    <w:p w14:paraId="3D8133FE">
      <w:pPr>
        <w:autoSpaceDN w:val="0"/>
        <w:spacing w:line="360" w:lineRule="auto"/>
        <w:rPr>
          <w:rFonts w:hint="eastAsia" w:ascii="宋体" w:hAnsi="宋体" w:eastAsia="宋体" w:cs="宋体"/>
          <w:b/>
          <w:bCs w:val="0"/>
          <w:color w:val="auto"/>
          <w:sz w:val="24"/>
          <w:szCs w:val="24"/>
          <w:highlight w:val="none"/>
        </w:rPr>
      </w:pPr>
    </w:p>
    <w:p w14:paraId="3C205AC9">
      <w:pPr>
        <w:autoSpaceDN w:val="0"/>
        <w:spacing w:line="360" w:lineRule="auto"/>
        <w:rPr>
          <w:rFonts w:hint="eastAsia" w:ascii="宋体" w:hAnsi="宋体" w:eastAsia="宋体" w:cs="宋体"/>
          <w:b/>
          <w:bCs w:val="0"/>
          <w:color w:val="auto"/>
          <w:sz w:val="24"/>
          <w:szCs w:val="24"/>
          <w:highlight w:val="none"/>
        </w:rPr>
      </w:pPr>
    </w:p>
    <w:p w14:paraId="6BE3745F">
      <w:pPr>
        <w:autoSpaceDN w:val="0"/>
        <w:spacing w:line="360" w:lineRule="auto"/>
        <w:rPr>
          <w:rFonts w:hint="eastAsia" w:ascii="宋体" w:hAnsi="宋体" w:eastAsia="宋体" w:cs="宋体"/>
          <w:b/>
          <w:bCs w:val="0"/>
          <w:color w:val="auto"/>
          <w:sz w:val="24"/>
          <w:szCs w:val="24"/>
          <w:highlight w:val="none"/>
        </w:rPr>
      </w:pPr>
    </w:p>
    <w:p w14:paraId="5939070F">
      <w:pPr>
        <w:autoSpaceDN w:val="0"/>
        <w:spacing w:line="360" w:lineRule="auto"/>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附件五：</w:t>
      </w:r>
    </w:p>
    <w:p w14:paraId="79DF584D">
      <w:pPr>
        <w:autoSpaceDN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共管工程预付款使用监管办法</w:t>
      </w:r>
    </w:p>
    <w:p w14:paraId="10019419">
      <w:pPr>
        <w:autoSpaceDN w:val="0"/>
        <w:spacing w:line="360" w:lineRule="auto"/>
        <w:jc w:val="center"/>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（另册）</w:t>
      </w:r>
    </w:p>
    <w:p w14:paraId="25CFE9CD">
      <w:pPr>
        <w:spacing w:line="360" w:lineRule="auto"/>
        <w:rPr>
          <w:rFonts w:ascii="宋体" w:hAnsi="宋体" w:eastAsia="宋体" w:cs="宋体"/>
          <w:color w:val="auto"/>
          <w:highlight w:val="none"/>
        </w:rPr>
      </w:pPr>
    </w:p>
    <w:p w14:paraId="02CD912B">
      <w:pP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4"/>
          <w:szCs w:val="24"/>
          <w:highlight w:val="none"/>
        </w:rPr>
        <w:t>附件9：</w:t>
      </w:r>
    </w:p>
    <w:p w14:paraId="1A58F9E4">
      <w:pPr>
        <w:numPr>
          <w:ilvl w:val="0"/>
          <w:numId w:val="0"/>
        </w:num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绿化种植专篇</w:t>
      </w:r>
    </w:p>
    <w:p w14:paraId="32633E88">
      <w:pPr>
        <w:rPr>
          <w:rFonts w:hint="eastAsia" w:ascii="宋体" w:hAnsi="宋体" w:eastAsia="宋体" w:cs="宋体"/>
          <w:color w:val="auto"/>
          <w:szCs w:val="21"/>
          <w:highlight w:val="none"/>
        </w:rPr>
      </w:pPr>
    </w:p>
    <w:p w14:paraId="10898ABB">
      <w:pPr>
        <w:rPr>
          <w:rFonts w:ascii="宋体" w:hAnsi="宋体" w:eastAsia="宋体" w:cs="宋体"/>
          <w:color w:val="auto"/>
          <w:szCs w:val="21"/>
          <w:highlight w:val="none"/>
        </w:rPr>
      </w:pPr>
      <w:r>
        <w:rPr>
          <w:rFonts w:hint="eastAsia" w:ascii="宋体" w:hAnsi="宋体" w:eastAsia="宋体" w:cs="宋体"/>
          <w:color w:val="auto"/>
          <w:szCs w:val="21"/>
          <w:highlight w:val="none"/>
        </w:rPr>
        <w:t>（本专篇适用于绿化建设项目、房建及道路配套绿化项目。）</w:t>
      </w:r>
    </w:p>
    <w:p w14:paraId="658E96E0">
      <w:pPr>
        <w:rPr>
          <w:rFonts w:ascii="宋体" w:hAnsi="宋体" w:eastAsia="宋体" w:cs="宋体"/>
          <w:color w:val="auto"/>
          <w:szCs w:val="21"/>
          <w:highlight w:val="none"/>
        </w:rPr>
      </w:pPr>
      <w:r>
        <w:rPr>
          <w:rFonts w:hint="eastAsia" w:ascii="宋体" w:hAnsi="宋体" w:eastAsia="宋体" w:cs="宋体"/>
          <w:color w:val="auto"/>
          <w:szCs w:val="21"/>
          <w:highlight w:val="none"/>
        </w:rPr>
        <w:t>发包人（甲方）：</w:t>
      </w:r>
      <w:r>
        <w:rPr>
          <w:rFonts w:hint="eastAsia" w:ascii="宋体" w:hAnsi="宋体" w:eastAsia="宋体" w:cs="宋体"/>
          <w:color w:val="auto"/>
          <w:szCs w:val="21"/>
          <w:highlight w:val="none"/>
          <w:u w:val="single"/>
        </w:rPr>
        <w:t>中新广州知识城财政投资建设项目管理中心</w:t>
      </w:r>
    </w:p>
    <w:p w14:paraId="3FB8B3D0">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承包人（乙方）：</w:t>
      </w:r>
      <w:r>
        <w:rPr>
          <w:rFonts w:hint="eastAsia" w:ascii="宋体" w:hAnsi="宋体" w:eastAsia="宋体" w:cs="宋体"/>
          <w:color w:val="auto"/>
          <w:szCs w:val="21"/>
          <w:highlight w:val="none"/>
          <w:u w:val="single"/>
          <w:lang w:val="en-US" w:eastAsia="zh-CN"/>
        </w:rPr>
        <w:t xml:space="preserve">     </w:t>
      </w:r>
    </w:p>
    <w:p w14:paraId="2A6606B5">
      <w:pPr>
        <w:ind w:firstLine="420" w:firstLineChars="200"/>
        <w:jc w:val="left"/>
        <w:rPr>
          <w:rFonts w:hint="eastAsia" w:ascii="宋体" w:hAnsi="宋体" w:eastAsia="宋体" w:cs="宋体"/>
          <w:color w:val="auto"/>
          <w:szCs w:val="21"/>
          <w:highlight w:val="none"/>
        </w:rPr>
      </w:pPr>
    </w:p>
    <w:p w14:paraId="533F4592">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为提高绿化苗木选取和种植苗木质量，加强科学绿化建设和管理，提升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项目绿化种植和养护管理标准，制订本项目绿化种植专篇。</w:t>
      </w:r>
    </w:p>
    <w:p w14:paraId="4C532834">
      <w:pPr>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一、绿化种植、养护内容及范围</w:t>
      </w:r>
    </w:p>
    <w:p w14:paraId="27AD4654">
      <w:pPr>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1、本项目绿化工程范围：</w:t>
      </w:r>
      <w:r>
        <w:rPr>
          <w:rFonts w:hint="eastAsia" w:ascii="宋体" w:hAnsi="宋体" w:eastAsia="宋体" w:cs="宋体"/>
          <w:color w:val="auto"/>
          <w:szCs w:val="21"/>
          <w:highlight w:val="none"/>
          <w:u w:val="single"/>
        </w:rPr>
        <w:t>本项目施工合同约定的承包范围内的全部绿化工程内容</w:t>
      </w:r>
      <w:r>
        <w:rPr>
          <w:rFonts w:hint="eastAsia" w:ascii="宋体" w:hAnsi="宋体" w:eastAsia="宋体" w:cs="宋体"/>
          <w:color w:val="auto"/>
          <w:kern w:val="0"/>
          <w:szCs w:val="21"/>
          <w:highlight w:val="none"/>
        </w:rPr>
        <w:t>。</w:t>
      </w:r>
    </w:p>
    <w:p w14:paraId="799F1AFC">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2、本项目《苗木供应清单》：详见本专篇附表。</w:t>
      </w:r>
    </w:p>
    <w:p w14:paraId="591CB946">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二、质量要求</w:t>
      </w:r>
    </w:p>
    <w:p w14:paraId="7BB363FA">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要求符合国家、省、市园林绿化规程、检评标准、相关要求及行业标准，包括但不限于以下： </w:t>
      </w:r>
    </w:p>
    <w:p w14:paraId="1D8F3F84">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 相关法律法规与政策文件</w:t>
      </w:r>
    </w:p>
    <w:p w14:paraId="0AB7B73D">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（1）《城市绿化条例》（2017 年修订）；</w:t>
      </w:r>
    </w:p>
    <w:p w14:paraId="56815EC8">
      <w:pPr>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《广东省城市绿化条例》（2022 年修订）</w:t>
      </w:r>
    </w:p>
    <w:p w14:paraId="260B257B">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《广州市绿化条例》（2022 年修订）</w:t>
      </w:r>
    </w:p>
    <w:p w14:paraId="4AF29AD4">
      <w:pPr>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《国务院办公厅关于科学绿化的指导意见》（国办发〔2021〕19 号）</w:t>
      </w:r>
    </w:p>
    <w:p w14:paraId="207CDDF7">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（5）《中共广东省委关于深入推进绿美广东生态建设的决定》（2022 年 12 月 8 日中国共产党广东省第十三届委员会第二次全体会议通过）</w:t>
      </w:r>
    </w:p>
    <w:p w14:paraId="5BF5E9AE">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（6）《广东省人民政府办公厅关于科学绿化的实施意见》（粤府办〔2021〕48 号）</w:t>
      </w:r>
    </w:p>
    <w:p w14:paraId="189F6557">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（7）中共广州市委办公厅 广州市人民政府办公厅印发《广州市关于科学绿化的实施意见》的通知（穗办〔2021〕11号）</w:t>
      </w:r>
    </w:p>
    <w:p w14:paraId="45FAF70F">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（8）《广州市林业和园林局关于印发广州市树木修剪技术指引（试行）的通知》（穗林业园林通〔2021〕153 号）</w:t>
      </w:r>
    </w:p>
    <w:p w14:paraId="2E6C5A20">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（9）《广州市林业和园林局关于规范提升全市树木支撑的通知》（穗林业园林通〔2019〕100 号）</w:t>
      </w:r>
    </w:p>
    <w:p w14:paraId="2FD17729">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（10）黄埔区住房和城乡建设局 广州开发区建设和交通局关于印发《黄埔区绿化苗木选用及种植技术指引（1.0版）》《黄埔区园林绿化养护技术指引（1.0版）》的通知（穗埔建〔2023〕93 号）</w:t>
      </w:r>
    </w:p>
    <w:p w14:paraId="790C5ECC">
      <w:pPr>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《黄埔区住房和城乡建设局 广州开发区建设和交通局关于加强科学绿化工作的提醒函》（穗埔建函[2023]2767号）</w:t>
      </w:r>
    </w:p>
    <w:p w14:paraId="3C494747">
      <w:pPr>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 相关标准规范</w:t>
      </w:r>
    </w:p>
    <w:p w14:paraId="75951DB7">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（1）《园林绿化工程项目规范》（GB55014-2021）；</w:t>
      </w:r>
    </w:p>
    <w:p w14:paraId="6EB50627">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（2）《城市园林绿化评价标准》GBT 50563-2010；</w:t>
      </w:r>
    </w:p>
    <w:p w14:paraId="4043A072">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（3）《城市绿地草坪建植与管理技术规程》GBT 19535.2-2004；</w:t>
      </w:r>
    </w:p>
    <w:p w14:paraId="78E84E63">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（4）《城市园林绿化评价标准》[附条文说明]GB/T 50563-2010</w:t>
      </w:r>
    </w:p>
    <w:p w14:paraId="57276EEF">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（5）《地表水环境质量标准》GB 3838-2002</w:t>
      </w:r>
    </w:p>
    <w:p w14:paraId="26CB752D">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（6）《园林树木安全性评价技术规范》DB4401/T17—2019 ；</w:t>
      </w:r>
    </w:p>
    <w:p w14:paraId="23A273E5">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（7）《广东城市绿化工程施工和验收规范》DBBT581-2009 ；</w:t>
      </w:r>
    </w:p>
    <w:p w14:paraId="52A228CB">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（8）《城市园林绿化工程施工及验收规范》DB11/T 212-2017；</w:t>
      </w:r>
    </w:p>
    <w:p w14:paraId="68C27878">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（9）《城市园林绿化用苗-木本苗木分级》DB440300/T 28—2006。</w:t>
      </w:r>
    </w:p>
    <w:p w14:paraId="59D213AC">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（10）《城市绿化和园林绿地用植物材料-木本苗》CJT 24-1999；</w:t>
      </w:r>
    </w:p>
    <w:p w14:paraId="422739B1">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（11）《城市绿化和园林绿地用植物材料- 球根花卉种球》CJT</w:t>
      </w:r>
    </w:p>
    <w:p w14:paraId="4073A6FD">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135-2001 ；</w:t>
      </w:r>
    </w:p>
    <w:p w14:paraId="6D2E2C2E">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（12）《绿化种植土壤》CJ/T340-2016；</w:t>
      </w:r>
    </w:p>
    <w:p w14:paraId="53550BD3">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（13）《园林植物筛选通用技术要求》CJT 512-2017；</w:t>
      </w:r>
    </w:p>
    <w:p w14:paraId="1267F510">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（14）《城市主要绿化竹种苗木等级》LYT 2345-2014；</w:t>
      </w:r>
    </w:p>
    <w:p w14:paraId="02662B57">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（15）《绿化全冠苗木栽植技术规程》LYT 2632-2016；</w:t>
      </w:r>
    </w:p>
    <w:p w14:paraId="5B7E6A8B">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（16）《森林植物检疫技术规程》</w:t>
      </w:r>
    </w:p>
    <w:p w14:paraId="4B2CD4E0">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（17）《广州市主要乡土和适生植物名录》</w:t>
      </w:r>
    </w:p>
    <w:p w14:paraId="4A9E8F60">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（18）《城市道路绿化规划与设计规范》</w:t>
      </w:r>
    </w:p>
    <w:p w14:paraId="45516B7B">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三、绿化种植、养护要求</w:t>
      </w:r>
    </w:p>
    <w:p w14:paraId="690C2924">
      <w:pPr>
        <w:numPr>
          <w:ilvl w:val="0"/>
          <w:numId w:val="0"/>
        </w:num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1、绿化苗木选用和种植过程要求 </w:t>
      </w:r>
    </w:p>
    <w:p w14:paraId="002B4D2E">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0C4A87CB">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2、绿化养护技术及时间要求</w:t>
      </w:r>
    </w:p>
    <w:p w14:paraId="74128DE9">
      <w:pPr>
        <w:tabs>
          <w:tab w:val="right" w:leader="dot" w:pos="9060"/>
        </w:tabs>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承包人应认真学习并执行《黄埔区园林绿化养护技术指引（1.0版）》的具体要求，规范项目中绿化灌溉、施肥、修剪、病虫害综合防治、日常养护管理工作。</w:t>
      </w:r>
    </w:p>
    <w:p w14:paraId="2E907227">
      <w:pPr>
        <w:tabs>
          <w:tab w:val="right" w:leader="dot" w:pos="9060"/>
        </w:tabs>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养护期：胸径15CM（含）以上苗木养护期，</w:t>
      </w:r>
      <w:r>
        <w:rPr>
          <w:rFonts w:hint="eastAsia" w:ascii="宋体" w:hAnsi="宋体" w:eastAsia="宋体" w:cs="宋体"/>
          <w:color w:val="auto"/>
          <w:szCs w:val="21"/>
          <w:highlight w:val="none"/>
        </w:rPr>
        <w:t>自本项目绿化工程通过竣工验收之日起</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年，其他苗木养护期为3个月。</w:t>
      </w:r>
    </w:p>
    <w:p w14:paraId="0F89BF34">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14:paraId="455575F2">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四、责任与义务</w:t>
      </w:r>
    </w:p>
    <w:p w14:paraId="0FBB95A7">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1、承包人应严格按照本项目《苗木供应清单》执行苗木选用、种植和养护工作。如经发包人</w:t>
      </w:r>
      <w:r>
        <w:rPr>
          <w:rFonts w:hint="eastAsia" w:ascii="宋体" w:hAnsi="宋体" w:eastAsia="宋体" w:cs="宋体"/>
          <w:color w:val="auto"/>
          <w:kern w:val="0"/>
          <w:szCs w:val="21"/>
          <w:highlight w:val="none"/>
        </w:rPr>
        <w:t>或本项目监理单位</w:t>
      </w:r>
      <w:r>
        <w:rPr>
          <w:rFonts w:hint="eastAsia" w:ascii="宋体" w:hAnsi="宋体" w:eastAsia="宋体" w:cs="宋体"/>
          <w:color w:val="auto"/>
          <w:szCs w:val="21"/>
          <w:highlight w:val="none"/>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332F3038">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14:paraId="7C0B5A1A">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五、其它</w:t>
      </w:r>
    </w:p>
    <w:p w14:paraId="1933D7B4">
      <w:pPr>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本专篇是为规范本项目绿化工程种植、养护工作制定，未提及的内容均按施工合同专用条款的约定执行。</w:t>
      </w:r>
    </w:p>
    <w:p w14:paraId="25A9C006">
      <w:pPr>
        <w:rPr>
          <w:rFonts w:ascii="宋体" w:hAnsi="宋体" w:eastAsia="宋体" w:cs="宋体"/>
          <w:b/>
          <w:bCs/>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附表：</w:t>
      </w:r>
    </w:p>
    <w:p w14:paraId="76C0662C">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苗木供应清单</w:t>
      </w:r>
    </w:p>
    <w:p w14:paraId="7090175B">
      <w:pPr>
        <w:rPr>
          <w:rFonts w:hint="eastAsia" w:ascii="宋体" w:hAnsi="宋体" w:eastAsia="宋体" w:cs="宋体"/>
          <w:color w:val="auto"/>
          <w:kern w:val="0"/>
          <w:szCs w:val="21"/>
          <w:highlight w:val="none"/>
        </w:rPr>
      </w:pPr>
    </w:p>
    <w:p w14:paraId="1BBFBBC2">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tbl>
      <w:tblPr>
        <w:tblStyle w:val="37"/>
        <w:tblW w:w="9678" w:type="dxa"/>
        <w:jc w:val="center"/>
        <w:tblLayout w:type="fixed"/>
        <w:tblCellMar>
          <w:top w:w="0" w:type="dxa"/>
          <w:left w:w="108" w:type="dxa"/>
          <w:bottom w:w="0" w:type="dxa"/>
          <w:right w:w="108" w:type="dxa"/>
        </w:tblCellMar>
      </w:tblPr>
      <w:tblGrid>
        <w:gridCol w:w="753"/>
        <w:gridCol w:w="750"/>
        <w:gridCol w:w="1297"/>
        <w:gridCol w:w="788"/>
        <w:gridCol w:w="915"/>
        <w:gridCol w:w="928"/>
        <w:gridCol w:w="1056"/>
        <w:gridCol w:w="1136"/>
        <w:gridCol w:w="1134"/>
        <w:gridCol w:w="921"/>
      </w:tblGrid>
      <w:tr w14:paraId="1BB3BB16">
        <w:tblPrEx>
          <w:tblCellMar>
            <w:top w:w="0" w:type="dxa"/>
            <w:left w:w="108" w:type="dxa"/>
            <w:bottom w:w="0" w:type="dxa"/>
            <w:right w:w="108" w:type="dxa"/>
          </w:tblCellMar>
        </w:tblPrEx>
        <w:trPr>
          <w:trHeight w:val="435"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D56EF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序号</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5ED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苗木名称</w:t>
            </w:r>
          </w:p>
        </w:tc>
        <w:tc>
          <w:tcPr>
            <w:tcW w:w="6120" w:type="dxa"/>
            <w:gridSpan w:val="6"/>
            <w:tcBorders>
              <w:top w:val="single" w:color="000000" w:sz="4" w:space="0"/>
              <w:left w:val="single" w:color="000000" w:sz="4" w:space="0"/>
              <w:bottom w:val="single" w:color="000000" w:sz="4" w:space="0"/>
              <w:right w:val="single" w:color="000000" w:sz="4" w:space="0"/>
            </w:tcBorders>
            <w:noWrap w:val="0"/>
            <w:vAlign w:val="center"/>
          </w:tcPr>
          <w:p w14:paraId="4B34D4B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规格（ 单位：CM）</w:t>
            </w:r>
          </w:p>
        </w:tc>
        <w:tc>
          <w:tcPr>
            <w:tcW w:w="2055" w:type="dxa"/>
            <w:gridSpan w:val="2"/>
            <w:tcBorders>
              <w:top w:val="single" w:color="000000" w:sz="4" w:space="0"/>
              <w:left w:val="single" w:color="000000" w:sz="4" w:space="0"/>
              <w:bottom w:val="single" w:color="000000" w:sz="4" w:space="0"/>
              <w:right w:val="single" w:color="000000" w:sz="4" w:space="0"/>
            </w:tcBorders>
            <w:noWrap w:val="0"/>
            <w:vAlign w:val="center"/>
          </w:tcPr>
          <w:p w14:paraId="23E5486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规格（ 单位：个）</w:t>
            </w:r>
          </w:p>
        </w:tc>
      </w:tr>
      <w:tr w14:paraId="4E31305E">
        <w:tblPrEx>
          <w:tblCellMar>
            <w:top w:w="0" w:type="dxa"/>
            <w:left w:w="108" w:type="dxa"/>
            <w:bottom w:w="0" w:type="dxa"/>
            <w:right w:w="108" w:type="dxa"/>
          </w:tblCellMar>
        </w:tblPrEx>
        <w:trPr>
          <w:trHeight w:val="1844"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8F1F8">
            <w:pPr>
              <w:jc w:val="center"/>
              <w:rPr>
                <w:rFonts w:ascii="宋体" w:hAnsi="宋体" w:eastAsia="宋体" w:cs="宋体"/>
                <w:color w:val="auto"/>
                <w:szCs w:val="21"/>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1378A">
            <w:pPr>
              <w:jc w:val="center"/>
              <w:rPr>
                <w:rFonts w:ascii="宋体" w:hAnsi="宋体" w:eastAsia="宋体" w:cs="宋体"/>
                <w:color w:val="auto"/>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6A0264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胸（ 地）径(Ф)</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C460FC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株高（H）</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51239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分枝点高(</w:t>
            </w:r>
            <w:r>
              <w:rPr>
                <w:rFonts w:hint="eastAsia" w:ascii="MS Gothic" w:hAnsi="MS Gothic" w:eastAsia="MS Gothic" w:cs="MS Gothic"/>
                <w:color w:val="auto"/>
                <w:szCs w:val="21"/>
                <w:highlight w:val="none"/>
                <w:u w:val="single"/>
                <w:lang w:bidi="ar"/>
              </w:rPr>
              <w:t>Ⓗ</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4293CC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冠幅（P）</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8F6B4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土球规格直径* 高度</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B5F7C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种植穴直径* 高度</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DF2CD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层托数(T)</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0F1E1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分枝数量</w:t>
            </w:r>
          </w:p>
        </w:tc>
      </w:tr>
      <w:tr w14:paraId="393523A1">
        <w:tblPrEx>
          <w:tblCellMar>
            <w:top w:w="0" w:type="dxa"/>
            <w:left w:w="108" w:type="dxa"/>
            <w:bottom w:w="0" w:type="dxa"/>
            <w:right w:w="108" w:type="dxa"/>
          </w:tblCellMar>
        </w:tblPrEx>
        <w:trPr>
          <w:trHeight w:val="2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5881A884">
            <w:pPr>
              <w:rPr>
                <w:rFonts w:ascii="宋体" w:hAnsi="宋体" w:eastAsia="宋体" w:cs="宋体"/>
                <w:color w:val="auto"/>
                <w:szCs w:val="21"/>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14B781">
            <w:pPr>
              <w:rPr>
                <w:rFonts w:ascii="宋体" w:hAnsi="宋体" w:eastAsia="宋体" w:cs="宋体"/>
                <w:color w:val="auto"/>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656155C9">
            <w:pPr>
              <w:rPr>
                <w:rFonts w:ascii="宋体" w:hAnsi="宋体" w:eastAsia="宋体" w:cs="宋体"/>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21A2883">
            <w:pPr>
              <w:rPr>
                <w:rFonts w:ascii="宋体" w:hAnsi="宋体" w:eastAsia="宋体" w:cs="宋体"/>
                <w:color w:val="auto"/>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FC67A32">
            <w:pPr>
              <w:rPr>
                <w:rFonts w:ascii="宋体" w:hAnsi="宋体" w:eastAsia="宋体" w:cs="宋体"/>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8529151">
            <w:pPr>
              <w:rPr>
                <w:rFonts w:ascii="宋体" w:hAnsi="宋体" w:eastAsia="宋体" w:cs="宋体"/>
                <w:color w:val="auto"/>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FEF7D44">
            <w:pPr>
              <w:rPr>
                <w:rFonts w:ascii="宋体" w:hAnsi="宋体" w:eastAsia="宋体" w:cs="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8A18FB9">
            <w:pPr>
              <w:rPr>
                <w:rFonts w:ascii="宋体" w:hAnsi="宋体" w:eastAsia="宋体" w:cs="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2C081E">
            <w:pPr>
              <w:rPr>
                <w:rFonts w:ascii="宋体" w:hAnsi="宋体" w:eastAsia="宋体" w:cs="宋体"/>
                <w:color w:val="auto"/>
                <w:szCs w:val="21"/>
                <w:highlight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09C71B2">
            <w:pPr>
              <w:rPr>
                <w:rFonts w:ascii="宋体" w:hAnsi="宋体" w:eastAsia="宋体" w:cs="宋体"/>
                <w:color w:val="auto"/>
                <w:szCs w:val="21"/>
                <w:highlight w:val="none"/>
              </w:rPr>
            </w:pPr>
          </w:p>
        </w:tc>
      </w:tr>
      <w:tr w14:paraId="029EDAEB">
        <w:tblPrEx>
          <w:tblCellMar>
            <w:top w:w="0" w:type="dxa"/>
            <w:left w:w="108" w:type="dxa"/>
            <w:bottom w:w="0" w:type="dxa"/>
            <w:right w:w="108" w:type="dxa"/>
          </w:tblCellMar>
        </w:tblPrEx>
        <w:trPr>
          <w:trHeight w:val="2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048D6F02">
            <w:pPr>
              <w:rPr>
                <w:rFonts w:ascii="宋体" w:hAnsi="宋体" w:eastAsia="宋体" w:cs="宋体"/>
                <w:color w:val="auto"/>
                <w:szCs w:val="21"/>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2A0046">
            <w:pPr>
              <w:rPr>
                <w:rFonts w:ascii="宋体" w:hAnsi="宋体" w:eastAsia="宋体" w:cs="宋体"/>
                <w:color w:val="auto"/>
                <w:szCs w:val="21"/>
                <w:highlight w:val="none"/>
              </w:rPr>
            </w:pP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16F076F7">
            <w:pPr>
              <w:rPr>
                <w:rFonts w:ascii="宋体" w:hAnsi="宋体" w:eastAsia="宋体" w:cs="宋体"/>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576B6D12">
            <w:pPr>
              <w:rPr>
                <w:rFonts w:ascii="宋体" w:hAnsi="宋体" w:eastAsia="宋体" w:cs="宋体"/>
                <w:color w:val="auto"/>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5DE061A">
            <w:pPr>
              <w:rPr>
                <w:rFonts w:ascii="宋体" w:hAnsi="宋体" w:eastAsia="宋体" w:cs="宋体"/>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55052D9">
            <w:pPr>
              <w:rPr>
                <w:rFonts w:ascii="宋体" w:hAnsi="宋体" w:eastAsia="宋体" w:cs="宋体"/>
                <w:color w:val="auto"/>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521F1EF">
            <w:pPr>
              <w:rPr>
                <w:rFonts w:ascii="宋体" w:hAnsi="宋体" w:eastAsia="宋体" w:cs="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F417F6">
            <w:pPr>
              <w:rPr>
                <w:rFonts w:ascii="宋体" w:hAnsi="宋体" w:eastAsia="宋体" w:cs="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A71D49">
            <w:pPr>
              <w:rPr>
                <w:rFonts w:ascii="宋体" w:hAnsi="宋体" w:eastAsia="宋体" w:cs="宋体"/>
                <w:color w:val="auto"/>
                <w:szCs w:val="21"/>
                <w:highlight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A17642">
            <w:pPr>
              <w:rPr>
                <w:rFonts w:ascii="宋体" w:hAnsi="宋体" w:eastAsia="宋体" w:cs="宋体"/>
                <w:color w:val="auto"/>
                <w:szCs w:val="21"/>
                <w:highlight w:val="none"/>
              </w:rPr>
            </w:pPr>
          </w:p>
        </w:tc>
      </w:tr>
      <w:bookmarkEnd w:id="84"/>
      <w:bookmarkEnd w:id="85"/>
      <w:bookmarkEnd w:id="86"/>
      <w:bookmarkEnd w:id="87"/>
    </w:tbl>
    <w:p w14:paraId="5F7A21F4">
      <w:pPr>
        <w:rPr>
          <w:rFonts w:ascii="宋体" w:hAnsi="宋体" w:eastAsia="宋体" w:cs="宋体"/>
          <w:color w:val="auto"/>
          <w:kern w:val="0"/>
          <w:szCs w:val="21"/>
          <w:highlight w:val="none"/>
        </w:rPr>
      </w:pPr>
    </w:p>
    <w:p w14:paraId="19A862D5">
      <w:pPr>
        <w:spacing w:line="360" w:lineRule="auto"/>
        <w:rPr>
          <w:rFonts w:ascii="宋体" w:hAnsi="宋体" w:eastAsia="宋体" w:cs="宋体"/>
          <w:color w:val="auto"/>
          <w:sz w:val="32"/>
          <w:szCs w:val="32"/>
          <w:highlight w:val="none"/>
        </w:rPr>
      </w:pPr>
    </w:p>
    <w:p w14:paraId="2D13DC72">
      <w:pPr>
        <w:pStyle w:val="2"/>
        <w:rPr>
          <w:rFonts w:ascii="宋体" w:hAnsi="宋体" w:eastAsia="宋体" w:cs="宋体"/>
          <w:color w:val="auto"/>
          <w:sz w:val="32"/>
          <w:szCs w:val="32"/>
          <w:highlight w:val="none"/>
        </w:rPr>
      </w:pPr>
    </w:p>
    <w:p w14:paraId="638E1269">
      <w:pPr>
        <w:rPr>
          <w:rFonts w:ascii="宋体" w:hAnsi="宋体" w:eastAsia="宋体" w:cs="宋体"/>
          <w:color w:val="auto"/>
          <w:sz w:val="32"/>
          <w:szCs w:val="32"/>
          <w:highlight w:val="none"/>
        </w:rPr>
      </w:pPr>
    </w:p>
    <w:p w14:paraId="67EC73DE">
      <w:pPr>
        <w:pStyle w:val="2"/>
        <w:rPr>
          <w:rFonts w:ascii="宋体" w:hAnsi="宋体" w:eastAsia="宋体" w:cs="宋体"/>
          <w:color w:val="auto"/>
          <w:sz w:val="32"/>
          <w:szCs w:val="32"/>
          <w:highlight w:val="none"/>
        </w:rPr>
      </w:pPr>
    </w:p>
    <w:p w14:paraId="47908424">
      <w:pPr>
        <w:rPr>
          <w:rFonts w:ascii="宋体" w:hAnsi="宋体" w:eastAsia="宋体" w:cs="宋体"/>
          <w:color w:val="auto"/>
          <w:sz w:val="32"/>
          <w:szCs w:val="32"/>
          <w:highlight w:val="none"/>
        </w:rPr>
      </w:pPr>
    </w:p>
    <w:p w14:paraId="102A66AB">
      <w:pPr>
        <w:pStyle w:val="2"/>
        <w:rPr>
          <w:rFonts w:ascii="宋体" w:hAnsi="宋体" w:eastAsia="宋体" w:cs="宋体"/>
          <w:color w:val="auto"/>
          <w:sz w:val="32"/>
          <w:szCs w:val="32"/>
          <w:highlight w:val="none"/>
        </w:rPr>
      </w:pPr>
    </w:p>
    <w:p w14:paraId="7DD24659">
      <w:pPr>
        <w:rPr>
          <w:rFonts w:ascii="宋体" w:hAnsi="宋体" w:eastAsia="宋体" w:cs="宋体"/>
          <w:color w:val="auto"/>
          <w:sz w:val="32"/>
          <w:szCs w:val="32"/>
          <w:highlight w:val="none"/>
        </w:rPr>
      </w:pPr>
    </w:p>
    <w:p w14:paraId="617FF210">
      <w:pPr>
        <w:pStyle w:val="2"/>
        <w:rPr>
          <w:rFonts w:ascii="宋体" w:hAnsi="宋体" w:eastAsia="宋体" w:cs="宋体"/>
          <w:color w:val="auto"/>
          <w:sz w:val="32"/>
          <w:szCs w:val="32"/>
          <w:highlight w:val="none"/>
        </w:rPr>
      </w:pPr>
    </w:p>
    <w:p w14:paraId="07028D72">
      <w:pPr>
        <w:rPr>
          <w:rFonts w:ascii="宋体" w:hAnsi="宋体" w:eastAsia="宋体" w:cs="宋体"/>
          <w:color w:val="auto"/>
          <w:sz w:val="32"/>
          <w:szCs w:val="32"/>
          <w:highlight w:val="none"/>
        </w:rPr>
      </w:pPr>
    </w:p>
    <w:p w14:paraId="3F063AB9">
      <w:pPr>
        <w:pStyle w:val="4"/>
        <w:rPr>
          <w:color w:val="auto"/>
          <w:highlight w:val="none"/>
        </w:rPr>
      </w:pPr>
    </w:p>
    <w:p w14:paraId="3E31BB7C">
      <w:pPr>
        <w:pStyle w:val="2"/>
        <w:rPr>
          <w:rFonts w:ascii="宋体" w:hAnsi="宋体" w:eastAsia="宋体" w:cs="宋体"/>
          <w:color w:val="auto"/>
          <w:sz w:val="32"/>
          <w:szCs w:val="32"/>
          <w:highlight w:val="none"/>
        </w:rPr>
      </w:pPr>
    </w:p>
    <w:p w14:paraId="520D8D67">
      <w:pPr>
        <w:rPr>
          <w:rFonts w:ascii="宋体" w:hAnsi="宋体" w:eastAsia="宋体" w:cs="宋体"/>
          <w:color w:val="auto"/>
          <w:sz w:val="32"/>
          <w:szCs w:val="32"/>
          <w:highlight w:val="none"/>
        </w:rPr>
      </w:pPr>
    </w:p>
    <w:p w14:paraId="0B7B331C">
      <w:pPr>
        <w:spacing w:line="360" w:lineRule="auto"/>
        <w:rPr>
          <w:rFonts w:hint="eastAsia" w:ascii="宋体" w:hAnsi="宋体" w:eastAsia="宋体" w:cs="宋体"/>
          <w:b/>
          <w:bCs/>
          <w:color w:val="auto"/>
          <w:sz w:val="24"/>
          <w:szCs w:val="24"/>
          <w:highlight w:val="none"/>
        </w:rPr>
      </w:pPr>
    </w:p>
    <w:p w14:paraId="68560A29">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p>
    <w:p w14:paraId="67A93B28">
      <w:pPr>
        <w:numPr>
          <w:ilvl w:val="0"/>
          <w:numId w:val="0"/>
        </w:num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危险性较大的分部分项工程量清单及超过一定规模的危险性较大的分部分项工程量清单</w:t>
      </w:r>
    </w:p>
    <w:p w14:paraId="0E98B87D">
      <w:pPr>
        <w:numPr>
          <w:ilvl w:val="0"/>
          <w:numId w:val="0"/>
        </w:num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按投标文件格式</w:t>
      </w:r>
      <w:r>
        <w:rPr>
          <w:rFonts w:hint="eastAsia" w:ascii="宋体" w:hAnsi="宋体" w:eastAsia="宋体" w:cs="宋体"/>
          <w:b/>
          <w:bCs/>
          <w:color w:val="auto"/>
          <w:sz w:val="24"/>
          <w:szCs w:val="24"/>
          <w:highlight w:val="none"/>
          <w:lang w:eastAsia="zh-CN"/>
        </w:rPr>
        <w:t>）</w:t>
      </w:r>
    </w:p>
    <w:p w14:paraId="65C34E9F">
      <w:pPr>
        <w:rPr>
          <w:rFonts w:hint="eastAsia" w:ascii="宋体" w:hAnsi="宋体" w:eastAsia="宋体" w:cs="宋体"/>
          <w:b/>
          <w:bCs/>
          <w:color w:val="auto"/>
          <w:sz w:val="24"/>
          <w:szCs w:val="24"/>
          <w:highlight w:val="none"/>
        </w:rPr>
      </w:pPr>
    </w:p>
    <w:p w14:paraId="4CF4A7A8">
      <w:pPr>
        <w:rPr>
          <w:rFonts w:hint="eastAsia" w:ascii="宋体" w:hAnsi="宋体" w:eastAsia="宋体" w:cs="宋体"/>
          <w:b/>
          <w:bCs/>
          <w:color w:val="auto"/>
          <w:sz w:val="24"/>
          <w:szCs w:val="24"/>
          <w:highlight w:val="none"/>
        </w:rPr>
      </w:pPr>
    </w:p>
    <w:p w14:paraId="088BD7DE">
      <w:pPr>
        <w:rPr>
          <w:rFonts w:hint="eastAsia" w:ascii="宋体" w:hAnsi="宋体" w:eastAsia="宋体" w:cs="宋体"/>
          <w:b/>
          <w:bCs/>
          <w:color w:val="auto"/>
          <w:sz w:val="24"/>
          <w:szCs w:val="24"/>
          <w:highlight w:val="none"/>
        </w:rPr>
      </w:pPr>
    </w:p>
    <w:p w14:paraId="05FF8468">
      <w:pPr>
        <w:rPr>
          <w:rFonts w:hint="eastAsia" w:ascii="宋体" w:hAnsi="宋体" w:eastAsia="宋体" w:cs="宋体"/>
          <w:b/>
          <w:bCs/>
          <w:color w:val="auto"/>
          <w:sz w:val="24"/>
          <w:szCs w:val="24"/>
          <w:highlight w:val="none"/>
        </w:rPr>
      </w:pPr>
    </w:p>
    <w:p w14:paraId="1A41AE3B">
      <w:pPr>
        <w:rPr>
          <w:rFonts w:hint="eastAsia" w:ascii="宋体" w:hAnsi="宋体" w:eastAsia="宋体" w:cs="宋体"/>
          <w:b/>
          <w:bCs/>
          <w:color w:val="auto"/>
          <w:sz w:val="24"/>
          <w:szCs w:val="24"/>
          <w:highlight w:val="none"/>
        </w:rPr>
      </w:pPr>
    </w:p>
    <w:p w14:paraId="65CF778A">
      <w:pPr>
        <w:rPr>
          <w:rFonts w:hint="eastAsia" w:ascii="宋体" w:hAnsi="宋体" w:eastAsia="宋体" w:cs="宋体"/>
          <w:b/>
          <w:bCs/>
          <w:color w:val="auto"/>
          <w:sz w:val="24"/>
          <w:szCs w:val="24"/>
          <w:highlight w:val="none"/>
        </w:rPr>
      </w:pPr>
    </w:p>
    <w:p w14:paraId="7128714A">
      <w:pPr>
        <w:rPr>
          <w:rFonts w:hint="eastAsia" w:ascii="宋体" w:hAnsi="宋体" w:eastAsia="宋体" w:cs="宋体"/>
          <w:b/>
          <w:bCs/>
          <w:color w:val="auto"/>
          <w:sz w:val="24"/>
          <w:szCs w:val="24"/>
          <w:highlight w:val="none"/>
        </w:rPr>
      </w:pPr>
    </w:p>
    <w:p w14:paraId="15AC2971">
      <w:pPr>
        <w:rPr>
          <w:rFonts w:hint="eastAsia" w:ascii="宋体" w:hAnsi="宋体" w:eastAsia="宋体" w:cs="宋体"/>
          <w:b/>
          <w:bCs/>
          <w:color w:val="auto"/>
          <w:sz w:val="24"/>
          <w:szCs w:val="24"/>
          <w:highlight w:val="none"/>
        </w:rPr>
      </w:pPr>
    </w:p>
    <w:p w14:paraId="6561E26A">
      <w:pPr>
        <w:rPr>
          <w:rFonts w:hint="eastAsia" w:ascii="宋体" w:hAnsi="宋体" w:eastAsia="宋体" w:cs="宋体"/>
          <w:b/>
          <w:bCs/>
          <w:color w:val="auto"/>
          <w:sz w:val="24"/>
          <w:szCs w:val="24"/>
          <w:highlight w:val="none"/>
        </w:rPr>
      </w:pPr>
    </w:p>
    <w:p w14:paraId="334F8209">
      <w:pPr>
        <w:rPr>
          <w:rFonts w:hint="eastAsia" w:ascii="宋体" w:hAnsi="宋体" w:eastAsia="宋体" w:cs="宋体"/>
          <w:b/>
          <w:bCs/>
          <w:color w:val="auto"/>
          <w:sz w:val="24"/>
          <w:szCs w:val="24"/>
          <w:highlight w:val="none"/>
        </w:rPr>
      </w:pPr>
    </w:p>
    <w:p w14:paraId="2171AFF9">
      <w:pPr>
        <w:rPr>
          <w:rFonts w:hint="eastAsia" w:ascii="宋体" w:hAnsi="宋体" w:eastAsia="宋体" w:cs="宋体"/>
          <w:b/>
          <w:bCs/>
          <w:color w:val="auto"/>
          <w:sz w:val="24"/>
          <w:szCs w:val="24"/>
          <w:highlight w:val="none"/>
        </w:rPr>
      </w:pPr>
    </w:p>
    <w:p w14:paraId="5CACB588">
      <w:pPr>
        <w:rPr>
          <w:rFonts w:hint="eastAsia" w:ascii="宋体" w:hAnsi="宋体" w:eastAsia="宋体" w:cs="宋体"/>
          <w:b/>
          <w:bCs/>
          <w:color w:val="auto"/>
          <w:sz w:val="24"/>
          <w:szCs w:val="24"/>
          <w:highlight w:val="none"/>
        </w:rPr>
      </w:pPr>
    </w:p>
    <w:p w14:paraId="66590D90">
      <w:pPr>
        <w:rPr>
          <w:rFonts w:hint="eastAsia" w:ascii="宋体" w:hAnsi="宋体" w:eastAsia="宋体" w:cs="宋体"/>
          <w:b/>
          <w:bCs/>
          <w:color w:val="auto"/>
          <w:sz w:val="24"/>
          <w:szCs w:val="24"/>
          <w:highlight w:val="none"/>
        </w:rPr>
      </w:pPr>
    </w:p>
    <w:p w14:paraId="5D7CBBC0">
      <w:pPr>
        <w:rPr>
          <w:rFonts w:hint="eastAsia" w:ascii="宋体" w:hAnsi="宋体" w:eastAsia="宋体" w:cs="宋体"/>
          <w:b/>
          <w:bCs/>
          <w:color w:val="auto"/>
          <w:sz w:val="24"/>
          <w:szCs w:val="24"/>
          <w:highlight w:val="none"/>
        </w:rPr>
      </w:pPr>
    </w:p>
    <w:p w14:paraId="46699F0A">
      <w:pPr>
        <w:rPr>
          <w:rFonts w:hint="eastAsia" w:ascii="宋体" w:hAnsi="宋体" w:eastAsia="宋体" w:cs="宋体"/>
          <w:b/>
          <w:bCs/>
          <w:color w:val="auto"/>
          <w:sz w:val="24"/>
          <w:szCs w:val="24"/>
          <w:highlight w:val="none"/>
        </w:rPr>
      </w:pPr>
    </w:p>
    <w:p w14:paraId="3169FB5A">
      <w:pPr>
        <w:rPr>
          <w:rFonts w:hint="eastAsia" w:ascii="宋体" w:hAnsi="宋体" w:eastAsia="宋体" w:cs="宋体"/>
          <w:b/>
          <w:bCs/>
          <w:color w:val="auto"/>
          <w:sz w:val="24"/>
          <w:szCs w:val="24"/>
          <w:highlight w:val="none"/>
        </w:rPr>
      </w:pPr>
    </w:p>
    <w:p w14:paraId="1DEF9E74">
      <w:pPr>
        <w:rPr>
          <w:rFonts w:hint="eastAsia" w:ascii="宋体" w:hAnsi="宋体" w:eastAsia="宋体" w:cs="宋体"/>
          <w:b/>
          <w:bCs/>
          <w:color w:val="auto"/>
          <w:sz w:val="24"/>
          <w:szCs w:val="24"/>
          <w:highlight w:val="none"/>
        </w:rPr>
      </w:pPr>
    </w:p>
    <w:p w14:paraId="3035A268">
      <w:pPr>
        <w:rPr>
          <w:rFonts w:hint="eastAsia" w:ascii="宋体" w:hAnsi="宋体" w:eastAsia="宋体" w:cs="宋体"/>
          <w:b/>
          <w:bCs/>
          <w:color w:val="auto"/>
          <w:sz w:val="24"/>
          <w:szCs w:val="24"/>
          <w:highlight w:val="none"/>
        </w:rPr>
      </w:pPr>
    </w:p>
    <w:p w14:paraId="19DEC025">
      <w:pPr>
        <w:rPr>
          <w:rFonts w:hint="eastAsia" w:ascii="宋体" w:hAnsi="宋体" w:eastAsia="宋体" w:cs="宋体"/>
          <w:b/>
          <w:bCs/>
          <w:color w:val="auto"/>
          <w:sz w:val="24"/>
          <w:szCs w:val="24"/>
          <w:highlight w:val="none"/>
        </w:rPr>
      </w:pPr>
    </w:p>
    <w:p w14:paraId="7F7B6EAD">
      <w:pPr>
        <w:rPr>
          <w:rFonts w:hint="eastAsia" w:ascii="宋体" w:hAnsi="宋体" w:eastAsia="宋体" w:cs="宋体"/>
          <w:b/>
          <w:bCs/>
          <w:color w:val="auto"/>
          <w:sz w:val="24"/>
          <w:szCs w:val="24"/>
          <w:highlight w:val="none"/>
        </w:rPr>
      </w:pPr>
    </w:p>
    <w:p w14:paraId="725649A8">
      <w:pPr>
        <w:rPr>
          <w:rFonts w:hint="eastAsia" w:ascii="宋体" w:hAnsi="宋体" w:eastAsia="宋体" w:cs="宋体"/>
          <w:b/>
          <w:bCs/>
          <w:color w:val="auto"/>
          <w:sz w:val="24"/>
          <w:szCs w:val="24"/>
          <w:highlight w:val="none"/>
        </w:rPr>
      </w:pPr>
    </w:p>
    <w:p w14:paraId="203DF52A">
      <w:pPr>
        <w:rPr>
          <w:rFonts w:hint="eastAsia" w:ascii="宋体" w:hAnsi="宋体" w:eastAsia="宋体" w:cs="宋体"/>
          <w:b/>
          <w:bCs/>
          <w:color w:val="auto"/>
          <w:sz w:val="24"/>
          <w:szCs w:val="24"/>
          <w:highlight w:val="none"/>
        </w:rPr>
      </w:pPr>
    </w:p>
    <w:p w14:paraId="65CED037">
      <w:pPr>
        <w:rPr>
          <w:rFonts w:hint="eastAsia" w:ascii="宋体" w:hAnsi="宋体" w:eastAsia="宋体" w:cs="宋体"/>
          <w:b/>
          <w:bCs/>
          <w:color w:val="auto"/>
          <w:sz w:val="24"/>
          <w:szCs w:val="24"/>
          <w:highlight w:val="none"/>
        </w:rPr>
      </w:pPr>
    </w:p>
    <w:p w14:paraId="16763241">
      <w:pPr>
        <w:rPr>
          <w:rFonts w:hint="eastAsia" w:ascii="宋体" w:hAnsi="宋体" w:eastAsia="宋体" w:cs="宋体"/>
          <w:b/>
          <w:bCs/>
          <w:color w:val="auto"/>
          <w:sz w:val="24"/>
          <w:szCs w:val="24"/>
          <w:highlight w:val="none"/>
        </w:rPr>
      </w:pPr>
    </w:p>
    <w:p w14:paraId="54FA09D6">
      <w:pPr>
        <w:rPr>
          <w:rFonts w:hint="eastAsia" w:ascii="宋体" w:hAnsi="宋体" w:eastAsia="宋体" w:cs="宋体"/>
          <w:b/>
          <w:bCs/>
          <w:color w:val="auto"/>
          <w:sz w:val="24"/>
          <w:szCs w:val="24"/>
          <w:highlight w:val="none"/>
        </w:rPr>
      </w:pPr>
    </w:p>
    <w:p w14:paraId="2DEE5273">
      <w:pPr>
        <w:rPr>
          <w:rFonts w:hint="eastAsia" w:ascii="宋体" w:hAnsi="宋体" w:eastAsia="宋体" w:cs="宋体"/>
          <w:b/>
          <w:bCs/>
          <w:color w:val="auto"/>
          <w:sz w:val="24"/>
          <w:szCs w:val="24"/>
          <w:highlight w:val="none"/>
        </w:rPr>
      </w:pPr>
    </w:p>
    <w:p w14:paraId="4A11A68B">
      <w:pPr>
        <w:pStyle w:val="4"/>
        <w:rPr>
          <w:rFonts w:hint="eastAsia" w:ascii="宋体" w:hAnsi="宋体" w:eastAsia="宋体" w:cs="宋体"/>
          <w:b/>
          <w:bCs/>
          <w:color w:val="auto"/>
          <w:sz w:val="24"/>
          <w:szCs w:val="24"/>
          <w:highlight w:val="none"/>
        </w:rPr>
      </w:pPr>
    </w:p>
    <w:p w14:paraId="56278204">
      <w:pPr>
        <w:rPr>
          <w:rFonts w:hint="eastAsia" w:ascii="宋体" w:hAnsi="宋体" w:eastAsia="宋体" w:cs="宋体"/>
          <w:b/>
          <w:bCs/>
          <w:color w:val="auto"/>
          <w:sz w:val="24"/>
          <w:szCs w:val="24"/>
          <w:highlight w:val="none"/>
        </w:rPr>
      </w:pPr>
    </w:p>
    <w:p w14:paraId="3C93FE30">
      <w:pPr>
        <w:pStyle w:val="4"/>
        <w:rPr>
          <w:rFonts w:hint="eastAsia"/>
          <w:color w:val="auto"/>
          <w:highlight w:val="none"/>
        </w:rPr>
      </w:pPr>
    </w:p>
    <w:p w14:paraId="56A9D0AD">
      <w:pPr>
        <w:rPr>
          <w:rFonts w:hint="eastAsia" w:ascii="宋体" w:hAnsi="宋体" w:eastAsia="宋体" w:cs="宋体"/>
          <w:b/>
          <w:bCs/>
          <w:color w:val="auto"/>
          <w:sz w:val="24"/>
          <w:szCs w:val="24"/>
          <w:highlight w:val="none"/>
        </w:rPr>
      </w:pPr>
    </w:p>
    <w:p w14:paraId="7BD1802B">
      <w:pPr>
        <w:rPr>
          <w:rFonts w:hint="eastAsia" w:ascii="宋体" w:hAnsi="宋体" w:eastAsia="宋体" w:cs="宋体"/>
          <w:b/>
          <w:bCs/>
          <w:color w:val="auto"/>
          <w:sz w:val="24"/>
          <w:szCs w:val="24"/>
          <w:highlight w:val="none"/>
        </w:rPr>
      </w:pPr>
    </w:p>
    <w:p w14:paraId="235EBF14">
      <w:pPr>
        <w:rPr>
          <w:rFonts w:hint="eastAsia" w:ascii="宋体" w:hAnsi="宋体" w:eastAsia="宋体" w:cs="宋体"/>
          <w:b/>
          <w:bCs/>
          <w:color w:val="auto"/>
          <w:sz w:val="24"/>
          <w:szCs w:val="24"/>
          <w:highlight w:val="none"/>
        </w:rPr>
      </w:pPr>
    </w:p>
    <w:p w14:paraId="14633CBC">
      <w:pPr>
        <w:rPr>
          <w:rFonts w:hint="eastAsia" w:ascii="宋体" w:hAnsi="宋体" w:eastAsia="宋体" w:cs="宋体"/>
          <w:b/>
          <w:bCs/>
          <w:color w:val="auto"/>
          <w:sz w:val="24"/>
          <w:szCs w:val="24"/>
          <w:highlight w:val="none"/>
        </w:rPr>
      </w:pPr>
    </w:p>
    <w:p w14:paraId="102A4A8A">
      <w:pPr>
        <w:rPr>
          <w:rFonts w:hint="eastAsia" w:ascii="宋体" w:hAnsi="宋体" w:eastAsia="宋体" w:cs="宋体"/>
          <w:b/>
          <w:bCs/>
          <w:color w:val="auto"/>
          <w:sz w:val="24"/>
          <w:szCs w:val="24"/>
          <w:highlight w:val="none"/>
        </w:rPr>
      </w:pPr>
    </w:p>
    <w:p w14:paraId="7B1D8AA4">
      <w:pPr>
        <w:rPr>
          <w:rFonts w:hint="eastAsia" w:ascii="宋体" w:hAnsi="宋体" w:eastAsia="宋体" w:cs="宋体"/>
          <w:b/>
          <w:bCs/>
          <w:color w:val="auto"/>
          <w:sz w:val="24"/>
          <w:szCs w:val="24"/>
          <w:highlight w:val="none"/>
        </w:rPr>
      </w:pPr>
    </w:p>
    <w:p w14:paraId="676D6E5A">
      <w:pPr>
        <w:rPr>
          <w:rFonts w:hint="eastAsia" w:ascii="宋体" w:hAnsi="宋体" w:eastAsia="宋体" w:cs="宋体"/>
          <w:b/>
          <w:bCs/>
          <w:color w:val="auto"/>
          <w:sz w:val="24"/>
          <w:szCs w:val="24"/>
          <w:highlight w:val="none"/>
        </w:rPr>
      </w:pPr>
    </w:p>
    <w:p w14:paraId="4C3E2F9E">
      <w:pPr>
        <w:rPr>
          <w:rFonts w:hint="eastAsia" w:ascii="宋体" w:hAnsi="宋体" w:eastAsia="宋体" w:cs="宋体"/>
          <w:b/>
          <w:bCs/>
          <w:color w:val="auto"/>
          <w:sz w:val="24"/>
          <w:szCs w:val="24"/>
          <w:highlight w:val="none"/>
        </w:rPr>
      </w:pPr>
    </w:p>
    <w:p w14:paraId="4218B7E7">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w:t>
      </w:r>
    </w:p>
    <w:p w14:paraId="459985A3">
      <w:pPr>
        <w:numPr>
          <w:ilvl w:val="0"/>
          <w:numId w:val="0"/>
        </w:num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标函承诺书</w:t>
      </w:r>
    </w:p>
    <w:p w14:paraId="513764E6">
      <w:pPr>
        <w:rPr>
          <w:rFonts w:hint="eastAsia" w:ascii="宋体" w:hAnsi="宋体" w:eastAsia="宋体" w:cs="宋体"/>
          <w:b/>
          <w:bCs/>
          <w:color w:val="auto"/>
          <w:sz w:val="24"/>
          <w:szCs w:val="24"/>
          <w:highlight w:val="none"/>
        </w:rPr>
      </w:pPr>
    </w:p>
    <w:p w14:paraId="7766FD20">
      <w:pPr>
        <w:numPr>
          <w:ilvl w:val="0"/>
          <w:numId w:val="0"/>
        </w:num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按投标文件格式</w:t>
      </w:r>
      <w:r>
        <w:rPr>
          <w:rFonts w:hint="eastAsia" w:ascii="宋体" w:hAnsi="宋体" w:eastAsia="宋体" w:cs="宋体"/>
          <w:b/>
          <w:bCs/>
          <w:color w:val="auto"/>
          <w:sz w:val="24"/>
          <w:szCs w:val="24"/>
          <w:highlight w:val="none"/>
          <w:lang w:eastAsia="zh-CN"/>
        </w:rPr>
        <w:t>）</w:t>
      </w:r>
    </w:p>
    <w:p w14:paraId="755C8244">
      <w:pPr>
        <w:rPr>
          <w:rFonts w:hint="eastAsia" w:ascii="宋体" w:hAnsi="宋体" w:eastAsia="宋体" w:cs="宋体"/>
          <w:b/>
          <w:bCs/>
          <w:color w:val="auto"/>
          <w:sz w:val="24"/>
          <w:szCs w:val="24"/>
          <w:highlight w:val="none"/>
        </w:rPr>
      </w:pPr>
    </w:p>
    <w:p w14:paraId="54D6558D">
      <w:pPr>
        <w:rPr>
          <w:rFonts w:hint="eastAsia" w:ascii="宋体" w:hAnsi="宋体" w:eastAsia="宋体" w:cs="宋体"/>
          <w:b/>
          <w:bCs/>
          <w:color w:val="auto"/>
          <w:sz w:val="24"/>
          <w:szCs w:val="24"/>
          <w:highlight w:val="none"/>
        </w:rPr>
      </w:pPr>
    </w:p>
    <w:p w14:paraId="733E05C4">
      <w:pPr>
        <w:rPr>
          <w:rFonts w:hint="eastAsia" w:ascii="宋体" w:hAnsi="宋体" w:eastAsia="宋体" w:cs="宋体"/>
          <w:b/>
          <w:bCs/>
          <w:color w:val="auto"/>
          <w:sz w:val="24"/>
          <w:szCs w:val="24"/>
          <w:highlight w:val="none"/>
        </w:rPr>
      </w:pPr>
    </w:p>
    <w:p w14:paraId="07BD8DB3">
      <w:pPr>
        <w:rPr>
          <w:rFonts w:hint="eastAsia" w:ascii="宋体" w:hAnsi="宋体" w:eastAsia="宋体" w:cs="宋体"/>
          <w:b/>
          <w:bCs/>
          <w:color w:val="auto"/>
          <w:sz w:val="24"/>
          <w:szCs w:val="24"/>
          <w:highlight w:val="none"/>
        </w:rPr>
      </w:pPr>
    </w:p>
    <w:p w14:paraId="03413505">
      <w:pPr>
        <w:rPr>
          <w:rFonts w:hint="eastAsia" w:ascii="宋体" w:hAnsi="宋体" w:eastAsia="宋体" w:cs="宋体"/>
          <w:b/>
          <w:bCs/>
          <w:color w:val="auto"/>
          <w:sz w:val="24"/>
          <w:szCs w:val="24"/>
          <w:highlight w:val="none"/>
        </w:rPr>
      </w:pPr>
    </w:p>
    <w:p w14:paraId="135F43A5">
      <w:pPr>
        <w:rPr>
          <w:rFonts w:hint="eastAsia" w:ascii="宋体" w:hAnsi="宋体" w:eastAsia="宋体" w:cs="宋体"/>
          <w:b/>
          <w:bCs/>
          <w:color w:val="auto"/>
          <w:sz w:val="24"/>
          <w:szCs w:val="24"/>
          <w:highlight w:val="none"/>
        </w:rPr>
      </w:pPr>
    </w:p>
    <w:p w14:paraId="76755D50">
      <w:pPr>
        <w:rPr>
          <w:rFonts w:hint="eastAsia" w:ascii="宋体" w:hAnsi="宋体" w:eastAsia="宋体" w:cs="宋体"/>
          <w:b/>
          <w:bCs/>
          <w:color w:val="auto"/>
          <w:sz w:val="24"/>
          <w:szCs w:val="24"/>
          <w:highlight w:val="none"/>
        </w:rPr>
      </w:pPr>
    </w:p>
    <w:p w14:paraId="5428F7DE">
      <w:pPr>
        <w:rPr>
          <w:rFonts w:hint="eastAsia" w:ascii="宋体" w:hAnsi="宋体" w:eastAsia="宋体" w:cs="宋体"/>
          <w:b/>
          <w:bCs/>
          <w:color w:val="auto"/>
          <w:sz w:val="24"/>
          <w:szCs w:val="24"/>
          <w:highlight w:val="none"/>
        </w:rPr>
      </w:pPr>
    </w:p>
    <w:p w14:paraId="21C9FEAF">
      <w:pPr>
        <w:rPr>
          <w:rFonts w:hint="eastAsia" w:ascii="宋体" w:hAnsi="宋体" w:eastAsia="宋体" w:cs="宋体"/>
          <w:b/>
          <w:bCs/>
          <w:color w:val="auto"/>
          <w:sz w:val="24"/>
          <w:szCs w:val="24"/>
          <w:highlight w:val="none"/>
        </w:rPr>
      </w:pPr>
    </w:p>
    <w:p w14:paraId="4A3C21A2">
      <w:pPr>
        <w:rPr>
          <w:rFonts w:hint="eastAsia" w:ascii="宋体" w:hAnsi="宋体" w:eastAsia="宋体" w:cs="宋体"/>
          <w:b/>
          <w:bCs/>
          <w:color w:val="auto"/>
          <w:sz w:val="24"/>
          <w:szCs w:val="24"/>
          <w:highlight w:val="none"/>
        </w:rPr>
      </w:pPr>
    </w:p>
    <w:p w14:paraId="27758E14">
      <w:pPr>
        <w:rPr>
          <w:rFonts w:hint="eastAsia" w:ascii="宋体" w:hAnsi="宋体" w:eastAsia="宋体" w:cs="宋体"/>
          <w:b/>
          <w:bCs/>
          <w:color w:val="auto"/>
          <w:sz w:val="24"/>
          <w:szCs w:val="24"/>
          <w:highlight w:val="none"/>
        </w:rPr>
      </w:pPr>
    </w:p>
    <w:p w14:paraId="1218B5F6">
      <w:pPr>
        <w:rPr>
          <w:rFonts w:hint="eastAsia" w:ascii="宋体" w:hAnsi="宋体" w:eastAsia="宋体" w:cs="宋体"/>
          <w:b/>
          <w:bCs/>
          <w:color w:val="auto"/>
          <w:sz w:val="24"/>
          <w:szCs w:val="24"/>
          <w:highlight w:val="none"/>
        </w:rPr>
      </w:pPr>
    </w:p>
    <w:p w14:paraId="4635E5E6">
      <w:pPr>
        <w:rPr>
          <w:rFonts w:hint="eastAsia" w:ascii="宋体" w:hAnsi="宋体" w:eastAsia="宋体" w:cs="宋体"/>
          <w:b/>
          <w:bCs/>
          <w:color w:val="auto"/>
          <w:sz w:val="24"/>
          <w:szCs w:val="24"/>
          <w:highlight w:val="none"/>
        </w:rPr>
      </w:pPr>
    </w:p>
    <w:p w14:paraId="7E3530F2">
      <w:pPr>
        <w:rPr>
          <w:rFonts w:hint="eastAsia" w:ascii="宋体" w:hAnsi="宋体" w:eastAsia="宋体" w:cs="宋体"/>
          <w:b/>
          <w:bCs/>
          <w:color w:val="auto"/>
          <w:sz w:val="24"/>
          <w:szCs w:val="24"/>
          <w:highlight w:val="none"/>
        </w:rPr>
      </w:pPr>
    </w:p>
    <w:p w14:paraId="16266D10">
      <w:pPr>
        <w:rPr>
          <w:rFonts w:hint="eastAsia" w:ascii="宋体" w:hAnsi="宋体" w:eastAsia="宋体" w:cs="宋体"/>
          <w:b/>
          <w:bCs/>
          <w:color w:val="auto"/>
          <w:sz w:val="24"/>
          <w:szCs w:val="24"/>
          <w:highlight w:val="none"/>
        </w:rPr>
      </w:pPr>
    </w:p>
    <w:p w14:paraId="5F71CC93">
      <w:pPr>
        <w:rPr>
          <w:rFonts w:hint="eastAsia" w:ascii="宋体" w:hAnsi="宋体" w:eastAsia="宋体" w:cs="宋体"/>
          <w:b/>
          <w:bCs/>
          <w:color w:val="auto"/>
          <w:sz w:val="24"/>
          <w:szCs w:val="24"/>
          <w:highlight w:val="none"/>
        </w:rPr>
      </w:pPr>
    </w:p>
    <w:p w14:paraId="573ED7B8">
      <w:pPr>
        <w:rPr>
          <w:rFonts w:hint="eastAsia" w:ascii="宋体" w:hAnsi="宋体" w:eastAsia="宋体" w:cs="宋体"/>
          <w:b/>
          <w:bCs/>
          <w:color w:val="auto"/>
          <w:sz w:val="24"/>
          <w:szCs w:val="24"/>
          <w:highlight w:val="none"/>
        </w:rPr>
      </w:pPr>
    </w:p>
    <w:p w14:paraId="793B7B26">
      <w:pPr>
        <w:rPr>
          <w:rFonts w:hint="eastAsia" w:ascii="宋体" w:hAnsi="宋体" w:eastAsia="宋体" w:cs="宋体"/>
          <w:b/>
          <w:bCs/>
          <w:color w:val="auto"/>
          <w:sz w:val="24"/>
          <w:szCs w:val="24"/>
          <w:highlight w:val="none"/>
        </w:rPr>
      </w:pPr>
    </w:p>
    <w:p w14:paraId="6780BB9B">
      <w:pPr>
        <w:rPr>
          <w:rFonts w:hint="eastAsia" w:ascii="宋体" w:hAnsi="宋体" w:eastAsia="宋体" w:cs="宋体"/>
          <w:b/>
          <w:bCs/>
          <w:color w:val="auto"/>
          <w:sz w:val="24"/>
          <w:szCs w:val="24"/>
          <w:highlight w:val="none"/>
        </w:rPr>
      </w:pPr>
    </w:p>
    <w:p w14:paraId="0BF3313F">
      <w:pPr>
        <w:rPr>
          <w:rFonts w:hint="eastAsia" w:ascii="宋体" w:hAnsi="宋体" w:eastAsia="宋体" w:cs="宋体"/>
          <w:b/>
          <w:bCs/>
          <w:color w:val="auto"/>
          <w:sz w:val="24"/>
          <w:szCs w:val="24"/>
          <w:highlight w:val="none"/>
        </w:rPr>
      </w:pPr>
    </w:p>
    <w:p w14:paraId="0D1D86C6">
      <w:pPr>
        <w:rPr>
          <w:rFonts w:hint="eastAsia" w:ascii="宋体" w:hAnsi="宋体" w:eastAsia="宋体" w:cs="宋体"/>
          <w:b/>
          <w:bCs/>
          <w:color w:val="auto"/>
          <w:sz w:val="24"/>
          <w:szCs w:val="24"/>
          <w:highlight w:val="none"/>
        </w:rPr>
      </w:pPr>
    </w:p>
    <w:p w14:paraId="010B9682">
      <w:pPr>
        <w:rPr>
          <w:rFonts w:hint="eastAsia" w:ascii="宋体" w:hAnsi="宋体" w:eastAsia="宋体" w:cs="宋体"/>
          <w:b/>
          <w:bCs/>
          <w:color w:val="auto"/>
          <w:sz w:val="24"/>
          <w:szCs w:val="24"/>
          <w:highlight w:val="none"/>
        </w:rPr>
      </w:pPr>
    </w:p>
    <w:p w14:paraId="16DEA405">
      <w:pPr>
        <w:rPr>
          <w:rFonts w:hint="eastAsia" w:ascii="宋体" w:hAnsi="宋体" w:eastAsia="宋体" w:cs="宋体"/>
          <w:b/>
          <w:bCs/>
          <w:color w:val="auto"/>
          <w:sz w:val="24"/>
          <w:szCs w:val="24"/>
          <w:highlight w:val="none"/>
        </w:rPr>
      </w:pPr>
    </w:p>
    <w:p w14:paraId="0135700A">
      <w:pPr>
        <w:rPr>
          <w:rFonts w:hint="eastAsia" w:ascii="宋体" w:hAnsi="宋体" w:eastAsia="宋体" w:cs="宋体"/>
          <w:b/>
          <w:bCs/>
          <w:color w:val="auto"/>
          <w:sz w:val="24"/>
          <w:szCs w:val="24"/>
          <w:highlight w:val="none"/>
        </w:rPr>
      </w:pPr>
    </w:p>
    <w:p w14:paraId="233AAEC5">
      <w:pPr>
        <w:rPr>
          <w:rFonts w:hint="eastAsia" w:ascii="宋体" w:hAnsi="宋体" w:eastAsia="宋体" w:cs="宋体"/>
          <w:b/>
          <w:bCs/>
          <w:color w:val="auto"/>
          <w:sz w:val="24"/>
          <w:szCs w:val="24"/>
          <w:highlight w:val="none"/>
        </w:rPr>
      </w:pPr>
    </w:p>
    <w:p w14:paraId="1FC2D5A4">
      <w:pPr>
        <w:rPr>
          <w:rFonts w:hint="eastAsia" w:ascii="宋体" w:hAnsi="宋体" w:eastAsia="宋体" w:cs="宋体"/>
          <w:b/>
          <w:bCs/>
          <w:color w:val="auto"/>
          <w:sz w:val="24"/>
          <w:szCs w:val="24"/>
          <w:highlight w:val="none"/>
        </w:rPr>
      </w:pPr>
    </w:p>
    <w:p w14:paraId="39325E2F">
      <w:pPr>
        <w:rPr>
          <w:rFonts w:hint="eastAsia" w:ascii="宋体" w:hAnsi="宋体" w:eastAsia="宋体" w:cs="宋体"/>
          <w:b/>
          <w:bCs/>
          <w:color w:val="auto"/>
          <w:sz w:val="24"/>
          <w:szCs w:val="24"/>
          <w:highlight w:val="none"/>
        </w:rPr>
      </w:pPr>
    </w:p>
    <w:p w14:paraId="52DDAFB8">
      <w:pPr>
        <w:rPr>
          <w:rFonts w:hint="eastAsia" w:ascii="宋体" w:hAnsi="宋体" w:eastAsia="宋体" w:cs="宋体"/>
          <w:b/>
          <w:bCs/>
          <w:color w:val="auto"/>
          <w:sz w:val="24"/>
          <w:szCs w:val="24"/>
          <w:highlight w:val="none"/>
        </w:rPr>
      </w:pPr>
    </w:p>
    <w:p w14:paraId="1496E814">
      <w:pPr>
        <w:rPr>
          <w:rFonts w:hint="eastAsia" w:ascii="宋体" w:hAnsi="宋体" w:eastAsia="宋体" w:cs="宋体"/>
          <w:b/>
          <w:bCs/>
          <w:color w:val="auto"/>
          <w:sz w:val="24"/>
          <w:szCs w:val="24"/>
          <w:highlight w:val="none"/>
        </w:rPr>
      </w:pPr>
    </w:p>
    <w:p w14:paraId="47A6A837">
      <w:pPr>
        <w:pStyle w:val="4"/>
        <w:rPr>
          <w:rFonts w:hint="eastAsia" w:ascii="宋体" w:hAnsi="宋体" w:eastAsia="宋体" w:cs="宋体"/>
          <w:b/>
          <w:bCs/>
          <w:color w:val="auto"/>
          <w:sz w:val="24"/>
          <w:szCs w:val="24"/>
          <w:highlight w:val="none"/>
        </w:rPr>
      </w:pPr>
    </w:p>
    <w:p w14:paraId="434BE636">
      <w:pPr>
        <w:rPr>
          <w:rFonts w:hint="eastAsia"/>
          <w:color w:val="auto"/>
          <w:highlight w:val="none"/>
        </w:rPr>
      </w:pPr>
    </w:p>
    <w:p w14:paraId="03769AFB">
      <w:pPr>
        <w:rPr>
          <w:rFonts w:hint="eastAsia" w:ascii="宋体" w:hAnsi="宋体" w:eastAsia="宋体" w:cs="宋体"/>
          <w:b/>
          <w:bCs/>
          <w:color w:val="auto"/>
          <w:sz w:val="24"/>
          <w:szCs w:val="24"/>
          <w:highlight w:val="none"/>
        </w:rPr>
      </w:pPr>
    </w:p>
    <w:p w14:paraId="43BF0446">
      <w:pPr>
        <w:rPr>
          <w:rFonts w:hint="eastAsia" w:ascii="宋体" w:hAnsi="宋体" w:eastAsia="宋体" w:cs="宋体"/>
          <w:b/>
          <w:bCs/>
          <w:color w:val="auto"/>
          <w:sz w:val="24"/>
          <w:szCs w:val="24"/>
          <w:highlight w:val="none"/>
        </w:rPr>
      </w:pPr>
    </w:p>
    <w:p w14:paraId="6D2E84D7">
      <w:pPr>
        <w:rPr>
          <w:rFonts w:hint="eastAsia" w:ascii="宋体" w:hAnsi="宋体" w:eastAsia="宋体" w:cs="宋体"/>
          <w:b/>
          <w:bCs/>
          <w:color w:val="auto"/>
          <w:sz w:val="24"/>
          <w:szCs w:val="24"/>
          <w:highlight w:val="none"/>
        </w:rPr>
      </w:pPr>
    </w:p>
    <w:p w14:paraId="615748F7">
      <w:pPr>
        <w:rPr>
          <w:rFonts w:hint="eastAsia" w:ascii="宋体" w:hAnsi="宋体" w:eastAsia="宋体" w:cs="宋体"/>
          <w:b/>
          <w:bCs/>
          <w:color w:val="auto"/>
          <w:sz w:val="24"/>
          <w:szCs w:val="24"/>
          <w:highlight w:val="none"/>
        </w:rPr>
      </w:pPr>
    </w:p>
    <w:p w14:paraId="082DC6B3">
      <w:pPr>
        <w:rPr>
          <w:rFonts w:hint="eastAsia" w:ascii="宋体" w:hAnsi="宋体" w:eastAsia="宋体" w:cs="宋体"/>
          <w:b/>
          <w:bCs/>
          <w:color w:val="auto"/>
          <w:sz w:val="24"/>
          <w:szCs w:val="24"/>
          <w:highlight w:val="none"/>
        </w:rPr>
      </w:pPr>
    </w:p>
    <w:p w14:paraId="4DE37E06">
      <w:pPr>
        <w:rPr>
          <w:rFonts w:hint="eastAsia" w:ascii="宋体" w:hAnsi="宋体" w:eastAsia="宋体" w:cs="宋体"/>
          <w:b/>
          <w:bCs/>
          <w:color w:val="auto"/>
          <w:sz w:val="24"/>
          <w:szCs w:val="24"/>
          <w:highlight w:val="none"/>
        </w:rPr>
      </w:pPr>
    </w:p>
    <w:p w14:paraId="3C779D5E">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w:t>
      </w:r>
    </w:p>
    <w:p w14:paraId="5CDC6174">
      <w:pPr>
        <w:pStyle w:val="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中小企业声明函（如有）</w:t>
      </w:r>
    </w:p>
    <w:p w14:paraId="519FBAEC">
      <w:pPr>
        <w:numPr>
          <w:ilvl w:val="0"/>
          <w:numId w:val="0"/>
        </w:num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按投标文件格式</w:t>
      </w:r>
      <w:r>
        <w:rPr>
          <w:rFonts w:hint="eastAsia" w:ascii="宋体" w:hAnsi="宋体" w:eastAsia="宋体" w:cs="宋体"/>
          <w:b/>
          <w:bCs/>
          <w:color w:val="auto"/>
          <w:sz w:val="24"/>
          <w:szCs w:val="24"/>
          <w:highlight w:val="none"/>
          <w:lang w:eastAsia="zh-CN"/>
        </w:rPr>
        <w:t>）</w:t>
      </w:r>
    </w:p>
    <w:p w14:paraId="6A59A6DE">
      <w:pPr>
        <w:rPr>
          <w:rFonts w:hint="default"/>
          <w:color w:val="auto"/>
          <w:highlight w:val="none"/>
          <w:lang w:val="en-US" w:eastAsia="zh-CN"/>
        </w:rPr>
      </w:pPr>
    </w:p>
    <w:p w14:paraId="2DEBF642">
      <w:pPr>
        <w:rPr>
          <w:rFonts w:ascii="宋体" w:hAnsi="宋体" w:eastAsia="宋体" w:cs="宋体"/>
          <w:color w:val="auto"/>
          <w:sz w:val="32"/>
          <w:szCs w:val="32"/>
          <w:highlight w:val="none"/>
        </w:rPr>
      </w:pPr>
    </w:p>
    <w:p w14:paraId="5CDD3D64">
      <w:pPr>
        <w:pStyle w:val="2"/>
        <w:rPr>
          <w:rFonts w:ascii="宋体" w:hAnsi="宋体" w:eastAsia="宋体" w:cs="宋体"/>
          <w:color w:val="auto"/>
          <w:sz w:val="32"/>
          <w:szCs w:val="32"/>
          <w:highlight w:val="none"/>
        </w:rPr>
      </w:pPr>
    </w:p>
    <w:p w14:paraId="1175B152">
      <w:pPr>
        <w:rPr>
          <w:rFonts w:ascii="宋体" w:hAnsi="宋体" w:eastAsia="宋体" w:cs="宋体"/>
          <w:color w:val="auto"/>
          <w:sz w:val="32"/>
          <w:szCs w:val="32"/>
          <w:highlight w:val="none"/>
        </w:rPr>
      </w:pPr>
    </w:p>
    <w:p w14:paraId="0F437003">
      <w:pPr>
        <w:rPr>
          <w:rFonts w:hint="eastAsia" w:ascii="宋体" w:hAnsi="宋体" w:eastAsia="宋体" w:cs="宋体"/>
          <w:b/>
          <w:bCs/>
          <w:color w:val="auto"/>
          <w:sz w:val="24"/>
          <w:szCs w:val="24"/>
          <w:highlight w:val="none"/>
        </w:rPr>
      </w:pPr>
    </w:p>
    <w:p w14:paraId="0152DB55">
      <w:pPr>
        <w:rPr>
          <w:rFonts w:hint="eastAsia" w:ascii="宋体" w:hAnsi="宋体" w:eastAsia="宋体" w:cs="宋体"/>
          <w:b/>
          <w:bCs/>
          <w:color w:val="auto"/>
          <w:sz w:val="24"/>
          <w:szCs w:val="24"/>
          <w:highlight w:val="none"/>
        </w:rPr>
      </w:pPr>
    </w:p>
    <w:p w14:paraId="6FF3A8AD">
      <w:pPr>
        <w:rPr>
          <w:rFonts w:hint="eastAsia" w:ascii="宋体" w:hAnsi="宋体" w:eastAsia="宋体" w:cs="宋体"/>
          <w:b/>
          <w:bCs/>
          <w:color w:val="auto"/>
          <w:sz w:val="24"/>
          <w:szCs w:val="24"/>
          <w:highlight w:val="none"/>
        </w:rPr>
      </w:pPr>
    </w:p>
    <w:p w14:paraId="4ED8B47E">
      <w:pPr>
        <w:rPr>
          <w:rFonts w:hint="eastAsia" w:ascii="宋体" w:hAnsi="宋体" w:eastAsia="宋体" w:cs="宋体"/>
          <w:b/>
          <w:bCs/>
          <w:color w:val="auto"/>
          <w:sz w:val="24"/>
          <w:szCs w:val="24"/>
          <w:highlight w:val="none"/>
        </w:rPr>
      </w:pPr>
    </w:p>
    <w:p w14:paraId="688111AA">
      <w:pPr>
        <w:rPr>
          <w:rFonts w:hint="eastAsia" w:ascii="宋体" w:hAnsi="宋体" w:eastAsia="宋体" w:cs="宋体"/>
          <w:b/>
          <w:bCs/>
          <w:color w:val="auto"/>
          <w:sz w:val="24"/>
          <w:szCs w:val="24"/>
          <w:highlight w:val="none"/>
        </w:rPr>
      </w:pPr>
    </w:p>
    <w:p w14:paraId="7503AF81">
      <w:pPr>
        <w:rPr>
          <w:rFonts w:hint="eastAsia" w:ascii="宋体" w:hAnsi="宋体" w:eastAsia="宋体" w:cs="宋体"/>
          <w:b/>
          <w:bCs/>
          <w:color w:val="auto"/>
          <w:sz w:val="24"/>
          <w:szCs w:val="24"/>
          <w:highlight w:val="none"/>
        </w:rPr>
      </w:pPr>
    </w:p>
    <w:p w14:paraId="6732FACB">
      <w:pPr>
        <w:rPr>
          <w:rFonts w:hint="eastAsia" w:ascii="宋体" w:hAnsi="宋体" w:eastAsia="宋体" w:cs="宋体"/>
          <w:b/>
          <w:bCs/>
          <w:color w:val="auto"/>
          <w:sz w:val="24"/>
          <w:szCs w:val="24"/>
          <w:highlight w:val="none"/>
        </w:rPr>
      </w:pPr>
    </w:p>
    <w:p w14:paraId="479A91C8">
      <w:pPr>
        <w:rPr>
          <w:rFonts w:hint="eastAsia" w:ascii="宋体" w:hAnsi="宋体" w:eastAsia="宋体" w:cs="宋体"/>
          <w:b/>
          <w:bCs/>
          <w:color w:val="auto"/>
          <w:sz w:val="24"/>
          <w:szCs w:val="24"/>
          <w:highlight w:val="none"/>
        </w:rPr>
      </w:pPr>
    </w:p>
    <w:p w14:paraId="2CFE81DA">
      <w:pPr>
        <w:rPr>
          <w:rFonts w:hint="eastAsia" w:ascii="宋体" w:hAnsi="宋体" w:eastAsia="宋体" w:cs="宋体"/>
          <w:b/>
          <w:bCs/>
          <w:color w:val="auto"/>
          <w:sz w:val="24"/>
          <w:szCs w:val="24"/>
          <w:highlight w:val="none"/>
        </w:rPr>
      </w:pPr>
    </w:p>
    <w:p w14:paraId="2259FB31">
      <w:pPr>
        <w:rPr>
          <w:rFonts w:hint="eastAsia" w:ascii="宋体" w:hAnsi="宋体" w:eastAsia="宋体" w:cs="宋体"/>
          <w:b/>
          <w:bCs/>
          <w:color w:val="auto"/>
          <w:sz w:val="24"/>
          <w:szCs w:val="24"/>
          <w:highlight w:val="none"/>
        </w:rPr>
      </w:pPr>
    </w:p>
    <w:p w14:paraId="1A8A0A3F">
      <w:pPr>
        <w:rPr>
          <w:rFonts w:hint="eastAsia" w:ascii="宋体" w:hAnsi="宋体" w:eastAsia="宋体" w:cs="宋体"/>
          <w:b/>
          <w:bCs/>
          <w:color w:val="auto"/>
          <w:sz w:val="24"/>
          <w:szCs w:val="24"/>
          <w:highlight w:val="none"/>
        </w:rPr>
      </w:pPr>
    </w:p>
    <w:p w14:paraId="4AE8709C">
      <w:pPr>
        <w:rPr>
          <w:rFonts w:hint="eastAsia" w:ascii="宋体" w:hAnsi="宋体" w:eastAsia="宋体" w:cs="宋体"/>
          <w:b/>
          <w:bCs/>
          <w:color w:val="auto"/>
          <w:sz w:val="24"/>
          <w:szCs w:val="24"/>
          <w:highlight w:val="none"/>
        </w:rPr>
      </w:pPr>
    </w:p>
    <w:p w14:paraId="301E1F31">
      <w:pPr>
        <w:rPr>
          <w:rFonts w:hint="eastAsia" w:ascii="宋体" w:hAnsi="宋体" w:eastAsia="宋体" w:cs="宋体"/>
          <w:b/>
          <w:bCs/>
          <w:color w:val="auto"/>
          <w:sz w:val="24"/>
          <w:szCs w:val="24"/>
          <w:highlight w:val="none"/>
        </w:rPr>
      </w:pPr>
    </w:p>
    <w:p w14:paraId="08B2061D">
      <w:pPr>
        <w:rPr>
          <w:rFonts w:hint="eastAsia" w:ascii="宋体" w:hAnsi="宋体" w:eastAsia="宋体" w:cs="宋体"/>
          <w:b/>
          <w:bCs/>
          <w:color w:val="auto"/>
          <w:sz w:val="24"/>
          <w:szCs w:val="24"/>
          <w:highlight w:val="none"/>
        </w:rPr>
      </w:pPr>
    </w:p>
    <w:p w14:paraId="14DF8A96">
      <w:pPr>
        <w:rPr>
          <w:rFonts w:hint="eastAsia" w:ascii="宋体" w:hAnsi="宋体" w:eastAsia="宋体" w:cs="宋体"/>
          <w:b/>
          <w:bCs/>
          <w:color w:val="auto"/>
          <w:sz w:val="24"/>
          <w:szCs w:val="24"/>
          <w:highlight w:val="none"/>
        </w:rPr>
      </w:pPr>
    </w:p>
    <w:p w14:paraId="52F87117">
      <w:pPr>
        <w:rPr>
          <w:rFonts w:hint="eastAsia" w:ascii="宋体" w:hAnsi="宋体" w:eastAsia="宋体" w:cs="宋体"/>
          <w:b/>
          <w:bCs/>
          <w:color w:val="auto"/>
          <w:sz w:val="24"/>
          <w:szCs w:val="24"/>
          <w:highlight w:val="none"/>
        </w:rPr>
      </w:pPr>
    </w:p>
    <w:p w14:paraId="7623F69E">
      <w:pPr>
        <w:rPr>
          <w:rFonts w:hint="eastAsia" w:ascii="宋体" w:hAnsi="宋体" w:eastAsia="宋体" w:cs="宋体"/>
          <w:b/>
          <w:bCs/>
          <w:color w:val="auto"/>
          <w:sz w:val="24"/>
          <w:szCs w:val="24"/>
          <w:highlight w:val="none"/>
        </w:rPr>
      </w:pPr>
    </w:p>
    <w:p w14:paraId="48820F5E">
      <w:pPr>
        <w:rPr>
          <w:rFonts w:hint="eastAsia" w:ascii="宋体" w:hAnsi="宋体" w:eastAsia="宋体" w:cs="宋体"/>
          <w:b/>
          <w:bCs/>
          <w:color w:val="auto"/>
          <w:sz w:val="24"/>
          <w:szCs w:val="24"/>
          <w:highlight w:val="none"/>
        </w:rPr>
      </w:pPr>
    </w:p>
    <w:p w14:paraId="078E6A31">
      <w:pPr>
        <w:rPr>
          <w:rFonts w:hint="eastAsia" w:ascii="宋体" w:hAnsi="宋体" w:eastAsia="宋体" w:cs="宋体"/>
          <w:b/>
          <w:bCs/>
          <w:color w:val="auto"/>
          <w:sz w:val="24"/>
          <w:szCs w:val="24"/>
          <w:highlight w:val="none"/>
        </w:rPr>
      </w:pPr>
    </w:p>
    <w:p w14:paraId="56B3219D">
      <w:pPr>
        <w:pStyle w:val="4"/>
        <w:rPr>
          <w:rFonts w:hint="eastAsia" w:ascii="宋体" w:hAnsi="宋体" w:eastAsia="宋体" w:cs="宋体"/>
          <w:b/>
          <w:bCs/>
          <w:color w:val="auto"/>
          <w:sz w:val="24"/>
          <w:szCs w:val="24"/>
          <w:highlight w:val="none"/>
        </w:rPr>
      </w:pPr>
    </w:p>
    <w:p w14:paraId="2B9FC09B">
      <w:pPr>
        <w:rPr>
          <w:rFonts w:hint="eastAsia" w:ascii="宋体" w:hAnsi="宋体" w:eastAsia="宋体" w:cs="宋体"/>
          <w:b/>
          <w:bCs/>
          <w:color w:val="auto"/>
          <w:sz w:val="24"/>
          <w:szCs w:val="24"/>
          <w:highlight w:val="none"/>
        </w:rPr>
      </w:pPr>
    </w:p>
    <w:p w14:paraId="186321D3">
      <w:pPr>
        <w:pStyle w:val="4"/>
        <w:rPr>
          <w:rFonts w:hint="eastAsia"/>
          <w:color w:val="auto"/>
          <w:highlight w:val="none"/>
        </w:rPr>
      </w:pPr>
    </w:p>
    <w:p w14:paraId="46735758">
      <w:pPr>
        <w:rPr>
          <w:rFonts w:hint="eastAsia" w:ascii="宋体" w:hAnsi="宋体" w:eastAsia="宋体" w:cs="宋体"/>
          <w:b/>
          <w:bCs/>
          <w:color w:val="auto"/>
          <w:sz w:val="24"/>
          <w:szCs w:val="24"/>
          <w:highlight w:val="none"/>
        </w:rPr>
      </w:pPr>
    </w:p>
    <w:p w14:paraId="2688CD82">
      <w:pPr>
        <w:rPr>
          <w:rFonts w:hint="eastAsia" w:ascii="宋体" w:hAnsi="宋体" w:eastAsia="宋体" w:cs="宋体"/>
          <w:b/>
          <w:bCs/>
          <w:color w:val="auto"/>
          <w:sz w:val="24"/>
          <w:szCs w:val="24"/>
          <w:highlight w:val="none"/>
        </w:rPr>
      </w:pPr>
    </w:p>
    <w:p w14:paraId="5E005B55">
      <w:pPr>
        <w:rPr>
          <w:rFonts w:hint="eastAsia" w:ascii="宋体" w:hAnsi="宋体" w:eastAsia="宋体" w:cs="宋体"/>
          <w:b/>
          <w:bCs/>
          <w:color w:val="auto"/>
          <w:sz w:val="24"/>
          <w:szCs w:val="24"/>
          <w:highlight w:val="none"/>
        </w:rPr>
      </w:pPr>
    </w:p>
    <w:p w14:paraId="3DE391C5">
      <w:pPr>
        <w:rPr>
          <w:rFonts w:hint="eastAsia" w:ascii="宋体" w:hAnsi="宋体" w:eastAsia="宋体" w:cs="宋体"/>
          <w:b/>
          <w:bCs/>
          <w:color w:val="auto"/>
          <w:sz w:val="24"/>
          <w:szCs w:val="24"/>
          <w:highlight w:val="none"/>
        </w:rPr>
      </w:pPr>
    </w:p>
    <w:p w14:paraId="735BC6DD">
      <w:pPr>
        <w:rPr>
          <w:rFonts w:hint="eastAsia" w:ascii="宋体" w:hAnsi="宋体" w:eastAsia="宋体" w:cs="宋体"/>
          <w:b/>
          <w:bCs/>
          <w:color w:val="auto"/>
          <w:sz w:val="24"/>
          <w:szCs w:val="24"/>
          <w:highlight w:val="none"/>
        </w:rPr>
      </w:pPr>
    </w:p>
    <w:p w14:paraId="5F066A2D">
      <w:pPr>
        <w:rPr>
          <w:rFonts w:hint="eastAsia" w:ascii="宋体" w:hAnsi="宋体" w:eastAsia="宋体" w:cs="宋体"/>
          <w:b/>
          <w:bCs/>
          <w:color w:val="auto"/>
          <w:sz w:val="24"/>
          <w:szCs w:val="24"/>
          <w:highlight w:val="none"/>
        </w:rPr>
      </w:pPr>
    </w:p>
    <w:p w14:paraId="26E34F66">
      <w:pPr>
        <w:rPr>
          <w:rFonts w:hint="eastAsia" w:ascii="宋体" w:hAnsi="宋体" w:eastAsia="宋体" w:cs="宋体"/>
          <w:b/>
          <w:bCs/>
          <w:color w:val="auto"/>
          <w:sz w:val="24"/>
          <w:szCs w:val="24"/>
          <w:highlight w:val="none"/>
        </w:rPr>
      </w:pPr>
    </w:p>
    <w:p w14:paraId="76B08540">
      <w:pPr>
        <w:rPr>
          <w:rFonts w:hint="eastAsia" w:ascii="宋体" w:hAnsi="宋体" w:eastAsia="宋体" w:cs="宋体"/>
          <w:b/>
          <w:bCs/>
          <w:color w:val="auto"/>
          <w:sz w:val="24"/>
          <w:szCs w:val="24"/>
          <w:highlight w:val="none"/>
        </w:rPr>
      </w:pPr>
    </w:p>
    <w:p w14:paraId="23FCBFF4">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w:t>
      </w:r>
    </w:p>
    <w:p w14:paraId="6EE84BEA">
      <w:pPr>
        <w:pStyle w:val="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分包意向协议书（如有）</w:t>
      </w:r>
    </w:p>
    <w:p w14:paraId="04B4048A">
      <w:pPr>
        <w:numPr>
          <w:ilvl w:val="0"/>
          <w:numId w:val="0"/>
        </w:num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按投标文件格式</w:t>
      </w:r>
      <w:r>
        <w:rPr>
          <w:rFonts w:hint="eastAsia" w:ascii="宋体" w:hAnsi="宋体" w:eastAsia="宋体" w:cs="宋体"/>
          <w:b/>
          <w:bCs/>
          <w:color w:val="auto"/>
          <w:sz w:val="24"/>
          <w:szCs w:val="24"/>
          <w:highlight w:val="none"/>
          <w:lang w:eastAsia="zh-CN"/>
        </w:rPr>
        <w:t>）</w:t>
      </w:r>
    </w:p>
    <w:p w14:paraId="78E70397">
      <w:pPr>
        <w:pStyle w:val="2"/>
        <w:rPr>
          <w:color w:val="auto"/>
          <w:highlight w:val="none"/>
        </w:rPr>
      </w:pPr>
    </w:p>
    <w:p w14:paraId="6FC30F87">
      <w:pPr>
        <w:pStyle w:val="2"/>
        <w:rPr>
          <w:color w:val="auto"/>
          <w:highlight w:val="none"/>
        </w:rPr>
      </w:pPr>
    </w:p>
    <w:p w14:paraId="21615542">
      <w:pPr>
        <w:pStyle w:val="2"/>
        <w:rPr>
          <w:color w:val="auto"/>
          <w:highlight w:val="none"/>
        </w:rPr>
      </w:pPr>
    </w:p>
    <w:p w14:paraId="4F2FA131">
      <w:pPr>
        <w:pStyle w:val="2"/>
        <w:rPr>
          <w:color w:val="auto"/>
          <w:highlight w:val="none"/>
        </w:rPr>
      </w:pPr>
    </w:p>
    <w:p w14:paraId="52E758D8">
      <w:pPr>
        <w:pStyle w:val="2"/>
        <w:rPr>
          <w:color w:val="auto"/>
          <w:highlight w:val="none"/>
        </w:rPr>
      </w:pPr>
    </w:p>
    <w:p w14:paraId="47C4B7D8">
      <w:pPr>
        <w:pStyle w:val="2"/>
        <w:rPr>
          <w:color w:val="auto"/>
          <w:highlight w:val="none"/>
        </w:rPr>
      </w:pPr>
    </w:p>
    <w:p w14:paraId="48568552">
      <w:pPr>
        <w:rPr>
          <w:color w:val="auto"/>
          <w:highlight w:val="none"/>
        </w:rPr>
      </w:pPr>
    </w:p>
    <w:p w14:paraId="28702270">
      <w:pPr>
        <w:pStyle w:val="2"/>
        <w:rPr>
          <w:color w:val="auto"/>
          <w:highlight w:val="none"/>
        </w:rPr>
      </w:pPr>
    </w:p>
    <w:p w14:paraId="4ACD3574">
      <w:pPr>
        <w:rPr>
          <w:color w:val="auto"/>
          <w:highlight w:val="none"/>
        </w:rPr>
      </w:pPr>
    </w:p>
    <w:p w14:paraId="17717B67">
      <w:pPr>
        <w:pStyle w:val="36"/>
        <w:spacing w:line="360" w:lineRule="auto"/>
        <w:rPr>
          <w:color w:val="auto"/>
          <w:sz w:val="24"/>
          <w:szCs w:val="24"/>
          <w:highlight w:val="none"/>
        </w:rPr>
      </w:pPr>
    </w:p>
    <w:p w14:paraId="1BDEC586">
      <w:pPr>
        <w:pStyle w:val="36"/>
        <w:spacing w:line="360" w:lineRule="auto"/>
        <w:rPr>
          <w:color w:val="auto"/>
          <w:sz w:val="24"/>
          <w:szCs w:val="24"/>
          <w:highlight w:val="none"/>
        </w:rPr>
      </w:pPr>
    </w:p>
    <w:p w14:paraId="478AAAD8">
      <w:pPr>
        <w:pStyle w:val="36"/>
        <w:spacing w:line="360" w:lineRule="auto"/>
        <w:rPr>
          <w:color w:val="auto"/>
          <w:sz w:val="24"/>
          <w:szCs w:val="24"/>
          <w:highlight w:val="none"/>
        </w:rPr>
      </w:pPr>
    </w:p>
    <w:p w14:paraId="55AAE952">
      <w:pPr>
        <w:pStyle w:val="36"/>
        <w:spacing w:line="360" w:lineRule="auto"/>
        <w:rPr>
          <w:color w:val="auto"/>
          <w:sz w:val="24"/>
          <w:szCs w:val="24"/>
          <w:highlight w:val="none"/>
        </w:rPr>
      </w:pPr>
    </w:p>
    <w:p w14:paraId="6AB5ED6B">
      <w:pPr>
        <w:pStyle w:val="19"/>
        <w:spacing w:line="360" w:lineRule="auto"/>
        <w:rPr>
          <w:color w:val="auto"/>
          <w:sz w:val="24"/>
          <w:szCs w:val="24"/>
          <w:highlight w:val="none"/>
        </w:rPr>
      </w:pPr>
    </w:p>
    <w:bookmarkEnd w:id="79"/>
    <w:bookmarkEnd w:id="80"/>
    <w:bookmarkEnd w:id="81"/>
    <w:bookmarkEnd w:id="82"/>
    <w:bookmarkEnd w:id="83"/>
    <w:p w14:paraId="6DD4A0E8">
      <w:pPr>
        <w:snapToGrid/>
        <w:spacing w:line="240" w:lineRule="auto"/>
        <w:ind w:firstLine="0" w:firstLineChars="0"/>
        <w:jc w:val="left"/>
        <w:rPr>
          <w:rStyle w:val="61"/>
          <w:rFonts w:hint="eastAsia" w:eastAsia="宋体" w:cs="Times New Roman"/>
          <w:color w:val="auto"/>
          <w:highlight w:val="none"/>
        </w:rPr>
      </w:pPr>
      <w:bookmarkStart w:id="88" w:name="_Toc2272567"/>
      <w:bookmarkStart w:id="89" w:name="_Toc29898"/>
      <w:bookmarkStart w:id="90" w:name="_Toc31955"/>
      <w:bookmarkStart w:id="91" w:name="_Toc32300"/>
      <w:bookmarkStart w:id="92" w:name="_Toc21525512"/>
      <w:r>
        <w:rPr>
          <w:rStyle w:val="61"/>
          <w:rFonts w:hint="eastAsia" w:eastAsia="宋体" w:cs="Times New Roman"/>
          <w:color w:val="auto"/>
          <w:highlight w:val="none"/>
        </w:rPr>
        <w:br w:type="page"/>
      </w:r>
    </w:p>
    <w:p w14:paraId="5FF9A890">
      <w:pPr>
        <w:tabs>
          <w:tab w:val="left" w:pos="720"/>
        </w:tabs>
        <w:snapToGrid w:val="0"/>
        <w:spacing w:line="360" w:lineRule="auto"/>
        <w:ind w:firstLine="0" w:firstLineChars="0"/>
        <w:jc w:val="center"/>
        <w:rPr>
          <w:rStyle w:val="61"/>
          <w:rFonts w:hint="eastAsia" w:eastAsia="宋体" w:cs="Times New Roman"/>
          <w:color w:val="auto"/>
          <w:highlight w:val="none"/>
        </w:rPr>
      </w:pPr>
      <w:r>
        <w:rPr>
          <w:rStyle w:val="61"/>
          <w:rFonts w:hint="eastAsia" w:eastAsia="宋体" w:cs="Times New Roman"/>
          <w:color w:val="auto"/>
          <w:highlight w:val="none"/>
        </w:rPr>
        <w:t>第四章  投标文件格式</w:t>
      </w:r>
      <w:bookmarkEnd w:id="88"/>
      <w:bookmarkEnd w:id="89"/>
      <w:bookmarkEnd w:id="90"/>
      <w:bookmarkEnd w:id="91"/>
      <w:bookmarkEnd w:id="92"/>
    </w:p>
    <w:p w14:paraId="7636F3B4">
      <w:pPr>
        <w:rPr>
          <w:rFonts w:ascii="宋体"/>
          <w:b/>
          <w:color w:val="auto"/>
          <w:sz w:val="28"/>
          <w:szCs w:val="28"/>
          <w:highlight w:val="none"/>
        </w:rPr>
      </w:pPr>
      <w:r>
        <w:rPr>
          <w:rFonts w:hint="eastAsia" w:ascii="宋体" w:hAnsi="宋体"/>
          <w:color w:val="auto"/>
          <w:sz w:val="28"/>
          <w:szCs w:val="28"/>
          <w:highlight w:val="none"/>
        </w:rPr>
        <w:t>注：本章由招标人自行制定。下述附件格式供招标人参考、选择使用。</w:t>
      </w:r>
    </w:p>
    <w:p w14:paraId="0F8A9AB0">
      <w:pPr>
        <w:autoSpaceDE w:val="0"/>
        <w:autoSpaceDN w:val="0"/>
        <w:adjustRightInd w:val="0"/>
        <w:snapToGrid w:val="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2A8B303E">
      <w:pPr>
        <w:autoSpaceDE w:val="0"/>
        <w:autoSpaceDN w:val="0"/>
        <w:adjustRightInd w:val="0"/>
        <w:rPr>
          <w:bCs/>
          <w:color w:val="auto"/>
          <w:szCs w:val="21"/>
          <w:highlight w:val="none"/>
        </w:rPr>
      </w:pPr>
      <w:r>
        <w:rPr>
          <w:rFonts w:hint="eastAsia" w:ascii="宋体" w:hAnsi="宋体" w:eastAsia="宋体" w:cs="宋体"/>
          <w:b/>
          <w:color w:val="auto"/>
          <w:kern w:val="2"/>
          <w:sz w:val="28"/>
          <w:szCs w:val="28"/>
          <w:highlight w:val="none"/>
          <w:lang w:val="en-US" w:eastAsia="zh-CN" w:bidi="ar-SA"/>
        </w:rPr>
        <w:t>格式一：</w:t>
      </w:r>
    </w:p>
    <w:p w14:paraId="6BF8BE00">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53C76967">
      <w:pPr>
        <w:bidi w:val="0"/>
        <w:jc w:val="center"/>
        <w:rPr>
          <w:rFonts w:hint="eastAsia"/>
          <w:b/>
          <w:bCs/>
          <w:color w:val="auto"/>
          <w:sz w:val="44"/>
          <w:szCs w:val="44"/>
          <w:highlight w:val="none"/>
          <w:lang w:val="zh-CN"/>
        </w:rPr>
      </w:pPr>
      <w:r>
        <w:rPr>
          <w:rFonts w:hint="eastAsia"/>
          <w:b/>
          <w:bCs/>
          <w:color w:val="auto"/>
          <w:sz w:val="44"/>
          <w:szCs w:val="44"/>
          <w:highlight w:val="none"/>
          <w:lang w:val="zh-CN"/>
        </w:rPr>
        <w:t>广州建设工程施工招标投标书</w:t>
      </w:r>
    </w:p>
    <w:p w14:paraId="13D2715E">
      <w:pPr>
        <w:bidi w:val="0"/>
        <w:jc w:val="center"/>
        <w:rPr>
          <w:color w:val="auto"/>
          <w:sz w:val="28"/>
          <w:szCs w:val="28"/>
          <w:highlight w:val="none"/>
          <w:lang w:val="zh-CN"/>
        </w:rPr>
      </w:pPr>
      <w:r>
        <w:rPr>
          <w:rFonts w:hint="eastAsia"/>
          <w:color w:val="auto"/>
          <w:sz w:val="28"/>
          <w:szCs w:val="28"/>
          <w:highlight w:val="none"/>
        </w:rPr>
        <w:t>（适用于技术标与经济标同时开启）</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471"/>
        <w:gridCol w:w="3574"/>
      </w:tblGrid>
      <w:tr w14:paraId="3F6D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6211EFBF">
            <w:pPr>
              <w:bidi w:val="0"/>
              <w:rPr>
                <w:color w:val="auto"/>
                <w:sz w:val="21"/>
                <w:szCs w:val="21"/>
                <w:highlight w:val="none"/>
                <w:lang w:val="zh-CN"/>
              </w:rPr>
            </w:pPr>
            <w:r>
              <w:rPr>
                <w:rFonts w:hint="eastAsia"/>
                <w:color w:val="auto"/>
                <w:sz w:val="21"/>
                <w:szCs w:val="21"/>
                <w:highlight w:val="none"/>
                <w:lang w:val="zh-CN"/>
              </w:rPr>
              <w:t>工</w:t>
            </w:r>
            <w:r>
              <w:rPr>
                <w:color w:val="auto"/>
                <w:sz w:val="21"/>
                <w:szCs w:val="21"/>
                <w:highlight w:val="none"/>
                <w:lang w:val="zh-CN"/>
              </w:rPr>
              <w:t xml:space="preserve"> </w:t>
            </w:r>
            <w:r>
              <w:rPr>
                <w:rFonts w:hint="eastAsia"/>
                <w:color w:val="auto"/>
                <w:sz w:val="21"/>
                <w:szCs w:val="21"/>
                <w:highlight w:val="none"/>
                <w:lang w:val="zh-CN"/>
              </w:rPr>
              <w:t>程</w:t>
            </w:r>
            <w:r>
              <w:rPr>
                <w:color w:val="auto"/>
                <w:sz w:val="21"/>
                <w:szCs w:val="21"/>
                <w:highlight w:val="none"/>
                <w:lang w:val="zh-CN"/>
              </w:rPr>
              <w:t xml:space="preserve"> </w:t>
            </w:r>
            <w:r>
              <w:rPr>
                <w:rFonts w:hint="eastAsia"/>
                <w:color w:val="auto"/>
                <w:sz w:val="21"/>
                <w:szCs w:val="21"/>
                <w:highlight w:val="none"/>
                <w:lang w:val="zh-CN"/>
              </w:rPr>
              <w:t>名</w:t>
            </w:r>
            <w:r>
              <w:rPr>
                <w:color w:val="auto"/>
                <w:sz w:val="21"/>
                <w:szCs w:val="21"/>
                <w:highlight w:val="none"/>
                <w:lang w:val="zh-CN"/>
              </w:rPr>
              <w:t xml:space="preserve"> </w:t>
            </w:r>
            <w:r>
              <w:rPr>
                <w:rFonts w:hint="eastAsia"/>
                <w:color w:val="auto"/>
                <w:sz w:val="21"/>
                <w:szCs w:val="21"/>
                <w:highlight w:val="none"/>
                <w:lang w:val="zh-CN"/>
              </w:rPr>
              <w:t>称</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775DD0CD">
            <w:pPr>
              <w:bidi w:val="0"/>
              <w:rPr>
                <w:color w:val="auto"/>
                <w:sz w:val="21"/>
                <w:szCs w:val="21"/>
                <w:highlight w:val="none"/>
                <w:lang w:val="zh-CN"/>
              </w:rPr>
            </w:pPr>
          </w:p>
        </w:tc>
      </w:tr>
      <w:tr w14:paraId="60ED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1B59A7FB">
            <w:pPr>
              <w:bidi w:val="0"/>
              <w:rPr>
                <w:color w:val="auto"/>
                <w:sz w:val="21"/>
                <w:szCs w:val="21"/>
                <w:highlight w:val="none"/>
                <w:lang w:val="zh-CN"/>
              </w:rPr>
            </w:pPr>
            <w:r>
              <w:rPr>
                <w:rFonts w:hint="eastAsia"/>
                <w:color w:val="auto"/>
                <w:sz w:val="21"/>
                <w:szCs w:val="21"/>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48FE081">
            <w:pPr>
              <w:bidi w:val="0"/>
              <w:rPr>
                <w:color w:val="auto"/>
                <w:sz w:val="21"/>
                <w:szCs w:val="21"/>
                <w:highlight w:val="none"/>
                <w:lang w:val="zh-CN"/>
              </w:rPr>
            </w:pPr>
          </w:p>
        </w:tc>
      </w:tr>
      <w:tr w14:paraId="1BE5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410C2822">
            <w:pPr>
              <w:bidi w:val="0"/>
              <w:rPr>
                <w:color w:val="auto"/>
                <w:sz w:val="21"/>
                <w:szCs w:val="21"/>
                <w:highlight w:val="none"/>
                <w:lang w:val="zh-CN"/>
              </w:rPr>
            </w:pPr>
            <w:r>
              <w:rPr>
                <w:rFonts w:hint="eastAsia"/>
                <w:color w:val="auto"/>
                <w:sz w:val="21"/>
                <w:szCs w:val="21"/>
                <w:highlight w:val="none"/>
                <w:lang w:val="zh-CN"/>
              </w:rPr>
              <w:t>其中：人工费（元）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08BFC80">
            <w:pPr>
              <w:bidi w:val="0"/>
              <w:rPr>
                <w:color w:val="auto"/>
                <w:sz w:val="21"/>
                <w:szCs w:val="21"/>
                <w:highlight w:val="none"/>
                <w:lang w:val="zh-CN"/>
              </w:rPr>
            </w:pPr>
          </w:p>
        </w:tc>
      </w:tr>
      <w:tr w14:paraId="2C15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4181BE7A">
            <w:pPr>
              <w:bidi w:val="0"/>
              <w:rPr>
                <w:color w:val="auto"/>
                <w:sz w:val="21"/>
                <w:szCs w:val="21"/>
                <w:highlight w:val="none"/>
                <w:lang w:val="zh-CN"/>
              </w:rPr>
            </w:pPr>
            <w:r>
              <w:rPr>
                <w:rFonts w:hint="eastAsia"/>
                <w:color w:val="auto"/>
                <w:sz w:val="21"/>
                <w:szCs w:val="21"/>
                <w:highlight w:val="none"/>
                <w:lang w:val="zh-CN"/>
              </w:rPr>
              <w:t>其中：绿色施工安全防护措施费（元）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7DD8D0BC">
            <w:pPr>
              <w:bidi w:val="0"/>
              <w:rPr>
                <w:color w:val="auto"/>
                <w:sz w:val="21"/>
                <w:szCs w:val="21"/>
                <w:highlight w:val="none"/>
                <w:lang w:val="zh-CN"/>
              </w:rPr>
            </w:pPr>
          </w:p>
        </w:tc>
      </w:tr>
      <w:tr w14:paraId="7D74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2070CD64">
            <w:pPr>
              <w:bidi w:val="0"/>
              <w:rPr>
                <w:color w:val="auto"/>
                <w:sz w:val="21"/>
                <w:szCs w:val="21"/>
                <w:highlight w:val="none"/>
                <w:lang w:val="zh-CN"/>
              </w:rPr>
            </w:pPr>
            <w:r>
              <w:rPr>
                <w:rFonts w:hint="eastAsia"/>
                <w:color w:val="auto"/>
                <w:sz w:val="21"/>
                <w:szCs w:val="21"/>
                <w:highlight w:val="none"/>
                <w:lang w:val="zh-CN"/>
              </w:rPr>
              <w:t>投</w:t>
            </w:r>
            <w:r>
              <w:rPr>
                <w:color w:val="auto"/>
                <w:sz w:val="21"/>
                <w:szCs w:val="21"/>
                <w:highlight w:val="none"/>
                <w:lang w:val="zh-CN"/>
              </w:rPr>
              <w:t xml:space="preserve"> </w:t>
            </w:r>
            <w:r>
              <w:rPr>
                <w:rFonts w:hint="eastAsia"/>
                <w:color w:val="auto"/>
                <w:sz w:val="21"/>
                <w:szCs w:val="21"/>
                <w:highlight w:val="none"/>
                <w:lang w:val="zh-CN"/>
              </w:rPr>
              <w:t>标</w:t>
            </w:r>
            <w:r>
              <w:rPr>
                <w:color w:val="auto"/>
                <w:sz w:val="21"/>
                <w:szCs w:val="21"/>
                <w:highlight w:val="none"/>
                <w:lang w:val="zh-CN"/>
              </w:rPr>
              <w:t xml:space="preserve"> </w:t>
            </w:r>
            <w:r>
              <w:rPr>
                <w:rFonts w:hint="eastAsia"/>
                <w:color w:val="auto"/>
                <w:sz w:val="21"/>
                <w:szCs w:val="21"/>
                <w:highlight w:val="none"/>
                <w:lang w:val="zh-CN"/>
              </w:rPr>
              <w:t>总工</w:t>
            </w:r>
            <w:r>
              <w:rPr>
                <w:color w:val="auto"/>
                <w:sz w:val="21"/>
                <w:szCs w:val="21"/>
                <w:highlight w:val="none"/>
                <w:lang w:val="zh-CN"/>
              </w:rPr>
              <w:t xml:space="preserve"> </w:t>
            </w:r>
            <w:r>
              <w:rPr>
                <w:rFonts w:hint="eastAsia"/>
                <w:color w:val="auto"/>
                <w:sz w:val="21"/>
                <w:szCs w:val="21"/>
                <w:highlight w:val="none"/>
                <w:lang w:val="zh-CN"/>
              </w:rPr>
              <w:t>期</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691DB010">
            <w:pPr>
              <w:bidi w:val="0"/>
              <w:rPr>
                <w:color w:val="auto"/>
                <w:sz w:val="21"/>
                <w:szCs w:val="21"/>
                <w:highlight w:val="none"/>
                <w:lang w:val="zh-CN"/>
              </w:rPr>
            </w:pPr>
          </w:p>
        </w:tc>
      </w:tr>
      <w:tr w14:paraId="1B64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16A7968B">
            <w:pPr>
              <w:bidi w:val="0"/>
              <w:rPr>
                <w:color w:val="auto"/>
                <w:sz w:val="21"/>
                <w:szCs w:val="21"/>
                <w:highlight w:val="none"/>
              </w:rPr>
            </w:pPr>
            <w:r>
              <w:rPr>
                <w:rFonts w:hint="eastAsia"/>
                <w:color w:val="auto"/>
                <w:sz w:val="21"/>
                <w:szCs w:val="21"/>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3E417F60">
            <w:pPr>
              <w:bidi w:val="0"/>
              <w:rPr>
                <w:color w:val="auto"/>
                <w:sz w:val="21"/>
                <w:szCs w:val="21"/>
                <w:highlight w:val="none"/>
                <w:lang w:val="zh-CN"/>
              </w:rPr>
            </w:pPr>
          </w:p>
        </w:tc>
      </w:tr>
      <w:tr w14:paraId="3B7F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gridSpan w:val="2"/>
            <w:tcBorders>
              <w:top w:val="single" w:color="auto" w:sz="4" w:space="0"/>
              <w:left w:val="single" w:color="auto" w:sz="4" w:space="0"/>
              <w:bottom w:val="single" w:color="auto" w:sz="4" w:space="0"/>
              <w:right w:val="single" w:color="auto" w:sz="4" w:space="0"/>
            </w:tcBorders>
            <w:noWrap w:val="0"/>
            <w:vAlign w:val="center"/>
          </w:tcPr>
          <w:p w14:paraId="1B68DD3F">
            <w:pPr>
              <w:bidi w:val="0"/>
              <w:rPr>
                <w:color w:val="auto"/>
                <w:sz w:val="21"/>
                <w:szCs w:val="21"/>
                <w:highlight w:val="none"/>
                <w:lang w:val="zh-CN"/>
              </w:rPr>
            </w:pPr>
            <w:r>
              <w:rPr>
                <w:rFonts w:hint="eastAsia"/>
                <w:color w:val="auto"/>
                <w:sz w:val="21"/>
                <w:szCs w:val="21"/>
                <w:highlight w:val="none"/>
                <w:lang w:val="zh-CN"/>
              </w:rPr>
              <w:t>保</w:t>
            </w:r>
            <w:r>
              <w:rPr>
                <w:color w:val="auto"/>
                <w:sz w:val="21"/>
                <w:szCs w:val="21"/>
                <w:highlight w:val="none"/>
                <w:lang w:val="zh-CN"/>
              </w:rPr>
              <w:t xml:space="preserve"> </w:t>
            </w:r>
            <w:r>
              <w:rPr>
                <w:rFonts w:hint="eastAsia"/>
                <w:color w:val="auto"/>
                <w:sz w:val="21"/>
                <w:szCs w:val="21"/>
                <w:highlight w:val="none"/>
                <w:lang w:val="zh-CN"/>
              </w:rPr>
              <w:t>修</w:t>
            </w:r>
            <w:r>
              <w:rPr>
                <w:color w:val="auto"/>
                <w:sz w:val="21"/>
                <w:szCs w:val="21"/>
                <w:highlight w:val="none"/>
                <w:lang w:val="zh-CN"/>
              </w:rPr>
              <w:t xml:space="preserve"> </w:t>
            </w:r>
            <w:r>
              <w:rPr>
                <w:rFonts w:hint="eastAsia"/>
                <w:color w:val="auto"/>
                <w:sz w:val="21"/>
                <w:szCs w:val="21"/>
                <w:highlight w:val="none"/>
                <w:lang w:val="zh-CN"/>
              </w:rPr>
              <w:t>期</w:t>
            </w:r>
            <w:r>
              <w:rPr>
                <w:color w:val="auto"/>
                <w:sz w:val="21"/>
                <w:szCs w:val="21"/>
                <w:highlight w:val="none"/>
                <w:lang w:val="zh-CN"/>
              </w:rPr>
              <w:t xml:space="preserve"> </w:t>
            </w:r>
            <w:r>
              <w:rPr>
                <w:rFonts w:hint="eastAsia"/>
                <w:color w:val="auto"/>
                <w:sz w:val="21"/>
                <w:szCs w:val="21"/>
                <w:highlight w:val="none"/>
                <w:lang w:val="zh-CN"/>
              </w:rPr>
              <w:t>限</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081435A7">
            <w:pPr>
              <w:bidi w:val="0"/>
              <w:rPr>
                <w:color w:val="auto"/>
                <w:sz w:val="21"/>
                <w:szCs w:val="21"/>
                <w:highlight w:val="none"/>
                <w:lang w:val="zh-CN"/>
              </w:rPr>
            </w:pPr>
          </w:p>
        </w:tc>
      </w:tr>
      <w:tr w14:paraId="7AB0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14:paraId="1E7570DB">
            <w:pPr>
              <w:autoSpaceDE/>
              <w:autoSpaceDN/>
              <w:adjustRightInd/>
              <w:jc w:val="left"/>
              <w:rPr>
                <w:rFonts w:hint="eastAsia" w:ascii="Calibri" w:hAnsi="Calibri" w:cs="Times New Roman"/>
                <w:bCs w:val="0"/>
                <w:color w:val="auto"/>
                <w:sz w:val="21"/>
                <w:szCs w:val="21"/>
                <w:highlight w:val="none"/>
                <w:lang w:val="zh-CN"/>
              </w:rPr>
            </w:pPr>
            <w:r>
              <w:rPr>
                <w:rFonts w:hint="eastAsia" w:ascii="Calibri" w:hAnsi="Calibri" w:cs="Times New Roman"/>
                <w:color w:val="auto"/>
                <w:sz w:val="21"/>
                <w:szCs w:val="21"/>
                <w:highlight w:val="none"/>
                <w:lang w:val="zh-CN"/>
              </w:rPr>
              <w:t>委派的项目负责人</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E40BEB4">
            <w:pPr>
              <w:jc w:val="left"/>
              <w:rPr>
                <w:rFonts w:hint="eastAsia" w:ascii="Calibri" w:hAnsi="Calibri"/>
                <w:color w:val="auto"/>
                <w:sz w:val="21"/>
                <w:szCs w:val="21"/>
                <w:highlight w:val="none"/>
                <w:lang w:val="zh-CN"/>
              </w:rPr>
            </w:pPr>
            <w:r>
              <w:rPr>
                <w:rFonts w:hint="eastAsia" w:ascii="Calibri" w:hAnsi="Calibri"/>
                <w:color w:val="auto"/>
                <w:sz w:val="21"/>
                <w:szCs w:val="21"/>
                <w:highlight w:val="none"/>
                <w:lang w:val="zh-CN"/>
              </w:rPr>
              <w:t>姓   名</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077A172A">
            <w:pPr>
              <w:autoSpaceDE w:val="0"/>
              <w:autoSpaceDN w:val="0"/>
              <w:adjustRightInd w:val="0"/>
              <w:rPr>
                <w:rFonts w:ascii="宋体" w:hAnsi="宋体" w:cs="宋体"/>
                <w:bCs/>
                <w:color w:val="auto"/>
                <w:sz w:val="21"/>
                <w:szCs w:val="21"/>
                <w:highlight w:val="none"/>
                <w:lang w:val="zh-CN"/>
              </w:rPr>
            </w:pPr>
          </w:p>
        </w:tc>
      </w:tr>
      <w:tr w14:paraId="7AF1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14:paraId="354A4E9F">
            <w:pPr>
              <w:autoSpaceDE/>
              <w:autoSpaceDN/>
              <w:adjustRightInd/>
              <w:jc w:val="left"/>
              <w:rPr>
                <w:rFonts w:hint="eastAsia" w:ascii="Calibri" w:hAnsi="Calibri" w:cs="Times New Roman"/>
                <w:bCs w:val="0"/>
                <w:color w:val="auto"/>
                <w:sz w:val="21"/>
                <w:szCs w:val="21"/>
                <w:highlight w:val="none"/>
                <w:lang w:val="zh-CN"/>
              </w:rPr>
            </w:pPr>
            <w:r>
              <w:rPr>
                <w:rFonts w:hint="eastAsia" w:ascii="Calibri" w:hAnsi="Calibri" w:cs="Times New Roman"/>
                <w:bCs w:val="0"/>
                <w:color w:val="auto"/>
                <w:sz w:val="21"/>
                <w:szCs w:val="21"/>
                <w:highlight w:val="none"/>
                <w:lang w:val="zh-CN"/>
              </w:rPr>
              <w:t>委派的专职安全员</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293A609">
            <w:pPr>
              <w:autoSpaceDE/>
              <w:autoSpaceDN/>
              <w:adjustRightInd/>
              <w:jc w:val="left"/>
              <w:rPr>
                <w:rFonts w:hint="eastAsia" w:ascii="Calibri" w:hAnsi="Calibri" w:cs="Times New Roman"/>
                <w:bCs w:val="0"/>
                <w:color w:val="auto"/>
                <w:sz w:val="21"/>
                <w:szCs w:val="21"/>
                <w:highlight w:val="none"/>
                <w:lang w:val="zh-CN"/>
              </w:rPr>
            </w:pPr>
            <w:r>
              <w:rPr>
                <w:rFonts w:hint="eastAsia" w:ascii="Calibri" w:hAnsi="Calibri" w:cs="Times New Roman"/>
                <w:bCs w:val="0"/>
                <w:color w:val="auto"/>
                <w:sz w:val="21"/>
                <w:szCs w:val="21"/>
                <w:highlight w:val="none"/>
                <w:lang w:val="zh-CN"/>
              </w:rPr>
              <w:t>姓   名</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33F3CD98">
            <w:pPr>
              <w:autoSpaceDE w:val="0"/>
              <w:autoSpaceDN w:val="0"/>
              <w:adjustRightInd w:val="0"/>
              <w:rPr>
                <w:rFonts w:ascii="宋体" w:hAnsi="宋体" w:cs="宋体"/>
                <w:bCs/>
                <w:color w:val="auto"/>
                <w:sz w:val="21"/>
                <w:szCs w:val="21"/>
                <w:highlight w:val="none"/>
                <w:lang w:val="zh-CN"/>
              </w:rPr>
            </w:pPr>
          </w:p>
        </w:tc>
      </w:tr>
    </w:tbl>
    <w:p w14:paraId="1019C9B8">
      <w:pPr>
        <w:autoSpaceDE/>
        <w:autoSpaceDN/>
        <w:adjustRightInd/>
        <w:snapToGrid/>
        <w:spacing w:line="240" w:lineRule="auto"/>
        <w:rPr>
          <w:rFonts w:hint="eastAsia" w:ascii="宋体" w:hAnsi="宋体" w:cs="宋体"/>
          <w:b/>
          <w:color w:val="auto"/>
          <w:highlight w:val="none"/>
        </w:rPr>
      </w:pPr>
      <w:r>
        <w:rPr>
          <w:rFonts w:hint="eastAsia" w:ascii="宋体" w:hAnsi="宋体" w:cs="宋体"/>
          <w:b/>
          <w:color w:val="auto"/>
          <w:highlight w:val="none"/>
        </w:rPr>
        <w:br w:type="page"/>
      </w:r>
    </w:p>
    <w:p w14:paraId="42870902">
      <w:pPr>
        <w:pStyle w:val="5"/>
        <w:spacing w:line="400" w:lineRule="exact"/>
        <w:rPr>
          <w:rFonts w:hint="eastAsia" w:cs="宋体"/>
          <w:snapToGrid w:val="0"/>
          <w:color w:val="auto"/>
          <w:spacing w:val="4"/>
          <w:sz w:val="28"/>
          <w:szCs w:val="28"/>
          <w:highlight w:val="none"/>
        </w:rPr>
      </w:pPr>
      <w:r>
        <w:rPr>
          <w:rFonts w:hint="eastAsia" w:cs="宋体"/>
          <w:b/>
          <w:color w:val="auto"/>
          <w:kern w:val="2"/>
          <w:sz w:val="28"/>
          <w:szCs w:val="28"/>
          <w:highlight w:val="none"/>
        </w:rPr>
        <w:t>格式二：</w:t>
      </w:r>
    </w:p>
    <w:p w14:paraId="686682BF">
      <w:pPr>
        <w:topLinePunct w:val="0"/>
        <w:spacing w:line="400" w:lineRule="exact"/>
        <w:jc w:val="center"/>
        <w:rPr>
          <w:rFonts w:hint="eastAsia" w:ascii="宋体" w:hAnsi="宋体" w:eastAsia="宋体" w:cs="宋体"/>
          <w:b/>
          <w:bCs/>
          <w:snapToGrid/>
          <w:color w:val="auto"/>
          <w:spacing w:val="0"/>
          <w:kern w:val="2"/>
          <w:sz w:val="28"/>
          <w:szCs w:val="28"/>
          <w:highlight w:val="none"/>
          <w:lang w:val="zh-CN"/>
        </w:rPr>
      </w:pPr>
      <w:r>
        <w:rPr>
          <w:rFonts w:hint="eastAsia" w:ascii="宋体" w:hAnsi="宋体" w:eastAsia="宋体" w:cs="宋体"/>
          <w:b/>
          <w:bCs/>
          <w:snapToGrid/>
          <w:color w:val="auto"/>
          <w:spacing w:val="0"/>
          <w:kern w:val="2"/>
          <w:sz w:val="28"/>
          <w:szCs w:val="28"/>
          <w:highlight w:val="none"/>
          <w:lang w:val="zh-CN"/>
        </w:rPr>
        <w:t>投 标 函</w:t>
      </w:r>
    </w:p>
    <w:p w14:paraId="1A19EC59">
      <w:pPr>
        <w:topLinePunct/>
        <w:spacing w:line="400" w:lineRule="exact"/>
        <w:ind w:firstLine="0" w:firstLineChars="0"/>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致：</w:t>
      </w:r>
      <w:r>
        <w:rPr>
          <w:rFonts w:hint="eastAsia" w:ascii="宋体" w:hAnsi="宋体" w:eastAsia="宋体" w:cs="宋体"/>
          <w:snapToGrid w:val="0"/>
          <w:color w:val="auto"/>
          <w:spacing w:val="4"/>
          <w:kern w:val="0"/>
          <w:sz w:val="21"/>
          <w:szCs w:val="21"/>
          <w:highlight w:val="none"/>
          <w:u w:val="single"/>
        </w:rPr>
        <w:t xml:space="preserve"> （招标人名称） </w:t>
      </w:r>
    </w:p>
    <w:p w14:paraId="5CE8C7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1.根据已收到贵方的项目编号为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工程的招标文件，并已详细审核了全部招标文件及有关附件。</w:t>
      </w:r>
    </w:p>
    <w:p w14:paraId="1BA71E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13BDB5D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愿以经济标中的投标报价并按上述合同条款、标准和技术规范、图纸、工程量清单等的要求承包上述工程的施工、竣工并修补其任何缺陷。</w:t>
      </w:r>
    </w:p>
    <w:p w14:paraId="1930922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w:t>
      </w:r>
    </w:p>
    <w:p w14:paraId="7ED79D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4.我方理解贵方将不受必须接受你们所收到的最低标价或其它任何投标文件的约束。</w:t>
      </w:r>
    </w:p>
    <w:p w14:paraId="52AEBE9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5.如果我方中标，我方保证在招标文件中规定的工期内完成并移交本工程，保证工程质量至少达到招标文件规定的质量标准要求。</w:t>
      </w:r>
    </w:p>
    <w:p w14:paraId="0A28DF1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6.如果我方中标，我方将按照规定递交由招标人认可，并在招标文件中规定金额的履约保函。</w:t>
      </w:r>
    </w:p>
    <w:p w14:paraId="24CD71D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7.除非另外达成协议并生效，贵方的中标通知书和本投标文件将成为约束双方的合同文件的组成部分。</w:t>
      </w:r>
    </w:p>
    <w:p w14:paraId="28189A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71DEFD0">
      <w:pPr>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kern w:val="0"/>
          <w:sz w:val="21"/>
          <w:szCs w:val="21"/>
          <w:highlight w:val="none"/>
        </w:rPr>
        <w:t>如我方中标,我方承诺：须按《广州开发区财政投资建设项目管理中心施工类合同结算编审指引（2024年修订稿）》(穗开建管(2024)65号)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465A2099">
      <w:pPr>
        <w:topLinePunct/>
        <w:spacing w:line="400" w:lineRule="exact"/>
        <w:ind w:firstLine="4198" w:firstLineChars="1926"/>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0FA08092">
      <w:pPr>
        <w:topLinePunct/>
        <w:adjustRightInd w:val="0"/>
        <w:snapToGrid w:val="0"/>
        <w:spacing w:line="360" w:lineRule="auto"/>
        <w:ind w:firstLine="2999" w:firstLineChars="1376"/>
        <w:rPr>
          <w:rFonts w:ascii="宋体" w:hAnsi="宋体" w:cs="宋体"/>
          <w:color w:val="auto"/>
          <w:szCs w:val="21"/>
          <w:highlight w:val="none"/>
        </w:rPr>
      </w:pPr>
      <w:r>
        <w:rPr>
          <w:rFonts w:hint="eastAsia" w:ascii="宋体" w:hAnsi="宋体" w:eastAsia="宋体" w:cs="宋体"/>
          <w:snapToGrid w:val="0"/>
          <w:color w:val="auto"/>
          <w:spacing w:val="4"/>
          <w:kern w:val="0"/>
          <w:sz w:val="21"/>
          <w:szCs w:val="21"/>
          <w:highlight w:val="none"/>
        </w:rPr>
        <w:t>日    期：    年    月    日</w:t>
      </w:r>
      <w:bookmarkStart w:id="93" w:name="_Toc474749524"/>
      <w:bookmarkStart w:id="94" w:name="_Toc478375101"/>
    </w:p>
    <w:p w14:paraId="2BAF9DE1">
      <w:pPr>
        <w:topLinePunct/>
        <w:spacing w:before="156" w:beforeLines="50" w:after="156" w:afterLines="50" w:line="400" w:lineRule="exact"/>
        <w:jc w:val="left"/>
        <w:outlineLvl w:val="2"/>
        <w:rPr>
          <w:rFonts w:hint="eastAsia" w:ascii="宋体" w:hAnsi="宋体" w:eastAsia="宋体" w:cs="宋体"/>
          <w:b/>
          <w:bCs/>
          <w:snapToGrid w:val="0"/>
          <w:color w:val="auto"/>
          <w:spacing w:val="4"/>
          <w:kern w:val="0"/>
          <w:sz w:val="28"/>
          <w:szCs w:val="28"/>
          <w:highlight w:val="none"/>
        </w:rPr>
      </w:pPr>
      <w:r>
        <w:rPr>
          <w:rFonts w:hint="eastAsia" w:ascii="宋体" w:hAnsi="宋体" w:cs="宋体"/>
          <w:bCs/>
          <w:color w:val="auto"/>
          <w:sz w:val="24"/>
          <w:szCs w:val="24"/>
          <w:highlight w:val="none"/>
        </w:rPr>
        <w:br w:type="page"/>
      </w:r>
      <w:r>
        <w:rPr>
          <w:rFonts w:hint="eastAsia" w:ascii="宋体" w:hAnsi="宋体" w:eastAsia="宋体" w:cs="宋体"/>
          <w:b/>
          <w:bCs/>
          <w:snapToGrid w:val="0"/>
          <w:color w:val="auto"/>
          <w:spacing w:val="4"/>
          <w:kern w:val="0"/>
          <w:sz w:val="28"/>
          <w:szCs w:val="28"/>
          <w:highlight w:val="none"/>
        </w:rPr>
        <w:t>格式三：</w:t>
      </w:r>
    </w:p>
    <w:p w14:paraId="102AA8DC">
      <w:pPr>
        <w:tabs>
          <w:tab w:val="left" w:pos="720"/>
        </w:tabs>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标函承诺书</w:t>
      </w:r>
    </w:p>
    <w:p w14:paraId="36C72B13">
      <w:pPr>
        <w:spacing w:after="120" w:line="40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致：中新广州知识城财政投资建设项目管理中心</w:t>
      </w:r>
    </w:p>
    <w:p w14:paraId="0A630BC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如果在本招标工程中我司中标，我司将积极响应贵单位提出的合同条件及招标文件的要求，并做出如下承诺：</w:t>
      </w:r>
    </w:p>
    <w:p w14:paraId="1DDCC92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1、若我公司中标，我公司承诺按时交纳履约保证金。</w:t>
      </w:r>
    </w:p>
    <w:p w14:paraId="789127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2、在本工程施工期间，拟投入的人力不少于下表中的人数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35A6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2F3D2601">
            <w:pPr>
              <w:spacing w:line="400" w:lineRule="exact"/>
              <w:ind w:firstLine="16" w:firstLineChars="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81637C3">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施工低峰期数量</w:t>
            </w:r>
          </w:p>
        </w:tc>
      </w:tr>
      <w:tr w14:paraId="1C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4227F2C3">
            <w:pPr>
              <w:spacing w:line="400" w:lineRule="exact"/>
              <w:ind w:left="-422" w:leftChars="-201"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1F5FBB26">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73B6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45D3EB6C">
            <w:pPr>
              <w:spacing w:line="400" w:lineRule="exact"/>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3738A6E">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0D50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3866D383">
            <w:pPr>
              <w:spacing w:line="400" w:lineRule="exact"/>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0BCB8BF6">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56AA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0491D026">
            <w:pPr>
              <w:spacing w:line="400" w:lineRule="exact"/>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04015720">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722D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76DE6751">
            <w:pPr>
              <w:spacing w:line="400" w:lineRule="exact"/>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F45714B">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12F5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26D76E17">
            <w:pPr>
              <w:spacing w:line="400" w:lineRule="exact"/>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75FDE3EC">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14B3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61B50FE4">
            <w:pPr>
              <w:spacing w:line="400" w:lineRule="exact"/>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7297B047">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5498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2A28DADF">
            <w:pPr>
              <w:spacing w:line="400" w:lineRule="exact"/>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48949B71">
            <w:pPr>
              <w:spacing w:line="400" w:lineRule="exact"/>
              <w:ind w:firstLine="420" w:firstLineChars="200"/>
              <w:jc w:val="center"/>
              <w:rPr>
                <w:rFonts w:hint="eastAsia" w:ascii="宋体" w:hAnsi="宋体" w:eastAsia="宋体" w:cs="宋体"/>
                <w:color w:val="auto"/>
                <w:kern w:val="0"/>
                <w:szCs w:val="21"/>
                <w:highlight w:val="none"/>
                <w:u w:val="single"/>
              </w:rPr>
            </w:pPr>
          </w:p>
        </w:tc>
      </w:tr>
      <w:tr w14:paraId="056C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237BF224">
            <w:pPr>
              <w:spacing w:line="400" w:lineRule="exact"/>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131C6B19">
            <w:pPr>
              <w:spacing w:line="400" w:lineRule="exact"/>
              <w:ind w:firstLine="420" w:firstLineChars="200"/>
              <w:jc w:val="center"/>
              <w:rPr>
                <w:rFonts w:hint="eastAsia" w:ascii="宋体" w:hAnsi="宋体" w:eastAsia="宋体" w:cs="宋体"/>
                <w:color w:val="auto"/>
                <w:kern w:val="0"/>
                <w:szCs w:val="21"/>
                <w:highlight w:val="none"/>
                <w:u w:val="single"/>
              </w:rPr>
            </w:pPr>
          </w:p>
        </w:tc>
      </w:tr>
    </w:tbl>
    <w:p w14:paraId="5C8C5A7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3、在工程施工期间，拟投入的主要机械设备按投标文件所附的《拟投入本工程施工的主要机械设备配备表》。</w:t>
      </w:r>
    </w:p>
    <w:p w14:paraId="0F1AEBE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4、所选用的主要材料符合招标文件的要求。</w:t>
      </w:r>
    </w:p>
    <w:p w14:paraId="043AE5D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5、拟投入到本工程的主要技术人员、经济和管理人员按投标文件所附的《投入主要人员汇总表》，并不低于招标文件第五章技术条件（工程建设标准）中《投入主要人员汇总表》（最低要求）的标准。</w:t>
      </w:r>
    </w:p>
    <w:p w14:paraId="10C52986">
      <w:pPr>
        <w:spacing w:line="40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我公司保证拟派项目负责人应符合《广州市住房和城乡建设局关于加强建筑工程项目负责人管理的通知》（穗建规字〔2020〕32号）文的要求，将严格按照招标文件要求，自签订合同之日起至工程竣工验收将常驻现场，严格按照有关工程项目管理的要求进行项目管理，如果不能够按照此要求实施，我方自愿接受贵中心的处罚措施。</w:t>
      </w:r>
    </w:p>
    <w:p w14:paraId="069B11C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7、本工程施工过程中，我司将严格按照国家、省、市有关施工及验收规范、标准进行施工，确保本工程质量至少达到</w:t>
      </w:r>
      <w:r>
        <w:rPr>
          <w:rFonts w:hint="eastAsia" w:ascii="宋体" w:hAnsi="宋体" w:eastAsia="宋体" w:cs="宋体"/>
          <w:color w:val="auto"/>
          <w:sz w:val="21"/>
          <w:szCs w:val="21"/>
          <w:highlight w:val="none"/>
          <w:u w:val="single"/>
        </w:rPr>
        <w:t>招标文件规定的质量标准</w:t>
      </w:r>
      <w:r>
        <w:rPr>
          <w:rFonts w:hint="eastAsia" w:ascii="宋体" w:hAnsi="宋体" w:eastAsia="宋体" w:cs="宋体"/>
          <w:color w:val="auto"/>
          <w:sz w:val="21"/>
          <w:szCs w:val="21"/>
          <w:highlight w:val="none"/>
        </w:rPr>
        <w:t>要求。</w:t>
      </w:r>
    </w:p>
    <w:p w14:paraId="1699DD2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8、在确保工程质量的前提下，我司严格控制工程工期，确保工程在招标文件规定的工期内完成。</w:t>
      </w:r>
    </w:p>
    <w:p w14:paraId="7C164E7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4C88FC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10、按照发包人、监理工程师的要求及时为各专业工程（电信、电力管线、电力走廊、煤气、道路绿化、路灯、交通设施等）提供工作面，并为专业工程穿插施工所需各项配合工作给予方便。</w:t>
      </w:r>
    </w:p>
    <w:p w14:paraId="1F1E7BD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37"/>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14:paraId="431F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center"/>
          </w:tcPr>
          <w:p w14:paraId="5DEC1FE6">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必须分包的专业工程内容</w:t>
            </w:r>
          </w:p>
        </w:tc>
      </w:tr>
      <w:tr w14:paraId="752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1F5C1AD">
            <w:pPr>
              <w:spacing w:line="400" w:lineRule="exact"/>
              <w:ind w:left="-105" w:leftChars="-50" w:firstLine="90" w:firstLineChars="43"/>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2A73932">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工程内容</w:t>
            </w:r>
          </w:p>
        </w:tc>
      </w:tr>
      <w:tr w14:paraId="5775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7167D96">
            <w:pPr>
              <w:spacing w:line="400" w:lineRule="exact"/>
              <w:rPr>
                <w:rFonts w:hint="eastAsia" w:ascii="宋体" w:hAnsi="宋体" w:eastAsia="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F12A3B2">
            <w:pPr>
              <w:spacing w:line="400" w:lineRule="exact"/>
              <w:rPr>
                <w:rFonts w:hint="eastAsia" w:ascii="宋体" w:hAnsi="宋体" w:eastAsia="宋体" w:cs="宋体"/>
                <w:color w:val="auto"/>
                <w:szCs w:val="21"/>
                <w:highlight w:val="none"/>
                <w:u w:val="single"/>
              </w:rPr>
            </w:pPr>
          </w:p>
        </w:tc>
      </w:tr>
      <w:tr w14:paraId="391A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576AE26">
            <w:pPr>
              <w:spacing w:line="400" w:lineRule="exact"/>
              <w:rPr>
                <w:rFonts w:hint="eastAsia" w:ascii="宋体" w:hAnsi="宋体" w:eastAsia="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AB6450F">
            <w:pPr>
              <w:spacing w:line="400" w:lineRule="exact"/>
              <w:rPr>
                <w:rFonts w:hint="eastAsia" w:ascii="宋体" w:hAnsi="宋体" w:eastAsia="宋体" w:cs="宋体"/>
                <w:color w:val="auto"/>
                <w:szCs w:val="21"/>
                <w:highlight w:val="none"/>
                <w:u w:val="single"/>
              </w:rPr>
            </w:pPr>
          </w:p>
        </w:tc>
      </w:tr>
      <w:tr w14:paraId="4E02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4973826">
            <w:pPr>
              <w:spacing w:line="400" w:lineRule="exact"/>
              <w:rPr>
                <w:rFonts w:hint="eastAsia" w:ascii="宋体" w:hAnsi="宋体" w:eastAsia="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6759B89">
            <w:pPr>
              <w:spacing w:line="400" w:lineRule="exact"/>
              <w:rPr>
                <w:rFonts w:hint="eastAsia" w:ascii="宋体" w:hAnsi="宋体" w:eastAsia="宋体" w:cs="宋体"/>
                <w:color w:val="auto"/>
                <w:szCs w:val="21"/>
                <w:highlight w:val="none"/>
                <w:u w:val="single"/>
              </w:rPr>
            </w:pPr>
          </w:p>
        </w:tc>
      </w:tr>
    </w:tbl>
    <w:p w14:paraId="35BB0FF9">
      <w:pPr>
        <w:tabs>
          <w:tab w:val="left" w:pos="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12、我司保证在中标后，严格按照 《广州市住房和城乡建设委员会关于印发&lt;广州市建筑施工实名制管理办法&gt;的通知》（穗建规字[2020]18号）、《关于印发广州市建设领域工人工资支付分账管理实施细则的通知》（穗建规字[2020]37号）等最新规定及广州市黄埔区、开发区对应出台的相关文件规定办理建筑工地实名制管理和工人工资支付分账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01480FD9">
      <w:pPr>
        <w:tabs>
          <w:tab w:val="left" w:pos="315"/>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13、我司保证在中标后，根据工程特点，编制本工程详细的施工组织设计和施工方案，并报监理和发包人审核批准，并严格按审批的意见和要求组织施工。</w:t>
      </w:r>
    </w:p>
    <w:p w14:paraId="1957956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14、我司承诺积极响应并接受招标文件中合同专用专款关于合同价款的调整办法。</w:t>
      </w:r>
    </w:p>
    <w:p w14:paraId="5F747E5B">
      <w:pPr>
        <w:spacing w:line="400" w:lineRule="exact"/>
        <w:ind w:firstLine="420" w:firstLineChars="200"/>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rPr>
        <w:t>15、我司保证在中标后，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开发区建设和交通局《关于在全区建设项目推广使用封闭式外脚手架金属防护网的通知》（房建工程及桥梁工程要求使用）、广州市住房和城乡建设委员会关于《广州市建设工程绿色施工围蔽指导图集(V2.0试行版 )》(穗建质〔2020〕1号）、《关于进一步落实我区市政建设项目施工围蔽提升工作的通知》（穗埔建[2019]123号）及《黄埔区住房和城乡建设局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79645B36">
      <w:pPr>
        <w:spacing w:line="400" w:lineRule="exact"/>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u w:val="single"/>
        </w:rPr>
        <w:t>16、本单位为大中型企业，通过向一家或者多家小微企业分包的方式参与投标，分包意向协议中约定的小微企业的合同份额占到合同总金额30%</w:t>
      </w:r>
      <w:r>
        <w:rPr>
          <w:rFonts w:hint="eastAsia" w:ascii="宋体" w:hAnsi="宋体" w:eastAsia="宋体" w:cs="宋体"/>
          <w:b/>
          <w:bCs/>
          <w:color w:val="auto"/>
          <w:szCs w:val="21"/>
          <w:highlight w:val="none"/>
          <w:u w:val="single"/>
        </w:rPr>
        <w:t>（含）</w:t>
      </w:r>
      <w:r>
        <w:rPr>
          <w:rFonts w:hint="eastAsia" w:ascii="宋体" w:hAnsi="宋体" w:eastAsia="宋体" w:cs="宋体"/>
          <w:color w:val="auto"/>
          <w:sz w:val="21"/>
          <w:szCs w:val="21"/>
          <w:highlight w:val="none"/>
          <w:u w:val="single"/>
        </w:rPr>
        <w:t>以上。</w:t>
      </w:r>
    </w:p>
    <w:p w14:paraId="0D4B8EF4">
      <w:pPr>
        <w:topLinePunct/>
        <w:spacing w:line="400" w:lineRule="exact"/>
        <w:rPr>
          <w:rFonts w:hint="eastAsia" w:ascii="宋体" w:hAnsi="宋体" w:eastAsia="宋体" w:cs="宋体"/>
          <w:snapToGrid w:val="0"/>
          <w:color w:val="auto"/>
          <w:spacing w:val="4"/>
          <w:kern w:val="0"/>
          <w:sz w:val="21"/>
          <w:szCs w:val="21"/>
          <w:highlight w:val="none"/>
        </w:rPr>
      </w:pPr>
    </w:p>
    <w:p w14:paraId="0356278D">
      <w:pPr>
        <w:topLinePunct/>
        <w:spacing w:line="400" w:lineRule="exact"/>
        <w:rPr>
          <w:rFonts w:hint="eastAsia" w:ascii="宋体" w:hAnsi="宋体" w:eastAsia="宋体" w:cs="宋体"/>
          <w:snapToGrid w:val="0"/>
          <w:color w:val="auto"/>
          <w:spacing w:val="4"/>
          <w:kern w:val="0"/>
          <w:sz w:val="21"/>
          <w:szCs w:val="21"/>
          <w:highlight w:val="none"/>
        </w:rPr>
      </w:pPr>
    </w:p>
    <w:p w14:paraId="410DFA61">
      <w:pPr>
        <w:topLinePunct/>
        <w:spacing w:line="400" w:lineRule="exact"/>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20536FD3">
      <w:pPr>
        <w:topLinePunct/>
        <w:spacing w:line="400" w:lineRule="exact"/>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日    期：    年    月    日</w:t>
      </w:r>
    </w:p>
    <w:p w14:paraId="6331CCDB">
      <w:pPr>
        <w:tabs>
          <w:tab w:val="left" w:pos="720"/>
        </w:tabs>
        <w:spacing w:line="400" w:lineRule="exact"/>
        <w:rPr>
          <w:rFonts w:hint="eastAsia" w:ascii="宋体" w:hAnsi="宋体" w:eastAsia="宋体" w:cs="宋体"/>
          <w:color w:val="auto"/>
          <w:szCs w:val="21"/>
          <w:highlight w:val="none"/>
        </w:rPr>
      </w:pPr>
    </w:p>
    <w:p w14:paraId="3AAA2E14">
      <w:pPr>
        <w:tabs>
          <w:tab w:val="left" w:pos="72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385AFAB">
      <w:pPr>
        <w:tabs>
          <w:tab w:val="left" w:pos="72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1、投标人应如实填写《标函承诺书》，中标后，工程的监理单位将经常核验投标人是否按填报内容实施，行政管理机构也将随时抽查。</w:t>
      </w:r>
    </w:p>
    <w:p w14:paraId="5199A7C1">
      <w:pPr>
        <w:spacing w:line="400" w:lineRule="exact"/>
        <w:rPr>
          <w:rFonts w:hint="eastAsia" w:ascii="宋体" w:hAnsi="宋体" w:eastAsia="宋体" w:cs="宋体"/>
          <w:strike/>
          <w:color w:val="auto"/>
          <w:szCs w:val="21"/>
          <w:highlight w:val="none"/>
        </w:rPr>
      </w:pPr>
      <w:r>
        <w:rPr>
          <w:rFonts w:hint="eastAsia" w:ascii="宋体" w:hAnsi="宋体" w:eastAsia="宋体" w:cs="宋体"/>
          <w:color w:val="auto"/>
          <w:sz w:val="21"/>
          <w:szCs w:val="21"/>
          <w:highlight w:val="none"/>
        </w:rPr>
        <w:t>2、如独立投标或与小微企业无分包意向协议的，本格式第16点可自行删除。</w:t>
      </w:r>
    </w:p>
    <w:p w14:paraId="5727F6E8">
      <w:pPr>
        <w:topLinePunct w:val="0"/>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75078B00">
      <w:pPr>
        <w:pStyle w:val="5"/>
        <w:spacing w:line="400" w:lineRule="exact"/>
        <w:rPr>
          <w:rFonts w:hint="eastAsia" w:cs="宋体"/>
          <w:b/>
          <w:bCs/>
          <w:color w:val="auto"/>
          <w:sz w:val="28"/>
          <w:szCs w:val="28"/>
          <w:highlight w:val="none"/>
        </w:rPr>
      </w:pPr>
      <w:r>
        <w:rPr>
          <w:rFonts w:hint="eastAsia" w:cs="宋体"/>
          <w:b/>
          <w:bCs/>
          <w:color w:val="auto"/>
          <w:sz w:val="28"/>
          <w:szCs w:val="28"/>
          <w:highlight w:val="none"/>
        </w:rPr>
        <w:t>格式四：</w:t>
      </w:r>
    </w:p>
    <w:p w14:paraId="6925A812">
      <w:pPr>
        <w:topLinePunct/>
        <w:spacing w:line="360" w:lineRule="auto"/>
        <w:jc w:val="center"/>
        <w:rPr>
          <w:rFonts w:hint="eastAsia" w:ascii="宋体" w:hAnsi="宋体" w:eastAsia="宋体" w:cs="宋体"/>
          <w:b/>
          <w:color w:val="auto"/>
          <w:sz w:val="36"/>
          <w:szCs w:val="36"/>
          <w:highlight w:val="none"/>
          <w:lang w:eastAsia="zh-CN"/>
        </w:rPr>
      </w:pPr>
      <w:r>
        <w:rPr>
          <w:rFonts w:ascii="宋体" w:hAnsi="宋体" w:eastAsia="宋体" w:cs="宋体"/>
          <w:b/>
          <w:color w:val="auto"/>
          <w:sz w:val="36"/>
          <w:szCs w:val="36"/>
          <w:highlight w:val="none"/>
        </w:rPr>
        <w:t>中小企业声明函</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如有</w:t>
      </w:r>
      <w:r>
        <w:rPr>
          <w:rFonts w:hint="eastAsia" w:ascii="宋体" w:hAnsi="宋体" w:cs="宋体"/>
          <w:b/>
          <w:color w:val="auto"/>
          <w:sz w:val="36"/>
          <w:szCs w:val="36"/>
          <w:highlight w:val="none"/>
          <w:lang w:eastAsia="zh-CN"/>
        </w:rPr>
        <w:t>）</w:t>
      </w:r>
    </w:p>
    <w:p w14:paraId="64ADB33F">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本公司（联合体）郑重声明，根据《政府采购促进中小企业发展管理办法》（财库﹝2020﹞46 号）的规定，本公司（联合体）参加</w:t>
      </w:r>
      <w:r>
        <w:rPr>
          <w:rFonts w:ascii="宋体" w:hAnsi="宋体" w:eastAsia="宋体" w:cs="宋体"/>
          <w:color w:val="auto"/>
          <w:kern w:val="0"/>
          <w:szCs w:val="21"/>
          <w:highlight w:val="none"/>
          <w:u w:val="single"/>
          <w:lang w:eastAsia="zh-Hans"/>
        </w:rPr>
        <w:t>（单位名称）</w:t>
      </w:r>
      <w:r>
        <w:rPr>
          <w:rFonts w:ascii="宋体" w:hAnsi="宋体" w:eastAsia="宋体" w:cs="宋体"/>
          <w:color w:val="auto"/>
          <w:kern w:val="0"/>
          <w:szCs w:val="21"/>
          <w:highlight w:val="none"/>
          <w:lang w:eastAsia="zh-Hans"/>
        </w:rPr>
        <w:t>的</w:t>
      </w:r>
      <w:r>
        <w:rPr>
          <w:rFonts w:ascii="宋体" w:hAnsi="宋体" w:eastAsia="宋体" w:cs="宋体"/>
          <w:color w:val="auto"/>
          <w:kern w:val="0"/>
          <w:szCs w:val="21"/>
          <w:highlight w:val="none"/>
          <w:u w:val="single"/>
          <w:lang w:eastAsia="zh-Hans"/>
        </w:rPr>
        <w:t>（项目名称）</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lang w:eastAsia="zh-Hans"/>
        </w:rPr>
        <w:t>活动，工程的施工单位全部为符合政策要求的中小企业。相关企业（含联合体中的中小企业、签订分包意向协议</w:t>
      </w:r>
      <w:r>
        <w:rPr>
          <w:rFonts w:hint="eastAsia" w:ascii="宋体" w:hAnsi="宋体" w:eastAsia="宋体" w:cs="宋体"/>
          <w:color w:val="auto"/>
          <w:kern w:val="0"/>
          <w:szCs w:val="21"/>
          <w:highlight w:val="none"/>
        </w:rPr>
        <w:t>书</w:t>
      </w:r>
      <w:r>
        <w:rPr>
          <w:rFonts w:ascii="宋体" w:hAnsi="宋体" w:eastAsia="宋体" w:cs="宋体"/>
          <w:color w:val="auto"/>
          <w:kern w:val="0"/>
          <w:szCs w:val="21"/>
          <w:highlight w:val="none"/>
          <w:lang w:eastAsia="zh-Hans"/>
        </w:rPr>
        <w:t>的中小企业）的具体情况如下：</w:t>
      </w:r>
    </w:p>
    <w:p w14:paraId="76C269A0">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1.</w:t>
      </w:r>
      <w:r>
        <w:rPr>
          <w:rFonts w:hint="eastAsia" w:ascii="宋体" w:hAnsi="宋体" w:eastAsia="宋体" w:cs="Times New Roman"/>
          <w:color w:val="auto"/>
          <w:kern w:val="0"/>
          <w:szCs w:val="21"/>
          <w:highlight w:val="none"/>
          <w:u w:val="single"/>
          <w:lang w:eastAsia="zh-Hans"/>
        </w:rPr>
        <w:t>（</w:t>
      </w:r>
      <w:r>
        <w:rPr>
          <w:rFonts w:hint="eastAsia" w:ascii="宋体" w:hAnsi="宋体" w:eastAsia="宋体" w:cs="Times New Roman"/>
          <w:color w:val="auto"/>
          <w:spacing w:val="2"/>
          <w:kern w:val="0"/>
          <w:szCs w:val="21"/>
          <w:highlight w:val="none"/>
          <w:u w:val="single"/>
          <w:lang w:eastAsia="zh-Hans"/>
        </w:rPr>
        <w:t>标</w:t>
      </w:r>
      <w:r>
        <w:rPr>
          <w:rFonts w:hint="eastAsia" w:ascii="宋体" w:hAnsi="宋体" w:eastAsia="宋体" w:cs="Times New Roman"/>
          <w:color w:val="auto"/>
          <w:kern w:val="0"/>
          <w:szCs w:val="21"/>
          <w:highlight w:val="none"/>
          <w:u w:val="single"/>
          <w:lang w:eastAsia="zh-Hans"/>
        </w:rPr>
        <w:t>的名</w:t>
      </w:r>
      <w:r>
        <w:rPr>
          <w:rFonts w:hint="eastAsia" w:ascii="宋体" w:hAnsi="宋体" w:eastAsia="宋体" w:cs="Times New Roman"/>
          <w:color w:val="auto"/>
          <w:spacing w:val="2"/>
          <w:kern w:val="0"/>
          <w:szCs w:val="21"/>
          <w:highlight w:val="none"/>
          <w:u w:val="single"/>
          <w:lang w:eastAsia="zh-Hans"/>
        </w:rPr>
        <w:t>称</w:t>
      </w:r>
      <w:r>
        <w:rPr>
          <w:rFonts w:hint="eastAsia" w:ascii="宋体" w:hAnsi="宋体" w:eastAsia="宋体" w:cs="Times New Roman"/>
          <w:color w:val="auto"/>
          <w:kern w:val="0"/>
          <w:szCs w:val="21"/>
          <w:highlight w:val="none"/>
          <w:u w:val="single"/>
          <w:lang w:eastAsia="zh-Hans"/>
        </w:rPr>
        <w:t>）</w:t>
      </w:r>
      <w:r>
        <w:rPr>
          <w:rFonts w:ascii="宋体" w:hAnsi="宋体" w:eastAsia="宋体" w:cs="宋体"/>
          <w:color w:val="auto"/>
          <w:kern w:val="0"/>
          <w:szCs w:val="21"/>
          <w:highlight w:val="none"/>
          <w:lang w:eastAsia="zh-Hans"/>
        </w:rPr>
        <w:t>，属于</w:t>
      </w:r>
      <w:r>
        <w:rPr>
          <w:rFonts w:ascii="宋体" w:hAnsi="宋体" w:eastAsia="宋体" w:cs="宋体"/>
          <w:color w:val="auto"/>
          <w:kern w:val="0"/>
          <w:szCs w:val="21"/>
          <w:highlight w:val="none"/>
          <w:u w:val="single"/>
          <w:lang w:eastAsia="zh-Hans"/>
        </w:rPr>
        <w:t>（</w:t>
      </w:r>
      <w:r>
        <w:rPr>
          <w:rFonts w:hint="eastAsia" w:ascii="宋体" w:hAnsi="宋体" w:eastAsia="宋体" w:cs="宋体"/>
          <w:color w:val="auto"/>
          <w:kern w:val="0"/>
          <w:szCs w:val="21"/>
          <w:highlight w:val="none"/>
          <w:u w:val="single"/>
        </w:rPr>
        <w:t>招标</w:t>
      </w:r>
      <w:r>
        <w:rPr>
          <w:rFonts w:ascii="宋体" w:hAnsi="宋体" w:eastAsia="宋体" w:cs="宋体"/>
          <w:color w:val="auto"/>
          <w:kern w:val="0"/>
          <w:szCs w:val="21"/>
          <w:highlight w:val="none"/>
          <w:u w:val="single"/>
          <w:lang w:eastAsia="zh-Hans"/>
        </w:rPr>
        <w:t>文件中明确的所属行业）</w:t>
      </w:r>
      <w:r>
        <w:rPr>
          <w:rFonts w:ascii="宋体" w:hAnsi="宋体" w:eastAsia="宋体" w:cs="宋体"/>
          <w:color w:val="auto"/>
          <w:kern w:val="0"/>
          <w:szCs w:val="21"/>
          <w:highlight w:val="none"/>
          <w:lang w:eastAsia="zh-Hans"/>
        </w:rPr>
        <w:t>行业；承建（承接）企业为</w:t>
      </w:r>
      <w:r>
        <w:rPr>
          <w:rFonts w:ascii="宋体" w:hAnsi="宋体" w:eastAsia="宋体" w:cs="宋体"/>
          <w:color w:val="auto"/>
          <w:kern w:val="0"/>
          <w:szCs w:val="21"/>
          <w:highlight w:val="none"/>
          <w:u w:val="single"/>
          <w:lang w:eastAsia="zh-Hans"/>
        </w:rPr>
        <w:t>（企业名称）</w:t>
      </w:r>
      <w:r>
        <w:rPr>
          <w:rFonts w:ascii="宋体" w:hAnsi="宋体" w:eastAsia="宋体" w:cs="宋体"/>
          <w:color w:val="auto"/>
          <w:kern w:val="0"/>
          <w:szCs w:val="21"/>
          <w:highlight w:val="none"/>
          <w:lang w:eastAsia="zh-Hans"/>
        </w:rPr>
        <w:t>，从业人员</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lang w:eastAsia="zh-Hans"/>
        </w:rPr>
        <w:t>人，营业收入为</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lang w:eastAsia="zh-Hans"/>
        </w:rPr>
        <w:t>万元，资产总额为</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lang w:eastAsia="zh-Hans"/>
        </w:rPr>
        <w:t>万元，属于</w:t>
      </w:r>
      <w:r>
        <w:rPr>
          <w:rFonts w:ascii="宋体" w:hAnsi="宋体" w:eastAsia="宋体" w:cs="宋体"/>
          <w:color w:val="auto"/>
          <w:kern w:val="0"/>
          <w:szCs w:val="21"/>
          <w:highlight w:val="none"/>
          <w:u w:val="single"/>
          <w:lang w:eastAsia="zh-Hans"/>
        </w:rPr>
        <w:t>（中型企业、小型企业、微型企业）</w:t>
      </w:r>
      <w:r>
        <w:rPr>
          <w:rFonts w:ascii="宋体" w:hAnsi="宋体" w:eastAsia="宋体" w:cs="宋体"/>
          <w:color w:val="auto"/>
          <w:kern w:val="0"/>
          <w:szCs w:val="21"/>
          <w:highlight w:val="none"/>
          <w:lang w:eastAsia="zh-Hans"/>
        </w:rPr>
        <w:t>；</w:t>
      </w:r>
      <w:r>
        <w:rPr>
          <w:rFonts w:hint="eastAsia" w:ascii="宋体" w:hAnsi="宋体" w:eastAsia="宋体" w:cs="Times New Roman"/>
          <w:color w:val="auto"/>
          <w:kern w:val="0"/>
          <w:szCs w:val="21"/>
          <w:highlight w:val="none"/>
          <w:lang w:eastAsia="zh-Hans"/>
        </w:rPr>
        <w:t>在本项目中拟承担工作，在本项目的合同份额占合同总金额</w:t>
      </w:r>
      <w:r>
        <w:rPr>
          <w:rFonts w:hint="eastAsia" w:ascii="宋体" w:hAnsi="宋体" w:eastAsia="宋体" w:cs="Times New Roman"/>
          <w:color w:val="auto"/>
          <w:kern w:val="0"/>
          <w:szCs w:val="21"/>
          <w:highlight w:val="none"/>
          <w:u w:val="single"/>
          <w:lang w:eastAsia="zh-Hans"/>
        </w:rPr>
        <w:t xml:space="preserve">    </w:t>
      </w:r>
      <w:r>
        <w:rPr>
          <w:rFonts w:hint="eastAsia" w:ascii="宋体" w:hAnsi="宋体" w:eastAsia="宋体" w:cs="Times New Roman"/>
          <w:color w:val="auto"/>
          <w:kern w:val="0"/>
          <w:szCs w:val="21"/>
          <w:highlight w:val="none"/>
          <w:lang w:eastAsia="zh-Hans"/>
        </w:rPr>
        <w:t>%</w:t>
      </w:r>
    </w:p>
    <w:p w14:paraId="1B5B14FD">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2</w:t>
      </w:r>
      <w:r>
        <w:rPr>
          <w:rFonts w:hint="eastAsia" w:ascii="宋体" w:hAnsi="宋体" w:eastAsia="宋体" w:cs="Times New Roman"/>
          <w:color w:val="auto"/>
          <w:kern w:val="0"/>
          <w:szCs w:val="21"/>
          <w:highlight w:val="none"/>
          <w:u w:val="single"/>
          <w:lang w:eastAsia="zh-Hans"/>
        </w:rPr>
        <w:t>（</w:t>
      </w:r>
      <w:r>
        <w:rPr>
          <w:rFonts w:hint="eastAsia" w:ascii="宋体" w:hAnsi="宋体" w:eastAsia="宋体" w:cs="Times New Roman"/>
          <w:color w:val="auto"/>
          <w:spacing w:val="2"/>
          <w:kern w:val="0"/>
          <w:szCs w:val="21"/>
          <w:highlight w:val="none"/>
          <w:u w:val="single"/>
          <w:lang w:eastAsia="zh-Hans"/>
        </w:rPr>
        <w:t>标</w:t>
      </w:r>
      <w:r>
        <w:rPr>
          <w:rFonts w:hint="eastAsia" w:ascii="宋体" w:hAnsi="宋体" w:eastAsia="宋体" w:cs="Times New Roman"/>
          <w:color w:val="auto"/>
          <w:kern w:val="0"/>
          <w:szCs w:val="21"/>
          <w:highlight w:val="none"/>
          <w:u w:val="single"/>
          <w:lang w:eastAsia="zh-Hans"/>
        </w:rPr>
        <w:t>的名</w:t>
      </w:r>
      <w:r>
        <w:rPr>
          <w:rFonts w:hint="eastAsia" w:ascii="宋体" w:hAnsi="宋体" w:eastAsia="宋体" w:cs="Times New Roman"/>
          <w:color w:val="auto"/>
          <w:spacing w:val="2"/>
          <w:kern w:val="0"/>
          <w:szCs w:val="21"/>
          <w:highlight w:val="none"/>
          <w:u w:val="single"/>
          <w:lang w:eastAsia="zh-Hans"/>
        </w:rPr>
        <w:t>称</w:t>
      </w:r>
      <w:r>
        <w:rPr>
          <w:rFonts w:hint="eastAsia" w:ascii="宋体" w:hAnsi="宋体" w:eastAsia="宋体" w:cs="Times New Roman"/>
          <w:color w:val="auto"/>
          <w:kern w:val="0"/>
          <w:szCs w:val="21"/>
          <w:highlight w:val="none"/>
          <w:u w:val="single"/>
          <w:lang w:eastAsia="zh-Hans"/>
        </w:rPr>
        <w:t>）</w:t>
      </w:r>
      <w:r>
        <w:rPr>
          <w:rFonts w:ascii="宋体" w:hAnsi="宋体" w:eastAsia="宋体" w:cs="宋体"/>
          <w:color w:val="auto"/>
          <w:kern w:val="0"/>
          <w:szCs w:val="21"/>
          <w:highlight w:val="none"/>
          <w:lang w:eastAsia="zh-Hans"/>
        </w:rPr>
        <w:t>，属于</w:t>
      </w:r>
      <w:r>
        <w:rPr>
          <w:rFonts w:ascii="宋体" w:hAnsi="宋体" w:eastAsia="宋体" w:cs="宋体"/>
          <w:color w:val="auto"/>
          <w:kern w:val="0"/>
          <w:szCs w:val="21"/>
          <w:highlight w:val="none"/>
          <w:u w:val="single"/>
          <w:lang w:eastAsia="zh-Hans"/>
        </w:rPr>
        <w:t>（</w:t>
      </w:r>
      <w:r>
        <w:rPr>
          <w:rFonts w:hint="eastAsia" w:ascii="宋体" w:hAnsi="宋体" w:eastAsia="宋体" w:cs="宋体"/>
          <w:color w:val="auto"/>
          <w:kern w:val="0"/>
          <w:szCs w:val="21"/>
          <w:highlight w:val="none"/>
          <w:u w:val="single"/>
        </w:rPr>
        <w:t>招标</w:t>
      </w:r>
      <w:r>
        <w:rPr>
          <w:rFonts w:ascii="宋体" w:hAnsi="宋体" w:eastAsia="宋体" w:cs="宋体"/>
          <w:color w:val="auto"/>
          <w:kern w:val="0"/>
          <w:szCs w:val="21"/>
          <w:highlight w:val="none"/>
          <w:u w:val="single"/>
          <w:lang w:eastAsia="zh-Hans"/>
        </w:rPr>
        <w:t>文件中明确的所属行业）</w:t>
      </w:r>
      <w:r>
        <w:rPr>
          <w:rFonts w:ascii="宋体" w:hAnsi="宋体" w:eastAsia="宋体" w:cs="宋体"/>
          <w:color w:val="auto"/>
          <w:kern w:val="0"/>
          <w:szCs w:val="21"/>
          <w:highlight w:val="none"/>
          <w:lang w:eastAsia="zh-Hans"/>
        </w:rPr>
        <w:t>行业；承建（承接）企业为</w:t>
      </w:r>
      <w:r>
        <w:rPr>
          <w:rFonts w:ascii="宋体" w:hAnsi="宋体" w:eastAsia="宋体" w:cs="宋体"/>
          <w:color w:val="auto"/>
          <w:kern w:val="0"/>
          <w:szCs w:val="21"/>
          <w:highlight w:val="none"/>
          <w:u w:val="single"/>
          <w:lang w:eastAsia="zh-Hans"/>
        </w:rPr>
        <w:t>（企业名称）</w:t>
      </w:r>
      <w:r>
        <w:rPr>
          <w:rFonts w:ascii="宋体" w:hAnsi="宋体" w:eastAsia="宋体" w:cs="宋体"/>
          <w:color w:val="auto"/>
          <w:kern w:val="0"/>
          <w:szCs w:val="21"/>
          <w:highlight w:val="none"/>
          <w:lang w:eastAsia="zh-Hans"/>
        </w:rPr>
        <w:t>，从业人员__________________人，营业收入为__________________万元，资产总额为__________________万元，属于</w:t>
      </w:r>
      <w:r>
        <w:rPr>
          <w:rFonts w:ascii="宋体" w:hAnsi="宋体" w:eastAsia="宋体" w:cs="宋体"/>
          <w:color w:val="auto"/>
          <w:kern w:val="0"/>
          <w:szCs w:val="21"/>
          <w:highlight w:val="none"/>
          <w:u w:val="single"/>
          <w:lang w:eastAsia="zh-Hans"/>
        </w:rPr>
        <w:t>（中型企业、小型企业、微型企业）</w:t>
      </w:r>
      <w:r>
        <w:rPr>
          <w:rFonts w:ascii="宋体" w:hAnsi="宋体" w:eastAsia="宋体" w:cs="宋体"/>
          <w:color w:val="auto"/>
          <w:kern w:val="0"/>
          <w:szCs w:val="21"/>
          <w:highlight w:val="none"/>
          <w:lang w:eastAsia="zh-Hans"/>
        </w:rPr>
        <w:t>；</w:t>
      </w:r>
      <w:r>
        <w:rPr>
          <w:rFonts w:hint="eastAsia" w:ascii="宋体" w:hAnsi="宋体" w:eastAsia="宋体" w:cs="Times New Roman"/>
          <w:color w:val="auto"/>
          <w:kern w:val="0"/>
          <w:szCs w:val="21"/>
          <w:highlight w:val="none"/>
          <w:lang w:eastAsia="zh-Hans"/>
        </w:rPr>
        <w:t>在本项目中拟承担工作，在本项目的合同份额占合同总金额</w:t>
      </w:r>
      <w:r>
        <w:rPr>
          <w:rFonts w:hint="eastAsia" w:ascii="宋体" w:hAnsi="宋体" w:eastAsia="宋体" w:cs="Times New Roman"/>
          <w:color w:val="auto"/>
          <w:kern w:val="0"/>
          <w:szCs w:val="21"/>
          <w:highlight w:val="none"/>
          <w:u w:val="single"/>
          <w:lang w:eastAsia="zh-Hans"/>
        </w:rPr>
        <w:t xml:space="preserve">    </w:t>
      </w:r>
      <w:r>
        <w:rPr>
          <w:rFonts w:hint="eastAsia" w:ascii="宋体" w:hAnsi="宋体" w:eastAsia="宋体" w:cs="Times New Roman"/>
          <w:color w:val="auto"/>
          <w:kern w:val="0"/>
          <w:szCs w:val="21"/>
          <w:highlight w:val="none"/>
          <w:lang w:eastAsia="zh-Hans"/>
        </w:rPr>
        <w:t>%。</w:t>
      </w:r>
    </w:p>
    <w:p w14:paraId="1040FD1D">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w:t>
      </w:r>
    </w:p>
    <w:p w14:paraId="283AF4CA">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以上企业，不属于大企业的分支机构，不存在控股股东为大企业的情形，也不存在与大企业的负责人为同一人的情形。</w:t>
      </w:r>
    </w:p>
    <w:p w14:paraId="78CDA626">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本企业对上述声明内容的真实性负责。如有虚假，将依法承担相应责任。</w:t>
      </w:r>
    </w:p>
    <w:p w14:paraId="046BE590">
      <w:pPr>
        <w:widowControl/>
        <w:spacing w:line="360" w:lineRule="auto"/>
        <w:jc w:val="right"/>
        <w:rPr>
          <w:rFonts w:ascii="宋体" w:hAnsi="宋体" w:eastAsia="宋体" w:cs="宋体"/>
          <w:color w:val="auto"/>
          <w:kern w:val="0"/>
          <w:sz w:val="24"/>
          <w:szCs w:val="20"/>
          <w:highlight w:val="none"/>
          <w:lang w:eastAsia="zh-Hans"/>
        </w:rPr>
      </w:pPr>
    </w:p>
    <w:p w14:paraId="38A8B1F9">
      <w:pPr>
        <w:tabs>
          <w:tab w:val="left" w:pos="720"/>
        </w:tabs>
        <w:spacing w:line="336" w:lineRule="auto"/>
        <w:ind w:firstLine="4578" w:firstLineChars="210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3AC060F8">
      <w:pPr>
        <w:topLinePunct/>
        <w:spacing w:line="276" w:lineRule="auto"/>
        <w:ind w:firstLine="4578" w:firstLineChars="21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p w14:paraId="364307D8">
      <w:pPr>
        <w:rPr>
          <w:rFonts w:ascii="宋体" w:hAnsi="宋体" w:eastAsia="宋体"/>
          <w:color w:val="auto"/>
          <w:highlight w:val="none"/>
        </w:rPr>
      </w:pPr>
    </w:p>
    <w:p w14:paraId="4490C57B">
      <w:pPr>
        <w:wordWrap w:val="0"/>
        <w:spacing w:line="276" w:lineRule="auto"/>
        <w:rPr>
          <w:rFonts w:ascii="宋体" w:hAnsi="宋体" w:eastAsia="宋体"/>
          <w:color w:val="auto"/>
          <w:highlight w:val="none"/>
          <w:u w:val="single"/>
        </w:rPr>
      </w:pPr>
      <w:r>
        <w:rPr>
          <w:rFonts w:hint="eastAsia" w:ascii="宋体" w:hAnsi="宋体" w:eastAsia="宋体"/>
          <w:color w:val="auto"/>
          <w:highlight w:val="none"/>
          <w:u w:val="single"/>
        </w:rPr>
        <w:t>备注：1.从业人员、营业收入、资产总额填报上一年度数据，无上一年度数据的新成立企业可不填报。</w:t>
      </w:r>
    </w:p>
    <w:p w14:paraId="00F4DBA0">
      <w:pPr>
        <w:wordWrap w:val="0"/>
        <w:spacing w:line="276" w:lineRule="auto"/>
        <w:rPr>
          <w:rFonts w:ascii="宋体" w:hAnsi="宋体" w:eastAsia="宋体"/>
          <w:color w:val="auto"/>
          <w:highlight w:val="none"/>
          <w:u w:val="single"/>
        </w:rPr>
      </w:pPr>
      <w:r>
        <w:rPr>
          <w:rFonts w:hint="eastAsia" w:ascii="宋体" w:hAnsi="宋体" w:eastAsia="宋体"/>
          <w:color w:val="auto"/>
          <w:highlight w:val="none"/>
          <w:u w:val="single"/>
        </w:rPr>
        <w:t>2.投标人可参考《广东省财政厅关于进一步规范政府采购活动中落实促进中小企业发展政策的通知（粤财采购〔2024〕11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书的小微企业相关信息。</w:t>
      </w:r>
    </w:p>
    <w:p w14:paraId="33C00436">
      <w:pPr>
        <w:wordWrap w:val="0"/>
        <w:spacing w:line="276" w:lineRule="auto"/>
        <w:rPr>
          <w:rFonts w:ascii="宋体" w:hAnsi="宋体" w:eastAsia="宋体"/>
          <w:color w:val="auto"/>
          <w:highlight w:val="none"/>
        </w:rPr>
      </w:pPr>
      <w:r>
        <w:rPr>
          <w:rFonts w:hint="eastAsia" w:ascii="宋体" w:hAnsi="宋体" w:eastAsia="宋体"/>
          <w:color w:val="auto"/>
          <w:highlight w:val="none"/>
          <w:u w:val="single"/>
        </w:rPr>
        <w:t>3.投标人应当自行核实是否属于小微企业，并认真填写中小企业声明函。投标人应当在声明函规定的空白处填写相关内容，在中型企业、小型企业、微型企业三类中选填所属类别。若有虚假将追究其责任。</w:t>
      </w:r>
    </w:p>
    <w:p w14:paraId="4EA8B2B2">
      <w:pPr>
        <w:kinsoku/>
        <w:wordWrap w:val="0"/>
        <w:overflowPunct/>
        <w:topLinePunct/>
        <w:spacing w:before="0" w:beforeAutospacing="0" w:line="276" w:lineRule="auto"/>
        <w:ind w:right="0"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4、《中小企业声明函》，只作为报价评审优惠依据，不作为否决投标条款。</w:t>
      </w:r>
    </w:p>
    <w:p w14:paraId="2D47CB6E">
      <w:pPr>
        <w:spacing w:line="400" w:lineRule="exact"/>
        <w:ind w:firstLine="1124" w:firstLineChars="400"/>
        <w:rPr>
          <w:rFonts w:hint="eastAsia" w:cs="宋体"/>
          <w:b/>
          <w:bCs/>
          <w:color w:val="auto"/>
          <w:sz w:val="28"/>
          <w:szCs w:val="28"/>
          <w:highlight w:val="none"/>
        </w:rPr>
      </w:pPr>
    </w:p>
    <w:p w14:paraId="55479655">
      <w:pPr>
        <w:spacing w:line="400" w:lineRule="exact"/>
        <w:ind w:firstLine="1124" w:firstLineChars="400"/>
        <w:rPr>
          <w:rFonts w:hint="eastAsia" w:cs="宋体"/>
          <w:b/>
          <w:bCs/>
          <w:color w:val="auto"/>
          <w:sz w:val="28"/>
          <w:szCs w:val="28"/>
          <w:highlight w:val="none"/>
        </w:rPr>
      </w:pPr>
    </w:p>
    <w:p w14:paraId="2EB0B500">
      <w:pPr>
        <w:spacing w:line="400" w:lineRule="exact"/>
        <w:ind w:firstLine="1124" w:firstLineChars="400"/>
        <w:rPr>
          <w:rFonts w:hint="eastAsia" w:cs="宋体"/>
          <w:b/>
          <w:bCs/>
          <w:color w:val="auto"/>
          <w:sz w:val="28"/>
          <w:szCs w:val="28"/>
          <w:highlight w:val="none"/>
        </w:rPr>
      </w:pPr>
    </w:p>
    <w:p w14:paraId="3C85268C">
      <w:pPr>
        <w:spacing w:line="240" w:lineRule="auto"/>
        <w:ind w:firstLine="0" w:firstLineChars="0"/>
        <w:rPr>
          <w:rFonts w:hint="eastAsia" w:cs="宋体"/>
          <w:b/>
          <w:bCs/>
          <w:color w:val="auto"/>
          <w:sz w:val="28"/>
          <w:szCs w:val="28"/>
          <w:highlight w:val="none"/>
        </w:rPr>
      </w:pPr>
      <w:r>
        <w:rPr>
          <w:rFonts w:hint="eastAsia" w:cs="宋体"/>
          <w:b/>
          <w:bCs/>
          <w:color w:val="auto"/>
          <w:sz w:val="28"/>
          <w:szCs w:val="28"/>
          <w:highlight w:val="none"/>
        </w:rPr>
        <w:br w:type="page"/>
      </w:r>
    </w:p>
    <w:p w14:paraId="3DFE1CEE">
      <w:pPr>
        <w:spacing w:line="400" w:lineRule="exact"/>
        <w:ind w:firstLine="0" w:firstLineChars="0"/>
        <w:rPr>
          <w:rFonts w:hint="eastAsia" w:cs="宋体"/>
          <w:b/>
          <w:bCs/>
          <w:color w:val="auto"/>
          <w:sz w:val="28"/>
          <w:szCs w:val="28"/>
          <w:highlight w:val="none"/>
        </w:rPr>
      </w:pPr>
      <w:r>
        <w:rPr>
          <w:rFonts w:hint="eastAsia" w:cs="宋体"/>
          <w:b/>
          <w:bCs/>
          <w:color w:val="auto"/>
          <w:sz w:val="28"/>
          <w:szCs w:val="28"/>
          <w:highlight w:val="none"/>
        </w:rPr>
        <w:t>格式五：</w:t>
      </w:r>
    </w:p>
    <w:p w14:paraId="59319EE6">
      <w:pPr>
        <w:tabs>
          <w:tab w:val="left" w:pos="720"/>
        </w:tabs>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分包意向协议（如有）</w:t>
      </w:r>
    </w:p>
    <w:p w14:paraId="7CE93590">
      <w:pPr>
        <w:spacing w:line="360" w:lineRule="auto"/>
        <w:rPr>
          <w:rFonts w:hint="eastAsia" w:ascii="宋体" w:hAnsi="宋体" w:eastAsia="宋体" w:cs="宋体"/>
          <w:color w:val="auto"/>
          <w:kern w:val="0"/>
          <w:szCs w:val="20"/>
          <w:highlight w:val="none"/>
        </w:rPr>
      </w:pPr>
    </w:p>
    <w:p w14:paraId="1991D9B5">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kern w:val="10"/>
          <w:szCs w:val="21"/>
          <w:highlight w:val="none"/>
        </w:rPr>
        <w:t>立约方：</w:t>
      </w:r>
      <w:r>
        <w:rPr>
          <w:rFonts w:hint="eastAsia" w:ascii="宋体" w:hAnsi="宋体" w:eastAsia="宋体" w:cs="宋体"/>
          <w:color w:val="auto"/>
          <w:szCs w:val="21"/>
          <w:highlight w:val="none"/>
          <w:u w:val="single"/>
        </w:rPr>
        <w:t>（甲公司全称）</w:t>
      </w:r>
    </w:p>
    <w:p w14:paraId="0CD4E5E2">
      <w:pPr>
        <w:spacing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（乙公司全称）</w:t>
      </w:r>
    </w:p>
    <w:p w14:paraId="58B4FC82">
      <w:pPr>
        <w:spacing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（……公司全称）</w:t>
      </w:r>
    </w:p>
    <w:p w14:paraId="74EB1E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（乙公司全称）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（……公司全称）</w:t>
      </w:r>
      <w:r>
        <w:rPr>
          <w:rFonts w:hint="eastAsia" w:ascii="宋体" w:hAnsi="宋体" w:eastAsia="宋体" w:cs="宋体"/>
          <w:color w:val="auto"/>
          <w:kern w:val="0"/>
          <w:szCs w:val="21"/>
          <w:highlight w:val="none"/>
        </w:rPr>
        <w:t>自愿达成分包意向，参加</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的投标活动。</w:t>
      </w:r>
      <w:r>
        <w:rPr>
          <w:rFonts w:hint="eastAsia" w:ascii="宋体" w:hAnsi="宋体" w:eastAsia="宋体" w:cs="宋体"/>
          <w:color w:val="auto"/>
          <w:szCs w:val="21"/>
          <w:highlight w:val="none"/>
        </w:rPr>
        <w:t>经各方充分协商一致，就</w:t>
      </w:r>
      <w:r>
        <w:rPr>
          <w:rFonts w:hint="eastAsia" w:ascii="宋体" w:hAnsi="宋体" w:eastAsia="宋体" w:cs="宋体"/>
          <w:color w:val="auto"/>
          <w:kern w:val="10"/>
          <w:szCs w:val="21"/>
          <w:highlight w:val="none"/>
        </w:rPr>
        <w:t>项目的</w:t>
      </w:r>
      <w:r>
        <w:rPr>
          <w:rFonts w:hint="eastAsia" w:ascii="宋体" w:hAnsi="宋体" w:eastAsia="宋体" w:cs="宋体"/>
          <w:color w:val="auto"/>
          <w:kern w:val="0"/>
          <w:szCs w:val="21"/>
          <w:highlight w:val="none"/>
        </w:rPr>
        <w:t>投标</w:t>
      </w:r>
      <w:r>
        <w:rPr>
          <w:rFonts w:hint="eastAsia" w:ascii="宋体" w:hAnsi="宋体" w:eastAsia="宋体" w:cs="宋体"/>
          <w:color w:val="auto"/>
          <w:kern w:val="10"/>
          <w:szCs w:val="21"/>
          <w:highlight w:val="none"/>
        </w:rPr>
        <w:t>和合同实施阶段的有关事务协商一致</w:t>
      </w:r>
      <w:r>
        <w:rPr>
          <w:rFonts w:hint="eastAsia" w:ascii="宋体" w:hAnsi="宋体" w:eastAsia="宋体" w:cs="宋体"/>
          <w:color w:val="auto"/>
          <w:kern w:val="0"/>
          <w:szCs w:val="21"/>
          <w:highlight w:val="none"/>
        </w:rPr>
        <w:t>订立意向如下</w:t>
      </w:r>
      <w:r>
        <w:rPr>
          <w:rFonts w:hint="eastAsia" w:ascii="宋体" w:hAnsi="宋体" w:eastAsia="宋体" w:cs="宋体"/>
          <w:color w:val="auto"/>
          <w:szCs w:val="21"/>
          <w:highlight w:val="none"/>
        </w:rPr>
        <w:t>：</w:t>
      </w:r>
    </w:p>
    <w:p w14:paraId="51E58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一、分包意向各方关系</w:t>
      </w:r>
    </w:p>
    <w:p w14:paraId="6E807F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（甲公司全称）为投标人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（乙公司全称）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（……公司全称）</w:t>
      </w:r>
      <w:r>
        <w:rPr>
          <w:rFonts w:hint="eastAsia" w:ascii="宋体" w:hAnsi="宋体" w:eastAsia="宋体" w:cs="宋体"/>
          <w:color w:val="auto"/>
          <w:szCs w:val="21"/>
          <w:highlight w:val="none"/>
        </w:rPr>
        <w:t>为分包意向单位，</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rPr>
        <w:t>以投标人的身份参加本项目的</w:t>
      </w:r>
      <w:r>
        <w:rPr>
          <w:rFonts w:hint="eastAsia" w:ascii="宋体" w:hAnsi="宋体" w:eastAsia="宋体" w:cs="宋体"/>
          <w:color w:val="auto"/>
          <w:kern w:val="0"/>
          <w:szCs w:val="21"/>
          <w:highlight w:val="none"/>
        </w:rPr>
        <w:t>投标</w:t>
      </w:r>
      <w:r>
        <w:rPr>
          <w:rFonts w:hint="eastAsia" w:ascii="宋体" w:hAnsi="宋体" w:eastAsia="宋体" w:cs="宋体"/>
          <w:color w:val="auto"/>
          <w:szCs w:val="21"/>
          <w:highlight w:val="none"/>
        </w:rPr>
        <w:t>。若中标，</w:t>
      </w:r>
      <w:r>
        <w:rPr>
          <w:rFonts w:hint="eastAsia" w:ascii="宋体" w:hAnsi="宋体" w:eastAsia="宋体" w:cs="宋体"/>
          <w:color w:val="auto"/>
          <w:kern w:val="0"/>
          <w:szCs w:val="21"/>
          <w:highlight w:val="none"/>
          <w:u w:val="single"/>
        </w:rPr>
        <w:t>（甲公司全称）与</w:t>
      </w:r>
      <w:r>
        <w:rPr>
          <w:rFonts w:hint="eastAsia" w:ascii="宋体" w:hAnsi="宋体" w:eastAsia="宋体" w:cs="宋体"/>
          <w:color w:val="auto"/>
          <w:szCs w:val="21"/>
          <w:highlight w:val="none"/>
          <w:u w:val="single"/>
        </w:rPr>
        <w:t>招标人</w:t>
      </w:r>
      <w:r>
        <w:rPr>
          <w:rFonts w:hint="eastAsia" w:ascii="宋体" w:hAnsi="宋体" w:eastAsia="宋体" w:cs="宋体"/>
          <w:color w:val="auto"/>
          <w:szCs w:val="21"/>
          <w:highlight w:val="none"/>
        </w:rPr>
        <w:t>签订建设工程施工合同。承接分包意向的各单位与</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签订分包合同。</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rPr>
        <w:t>就招标项目和分包项目向招标人负责，分包单位就分包项目承担责任。</w:t>
      </w:r>
    </w:p>
    <w:p w14:paraId="6C73CB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二、有关事项约定如下：</w:t>
      </w:r>
    </w:p>
    <w:p w14:paraId="0D8E05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1.如中标，分包单位分别与</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签订合同书，并就中标项目分包部分承担法律责任；</w:t>
      </w:r>
    </w:p>
    <w:p w14:paraId="2E47BD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2.分包意向单位1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乙</w:t>
      </w:r>
      <w:r>
        <w:rPr>
          <w:rFonts w:hint="eastAsia" w:ascii="宋体" w:hAnsi="宋体" w:eastAsia="宋体" w:cs="宋体"/>
          <w:color w:val="auto"/>
          <w:szCs w:val="21"/>
          <w:highlight w:val="none"/>
          <w:u w:val="single"/>
        </w:rPr>
        <w:t xml:space="preserve">公司全称）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（请填写：大型、中型、小型、微型）</w:t>
      </w:r>
      <w:r>
        <w:rPr>
          <w:rFonts w:hint="eastAsia" w:ascii="宋体" w:hAnsi="宋体" w:eastAsia="宋体" w:cs="宋体"/>
          <w:color w:val="auto"/>
          <w:szCs w:val="21"/>
          <w:highlight w:val="none"/>
        </w:rPr>
        <w:t>企业，将承担适宜分包部分</w:t>
      </w:r>
      <w:r>
        <w:rPr>
          <w:rFonts w:hint="eastAsia" w:ascii="宋体" w:hAnsi="宋体" w:eastAsia="宋体" w:cs="宋体"/>
          <w:color w:val="auto"/>
          <w:szCs w:val="21"/>
          <w:highlight w:val="none"/>
          <w:u w:val="single"/>
        </w:rPr>
        <w:t xml:space="preserve"> （具体分包内容）</w:t>
      </w:r>
      <w:r>
        <w:rPr>
          <w:rFonts w:hint="eastAsia" w:ascii="宋体" w:hAnsi="宋体" w:eastAsia="宋体" w:cs="宋体"/>
          <w:color w:val="auto"/>
          <w:szCs w:val="21"/>
          <w:highlight w:val="none"/>
        </w:rPr>
        <w:t>占合同总金额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%的工作内容。</w:t>
      </w:r>
    </w:p>
    <w:p w14:paraId="05E3F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3.分包意向单位2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（请填写：大型、中型、小型、微型）</w:t>
      </w:r>
      <w:r>
        <w:rPr>
          <w:rFonts w:hint="eastAsia" w:ascii="宋体" w:hAnsi="宋体" w:eastAsia="宋体" w:cs="宋体"/>
          <w:color w:val="auto"/>
          <w:szCs w:val="21"/>
          <w:highlight w:val="none"/>
        </w:rPr>
        <w:t>企业，将承担适宜分包部分</w:t>
      </w:r>
      <w:r>
        <w:rPr>
          <w:rFonts w:hint="eastAsia" w:ascii="宋体" w:hAnsi="宋体" w:eastAsia="宋体" w:cs="宋体"/>
          <w:color w:val="auto"/>
          <w:szCs w:val="21"/>
          <w:highlight w:val="none"/>
          <w:u w:val="single"/>
        </w:rPr>
        <w:t>（具体分包内容）占</w:t>
      </w:r>
      <w:r>
        <w:rPr>
          <w:rFonts w:hint="eastAsia" w:ascii="宋体" w:hAnsi="宋体" w:eastAsia="宋体" w:cs="宋体"/>
          <w:color w:val="auto"/>
          <w:szCs w:val="21"/>
          <w:highlight w:val="none"/>
        </w:rPr>
        <w:t>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%的工作内容。</w:t>
      </w:r>
    </w:p>
    <w:p w14:paraId="0175D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236C5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三、接受分包的企业与投标人之间的关系：</w:t>
      </w:r>
    </w:p>
    <w:p w14:paraId="6563A6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1.分包意向单位1</w:t>
      </w:r>
      <w:r>
        <w:rPr>
          <w:rFonts w:hint="eastAsia" w:ascii="宋体" w:hAnsi="宋体" w:eastAsia="宋体" w:cs="宋体"/>
          <w:color w:val="auto"/>
          <w:szCs w:val="21"/>
          <w:highlight w:val="none"/>
          <w:u w:val="single"/>
        </w:rPr>
        <w:t xml:space="preserve"> （公司全称）</w:t>
      </w:r>
      <w:r>
        <w:rPr>
          <w:rFonts w:hint="eastAsia" w:ascii="宋体" w:hAnsi="宋体" w:eastAsia="宋体" w:cs="宋体"/>
          <w:color w:val="auto"/>
          <w:szCs w:val="21"/>
          <w:highlight w:val="none"/>
        </w:rPr>
        <w:t>与投标人之间</w:t>
      </w:r>
      <w:r>
        <w:rPr>
          <w:rFonts w:hint="eastAsia" w:ascii="宋体" w:hAnsi="宋体" w:eastAsia="宋体" w:cs="宋体"/>
          <w:color w:val="auto"/>
          <w:szCs w:val="21"/>
          <w:highlight w:val="none"/>
          <w:u w:val="single"/>
        </w:rPr>
        <w:t>（请填写：是否存在）</w:t>
      </w:r>
      <w:r>
        <w:rPr>
          <w:rFonts w:hint="eastAsia" w:ascii="宋体" w:hAnsi="宋体" w:eastAsia="宋体" w:cs="宋体"/>
          <w:color w:val="auto"/>
          <w:szCs w:val="21"/>
          <w:highlight w:val="none"/>
        </w:rPr>
        <w:t>直接控股、管理关系的情形。</w:t>
      </w:r>
    </w:p>
    <w:p w14:paraId="50FCFF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2.分包意向单位2</w:t>
      </w:r>
      <w:r>
        <w:rPr>
          <w:rFonts w:hint="eastAsia" w:ascii="宋体" w:hAnsi="宋体" w:eastAsia="宋体" w:cs="宋体"/>
          <w:color w:val="auto"/>
          <w:szCs w:val="21"/>
          <w:highlight w:val="none"/>
          <w:u w:val="single"/>
        </w:rPr>
        <w:t xml:space="preserve"> （公司全称）</w:t>
      </w:r>
      <w:r>
        <w:rPr>
          <w:rFonts w:hint="eastAsia" w:ascii="宋体" w:hAnsi="宋体" w:eastAsia="宋体" w:cs="宋体"/>
          <w:color w:val="auto"/>
          <w:szCs w:val="21"/>
          <w:highlight w:val="none"/>
        </w:rPr>
        <w:t>与投标人之间</w:t>
      </w:r>
      <w:r>
        <w:rPr>
          <w:rFonts w:hint="eastAsia" w:ascii="宋体" w:hAnsi="宋体" w:eastAsia="宋体" w:cs="宋体"/>
          <w:color w:val="auto"/>
          <w:szCs w:val="21"/>
          <w:highlight w:val="none"/>
          <w:u w:val="single"/>
        </w:rPr>
        <w:t>（请填写：是否存在）</w:t>
      </w:r>
      <w:r>
        <w:rPr>
          <w:rFonts w:hint="eastAsia" w:ascii="宋体" w:hAnsi="宋体" w:eastAsia="宋体" w:cs="宋体"/>
          <w:color w:val="auto"/>
          <w:szCs w:val="21"/>
          <w:highlight w:val="none"/>
        </w:rPr>
        <w:t>直接控股、管理关系的情形。</w:t>
      </w:r>
    </w:p>
    <w:p w14:paraId="56992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CB01BA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四、如因违约过失责任而导致招标人经济损失或被索赔时，</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同意无条件优先清偿招标人的一切债务和经济赔偿。</w:t>
      </w:r>
    </w:p>
    <w:p w14:paraId="66E975D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五、如中标，分包意向单位不得以任何理由提出终止本意向协议。</w:t>
      </w:r>
    </w:p>
    <w:p w14:paraId="6B2B8F6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六、如中标，分包意向单位确定后，不得擅自变更。</w:t>
      </w:r>
    </w:p>
    <w:p w14:paraId="18AF959D">
      <w:pPr>
        <w:spacing w:line="360" w:lineRule="auto"/>
        <w:ind w:left="23" w:lef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七、</w:t>
      </w:r>
      <w:r>
        <w:rPr>
          <w:rFonts w:hint="eastAsia" w:ascii="宋体" w:hAnsi="宋体" w:eastAsia="宋体" w:cs="宋体"/>
          <w:color w:val="auto"/>
          <w:szCs w:val="21"/>
          <w:highlight w:val="none"/>
        </w:rPr>
        <w:t>本意向书在</w:t>
      </w:r>
      <w:r>
        <w:rPr>
          <w:rFonts w:hint="eastAsia" w:ascii="宋体" w:hAnsi="宋体" w:eastAsia="宋体" w:cs="宋体"/>
          <w:color w:val="auto"/>
          <w:kern w:val="0"/>
          <w:szCs w:val="21"/>
          <w:highlight w:val="none"/>
        </w:rPr>
        <w:t>自签署之日起生效，</w:t>
      </w:r>
      <w:r>
        <w:rPr>
          <w:rFonts w:hint="eastAsia" w:ascii="宋体" w:hAnsi="宋体" w:eastAsia="宋体" w:cs="宋体"/>
          <w:color w:val="auto"/>
          <w:szCs w:val="21"/>
          <w:highlight w:val="none"/>
        </w:rPr>
        <w:t>有效期内有效，如获中标资格，有效期延续至合同履行完毕之日。</w:t>
      </w:r>
    </w:p>
    <w:p w14:paraId="4AFC82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八、</w:t>
      </w:r>
      <w:r>
        <w:rPr>
          <w:rFonts w:hint="eastAsia" w:ascii="宋体" w:hAnsi="宋体" w:eastAsia="宋体" w:cs="宋体"/>
          <w:color w:val="auto"/>
          <w:kern w:val="10"/>
          <w:szCs w:val="21"/>
          <w:highlight w:val="none"/>
        </w:rPr>
        <w:t>立约各方</w:t>
      </w:r>
      <w:r>
        <w:rPr>
          <w:rFonts w:hint="eastAsia" w:ascii="宋体" w:hAnsi="宋体" w:eastAsia="宋体" w:cs="宋体"/>
          <w:color w:val="auto"/>
          <w:highlight w:val="none"/>
        </w:rPr>
        <w:t>对上述内容的真实性负责。如有虚假，将依法承担相应责任。</w:t>
      </w:r>
    </w:p>
    <w:p w14:paraId="032E3BE0">
      <w:pPr>
        <w:widowControl/>
        <w:spacing w:line="360" w:lineRule="auto"/>
        <w:jc w:val="left"/>
        <w:rPr>
          <w:rFonts w:hint="eastAsia" w:ascii="宋体" w:hAnsi="宋体" w:eastAsia="宋体" w:cs="宋体"/>
          <w:color w:val="auto"/>
          <w:kern w:val="0"/>
          <w:szCs w:val="21"/>
          <w:highlight w:val="none"/>
        </w:rPr>
      </w:pPr>
    </w:p>
    <w:p w14:paraId="45672C2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甲公司全称：（盖章） </w:t>
      </w:r>
      <w:r>
        <w:rPr>
          <w:rFonts w:hint="eastAsia" w:ascii="宋体" w:hAnsi="宋体" w:eastAsia="宋体" w:cs="宋体"/>
          <w:color w:val="auto"/>
          <w:kern w:val="0"/>
          <w:szCs w:val="21"/>
          <w:highlight w:val="none"/>
        </w:rPr>
        <w:tab/>
      </w:r>
    </w:p>
    <w:p w14:paraId="3ABD3ED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p>
    <w:p w14:paraId="4ABFE83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r>
        <w:rPr>
          <w:rFonts w:hint="eastAsia" w:ascii="宋体" w:hAnsi="宋体" w:eastAsia="宋体" w:cs="宋体"/>
          <w:color w:val="auto"/>
          <w:kern w:val="0"/>
          <w:szCs w:val="21"/>
          <w:highlight w:val="none"/>
        </w:rPr>
        <w:tab/>
      </w:r>
    </w:p>
    <w:p w14:paraId="1B836BC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8B4BCC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乙公司全称：（盖章）</w:t>
      </w:r>
      <w:r>
        <w:rPr>
          <w:rFonts w:hint="eastAsia" w:ascii="宋体" w:hAnsi="宋体" w:eastAsia="宋体" w:cs="宋体"/>
          <w:color w:val="auto"/>
          <w:kern w:val="0"/>
          <w:szCs w:val="21"/>
          <w:highlight w:val="none"/>
        </w:rPr>
        <w:tab/>
      </w:r>
    </w:p>
    <w:p w14:paraId="193A0C4F">
      <w:pPr>
        <w:spacing w:line="360" w:lineRule="auto"/>
        <w:ind w:left="617" w:hanging="617" w:hangingChars="294"/>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ab/>
      </w:r>
    </w:p>
    <w:p w14:paraId="04830817">
      <w:pPr>
        <w:widowControl/>
        <w:spacing w:line="360" w:lineRule="auto"/>
        <w:ind w:firstLine="40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r>
        <w:rPr>
          <w:rFonts w:hint="eastAsia" w:ascii="宋体" w:hAnsi="宋体" w:eastAsia="宋体" w:cs="宋体"/>
          <w:color w:val="auto"/>
          <w:kern w:val="0"/>
          <w:szCs w:val="21"/>
          <w:highlight w:val="none"/>
        </w:rPr>
        <w:tab/>
      </w:r>
    </w:p>
    <w:p w14:paraId="013BF1A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3E4273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……公司全称（盖章）</w:t>
      </w:r>
    </w:p>
    <w:p w14:paraId="1333AB91">
      <w:pPr>
        <w:spacing w:line="360" w:lineRule="auto"/>
        <w:ind w:left="617" w:hanging="617" w:hangingChars="29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p>
    <w:p w14:paraId="6CFC787D">
      <w:pPr>
        <w:spacing w:line="360" w:lineRule="auto"/>
        <w:ind w:left="617" w:hanging="617" w:hangingChars="294"/>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 xml:space="preserve">  年  月  日</w:t>
      </w:r>
    </w:p>
    <w:p w14:paraId="61D9A5C4">
      <w:pPr>
        <w:spacing w:line="360" w:lineRule="auto"/>
        <w:ind w:left="620" w:hanging="620" w:hangingChars="29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168236A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注：1．通过向一家或者多家小微企业分包的方式参与投标，且分包意向协议中约定的小微企业的合同份额占到合同总金额30%（含）以上，需要提供本分包意向协议书。</w:t>
      </w:r>
    </w:p>
    <w:p w14:paraId="3D8DB03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2.各方成员应在本意向书上共同盖章确认。</w:t>
      </w:r>
    </w:p>
    <w:p w14:paraId="7C13801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3．本意向书内容将作为签订合同的附件之一。</w:t>
      </w:r>
    </w:p>
    <w:p w14:paraId="1091DFDD">
      <w:pPr>
        <w:spacing w:line="360" w:lineRule="auto"/>
        <w:ind w:firstLine="542" w:firstLineChars="200"/>
        <w:rPr>
          <w:rFonts w:hint="eastAsia" w:ascii="宋体" w:hAnsi="宋体"/>
          <w:b/>
          <w:bCs/>
          <w:color w:val="auto"/>
          <w:sz w:val="27"/>
          <w:szCs w:val="27"/>
          <w:highlight w:val="none"/>
        </w:rPr>
      </w:pPr>
    </w:p>
    <w:p w14:paraId="0058DD68">
      <w:pPr>
        <w:pStyle w:val="4"/>
        <w:rPr>
          <w:rFonts w:hint="eastAsia" w:ascii="宋体" w:hAnsi="宋体"/>
          <w:b/>
          <w:bCs/>
          <w:color w:val="auto"/>
          <w:sz w:val="27"/>
          <w:szCs w:val="27"/>
          <w:highlight w:val="none"/>
        </w:rPr>
      </w:pPr>
    </w:p>
    <w:p w14:paraId="59F6E932">
      <w:pPr>
        <w:rPr>
          <w:rFonts w:hint="eastAsia" w:ascii="宋体" w:hAnsi="宋体"/>
          <w:b/>
          <w:bCs/>
          <w:color w:val="auto"/>
          <w:sz w:val="27"/>
          <w:szCs w:val="27"/>
          <w:highlight w:val="none"/>
        </w:rPr>
      </w:pPr>
    </w:p>
    <w:p w14:paraId="5058BC70">
      <w:pPr>
        <w:rPr>
          <w:rFonts w:hint="eastAsia"/>
          <w:color w:val="auto"/>
          <w:highlight w:val="none"/>
        </w:rPr>
      </w:pPr>
    </w:p>
    <w:p w14:paraId="4E6FE207">
      <w:pPr>
        <w:pStyle w:val="5"/>
        <w:rPr>
          <w:rFonts w:hint="eastAsia" w:cs="宋体"/>
          <w:b/>
          <w:bCs/>
          <w:color w:val="auto"/>
          <w:sz w:val="28"/>
          <w:szCs w:val="28"/>
          <w:highlight w:val="none"/>
        </w:rPr>
      </w:pPr>
      <w:r>
        <w:rPr>
          <w:rFonts w:hint="eastAsia" w:cs="宋体"/>
          <w:b/>
          <w:bCs/>
          <w:color w:val="auto"/>
          <w:sz w:val="28"/>
          <w:szCs w:val="28"/>
          <w:highlight w:val="none"/>
        </w:rPr>
        <w:t>格式六：</w:t>
      </w:r>
    </w:p>
    <w:p w14:paraId="59A10B17">
      <w:pPr>
        <w:tabs>
          <w:tab w:val="left" w:pos="720"/>
        </w:tabs>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监狱企业证明文件（如有）</w:t>
      </w:r>
    </w:p>
    <w:p w14:paraId="38D58C53">
      <w:pPr>
        <w:widowControl/>
        <w:spacing w:line="360" w:lineRule="auto"/>
        <w:ind w:firstLine="480"/>
        <w:jc w:val="left"/>
        <w:rPr>
          <w:rFonts w:hint="eastAsia" w:ascii="宋体" w:hAnsi="宋体" w:eastAsia="宋体" w:cs="宋体"/>
          <w:bCs/>
          <w:color w:val="auto"/>
          <w:kern w:val="0"/>
          <w:sz w:val="20"/>
          <w:szCs w:val="20"/>
          <w:highlight w:val="none"/>
        </w:rPr>
      </w:pPr>
    </w:p>
    <w:p w14:paraId="01C9A8DF">
      <w:pPr>
        <w:widowControl/>
        <w:spacing w:line="360" w:lineRule="auto"/>
        <w:ind w:firstLine="480"/>
        <w:jc w:val="left"/>
        <w:rPr>
          <w:rFonts w:hint="eastAsia" w:ascii="宋体" w:hAnsi="宋体" w:eastAsia="宋体" w:cs="宋体"/>
          <w:bCs/>
          <w:color w:val="auto"/>
          <w:kern w:val="0"/>
          <w:sz w:val="20"/>
          <w:szCs w:val="20"/>
          <w:highlight w:val="none"/>
        </w:rPr>
      </w:pPr>
    </w:p>
    <w:p w14:paraId="031FFC30">
      <w:pPr>
        <w:widowControl/>
        <w:spacing w:line="360" w:lineRule="auto"/>
        <w:ind w:firstLine="480"/>
        <w:jc w:val="left"/>
        <w:rPr>
          <w:rFonts w:hint="eastAsia" w:ascii="宋体" w:hAnsi="宋体" w:eastAsia="宋体" w:cs="宋体"/>
          <w:bCs/>
          <w:color w:val="auto"/>
          <w:kern w:val="0"/>
          <w:sz w:val="20"/>
          <w:szCs w:val="20"/>
          <w:highlight w:val="none"/>
        </w:rPr>
      </w:pPr>
    </w:p>
    <w:p w14:paraId="176142D4">
      <w:pPr>
        <w:widowControl/>
        <w:spacing w:line="360" w:lineRule="auto"/>
        <w:ind w:firstLine="480"/>
        <w:jc w:val="left"/>
        <w:rPr>
          <w:rFonts w:hint="eastAsia" w:ascii="宋体" w:hAnsi="宋体" w:eastAsia="宋体" w:cs="宋体"/>
          <w:bCs/>
          <w:color w:val="auto"/>
          <w:kern w:val="0"/>
          <w:sz w:val="20"/>
          <w:szCs w:val="20"/>
          <w:highlight w:val="none"/>
        </w:rPr>
      </w:pPr>
    </w:p>
    <w:p w14:paraId="4D07A82C">
      <w:pPr>
        <w:widowControl/>
        <w:spacing w:line="360" w:lineRule="auto"/>
        <w:ind w:firstLine="480"/>
        <w:jc w:val="left"/>
        <w:rPr>
          <w:rFonts w:hint="eastAsia" w:ascii="宋体" w:hAnsi="宋体" w:eastAsia="宋体" w:cs="宋体"/>
          <w:bCs/>
          <w:color w:val="auto"/>
          <w:kern w:val="0"/>
          <w:sz w:val="20"/>
          <w:szCs w:val="20"/>
          <w:highlight w:val="none"/>
        </w:rPr>
      </w:pPr>
    </w:p>
    <w:p w14:paraId="1931F080">
      <w:pPr>
        <w:widowControl/>
        <w:spacing w:line="360" w:lineRule="auto"/>
        <w:ind w:firstLine="480"/>
        <w:jc w:val="left"/>
        <w:rPr>
          <w:rFonts w:hint="eastAsia" w:ascii="宋体" w:hAnsi="宋体" w:eastAsia="宋体" w:cs="宋体"/>
          <w:bCs/>
          <w:color w:val="auto"/>
          <w:kern w:val="0"/>
          <w:sz w:val="20"/>
          <w:szCs w:val="20"/>
          <w:highlight w:val="none"/>
        </w:rPr>
      </w:pPr>
    </w:p>
    <w:p w14:paraId="68C8673B">
      <w:pPr>
        <w:widowControl/>
        <w:spacing w:line="360" w:lineRule="auto"/>
        <w:ind w:firstLine="480"/>
        <w:jc w:val="left"/>
        <w:rPr>
          <w:rFonts w:hint="eastAsia" w:ascii="宋体" w:hAnsi="宋体" w:eastAsia="宋体" w:cs="宋体"/>
          <w:bCs/>
          <w:color w:val="auto"/>
          <w:kern w:val="0"/>
          <w:sz w:val="20"/>
          <w:szCs w:val="20"/>
          <w:highlight w:val="none"/>
        </w:rPr>
      </w:pPr>
    </w:p>
    <w:p w14:paraId="6C6D5B7F">
      <w:pPr>
        <w:widowControl/>
        <w:spacing w:line="360" w:lineRule="auto"/>
        <w:ind w:firstLine="480"/>
        <w:jc w:val="left"/>
        <w:rPr>
          <w:rFonts w:hint="eastAsia" w:ascii="宋体" w:hAnsi="宋体" w:eastAsia="宋体" w:cs="宋体"/>
          <w:bCs/>
          <w:color w:val="auto"/>
          <w:kern w:val="0"/>
          <w:sz w:val="20"/>
          <w:szCs w:val="20"/>
          <w:highlight w:val="none"/>
        </w:rPr>
      </w:pPr>
    </w:p>
    <w:p w14:paraId="713FE9F1">
      <w:pPr>
        <w:widowControl/>
        <w:spacing w:line="360" w:lineRule="auto"/>
        <w:ind w:firstLine="480"/>
        <w:jc w:val="left"/>
        <w:rPr>
          <w:rFonts w:hint="eastAsia" w:ascii="宋体" w:hAnsi="宋体" w:eastAsia="宋体" w:cs="宋体"/>
          <w:bCs/>
          <w:color w:val="auto"/>
          <w:kern w:val="0"/>
          <w:sz w:val="20"/>
          <w:szCs w:val="20"/>
          <w:highlight w:val="none"/>
        </w:rPr>
      </w:pPr>
    </w:p>
    <w:p w14:paraId="0B27A1DF">
      <w:pPr>
        <w:widowControl/>
        <w:spacing w:line="360" w:lineRule="auto"/>
        <w:ind w:firstLine="480"/>
        <w:jc w:val="left"/>
        <w:rPr>
          <w:rFonts w:hint="eastAsia" w:ascii="宋体" w:hAnsi="宋体" w:eastAsia="宋体" w:cs="宋体"/>
          <w:bCs/>
          <w:color w:val="auto"/>
          <w:kern w:val="0"/>
          <w:sz w:val="20"/>
          <w:szCs w:val="20"/>
          <w:highlight w:val="none"/>
        </w:rPr>
      </w:pPr>
    </w:p>
    <w:p w14:paraId="6BD01822">
      <w:pPr>
        <w:widowControl/>
        <w:spacing w:line="360" w:lineRule="auto"/>
        <w:ind w:firstLine="480"/>
        <w:jc w:val="left"/>
        <w:rPr>
          <w:rFonts w:hint="eastAsia" w:ascii="宋体" w:hAnsi="宋体" w:eastAsia="宋体" w:cs="宋体"/>
          <w:bCs/>
          <w:color w:val="auto"/>
          <w:kern w:val="0"/>
          <w:sz w:val="20"/>
          <w:szCs w:val="20"/>
          <w:highlight w:val="none"/>
        </w:rPr>
      </w:pPr>
    </w:p>
    <w:p w14:paraId="311AC192">
      <w:pPr>
        <w:widowControl/>
        <w:spacing w:line="360" w:lineRule="auto"/>
        <w:ind w:firstLine="480"/>
        <w:jc w:val="left"/>
        <w:rPr>
          <w:rFonts w:hint="eastAsia" w:ascii="宋体" w:hAnsi="宋体" w:eastAsia="宋体" w:cs="宋体"/>
          <w:bCs/>
          <w:color w:val="auto"/>
          <w:kern w:val="0"/>
          <w:sz w:val="20"/>
          <w:szCs w:val="20"/>
          <w:highlight w:val="none"/>
        </w:rPr>
      </w:pPr>
    </w:p>
    <w:p w14:paraId="14D8F5E3">
      <w:pPr>
        <w:widowControl/>
        <w:spacing w:line="360" w:lineRule="auto"/>
        <w:ind w:firstLine="480"/>
        <w:jc w:val="left"/>
        <w:rPr>
          <w:rFonts w:hint="eastAsia" w:ascii="宋体" w:hAnsi="宋体" w:eastAsia="宋体" w:cs="宋体"/>
          <w:bCs/>
          <w:color w:val="auto"/>
          <w:kern w:val="0"/>
          <w:sz w:val="20"/>
          <w:szCs w:val="20"/>
          <w:highlight w:val="none"/>
        </w:rPr>
      </w:pPr>
    </w:p>
    <w:p w14:paraId="444DBA64">
      <w:pPr>
        <w:widowControl/>
        <w:spacing w:line="360" w:lineRule="auto"/>
        <w:ind w:firstLine="480"/>
        <w:jc w:val="left"/>
        <w:rPr>
          <w:rFonts w:hint="eastAsia" w:ascii="宋体" w:hAnsi="宋体" w:eastAsia="宋体" w:cs="宋体"/>
          <w:bCs/>
          <w:color w:val="auto"/>
          <w:kern w:val="0"/>
          <w:sz w:val="20"/>
          <w:szCs w:val="20"/>
          <w:highlight w:val="none"/>
        </w:rPr>
      </w:pPr>
    </w:p>
    <w:p w14:paraId="255BC4AE">
      <w:pPr>
        <w:widowControl/>
        <w:spacing w:line="360" w:lineRule="auto"/>
        <w:ind w:firstLine="480"/>
        <w:jc w:val="left"/>
        <w:rPr>
          <w:rFonts w:hint="eastAsia" w:ascii="宋体" w:hAnsi="宋体" w:eastAsia="宋体" w:cs="宋体"/>
          <w:bCs/>
          <w:color w:val="auto"/>
          <w:kern w:val="0"/>
          <w:sz w:val="20"/>
          <w:szCs w:val="20"/>
          <w:highlight w:val="none"/>
        </w:rPr>
      </w:pPr>
    </w:p>
    <w:p w14:paraId="4738C314">
      <w:pPr>
        <w:widowControl/>
        <w:spacing w:line="360" w:lineRule="auto"/>
        <w:ind w:firstLine="480"/>
        <w:jc w:val="left"/>
        <w:rPr>
          <w:rFonts w:hint="eastAsia" w:ascii="宋体" w:hAnsi="宋体" w:eastAsia="宋体" w:cs="宋体"/>
          <w:bCs/>
          <w:color w:val="auto"/>
          <w:kern w:val="0"/>
          <w:sz w:val="20"/>
          <w:szCs w:val="20"/>
          <w:highlight w:val="none"/>
        </w:rPr>
      </w:pPr>
    </w:p>
    <w:p w14:paraId="6B77AF8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AE3629">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4847AF1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3、如非监狱企业，不需要提供证明文件。</w:t>
      </w:r>
    </w:p>
    <w:p w14:paraId="433B151F">
      <w:pPr>
        <w:ind w:firstLine="0" w:firstLineChars="0"/>
        <w:rPr>
          <w:rFonts w:hint="eastAsia" w:cs="宋体"/>
          <w:b/>
          <w:bCs/>
          <w:color w:val="auto"/>
          <w:sz w:val="28"/>
          <w:szCs w:val="28"/>
          <w:highlight w:val="none"/>
          <w:lang w:eastAsia="zh-Hans"/>
        </w:rPr>
      </w:pPr>
      <w:r>
        <w:rPr>
          <w:rFonts w:hint="eastAsia" w:ascii="宋体" w:hAnsi="宋体" w:eastAsia="宋体" w:cs="宋体"/>
          <w:bCs/>
          <w:color w:val="auto"/>
          <w:szCs w:val="21"/>
          <w:highlight w:val="none"/>
        </w:rPr>
        <w:br w:type="page"/>
      </w:r>
      <w:r>
        <w:rPr>
          <w:rFonts w:hint="eastAsia" w:cs="宋体"/>
          <w:b/>
          <w:bCs/>
          <w:color w:val="auto"/>
          <w:sz w:val="28"/>
          <w:szCs w:val="28"/>
          <w:highlight w:val="none"/>
        </w:rPr>
        <w:t>格式七：</w:t>
      </w:r>
    </w:p>
    <w:p w14:paraId="27EE64B5">
      <w:pPr>
        <w:tabs>
          <w:tab w:val="left" w:pos="720"/>
        </w:tabs>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残疾人福利性单位声明函（如有）</w:t>
      </w:r>
    </w:p>
    <w:p w14:paraId="18944C18">
      <w:pPr>
        <w:widowControl/>
        <w:spacing w:line="360" w:lineRule="auto"/>
        <w:ind w:firstLine="480" w:firstLineChars="200"/>
        <w:jc w:val="left"/>
        <w:rPr>
          <w:rFonts w:hint="eastAsia" w:ascii="宋体" w:hAnsi="宋体" w:eastAsia="宋体" w:cs="宋体"/>
          <w:color w:val="auto"/>
          <w:kern w:val="0"/>
          <w:sz w:val="24"/>
          <w:szCs w:val="20"/>
          <w:highlight w:val="none"/>
          <w:lang w:eastAsia="zh-Hans"/>
        </w:rPr>
      </w:pPr>
    </w:p>
    <w:p w14:paraId="48F614E5">
      <w:pPr>
        <w:widowControl/>
        <w:spacing w:line="360" w:lineRule="auto"/>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致：</w:t>
      </w:r>
      <w:r>
        <w:rPr>
          <w:rFonts w:hint="eastAsia" w:ascii="宋体" w:hAnsi="宋体" w:eastAsia="宋体" w:cs="宋体"/>
          <w:color w:val="auto"/>
          <w:kern w:val="0"/>
          <w:sz w:val="21"/>
          <w:szCs w:val="21"/>
          <w:highlight w:val="none"/>
          <w:u w:val="single"/>
          <w:lang w:eastAsia="zh-Hans"/>
        </w:rPr>
        <w:t xml:space="preserve">        （招标人）</w:t>
      </w:r>
      <w:r>
        <w:rPr>
          <w:rFonts w:hint="eastAsia" w:ascii="宋体" w:hAnsi="宋体" w:eastAsia="宋体" w:cs="宋体"/>
          <w:color w:val="auto"/>
          <w:kern w:val="0"/>
          <w:sz w:val="21"/>
          <w:szCs w:val="21"/>
          <w:highlight w:val="none"/>
          <w:u w:val="single"/>
        </w:rPr>
        <w:t xml:space="preserve">         </w:t>
      </w:r>
    </w:p>
    <w:p w14:paraId="449BAA40">
      <w:pPr>
        <w:widowControl/>
        <w:spacing w:line="360" w:lineRule="auto"/>
        <w:ind w:firstLine="420" w:firstLineChars="200"/>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1"/>
          <w:szCs w:val="21"/>
          <w:highlight w:val="none"/>
          <w:u w:val="single"/>
          <w:lang w:eastAsia="zh-Hans"/>
        </w:rPr>
        <w:t xml:space="preserve">        （招标人）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eastAsia="zh-Hans"/>
        </w:rPr>
        <w:t>单位的</w:t>
      </w:r>
      <w:r>
        <w:rPr>
          <w:rFonts w:hint="eastAsia" w:ascii="宋体" w:hAnsi="宋体" w:eastAsia="宋体" w:cs="宋体"/>
          <w:color w:val="auto"/>
          <w:kern w:val="0"/>
          <w:sz w:val="21"/>
          <w:szCs w:val="21"/>
          <w:highlight w:val="none"/>
          <w:u w:val="single"/>
          <w:lang w:eastAsia="zh-Hans"/>
        </w:rPr>
        <w:t xml:space="preserve">        （</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u w:val="single"/>
          <w:lang w:eastAsia="zh-Hans"/>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项目招标</w:t>
      </w:r>
      <w:r>
        <w:rPr>
          <w:rFonts w:hint="eastAsia" w:ascii="宋体" w:hAnsi="宋体" w:eastAsia="宋体" w:cs="宋体"/>
          <w:color w:val="auto"/>
          <w:kern w:val="0"/>
          <w:sz w:val="21"/>
          <w:szCs w:val="21"/>
          <w:highlight w:val="none"/>
          <w:lang w:eastAsia="zh-Hans"/>
        </w:rPr>
        <w:t>活动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Hans"/>
        </w:rPr>
        <w:t>由本单位承担工程。</w:t>
      </w:r>
    </w:p>
    <w:p w14:paraId="2DE823AB">
      <w:pPr>
        <w:widowControl/>
        <w:spacing w:line="360" w:lineRule="auto"/>
        <w:ind w:firstLine="420" w:firstLineChars="200"/>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sz w:val="21"/>
          <w:szCs w:val="21"/>
          <w:highlight w:val="none"/>
        </w:rPr>
        <w:t>本单位对上述声明的真实性负责。如有虚假，将依法承担相应责任。</w:t>
      </w:r>
    </w:p>
    <w:p w14:paraId="61F0DC87">
      <w:pPr>
        <w:spacing w:line="360" w:lineRule="auto"/>
        <w:ind w:firstLine="4410" w:firstLineChars="2100"/>
        <w:rPr>
          <w:rFonts w:hint="eastAsia" w:ascii="宋体" w:hAnsi="宋体" w:eastAsia="宋体" w:cs="宋体"/>
          <w:color w:val="auto"/>
          <w:sz w:val="21"/>
          <w:szCs w:val="21"/>
          <w:highlight w:val="none"/>
        </w:rPr>
      </w:pPr>
    </w:p>
    <w:p w14:paraId="411085C6">
      <w:pPr>
        <w:spacing w:line="360" w:lineRule="auto"/>
        <w:ind w:firstLine="4410" w:firstLineChars="2100"/>
        <w:rPr>
          <w:rFonts w:hint="eastAsia" w:ascii="宋体" w:hAnsi="宋体" w:eastAsia="宋体" w:cs="宋体"/>
          <w:color w:val="auto"/>
          <w:sz w:val="21"/>
          <w:szCs w:val="21"/>
          <w:highlight w:val="none"/>
        </w:rPr>
      </w:pPr>
    </w:p>
    <w:p w14:paraId="2309CD04">
      <w:pPr>
        <w:spacing w:line="360" w:lineRule="auto"/>
        <w:rPr>
          <w:rFonts w:hint="eastAsia" w:ascii="宋体" w:hAnsi="宋体" w:eastAsia="宋体" w:cs="宋体"/>
          <w:color w:val="auto"/>
          <w:kern w:val="0"/>
          <w:sz w:val="21"/>
          <w:szCs w:val="21"/>
          <w:highlight w:val="none"/>
        </w:rPr>
      </w:pPr>
    </w:p>
    <w:p w14:paraId="50110155">
      <w:pPr>
        <w:spacing w:line="360" w:lineRule="auto"/>
        <w:rPr>
          <w:rFonts w:hint="eastAsia" w:ascii="宋体" w:hAnsi="宋体" w:eastAsia="宋体" w:cs="宋体"/>
          <w:color w:val="auto"/>
          <w:kern w:val="0"/>
          <w:sz w:val="21"/>
          <w:szCs w:val="21"/>
          <w:highlight w:val="none"/>
        </w:rPr>
      </w:pPr>
    </w:p>
    <w:p w14:paraId="75A138E8">
      <w:pPr>
        <w:topLinePunct/>
        <w:spacing w:line="360" w:lineRule="auto"/>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6B63241C">
      <w:pPr>
        <w:spacing w:line="360" w:lineRule="auto"/>
        <w:rPr>
          <w:rFonts w:hint="eastAsia" w:ascii="宋体" w:hAnsi="宋体" w:eastAsia="宋体" w:cs="宋体"/>
          <w:b/>
          <w:bCs/>
          <w:color w:val="auto"/>
          <w:szCs w:val="21"/>
          <w:highlight w:val="none"/>
        </w:rPr>
      </w:pPr>
      <w:r>
        <w:rPr>
          <w:rFonts w:hint="eastAsia" w:ascii="宋体" w:hAnsi="宋体" w:eastAsia="宋体" w:cs="宋体"/>
          <w:snapToGrid w:val="0"/>
          <w:color w:val="auto"/>
          <w:spacing w:val="4"/>
          <w:kern w:val="0"/>
          <w:sz w:val="21"/>
          <w:szCs w:val="21"/>
          <w:highlight w:val="none"/>
        </w:rPr>
        <w:t>日    期：    年    月    日</w:t>
      </w:r>
    </w:p>
    <w:p w14:paraId="2818CE18">
      <w:pPr>
        <w:spacing w:line="360" w:lineRule="auto"/>
        <w:jc w:val="center"/>
        <w:rPr>
          <w:rFonts w:hint="eastAsia" w:ascii="宋体" w:hAnsi="宋体" w:eastAsia="宋体" w:cs="宋体"/>
          <w:b/>
          <w:bCs/>
          <w:color w:val="auto"/>
          <w:highlight w:val="none"/>
        </w:rPr>
      </w:pPr>
    </w:p>
    <w:p w14:paraId="04127101">
      <w:pPr>
        <w:spacing w:line="360" w:lineRule="auto"/>
        <w:jc w:val="center"/>
        <w:rPr>
          <w:rFonts w:hint="eastAsia" w:ascii="宋体" w:hAnsi="宋体" w:eastAsia="宋体" w:cs="宋体"/>
          <w:b/>
          <w:bCs/>
          <w:color w:val="auto"/>
          <w:highlight w:val="none"/>
        </w:rPr>
      </w:pPr>
    </w:p>
    <w:p w14:paraId="65F72074">
      <w:pPr>
        <w:spacing w:line="360" w:lineRule="auto"/>
        <w:jc w:val="center"/>
        <w:rPr>
          <w:rFonts w:hint="eastAsia" w:ascii="宋体" w:hAnsi="宋体" w:eastAsia="宋体" w:cs="宋体"/>
          <w:b/>
          <w:bCs/>
          <w:color w:val="auto"/>
          <w:highlight w:val="none"/>
        </w:rPr>
      </w:pPr>
    </w:p>
    <w:p w14:paraId="6128EA01">
      <w:pPr>
        <w:spacing w:line="360" w:lineRule="auto"/>
        <w:jc w:val="center"/>
        <w:rPr>
          <w:rFonts w:hint="eastAsia" w:ascii="宋体" w:hAnsi="宋体" w:eastAsia="宋体" w:cs="宋体"/>
          <w:b/>
          <w:bCs/>
          <w:color w:val="auto"/>
          <w:highlight w:val="none"/>
        </w:rPr>
      </w:pPr>
    </w:p>
    <w:p w14:paraId="2A031D82">
      <w:pPr>
        <w:spacing w:line="360" w:lineRule="auto"/>
        <w:jc w:val="center"/>
        <w:rPr>
          <w:rFonts w:hint="eastAsia" w:ascii="宋体" w:hAnsi="宋体" w:eastAsia="宋体" w:cs="宋体"/>
          <w:b/>
          <w:bCs/>
          <w:color w:val="auto"/>
          <w:highlight w:val="none"/>
        </w:rPr>
      </w:pPr>
    </w:p>
    <w:p w14:paraId="60CDF74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注：1、残疾人福利性单位声明函（如有）适用于残疾人福利性单位参加招投标活动的。本函未填写的视作未做声明。如不适用，本格式不需要提供。</w:t>
      </w:r>
    </w:p>
    <w:p w14:paraId="70759FC8">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2、残疾人福利性单位视同小微企业，无需再提供《中小企业声明函》。</w:t>
      </w:r>
    </w:p>
    <w:p w14:paraId="754867EB">
      <w:pPr>
        <w:topLinePunct w:val="0"/>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77FD6FD">
      <w:pPr>
        <w:pStyle w:val="5"/>
        <w:spacing w:line="400" w:lineRule="exact"/>
        <w:rPr>
          <w:rFonts w:hint="eastAsia" w:cs="宋体"/>
          <w:color w:val="auto"/>
          <w:sz w:val="28"/>
          <w:szCs w:val="28"/>
          <w:highlight w:val="none"/>
        </w:rPr>
      </w:pPr>
      <w:r>
        <w:rPr>
          <w:rFonts w:hint="eastAsia" w:cs="宋体"/>
          <w:b/>
          <w:bCs/>
          <w:color w:val="auto"/>
          <w:sz w:val="28"/>
          <w:szCs w:val="28"/>
          <w:highlight w:val="none"/>
        </w:rPr>
        <w:t>格式八：</w:t>
      </w:r>
    </w:p>
    <w:p w14:paraId="2ACABBE7">
      <w:pPr>
        <w:spacing w:line="400" w:lineRule="exact"/>
        <w:ind w:left="-2" w:leftChars="-1" w:firstLine="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项目负责人驻场承诺书</w:t>
      </w:r>
    </w:p>
    <w:p w14:paraId="4422F6C5">
      <w:pPr>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致（业主/监理）                                           ：</w:t>
      </w:r>
    </w:p>
    <w:p w14:paraId="029AF47C">
      <w:pPr>
        <w:spacing w:line="400" w:lineRule="exact"/>
        <w:ind w:firstLine="457" w:firstLineChars="218"/>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本人（姓名）              ，项目负责人证书注册编号：                       </w:t>
      </w:r>
    </w:p>
    <w:p w14:paraId="5D6E3023">
      <w:pPr>
        <w:spacing w:line="400" w:lineRule="exact"/>
        <w:ind w:left="1"/>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受（投标人）                                                              委派，拟在（项目名称）                                                   担任项目负责人一职。</w:t>
      </w:r>
      <w:r>
        <w:rPr>
          <w:rFonts w:hint="eastAsia" w:ascii="宋体" w:hAnsi="宋体" w:eastAsia="宋体" w:cs="宋体"/>
          <w:color w:val="auto"/>
          <w:sz w:val="21"/>
          <w:szCs w:val="21"/>
          <w:highlight w:val="none"/>
        </w:rPr>
        <w:t>为加强本工程项目管理，保证我公司在中标后严格履行与业主签定的工程建设承包合同，圆满的完成本项工程，我愿就此做出以下承诺；</w:t>
      </w:r>
    </w:p>
    <w:p w14:paraId="47FD2B7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6906AF0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2．如果本招标工程我公司中标，我本人保证在工程签订合同之日起至工程竣工验收完成期间只担任此工程的项目经理，不参加其他任何工程的报名和任何工作，不在其他任何工程担任本职务。</w:t>
      </w:r>
    </w:p>
    <w:p w14:paraId="1BA3054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1A59F98B">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4．项目负责人本人身份证正反面扫描件和相片扫描件：</w:t>
      </w:r>
    </w:p>
    <w:tbl>
      <w:tblPr>
        <w:tblStyle w:val="3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8"/>
        <w:gridCol w:w="2492"/>
      </w:tblGrid>
      <w:tr w14:paraId="58A1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5928" w:type="dxa"/>
            <w:tcBorders>
              <w:top w:val="single" w:color="auto" w:sz="4" w:space="0"/>
              <w:left w:val="single" w:color="auto" w:sz="4" w:space="0"/>
              <w:bottom w:val="single" w:color="auto" w:sz="4" w:space="0"/>
              <w:right w:val="single" w:color="auto" w:sz="4" w:space="0"/>
            </w:tcBorders>
            <w:noWrap w:val="0"/>
            <w:vAlign w:val="top"/>
          </w:tcPr>
          <w:p w14:paraId="19B3CC53">
            <w:pPr>
              <w:spacing w:line="400" w:lineRule="exact"/>
              <w:jc w:val="center"/>
              <w:rPr>
                <w:rFonts w:hint="eastAsia" w:ascii="宋体" w:hAnsi="宋体" w:eastAsia="宋体" w:cs="宋体"/>
                <w:color w:val="auto"/>
                <w:szCs w:val="21"/>
                <w:highlight w:val="none"/>
                <w:u w:val="single"/>
              </w:rPr>
            </w:pPr>
          </w:p>
          <w:p w14:paraId="0884A12D">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身份证</w:t>
            </w:r>
            <w:r>
              <w:rPr>
                <w:rFonts w:hint="eastAsia" w:ascii="宋体" w:hAnsi="宋体" w:eastAsia="宋体" w:cs="宋体"/>
                <w:color w:val="auto"/>
                <w:sz w:val="21"/>
                <w:szCs w:val="21"/>
                <w:highlight w:val="none"/>
              </w:rPr>
              <w:t>正反面</w:t>
            </w:r>
            <w:r>
              <w:rPr>
                <w:rFonts w:hint="eastAsia" w:ascii="宋体" w:hAnsi="宋体" w:eastAsia="宋体" w:cs="宋体"/>
                <w:color w:val="auto"/>
                <w:szCs w:val="21"/>
                <w:highlight w:val="none"/>
                <w:u w:val="single"/>
              </w:rPr>
              <w:t>扫描件</w:t>
            </w:r>
          </w:p>
        </w:tc>
        <w:tc>
          <w:tcPr>
            <w:tcW w:w="2492" w:type="dxa"/>
            <w:tcBorders>
              <w:top w:val="single" w:color="auto" w:sz="4" w:space="0"/>
              <w:left w:val="single" w:color="auto" w:sz="4" w:space="0"/>
              <w:bottom w:val="single" w:color="auto" w:sz="4" w:space="0"/>
              <w:right w:val="single" w:color="auto" w:sz="4" w:space="0"/>
            </w:tcBorders>
            <w:noWrap w:val="0"/>
            <w:vAlign w:val="top"/>
          </w:tcPr>
          <w:p w14:paraId="51ABEFA2">
            <w:pPr>
              <w:spacing w:line="400" w:lineRule="exact"/>
              <w:jc w:val="center"/>
              <w:rPr>
                <w:rFonts w:hint="eastAsia" w:ascii="宋体" w:hAnsi="宋体" w:eastAsia="宋体" w:cs="宋体"/>
                <w:color w:val="auto"/>
                <w:szCs w:val="21"/>
                <w:highlight w:val="none"/>
                <w:u w:val="single"/>
              </w:rPr>
            </w:pPr>
          </w:p>
          <w:p w14:paraId="5B2B48FB">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相片扫描件</w:t>
            </w:r>
          </w:p>
        </w:tc>
      </w:tr>
    </w:tbl>
    <w:p w14:paraId="766D7182">
      <w:pPr>
        <w:spacing w:line="400" w:lineRule="exact"/>
        <w:rPr>
          <w:rFonts w:hint="eastAsia" w:ascii="宋体" w:hAnsi="宋体" w:eastAsia="宋体" w:cs="宋体"/>
          <w:color w:val="auto"/>
          <w:sz w:val="21"/>
          <w:szCs w:val="21"/>
          <w:highlight w:val="none"/>
          <w:u w:val="single"/>
        </w:rPr>
      </w:pPr>
    </w:p>
    <w:p w14:paraId="0ED67633">
      <w:pPr>
        <w:topLinePunct/>
        <w:spacing w:line="400" w:lineRule="exact"/>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5CC38AEC">
      <w:pPr>
        <w:spacing w:line="400" w:lineRule="exact"/>
        <w:rPr>
          <w:rFonts w:hint="eastAsia" w:ascii="宋体" w:hAnsi="宋体" w:eastAsia="宋体" w:cs="宋体"/>
          <w:color w:val="auto"/>
          <w:szCs w:val="21"/>
          <w:highlight w:val="none"/>
        </w:rPr>
      </w:pPr>
      <w:r>
        <w:rPr>
          <w:rFonts w:hint="eastAsia" w:ascii="宋体" w:hAnsi="宋体" w:eastAsia="宋体" w:cs="宋体"/>
          <w:snapToGrid w:val="0"/>
          <w:color w:val="auto"/>
          <w:spacing w:val="4"/>
          <w:kern w:val="0"/>
          <w:sz w:val="21"/>
          <w:szCs w:val="21"/>
          <w:highlight w:val="none"/>
        </w:rPr>
        <w:t>日    期：    年    月    日</w:t>
      </w:r>
    </w:p>
    <w:p w14:paraId="0AE55C26">
      <w:pPr>
        <w:pStyle w:val="5"/>
        <w:spacing w:line="360" w:lineRule="auto"/>
        <w:rPr>
          <w:rFonts w:hint="eastAsia" w:cs="宋体"/>
          <w:b/>
          <w:snapToGrid w:val="0"/>
          <w:color w:val="auto"/>
          <w:sz w:val="28"/>
          <w:szCs w:val="28"/>
          <w:highlight w:val="none"/>
        </w:rPr>
      </w:pPr>
      <w:r>
        <w:rPr>
          <w:rFonts w:hint="eastAsia" w:cs="宋体"/>
          <w:bCs/>
          <w:color w:val="auto"/>
          <w:sz w:val="21"/>
          <w:szCs w:val="21"/>
          <w:highlight w:val="none"/>
        </w:rPr>
        <w:br w:type="page"/>
      </w:r>
      <w:r>
        <w:rPr>
          <w:rFonts w:hint="eastAsia" w:cs="宋体"/>
          <w:b/>
          <w:bCs w:val="0"/>
          <w:color w:val="auto"/>
          <w:sz w:val="28"/>
          <w:szCs w:val="28"/>
          <w:highlight w:val="none"/>
        </w:rPr>
        <w:t>格式九：</w:t>
      </w:r>
    </w:p>
    <w:p w14:paraId="70120F35">
      <w:pPr>
        <w:topLinePunct/>
        <w:spacing w:line="360" w:lineRule="auto"/>
        <w:jc w:val="center"/>
        <w:rPr>
          <w:rFonts w:hint="eastAsia" w:ascii="宋体" w:hAnsi="宋体" w:eastAsia="宋体" w:cs="宋体"/>
          <w:b/>
          <w:snapToGrid w:val="0"/>
          <w:color w:val="auto"/>
          <w:spacing w:val="4"/>
          <w:kern w:val="0"/>
          <w:sz w:val="28"/>
          <w:szCs w:val="28"/>
          <w:highlight w:val="none"/>
        </w:rPr>
      </w:pPr>
      <w:r>
        <w:rPr>
          <w:rFonts w:hint="eastAsia" w:ascii="宋体" w:hAnsi="宋体" w:eastAsia="宋体" w:cs="宋体"/>
          <w:b/>
          <w:snapToGrid w:val="0"/>
          <w:color w:val="auto"/>
          <w:spacing w:val="4"/>
          <w:kern w:val="0"/>
          <w:sz w:val="28"/>
          <w:szCs w:val="28"/>
          <w:highlight w:val="none"/>
        </w:rPr>
        <w:t>投入主要人员汇总表</w:t>
      </w:r>
    </w:p>
    <w:tbl>
      <w:tblPr>
        <w:tblStyle w:val="3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89"/>
        <w:gridCol w:w="1704"/>
        <w:gridCol w:w="1848"/>
        <w:gridCol w:w="2404"/>
        <w:gridCol w:w="1843"/>
      </w:tblGrid>
      <w:tr w14:paraId="3CD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9776" w:type="dxa"/>
            <w:gridSpan w:val="6"/>
            <w:tcBorders>
              <w:top w:val="single" w:color="auto" w:sz="4" w:space="0"/>
              <w:left w:val="single" w:color="auto" w:sz="4" w:space="0"/>
              <w:bottom w:val="single" w:color="auto" w:sz="4" w:space="0"/>
              <w:right w:val="single" w:color="auto" w:sz="4" w:space="0"/>
            </w:tcBorders>
            <w:noWrap w:val="0"/>
            <w:vAlign w:val="center"/>
          </w:tcPr>
          <w:p w14:paraId="03C6685E">
            <w:pPr>
              <w:spacing w:line="240" w:lineRule="exact"/>
              <w:jc w:val="center"/>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投标人拟投入情况</w:t>
            </w:r>
          </w:p>
        </w:tc>
      </w:tr>
      <w:tr w14:paraId="7A2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blHeade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B8EDAF6">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42065BA">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姓名</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51CAE3D">
            <w:pPr>
              <w:widowControl/>
              <w:spacing w:line="24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岗位</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133EE91">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职称</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C9FECF1">
            <w:pPr>
              <w:widowControl/>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职称证书或资格证书编号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C8C69B">
            <w:pPr>
              <w:widowControl/>
              <w:spacing w:line="24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提交证明材料在投标文件的位置</w:t>
            </w:r>
          </w:p>
        </w:tc>
      </w:tr>
      <w:tr w14:paraId="79E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2AF75DEB">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2FC2FFA8">
            <w:pPr>
              <w:widowControl/>
              <w:spacing w:line="240" w:lineRule="exact"/>
              <w:jc w:val="center"/>
              <w:textAlignment w:val="center"/>
              <w:rPr>
                <w:rFonts w:hint="eastAsia" w:ascii="宋体" w:hAnsi="宋体" w:eastAsia="宋体" w:cs="宋体"/>
                <w:b/>
                <w:bCs/>
                <w:color w:val="auto"/>
                <w:sz w:val="21"/>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C63100">
            <w:pPr>
              <w:widowControl/>
              <w:spacing w:line="240" w:lineRule="exact"/>
              <w:jc w:val="center"/>
              <w:textAlignment w:val="center"/>
              <w:rPr>
                <w:rFonts w:hint="eastAsia" w:ascii="宋体" w:hAnsi="宋体" w:eastAsia="宋体" w:cs="宋体"/>
                <w:b/>
                <w:bCs/>
                <w:color w:val="auto"/>
                <w:sz w:val="21"/>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59C165C">
            <w:pPr>
              <w:widowControl/>
              <w:spacing w:line="240" w:lineRule="exact"/>
              <w:jc w:val="center"/>
              <w:textAlignment w:val="center"/>
              <w:rPr>
                <w:rFonts w:hint="eastAsia" w:ascii="宋体" w:hAnsi="宋体" w:eastAsia="宋体" w:cs="宋体"/>
                <w:b/>
                <w:bCs/>
                <w:color w:val="auto"/>
                <w:sz w:val="21"/>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BB2BDA8">
            <w:pPr>
              <w:widowControl/>
              <w:spacing w:line="240" w:lineRule="exact"/>
              <w:jc w:val="center"/>
              <w:textAlignment w:val="center"/>
              <w:rPr>
                <w:rFonts w:hint="eastAsia" w:ascii="宋体" w:hAnsi="宋体" w:eastAsia="宋体" w:cs="宋体"/>
                <w:b/>
                <w:bCs/>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EABFFE">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例如：投标文件第X页</w:t>
            </w:r>
          </w:p>
        </w:tc>
      </w:tr>
      <w:tr w14:paraId="4B95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20E9609C">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33AA352E">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7CF062EA">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40D9EF8D">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F68BE99">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54E3E0">
            <w:pPr>
              <w:spacing w:line="240" w:lineRule="exact"/>
              <w:jc w:val="center"/>
              <w:rPr>
                <w:rFonts w:hint="eastAsia" w:ascii="宋体" w:hAnsi="宋体" w:eastAsia="宋体" w:cs="宋体"/>
                <w:bCs/>
                <w:color w:val="auto"/>
                <w:spacing w:val="-10"/>
                <w:szCs w:val="21"/>
                <w:highlight w:val="none"/>
              </w:rPr>
            </w:pPr>
          </w:p>
        </w:tc>
      </w:tr>
      <w:tr w14:paraId="0FCD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3B291FF1">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27B8FD6F">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0665881B">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51FCF895">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9BAD571">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ADD3EE">
            <w:pPr>
              <w:spacing w:line="240" w:lineRule="exact"/>
              <w:jc w:val="center"/>
              <w:rPr>
                <w:rFonts w:hint="eastAsia" w:ascii="宋体" w:hAnsi="宋体" w:eastAsia="宋体" w:cs="宋体"/>
                <w:bCs/>
                <w:color w:val="auto"/>
                <w:spacing w:val="-10"/>
                <w:szCs w:val="21"/>
                <w:highlight w:val="none"/>
              </w:rPr>
            </w:pPr>
          </w:p>
        </w:tc>
      </w:tr>
      <w:tr w14:paraId="25B7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427CC284">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38C8E579">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32A15146">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195397E3">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36C2752">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9D264BD">
            <w:pPr>
              <w:spacing w:line="240" w:lineRule="exact"/>
              <w:jc w:val="center"/>
              <w:rPr>
                <w:rFonts w:hint="eastAsia" w:ascii="宋体" w:hAnsi="宋体" w:eastAsia="宋体" w:cs="宋体"/>
                <w:bCs/>
                <w:color w:val="auto"/>
                <w:spacing w:val="-10"/>
                <w:szCs w:val="21"/>
                <w:highlight w:val="none"/>
              </w:rPr>
            </w:pPr>
          </w:p>
        </w:tc>
      </w:tr>
      <w:tr w14:paraId="302C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0F0824B2">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042F8315">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3350FDA7">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6F141917">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71F42EB1">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8A925F">
            <w:pPr>
              <w:spacing w:line="240" w:lineRule="exact"/>
              <w:jc w:val="center"/>
              <w:rPr>
                <w:rFonts w:hint="eastAsia" w:ascii="宋体" w:hAnsi="宋体" w:eastAsia="宋体" w:cs="宋体"/>
                <w:bCs/>
                <w:color w:val="auto"/>
                <w:spacing w:val="-10"/>
                <w:szCs w:val="21"/>
                <w:highlight w:val="none"/>
              </w:rPr>
            </w:pPr>
          </w:p>
        </w:tc>
      </w:tr>
      <w:tr w14:paraId="6A7B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6FEB5ACE">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25171BED">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14D091FD">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0A0C7CEE">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2B3C3A61">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E3E210">
            <w:pPr>
              <w:spacing w:line="240" w:lineRule="exact"/>
              <w:jc w:val="center"/>
              <w:rPr>
                <w:rFonts w:hint="eastAsia" w:ascii="宋体" w:hAnsi="宋体" w:eastAsia="宋体" w:cs="宋体"/>
                <w:bCs/>
                <w:color w:val="auto"/>
                <w:spacing w:val="-10"/>
                <w:szCs w:val="21"/>
                <w:highlight w:val="none"/>
              </w:rPr>
            </w:pPr>
          </w:p>
        </w:tc>
      </w:tr>
      <w:tr w14:paraId="2F30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16A98A8B">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7BC199DC">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684567FC">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7762E993">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1F9C740">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8E593A">
            <w:pPr>
              <w:spacing w:line="240" w:lineRule="exact"/>
              <w:jc w:val="center"/>
              <w:rPr>
                <w:rFonts w:hint="eastAsia" w:ascii="宋体" w:hAnsi="宋体" w:eastAsia="宋体" w:cs="宋体"/>
                <w:bCs/>
                <w:color w:val="auto"/>
                <w:spacing w:val="-10"/>
                <w:szCs w:val="21"/>
                <w:highlight w:val="none"/>
              </w:rPr>
            </w:pPr>
          </w:p>
        </w:tc>
      </w:tr>
      <w:tr w14:paraId="0413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217FFE58">
            <w:pPr>
              <w:widowControl/>
              <w:spacing w:line="240" w:lineRule="exact"/>
              <w:jc w:val="left"/>
              <w:rPr>
                <w:rFonts w:hint="eastAsia" w:ascii="宋体" w:hAnsi="宋体" w:eastAsia="宋体" w:cs="宋体"/>
                <w:color w:val="auto"/>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7C111D70">
            <w:pPr>
              <w:widowControl/>
              <w:spacing w:line="240" w:lineRule="exact"/>
              <w:jc w:val="left"/>
              <w:rPr>
                <w:rFonts w:hint="eastAsia" w:ascii="宋体" w:hAnsi="宋体" w:eastAsia="宋体" w:cs="宋体"/>
                <w:color w:val="auto"/>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5019E6F0">
            <w:pPr>
              <w:widowControl/>
              <w:spacing w:line="240" w:lineRule="exact"/>
              <w:jc w:val="left"/>
              <w:rPr>
                <w:rFonts w:hint="eastAsia" w:ascii="宋体" w:hAnsi="宋体" w:eastAsia="宋体" w:cs="宋体"/>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787AC090">
            <w:pPr>
              <w:widowControl/>
              <w:spacing w:line="240" w:lineRule="exact"/>
              <w:jc w:val="left"/>
              <w:rPr>
                <w:rFonts w:hint="eastAsia" w:ascii="宋体" w:hAnsi="宋体" w:eastAsia="宋体" w:cs="宋体"/>
                <w:color w:val="auto"/>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69B911B">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88F0CC">
            <w:pPr>
              <w:spacing w:line="240" w:lineRule="exact"/>
              <w:jc w:val="center"/>
              <w:rPr>
                <w:rFonts w:hint="eastAsia" w:ascii="宋体" w:hAnsi="宋体" w:eastAsia="宋体" w:cs="宋体"/>
                <w:bCs/>
                <w:color w:val="auto"/>
                <w:spacing w:val="-10"/>
                <w:szCs w:val="21"/>
                <w:highlight w:val="none"/>
              </w:rPr>
            </w:pPr>
          </w:p>
        </w:tc>
      </w:tr>
      <w:tr w14:paraId="4665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317447A3">
            <w:pPr>
              <w:widowControl/>
              <w:spacing w:line="240" w:lineRule="exact"/>
              <w:jc w:val="left"/>
              <w:rPr>
                <w:rFonts w:hint="eastAsia" w:ascii="宋体" w:hAnsi="宋体" w:eastAsia="宋体" w:cs="宋体"/>
                <w:color w:val="auto"/>
                <w:kern w:val="0"/>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594CD583">
            <w:pPr>
              <w:widowControl/>
              <w:spacing w:line="240" w:lineRule="exact"/>
              <w:jc w:val="left"/>
              <w:rPr>
                <w:rFonts w:hint="eastAsia" w:ascii="宋体" w:hAnsi="宋体" w:eastAsia="宋体" w:cs="宋体"/>
                <w:color w:val="auto"/>
                <w:kern w:val="0"/>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77533241">
            <w:pPr>
              <w:widowControl/>
              <w:spacing w:line="240" w:lineRule="exact"/>
              <w:jc w:val="left"/>
              <w:rPr>
                <w:rFonts w:hint="eastAsia" w:ascii="宋体" w:hAnsi="宋体" w:eastAsia="宋体" w:cs="宋体"/>
                <w:color w:val="auto"/>
                <w:kern w:val="0"/>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12B39FED">
            <w:pPr>
              <w:widowControl/>
              <w:spacing w:line="240" w:lineRule="exact"/>
              <w:jc w:val="left"/>
              <w:rPr>
                <w:rFonts w:hint="eastAsia" w:ascii="宋体" w:hAnsi="宋体" w:eastAsia="宋体" w:cs="宋体"/>
                <w:color w:val="auto"/>
                <w:kern w:val="0"/>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067B43E">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ED4E06">
            <w:pPr>
              <w:spacing w:line="240" w:lineRule="exact"/>
              <w:jc w:val="center"/>
              <w:rPr>
                <w:rFonts w:hint="eastAsia" w:ascii="宋体" w:hAnsi="宋体" w:eastAsia="宋体" w:cs="宋体"/>
                <w:bCs/>
                <w:color w:val="auto"/>
                <w:spacing w:val="-10"/>
                <w:szCs w:val="21"/>
                <w:highlight w:val="none"/>
              </w:rPr>
            </w:pPr>
          </w:p>
        </w:tc>
      </w:tr>
      <w:tr w14:paraId="1A90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5EE9E7A1">
            <w:pPr>
              <w:widowControl/>
              <w:spacing w:line="240" w:lineRule="exact"/>
              <w:jc w:val="left"/>
              <w:rPr>
                <w:rFonts w:hint="eastAsia" w:ascii="宋体" w:hAnsi="宋体" w:eastAsia="宋体" w:cs="宋体"/>
                <w:color w:val="auto"/>
                <w:kern w:val="0"/>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419BF4EA">
            <w:pPr>
              <w:widowControl/>
              <w:spacing w:line="240" w:lineRule="exact"/>
              <w:jc w:val="left"/>
              <w:rPr>
                <w:rFonts w:hint="eastAsia" w:ascii="宋体" w:hAnsi="宋体" w:eastAsia="宋体" w:cs="宋体"/>
                <w:color w:val="auto"/>
                <w:kern w:val="0"/>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1B02A7DC">
            <w:pPr>
              <w:widowControl/>
              <w:spacing w:line="240" w:lineRule="exact"/>
              <w:jc w:val="left"/>
              <w:rPr>
                <w:rFonts w:hint="eastAsia" w:ascii="宋体" w:hAnsi="宋体" w:eastAsia="宋体" w:cs="宋体"/>
                <w:color w:val="auto"/>
                <w:kern w:val="0"/>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76E7246B">
            <w:pPr>
              <w:widowControl/>
              <w:spacing w:line="240" w:lineRule="exact"/>
              <w:jc w:val="left"/>
              <w:rPr>
                <w:rFonts w:hint="eastAsia" w:ascii="宋体" w:hAnsi="宋体" w:eastAsia="宋体" w:cs="宋体"/>
                <w:color w:val="auto"/>
                <w:kern w:val="0"/>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E5F20F2">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5DC392">
            <w:pPr>
              <w:spacing w:line="240" w:lineRule="exact"/>
              <w:jc w:val="center"/>
              <w:rPr>
                <w:rFonts w:hint="eastAsia" w:ascii="宋体" w:hAnsi="宋体" w:eastAsia="宋体" w:cs="宋体"/>
                <w:bCs/>
                <w:color w:val="auto"/>
                <w:spacing w:val="-10"/>
                <w:szCs w:val="21"/>
                <w:highlight w:val="none"/>
              </w:rPr>
            </w:pPr>
          </w:p>
        </w:tc>
      </w:tr>
      <w:tr w14:paraId="062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542ABF49">
            <w:pPr>
              <w:widowControl/>
              <w:spacing w:line="240" w:lineRule="exact"/>
              <w:jc w:val="left"/>
              <w:rPr>
                <w:rFonts w:hint="eastAsia" w:ascii="宋体" w:hAnsi="宋体" w:eastAsia="宋体" w:cs="宋体"/>
                <w:color w:val="auto"/>
                <w:kern w:val="0"/>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518D2E09">
            <w:pPr>
              <w:widowControl/>
              <w:spacing w:line="240" w:lineRule="exact"/>
              <w:jc w:val="left"/>
              <w:rPr>
                <w:rFonts w:hint="eastAsia" w:ascii="宋体" w:hAnsi="宋体" w:eastAsia="宋体" w:cs="宋体"/>
                <w:color w:val="auto"/>
                <w:kern w:val="0"/>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563DBC3F">
            <w:pPr>
              <w:widowControl/>
              <w:spacing w:line="240" w:lineRule="exact"/>
              <w:jc w:val="left"/>
              <w:rPr>
                <w:rFonts w:hint="eastAsia" w:ascii="宋体" w:hAnsi="宋体" w:eastAsia="宋体" w:cs="宋体"/>
                <w:color w:val="auto"/>
                <w:kern w:val="0"/>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01778EF6">
            <w:pPr>
              <w:widowControl/>
              <w:spacing w:line="240" w:lineRule="exact"/>
              <w:jc w:val="left"/>
              <w:rPr>
                <w:rFonts w:hint="eastAsia" w:ascii="宋体" w:hAnsi="宋体" w:eastAsia="宋体" w:cs="宋体"/>
                <w:color w:val="auto"/>
                <w:kern w:val="0"/>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7AC2CD3B">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F6279B">
            <w:pPr>
              <w:spacing w:line="240" w:lineRule="exact"/>
              <w:jc w:val="center"/>
              <w:rPr>
                <w:rFonts w:hint="eastAsia" w:ascii="宋体" w:hAnsi="宋体" w:eastAsia="宋体" w:cs="宋体"/>
                <w:bCs/>
                <w:color w:val="auto"/>
                <w:spacing w:val="-10"/>
                <w:szCs w:val="21"/>
                <w:highlight w:val="none"/>
              </w:rPr>
            </w:pPr>
          </w:p>
        </w:tc>
      </w:tr>
      <w:tr w14:paraId="63FD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346A047D">
            <w:pPr>
              <w:widowControl/>
              <w:spacing w:line="240" w:lineRule="exact"/>
              <w:jc w:val="left"/>
              <w:rPr>
                <w:rFonts w:hint="eastAsia" w:ascii="宋体" w:hAnsi="宋体" w:eastAsia="宋体" w:cs="宋体"/>
                <w:color w:val="auto"/>
                <w:kern w:val="0"/>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top"/>
          </w:tcPr>
          <w:p w14:paraId="587D1CD4">
            <w:pPr>
              <w:widowControl/>
              <w:spacing w:line="240" w:lineRule="exact"/>
              <w:jc w:val="left"/>
              <w:rPr>
                <w:rFonts w:hint="eastAsia" w:ascii="宋体" w:hAnsi="宋体" w:eastAsia="宋体" w:cs="宋体"/>
                <w:color w:val="auto"/>
                <w:kern w:val="0"/>
                <w:szCs w:val="21"/>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0327C3CC">
            <w:pPr>
              <w:widowControl/>
              <w:spacing w:line="240" w:lineRule="exact"/>
              <w:jc w:val="left"/>
              <w:rPr>
                <w:rFonts w:hint="eastAsia" w:ascii="宋体" w:hAnsi="宋体" w:eastAsia="宋体" w:cs="宋体"/>
                <w:color w:val="auto"/>
                <w:kern w:val="0"/>
                <w:szCs w:val="21"/>
                <w:highlight w:val="none"/>
              </w:rPr>
            </w:pPr>
          </w:p>
        </w:tc>
        <w:tc>
          <w:tcPr>
            <w:tcW w:w="1848" w:type="dxa"/>
            <w:tcBorders>
              <w:top w:val="single" w:color="auto" w:sz="4" w:space="0"/>
              <w:left w:val="single" w:color="auto" w:sz="4" w:space="0"/>
              <w:bottom w:val="single" w:color="auto" w:sz="4" w:space="0"/>
              <w:right w:val="single" w:color="auto" w:sz="4" w:space="0"/>
            </w:tcBorders>
            <w:noWrap w:val="0"/>
            <w:vAlign w:val="top"/>
          </w:tcPr>
          <w:p w14:paraId="29EF2643">
            <w:pPr>
              <w:widowControl/>
              <w:spacing w:line="240" w:lineRule="exact"/>
              <w:jc w:val="left"/>
              <w:rPr>
                <w:rFonts w:hint="eastAsia" w:ascii="宋体" w:hAnsi="宋体" w:eastAsia="宋体" w:cs="宋体"/>
                <w:color w:val="auto"/>
                <w:kern w:val="0"/>
                <w:szCs w:val="21"/>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ABA1340">
            <w:pPr>
              <w:spacing w:line="240" w:lineRule="exact"/>
              <w:jc w:val="center"/>
              <w:rPr>
                <w:rFonts w:hint="eastAsia" w:ascii="宋体" w:hAnsi="宋体" w:eastAsia="宋体" w:cs="宋体"/>
                <w:bCs/>
                <w:color w:val="auto"/>
                <w:spacing w:val="-10"/>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1D7B12F">
            <w:pPr>
              <w:spacing w:line="240" w:lineRule="exact"/>
              <w:jc w:val="center"/>
              <w:rPr>
                <w:rFonts w:hint="eastAsia" w:ascii="宋体" w:hAnsi="宋体" w:eastAsia="宋体" w:cs="宋体"/>
                <w:bCs/>
                <w:color w:val="auto"/>
                <w:spacing w:val="-10"/>
                <w:szCs w:val="21"/>
                <w:highlight w:val="none"/>
              </w:rPr>
            </w:pPr>
          </w:p>
        </w:tc>
      </w:tr>
    </w:tbl>
    <w:p w14:paraId="1549ECBC">
      <w:pPr>
        <w:topLinePunct/>
        <w:spacing w:line="240" w:lineRule="exac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注：</w:t>
      </w:r>
    </w:p>
    <w:p w14:paraId="29188EBF">
      <w:pPr>
        <w:topLinePunct/>
        <w:spacing w:line="240" w:lineRule="exac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w:t>
      </w:r>
      <w:r>
        <w:rPr>
          <w:rFonts w:hint="eastAsia" w:ascii="宋体" w:hAnsi="宋体" w:eastAsia="宋体" w:cs="宋体"/>
          <w:color w:val="auto"/>
          <w:kern w:val="0"/>
          <w:szCs w:val="21"/>
          <w:highlight w:val="none"/>
          <w:lang w:bidi="ar"/>
        </w:rPr>
        <w:t>投标人应根据本表的格式要求，填写本表“</w:t>
      </w:r>
      <w:r>
        <w:rPr>
          <w:rFonts w:hint="eastAsia" w:ascii="宋体" w:hAnsi="宋体" w:eastAsia="宋体" w:cs="宋体"/>
          <w:b/>
          <w:color w:val="auto"/>
          <w:kern w:val="44"/>
          <w:szCs w:val="21"/>
          <w:highlight w:val="none"/>
        </w:rPr>
        <w:t>投标人拟投入情况</w:t>
      </w:r>
      <w:r>
        <w:rPr>
          <w:rFonts w:hint="eastAsia" w:ascii="宋体" w:hAnsi="宋体" w:eastAsia="宋体" w:cs="宋体"/>
          <w:color w:val="auto"/>
          <w:kern w:val="0"/>
          <w:szCs w:val="21"/>
          <w:highlight w:val="none"/>
          <w:lang w:bidi="ar"/>
        </w:rPr>
        <w:t>”部分的“岗位”栏和相关人员“姓名”、“职称”和“职称证书编号”栏。“职称”栏填“高级”或“中级”或“初级”或“无”；无职称证书或资格证书的，“职称证书或资格证书编号”栏填“无”；同时具备职称证书和资格证书的，“职称证书或资格证书编号”栏填职称证书编号。</w:t>
      </w:r>
    </w:p>
    <w:p w14:paraId="4F86F591">
      <w:pPr>
        <w:tabs>
          <w:tab w:val="left" w:pos="312"/>
        </w:tabs>
        <w:topLinePunct/>
        <w:spacing w:line="240" w:lineRule="exac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2、岗位人员由投标人视本工程具体情况结合招标文件要求自行配备；</w:t>
      </w:r>
    </w:p>
    <w:p w14:paraId="54BEE628">
      <w:pPr>
        <w:topLinePunct/>
        <w:spacing w:line="240" w:lineRule="exac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3、上述人员须为投标人人员，并须提供投标截止前近一个月）（</w:t>
      </w:r>
      <w:r>
        <w:rPr>
          <w:rFonts w:hint="eastAsia" w:ascii="宋体" w:hAnsi="宋体" w:eastAsia="宋体" w:cs="宋体"/>
          <w:color w:val="auto"/>
          <w:spacing w:val="4"/>
          <w:kern w:val="0"/>
          <w:szCs w:val="21"/>
          <w:highlight w:val="none"/>
          <w:u w:val="single"/>
        </w:rPr>
        <w:t>2025年</w:t>
      </w:r>
      <w:r>
        <w:rPr>
          <w:rFonts w:hint="eastAsia" w:ascii="宋体" w:hAnsi="宋体" w:cs="宋体"/>
          <w:color w:val="auto"/>
          <w:spacing w:val="4"/>
          <w:kern w:val="0"/>
          <w:szCs w:val="21"/>
          <w:highlight w:val="none"/>
          <w:u w:val="single"/>
          <w:lang w:val="en-US" w:eastAsia="zh-CN"/>
        </w:rPr>
        <w:t>0</w:t>
      </w:r>
      <w:r>
        <w:rPr>
          <w:rFonts w:hint="eastAsia" w:ascii="宋体" w:hAnsi="宋体" w:eastAsia="宋体" w:cs="宋体"/>
          <w:color w:val="auto"/>
          <w:spacing w:val="4"/>
          <w:kern w:val="0"/>
          <w:szCs w:val="21"/>
          <w:highlight w:val="none"/>
          <w:u w:val="single"/>
          <w:lang w:val="en-US" w:eastAsia="zh-CN"/>
        </w:rPr>
        <w:t>7</w:t>
      </w:r>
      <w:r>
        <w:rPr>
          <w:rFonts w:hint="eastAsia" w:ascii="宋体" w:hAnsi="宋体" w:eastAsia="宋体" w:cs="宋体"/>
          <w:color w:val="auto"/>
          <w:spacing w:val="4"/>
          <w:kern w:val="0"/>
          <w:szCs w:val="21"/>
          <w:highlight w:val="none"/>
          <w:u w:val="single"/>
        </w:rPr>
        <w:t>月或</w:t>
      </w:r>
      <w:r>
        <w:rPr>
          <w:rFonts w:hint="eastAsia" w:ascii="宋体" w:hAnsi="宋体" w:cs="宋体"/>
          <w:color w:val="auto"/>
          <w:spacing w:val="4"/>
          <w:kern w:val="0"/>
          <w:szCs w:val="21"/>
          <w:highlight w:val="none"/>
          <w:u w:val="single"/>
          <w:lang w:val="en-US" w:eastAsia="zh-CN"/>
        </w:rPr>
        <w:t>08</w:t>
      </w:r>
      <w:r>
        <w:rPr>
          <w:rFonts w:hint="eastAsia" w:ascii="宋体" w:hAnsi="宋体" w:eastAsia="宋体" w:cs="宋体"/>
          <w:color w:val="auto"/>
          <w:spacing w:val="4"/>
          <w:kern w:val="0"/>
          <w:szCs w:val="21"/>
          <w:highlight w:val="none"/>
          <w:u w:val="single"/>
        </w:rPr>
        <w:t>月</w:t>
      </w:r>
      <w:r>
        <w:rPr>
          <w:rFonts w:hint="eastAsia" w:ascii="宋体" w:hAnsi="宋体" w:eastAsia="宋体" w:cs="宋体"/>
          <w:color w:val="auto"/>
          <w:spacing w:val="4"/>
          <w:kern w:val="0"/>
          <w:szCs w:val="21"/>
          <w:highlight w:val="none"/>
        </w:rPr>
        <w:t>）有效社保证明资料扫描件。</w:t>
      </w:r>
    </w:p>
    <w:p w14:paraId="320D4C32">
      <w:pPr>
        <w:topLinePunct/>
        <w:spacing w:line="240" w:lineRule="exac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4、上述人员须按招标公告及《技术标详细审查评分表》相应要求提供居民身份证、职称证（如有）、有效期内的注册证（如有）、岗位证或培训合格证（如有）等相关证明资料。所有资料为晰扫描件或电子证书。</w:t>
      </w:r>
    </w:p>
    <w:p w14:paraId="2157E8E2">
      <w:pPr>
        <w:topLinePunct/>
        <w:spacing w:line="240" w:lineRule="exac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5、本表中填报的所有人员均需按招标文件第四章《主要人员简历表》格式要求提交《主要人员简历表》。</w:t>
      </w:r>
    </w:p>
    <w:p w14:paraId="229865A4">
      <w:pPr>
        <w:topLinePunct/>
        <w:spacing w:line="240" w:lineRule="exac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本表只用于</w:t>
      </w:r>
      <w:r>
        <w:rPr>
          <w:rFonts w:hint="eastAsia" w:ascii="宋体" w:hAnsi="宋体" w:eastAsia="宋体" w:cs="宋体"/>
          <w:color w:val="auto"/>
          <w:spacing w:val="4"/>
          <w:kern w:val="0"/>
          <w:szCs w:val="21"/>
          <w:highlight w:val="none"/>
        </w:rPr>
        <w:t>技术标详细审评分</w:t>
      </w:r>
      <w:r>
        <w:rPr>
          <w:rFonts w:hint="eastAsia" w:ascii="宋体" w:hAnsi="宋体" w:eastAsia="宋体" w:cs="宋体"/>
          <w:color w:val="auto"/>
          <w:szCs w:val="21"/>
          <w:highlight w:val="none"/>
        </w:rPr>
        <w:t>的依据，不作为废标否决性条款。</w:t>
      </w:r>
    </w:p>
    <w:p w14:paraId="5139300D">
      <w:pPr>
        <w:topLinePunct/>
        <w:spacing w:line="240" w:lineRule="exact"/>
        <w:rPr>
          <w:rFonts w:hint="eastAsia" w:ascii="宋体" w:hAnsi="宋体" w:eastAsia="宋体" w:cs="宋体"/>
          <w:color w:val="auto"/>
          <w:spacing w:val="4"/>
          <w:kern w:val="0"/>
          <w:szCs w:val="21"/>
          <w:highlight w:val="none"/>
        </w:rPr>
      </w:pPr>
    </w:p>
    <w:p w14:paraId="6A69AD04">
      <w:pPr>
        <w:topLinePunct/>
        <w:spacing w:line="240" w:lineRule="exact"/>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70B95CBC">
      <w:pPr>
        <w:topLinePunct/>
        <w:spacing w:line="240" w:lineRule="exact"/>
        <w:jc w:val="left"/>
        <w:rPr>
          <w:rFonts w:hint="eastAsia" w:ascii="宋体" w:hAnsi="宋体" w:eastAsia="宋体" w:cs="宋体"/>
          <w:color w:val="auto"/>
          <w:spacing w:val="4"/>
          <w:kern w:val="0"/>
          <w:szCs w:val="21"/>
          <w:highlight w:val="none"/>
        </w:rPr>
      </w:pPr>
      <w:r>
        <w:rPr>
          <w:rFonts w:hint="eastAsia" w:ascii="宋体" w:hAnsi="宋体" w:eastAsia="宋体" w:cs="宋体"/>
          <w:snapToGrid w:val="0"/>
          <w:color w:val="auto"/>
          <w:spacing w:val="4"/>
          <w:kern w:val="0"/>
          <w:sz w:val="21"/>
          <w:szCs w:val="21"/>
          <w:highlight w:val="none"/>
        </w:rPr>
        <w:t>日    期：    年    月    日</w:t>
      </w:r>
    </w:p>
    <w:p w14:paraId="5CD00DBA">
      <w:pPr>
        <w:topLinePunct/>
        <w:spacing w:line="360" w:lineRule="auto"/>
        <w:jc w:val="center"/>
        <w:rPr>
          <w:rFonts w:hint="eastAsia" w:ascii="宋体" w:hAnsi="宋体" w:eastAsia="宋体" w:cs="宋体"/>
          <w:b/>
          <w:snapToGrid w:val="0"/>
          <w:color w:val="auto"/>
          <w:spacing w:val="4"/>
          <w:kern w:val="0"/>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snapToGrid w:val="0"/>
          <w:color w:val="auto"/>
          <w:spacing w:val="4"/>
          <w:kern w:val="0"/>
          <w:sz w:val="28"/>
          <w:szCs w:val="28"/>
          <w:highlight w:val="none"/>
        </w:rPr>
        <w:t>主要人员简历表</w:t>
      </w:r>
    </w:p>
    <w:p w14:paraId="0ED843E3">
      <w:pPr>
        <w:topLinePunct/>
        <w:spacing w:line="360" w:lineRule="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 xml:space="preserve">工程名称： </w:t>
      </w:r>
    </w:p>
    <w:tbl>
      <w:tblPr>
        <w:tblStyle w:val="37"/>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223"/>
        <w:gridCol w:w="1647"/>
        <w:gridCol w:w="258"/>
        <w:gridCol w:w="500"/>
        <w:gridCol w:w="765"/>
        <w:gridCol w:w="169"/>
        <w:gridCol w:w="1221"/>
        <w:gridCol w:w="889"/>
        <w:gridCol w:w="318"/>
        <w:gridCol w:w="1456"/>
      </w:tblGrid>
      <w:tr w14:paraId="60D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724" w:type="pct"/>
            <w:noWrap w:val="0"/>
            <w:vAlign w:val="center"/>
          </w:tcPr>
          <w:p w14:paraId="557C900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75" w:type="pct"/>
            <w:noWrap w:val="0"/>
            <w:vAlign w:val="center"/>
          </w:tcPr>
          <w:p w14:paraId="7B329951">
            <w:pPr>
              <w:spacing w:line="360" w:lineRule="auto"/>
              <w:jc w:val="left"/>
              <w:rPr>
                <w:rFonts w:hint="eastAsia" w:ascii="宋体" w:hAnsi="宋体" w:eastAsia="宋体" w:cs="宋体"/>
                <w:color w:val="auto"/>
                <w:sz w:val="21"/>
                <w:szCs w:val="21"/>
                <w:highlight w:val="none"/>
              </w:rPr>
            </w:pPr>
          </w:p>
        </w:tc>
        <w:tc>
          <w:tcPr>
            <w:tcW w:w="449" w:type="pct"/>
            <w:gridSpan w:val="2"/>
            <w:noWrap w:val="0"/>
            <w:vAlign w:val="center"/>
          </w:tcPr>
          <w:p w14:paraId="5031F52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275" w:type="pct"/>
            <w:gridSpan w:val="3"/>
            <w:noWrap w:val="0"/>
            <w:vAlign w:val="center"/>
          </w:tcPr>
          <w:p w14:paraId="00BE5859">
            <w:pPr>
              <w:spacing w:line="360" w:lineRule="auto"/>
              <w:jc w:val="left"/>
              <w:rPr>
                <w:rFonts w:hint="eastAsia" w:ascii="宋体" w:hAnsi="宋体" w:eastAsia="宋体" w:cs="宋体"/>
                <w:color w:val="auto"/>
                <w:sz w:val="21"/>
                <w:szCs w:val="21"/>
                <w:highlight w:val="none"/>
              </w:rPr>
            </w:pPr>
          </w:p>
        </w:tc>
        <w:tc>
          <w:tcPr>
            <w:tcW w:w="714" w:type="pct"/>
            <w:gridSpan w:val="2"/>
            <w:noWrap w:val="0"/>
            <w:vAlign w:val="center"/>
          </w:tcPr>
          <w:p w14:paraId="08311C7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59" w:type="pct"/>
            <w:noWrap w:val="0"/>
            <w:vAlign w:val="center"/>
          </w:tcPr>
          <w:p w14:paraId="5E2A5BF3">
            <w:pPr>
              <w:spacing w:line="360" w:lineRule="auto"/>
              <w:jc w:val="left"/>
              <w:rPr>
                <w:rFonts w:hint="eastAsia" w:ascii="宋体" w:hAnsi="宋体" w:eastAsia="宋体" w:cs="宋体"/>
                <w:color w:val="auto"/>
                <w:sz w:val="21"/>
                <w:szCs w:val="21"/>
                <w:highlight w:val="none"/>
              </w:rPr>
            </w:pPr>
          </w:p>
        </w:tc>
      </w:tr>
      <w:tr w14:paraId="5B00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14:paraId="7E25CFD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975" w:type="pct"/>
            <w:noWrap w:val="0"/>
            <w:vAlign w:val="center"/>
          </w:tcPr>
          <w:p w14:paraId="176BEFA5">
            <w:pPr>
              <w:spacing w:line="360" w:lineRule="auto"/>
              <w:jc w:val="left"/>
              <w:rPr>
                <w:rFonts w:hint="eastAsia" w:ascii="宋体" w:hAnsi="宋体" w:eastAsia="宋体" w:cs="宋体"/>
                <w:color w:val="auto"/>
                <w:sz w:val="21"/>
                <w:szCs w:val="21"/>
                <w:highlight w:val="none"/>
              </w:rPr>
            </w:pPr>
          </w:p>
        </w:tc>
        <w:tc>
          <w:tcPr>
            <w:tcW w:w="449" w:type="pct"/>
            <w:gridSpan w:val="2"/>
            <w:noWrap w:val="0"/>
            <w:vAlign w:val="center"/>
          </w:tcPr>
          <w:p w14:paraId="6E8703A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275" w:type="pct"/>
            <w:gridSpan w:val="3"/>
            <w:noWrap w:val="0"/>
            <w:vAlign w:val="center"/>
          </w:tcPr>
          <w:p w14:paraId="556A0F0A">
            <w:pPr>
              <w:spacing w:line="360" w:lineRule="auto"/>
              <w:jc w:val="left"/>
              <w:rPr>
                <w:rFonts w:hint="eastAsia" w:ascii="宋体" w:hAnsi="宋体" w:eastAsia="宋体" w:cs="宋体"/>
                <w:color w:val="auto"/>
                <w:sz w:val="21"/>
                <w:szCs w:val="21"/>
                <w:highlight w:val="none"/>
              </w:rPr>
            </w:pPr>
          </w:p>
        </w:tc>
        <w:tc>
          <w:tcPr>
            <w:tcW w:w="714" w:type="pct"/>
            <w:gridSpan w:val="2"/>
            <w:noWrap w:val="0"/>
            <w:vAlign w:val="center"/>
          </w:tcPr>
          <w:p w14:paraId="69A726D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859" w:type="pct"/>
            <w:noWrap w:val="0"/>
            <w:vAlign w:val="center"/>
          </w:tcPr>
          <w:p w14:paraId="56AA678C">
            <w:pPr>
              <w:spacing w:line="360" w:lineRule="auto"/>
              <w:jc w:val="left"/>
              <w:rPr>
                <w:rFonts w:hint="eastAsia" w:ascii="宋体" w:hAnsi="宋体" w:eastAsia="宋体" w:cs="宋体"/>
                <w:color w:val="auto"/>
                <w:sz w:val="21"/>
                <w:szCs w:val="21"/>
                <w:highlight w:val="none"/>
              </w:rPr>
            </w:pPr>
          </w:p>
        </w:tc>
      </w:tr>
      <w:tr w14:paraId="1C0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852" w:type="pct"/>
            <w:gridSpan w:val="3"/>
            <w:noWrap w:val="0"/>
            <w:vAlign w:val="center"/>
          </w:tcPr>
          <w:p w14:paraId="5943296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849" w:type="pct"/>
            <w:gridSpan w:val="3"/>
            <w:noWrap w:val="0"/>
            <w:vAlign w:val="center"/>
          </w:tcPr>
          <w:p w14:paraId="178B9A69">
            <w:pPr>
              <w:spacing w:line="360" w:lineRule="auto"/>
              <w:jc w:val="left"/>
              <w:rPr>
                <w:rFonts w:hint="eastAsia" w:ascii="宋体" w:hAnsi="宋体" w:eastAsia="宋体" w:cs="宋体"/>
                <w:color w:val="auto"/>
                <w:sz w:val="21"/>
                <w:szCs w:val="21"/>
                <w:highlight w:val="none"/>
              </w:rPr>
            </w:pPr>
          </w:p>
        </w:tc>
        <w:tc>
          <w:tcPr>
            <w:tcW w:w="1249" w:type="pct"/>
            <w:gridSpan w:val="2"/>
            <w:noWrap w:val="0"/>
            <w:vAlign w:val="center"/>
          </w:tcPr>
          <w:p w14:paraId="0ECDE42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担任相应职务年限</w:t>
            </w:r>
          </w:p>
        </w:tc>
        <w:tc>
          <w:tcPr>
            <w:tcW w:w="1048" w:type="pct"/>
            <w:gridSpan w:val="2"/>
            <w:noWrap w:val="0"/>
            <w:vAlign w:val="center"/>
          </w:tcPr>
          <w:p w14:paraId="195A9864">
            <w:pPr>
              <w:spacing w:line="360" w:lineRule="auto"/>
              <w:jc w:val="left"/>
              <w:rPr>
                <w:rFonts w:hint="eastAsia" w:ascii="宋体" w:hAnsi="宋体" w:eastAsia="宋体" w:cs="宋体"/>
                <w:color w:val="auto"/>
                <w:sz w:val="21"/>
                <w:szCs w:val="21"/>
                <w:highlight w:val="none"/>
              </w:rPr>
            </w:pPr>
          </w:p>
        </w:tc>
      </w:tr>
      <w:tr w14:paraId="31C1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852" w:type="pct"/>
            <w:gridSpan w:val="3"/>
            <w:noWrap w:val="0"/>
            <w:vAlign w:val="center"/>
          </w:tcPr>
          <w:p w14:paraId="39C8079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147" w:type="pct"/>
            <w:gridSpan w:val="7"/>
            <w:noWrap w:val="0"/>
            <w:vAlign w:val="center"/>
          </w:tcPr>
          <w:p w14:paraId="0106F89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月毕业于     学校    系，学制    年</w:t>
            </w:r>
          </w:p>
        </w:tc>
      </w:tr>
      <w:tr w14:paraId="1288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852" w:type="pct"/>
            <w:gridSpan w:val="3"/>
            <w:noWrap w:val="0"/>
            <w:vAlign w:val="center"/>
          </w:tcPr>
          <w:p w14:paraId="6D080CA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资格证书号</w:t>
            </w:r>
          </w:p>
        </w:tc>
        <w:tc>
          <w:tcPr>
            <w:tcW w:w="3147" w:type="pct"/>
            <w:gridSpan w:val="7"/>
            <w:noWrap w:val="0"/>
            <w:vAlign w:val="center"/>
          </w:tcPr>
          <w:p w14:paraId="73F667AB">
            <w:pPr>
              <w:spacing w:line="360" w:lineRule="auto"/>
              <w:jc w:val="left"/>
              <w:rPr>
                <w:rFonts w:hint="eastAsia" w:ascii="宋体" w:hAnsi="宋体" w:eastAsia="宋体" w:cs="宋体"/>
                <w:color w:val="auto"/>
                <w:sz w:val="21"/>
                <w:szCs w:val="21"/>
                <w:highlight w:val="none"/>
              </w:rPr>
            </w:pPr>
          </w:p>
        </w:tc>
      </w:tr>
      <w:tr w14:paraId="06E7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000" w:type="pct"/>
            <w:gridSpan w:val="10"/>
            <w:noWrap w:val="0"/>
            <w:vAlign w:val="center"/>
          </w:tcPr>
          <w:p w14:paraId="2A1795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业绩简介</w:t>
            </w:r>
          </w:p>
        </w:tc>
      </w:tr>
      <w:tr w14:paraId="5F8A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14:paraId="7481948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127" w:type="pct"/>
            <w:gridSpan w:val="2"/>
            <w:noWrap w:val="0"/>
            <w:vAlign w:val="center"/>
          </w:tcPr>
          <w:p w14:paraId="791EF1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9" w:type="pct"/>
            <w:gridSpan w:val="2"/>
            <w:noWrap w:val="0"/>
            <w:vAlign w:val="center"/>
          </w:tcPr>
          <w:p w14:paraId="5AD610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823" w:type="pct"/>
            <w:gridSpan w:val="2"/>
            <w:noWrap w:val="0"/>
            <w:vAlign w:val="center"/>
          </w:tcPr>
          <w:p w14:paraId="56C2E7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714" w:type="pct"/>
            <w:gridSpan w:val="2"/>
            <w:noWrap w:val="0"/>
            <w:vAlign w:val="center"/>
          </w:tcPr>
          <w:p w14:paraId="5DB12A5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在建或已完工程质量</w:t>
            </w:r>
          </w:p>
        </w:tc>
        <w:tc>
          <w:tcPr>
            <w:tcW w:w="859" w:type="pct"/>
            <w:noWrap w:val="0"/>
            <w:vAlign w:val="center"/>
          </w:tcPr>
          <w:p w14:paraId="7D8D82D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r>
      <w:tr w14:paraId="051B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14:paraId="4480D74B">
            <w:pPr>
              <w:spacing w:line="360" w:lineRule="auto"/>
              <w:jc w:val="left"/>
              <w:rPr>
                <w:rFonts w:hint="eastAsia" w:ascii="宋体" w:hAnsi="宋体" w:eastAsia="宋体" w:cs="宋体"/>
                <w:color w:val="auto"/>
                <w:sz w:val="21"/>
                <w:szCs w:val="21"/>
                <w:highlight w:val="none"/>
              </w:rPr>
            </w:pPr>
          </w:p>
        </w:tc>
        <w:tc>
          <w:tcPr>
            <w:tcW w:w="1127" w:type="pct"/>
            <w:gridSpan w:val="2"/>
            <w:noWrap w:val="0"/>
            <w:vAlign w:val="center"/>
          </w:tcPr>
          <w:p w14:paraId="70070037">
            <w:pPr>
              <w:spacing w:line="360" w:lineRule="auto"/>
              <w:jc w:val="left"/>
              <w:rPr>
                <w:rFonts w:hint="eastAsia" w:ascii="宋体" w:hAnsi="宋体" w:eastAsia="宋体" w:cs="宋体"/>
                <w:color w:val="auto"/>
                <w:sz w:val="21"/>
                <w:szCs w:val="21"/>
                <w:highlight w:val="none"/>
              </w:rPr>
            </w:pPr>
          </w:p>
        </w:tc>
        <w:tc>
          <w:tcPr>
            <w:tcW w:w="749" w:type="pct"/>
            <w:gridSpan w:val="2"/>
            <w:noWrap w:val="0"/>
            <w:vAlign w:val="center"/>
          </w:tcPr>
          <w:p w14:paraId="532A879B">
            <w:pPr>
              <w:spacing w:line="360" w:lineRule="auto"/>
              <w:jc w:val="left"/>
              <w:rPr>
                <w:rFonts w:hint="eastAsia" w:ascii="宋体" w:hAnsi="宋体" w:eastAsia="宋体" w:cs="宋体"/>
                <w:color w:val="auto"/>
                <w:sz w:val="21"/>
                <w:szCs w:val="21"/>
                <w:highlight w:val="none"/>
              </w:rPr>
            </w:pPr>
          </w:p>
        </w:tc>
        <w:tc>
          <w:tcPr>
            <w:tcW w:w="823" w:type="pct"/>
            <w:gridSpan w:val="2"/>
            <w:noWrap w:val="0"/>
            <w:vAlign w:val="center"/>
          </w:tcPr>
          <w:p w14:paraId="3E645BFD">
            <w:pPr>
              <w:spacing w:line="360" w:lineRule="auto"/>
              <w:jc w:val="left"/>
              <w:rPr>
                <w:rFonts w:hint="eastAsia" w:ascii="宋体" w:hAnsi="宋体" w:eastAsia="宋体" w:cs="宋体"/>
                <w:color w:val="auto"/>
                <w:sz w:val="21"/>
                <w:szCs w:val="21"/>
                <w:highlight w:val="none"/>
              </w:rPr>
            </w:pPr>
          </w:p>
        </w:tc>
        <w:tc>
          <w:tcPr>
            <w:tcW w:w="714" w:type="pct"/>
            <w:gridSpan w:val="2"/>
            <w:noWrap w:val="0"/>
            <w:vAlign w:val="center"/>
          </w:tcPr>
          <w:p w14:paraId="1AFA4E0E">
            <w:pPr>
              <w:spacing w:line="360" w:lineRule="auto"/>
              <w:jc w:val="left"/>
              <w:rPr>
                <w:rFonts w:hint="eastAsia" w:ascii="宋体" w:hAnsi="宋体" w:eastAsia="宋体" w:cs="宋体"/>
                <w:color w:val="auto"/>
                <w:sz w:val="21"/>
                <w:szCs w:val="21"/>
                <w:highlight w:val="none"/>
              </w:rPr>
            </w:pPr>
          </w:p>
        </w:tc>
        <w:tc>
          <w:tcPr>
            <w:tcW w:w="859" w:type="pct"/>
            <w:noWrap w:val="0"/>
            <w:vAlign w:val="center"/>
          </w:tcPr>
          <w:p w14:paraId="18AEB89B">
            <w:pPr>
              <w:spacing w:line="360" w:lineRule="auto"/>
              <w:jc w:val="left"/>
              <w:rPr>
                <w:rFonts w:hint="eastAsia" w:ascii="宋体" w:hAnsi="宋体" w:eastAsia="宋体" w:cs="宋体"/>
                <w:color w:val="auto"/>
                <w:sz w:val="21"/>
                <w:szCs w:val="21"/>
                <w:highlight w:val="none"/>
              </w:rPr>
            </w:pPr>
          </w:p>
        </w:tc>
      </w:tr>
      <w:tr w14:paraId="43A6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14:paraId="560E2EA8">
            <w:pPr>
              <w:spacing w:line="360" w:lineRule="auto"/>
              <w:jc w:val="left"/>
              <w:rPr>
                <w:rFonts w:hint="eastAsia" w:ascii="宋体" w:hAnsi="宋体" w:eastAsia="宋体" w:cs="宋体"/>
                <w:color w:val="auto"/>
                <w:sz w:val="21"/>
                <w:szCs w:val="21"/>
                <w:highlight w:val="none"/>
              </w:rPr>
            </w:pPr>
          </w:p>
        </w:tc>
        <w:tc>
          <w:tcPr>
            <w:tcW w:w="1127" w:type="pct"/>
            <w:gridSpan w:val="2"/>
            <w:noWrap w:val="0"/>
            <w:vAlign w:val="center"/>
          </w:tcPr>
          <w:p w14:paraId="4E47F450">
            <w:pPr>
              <w:spacing w:line="360" w:lineRule="auto"/>
              <w:jc w:val="left"/>
              <w:rPr>
                <w:rFonts w:hint="eastAsia" w:ascii="宋体" w:hAnsi="宋体" w:eastAsia="宋体" w:cs="宋体"/>
                <w:color w:val="auto"/>
                <w:sz w:val="21"/>
                <w:szCs w:val="21"/>
                <w:highlight w:val="none"/>
              </w:rPr>
            </w:pPr>
          </w:p>
        </w:tc>
        <w:tc>
          <w:tcPr>
            <w:tcW w:w="749" w:type="pct"/>
            <w:gridSpan w:val="2"/>
            <w:noWrap w:val="0"/>
            <w:vAlign w:val="center"/>
          </w:tcPr>
          <w:p w14:paraId="64E99311">
            <w:pPr>
              <w:spacing w:line="360" w:lineRule="auto"/>
              <w:jc w:val="left"/>
              <w:rPr>
                <w:rFonts w:hint="eastAsia" w:ascii="宋体" w:hAnsi="宋体" w:eastAsia="宋体" w:cs="宋体"/>
                <w:color w:val="auto"/>
                <w:sz w:val="21"/>
                <w:szCs w:val="21"/>
                <w:highlight w:val="none"/>
              </w:rPr>
            </w:pPr>
          </w:p>
        </w:tc>
        <w:tc>
          <w:tcPr>
            <w:tcW w:w="823" w:type="pct"/>
            <w:gridSpan w:val="2"/>
            <w:noWrap w:val="0"/>
            <w:vAlign w:val="center"/>
          </w:tcPr>
          <w:p w14:paraId="0C866928">
            <w:pPr>
              <w:spacing w:line="360" w:lineRule="auto"/>
              <w:jc w:val="left"/>
              <w:rPr>
                <w:rFonts w:hint="eastAsia" w:ascii="宋体" w:hAnsi="宋体" w:eastAsia="宋体" w:cs="宋体"/>
                <w:color w:val="auto"/>
                <w:sz w:val="21"/>
                <w:szCs w:val="21"/>
                <w:highlight w:val="none"/>
              </w:rPr>
            </w:pPr>
          </w:p>
        </w:tc>
        <w:tc>
          <w:tcPr>
            <w:tcW w:w="714" w:type="pct"/>
            <w:gridSpan w:val="2"/>
            <w:noWrap w:val="0"/>
            <w:vAlign w:val="center"/>
          </w:tcPr>
          <w:p w14:paraId="30F43C93">
            <w:pPr>
              <w:spacing w:line="360" w:lineRule="auto"/>
              <w:jc w:val="left"/>
              <w:rPr>
                <w:rFonts w:hint="eastAsia" w:ascii="宋体" w:hAnsi="宋体" w:eastAsia="宋体" w:cs="宋体"/>
                <w:color w:val="auto"/>
                <w:sz w:val="21"/>
                <w:szCs w:val="21"/>
                <w:highlight w:val="none"/>
              </w:rPr>
            </w:pPr>
          </w:p>
        </w:tc>
        <w:tc>
          <w:tcPr>
            <w:tcW w:w="859" w:type="pct"/>
            <w:noWrap w:val="0"/>
            <w:vAlign w:val="center"/>
          </w:tcPr>
          <w:p w14:paraId="2B84E959">
            <w:pPr>
              <w:spacing w:line="360" w:lineRule="auto"/>
              <w:jc w:val="left"/>
              <w:rPr>
                <w:rFonts w:hint="eastAsia" w:ascii="宋体" w:hAnsi="宋体" w:eastAsia="宋体" w:cs="宋体"/>
                <w:color w:val="auto"/>
                <w:sz w:val="21"/>
                <w:szCs w:val="21"/>
                <w:highlight w:val="none"/>
              </w:rPr>
            </w:pPr>
          </w:p>
        </w:tc>
      </w:tr>
      <w:tr w14:paraId="3228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14:paraId="0E61D029">
            <w:pPr>
              <w:spacing w:line="360" w:lineRule="auto"/>
              <w:jc w:val="left"/>
              <w:rPr>
                <w:rFonts w:hint="eastAsia" w:ascii="宋体" w:hAnsi="宋体" w:eastAsia="宋体" w:cs="宋体"/>
                <w:color w:val="auto"/>
                <w:sz w:val="21"/>
                <w:szCs w:val="21"/>
                <w:highlight w:val="none"/>
              </w:rPr>
            </w:pPr>
          </w:p>
        </w:tc>
        <w:tc>
          <w:tcPr>
            <w:tcW w:w="1127" w:type="pct"/>
            <w:gridSpan w:val="2"/>
            <w:noWrap w:val="0"/>
            <w:vAlign w:val="center"/>
          </w:tcPr>
          <w:p w14:paraId="7EDDC724">
            <w:pPr>
              <w:spacing w:line="360" w:lineRule="auto"/>
              <w:jc w:val="left"/>
              <w:rPr>
                <w:rFonts w:hint="eastAsia" w:ascii="宋体" w:hAnsi="宋体" w:eastAsia="宋体" w:cs="宋体"/>
                <w:color w:val="auto"/>
                <w:sz w:val="21"/>
                <w:szCs w:val="21"/>
                <w:highlight w:val="none"/>
              </w:rPr>
            </w:pPr>
          </w:p>
        </w:tc>
        <w:tc>
          <w:tcPr>
            <w:tcW w:w="749" w:type="pct"/>
            <w:gridSpan w:val="2"/>
            <w:noWrap w:val="0"/>
            <w:vAlign w:val="center"/>
          </w:tcPr>
          <w:p w14:paraId="10395825">
            <w:pPr>
              <w:spacing w:line="360" w:lineRule="auto"/>
              <w:jc w:val="left"/>
              <w:rPr>
                <w:rFonts w:hint="eastAsia" w:ascii="宋体" w:hAnsi="宋体" w:eastAsia="宋体" w:cs="宋体"/>
                <w:color w:val="auto"/>
                <w:sz w:val="21"/>
                <w:szCs w:val="21"/>
                <w:highlight w:val="none"/>
              </w:rPr>
            </w:pPr>
          </w:p>
        </w:tc>
        <w:tc>
          <w:tcPr>
            <w:tcW w:w="823" w:type="pct"/>
            <w:gridSpan w:val="2"/>
            <w:noWrap w:val="0"/>
            <w:vAlign w:val="center"/>
          </w:tcPr>
          <w:p w14:paraId="5DFAEA3D">
            <w:pPr>
              <w:spacing w:line="360" w:lineRule="auto"/>
              <w:jc w:val="left"/>
              <w:rPr>
                <w:rFonts w:hint="eastAsia" w:ascii="宋体" w:hAnsi="宋体" w:eastAsia="宋体" w:cs="宋体"/>
                <w:color w:val="auto"/>
                <w:sz w:val="21"/>
                <w:szCs w:val="21"/>
                <w:highlight w:val="none"/>
              </w:rPr>
            </w:pPr>
          </w:p>
        </w:tc>
        <w:tc>
          <w:tcPr>
            <w:tcW w:w="714" w:type="pct"/>
            <w:gridSpan w:val="2"/>
            <w:noWrap w:val="0"/>
            <w:vAlign w:val="center"/>
          </w:tcPr>
          <w:p w14:paraId="601957B6">
            <w:pPr>
              <w:spacing w:line="360" w:lineRule="auto"/>
              <w:jc w:val="left"/>
              <w:rPr>
                <w:rFonts w:hint="eastAsia" w:ascii="宋体" w:hAnsi="宋体" w:eastAsia="宋体" w:cs="宋体"/>
                <w:color w:val="auto"/>
                <w:sz w:val="21"/>
                <w:szCs w:val="21"/>
                <w:highlight w:val="none"/>
              </w:rPr>
            </w:pPr>
          </w:p>
        </w:tc>
        <w:tc>
          <w:tcPr>
            <w:tcW w:w="859" w:type="pct"/>
            <w:noWrap w:val="0"/>
            <w:vAlign w:val="center"/>
          </w:tcPr>
          <w:p w14:paraId="5626B086">
            <w:pPr>
              <w:spacing w:line="360" w:lineRule="auto"/>
              <w:jc w:val="left"/>
              <w:rPr>
                <w:rFonts w:hint="eastAsia" w:ascii="宋体" w:hAnsi="宋体" w:eastAsia="宋体" w:cs="宋体"/>
                <w:color w:val="auto"/>
                <w:sz w:val="21"/>
                <w:szCs w:val="21"/>
                <w:highlight w:val="none"/>
              </w:rPr>
            </w:pPr>
          </w:p>
        </w:tc>
      </w:tr>
    </w:tbl>
    <w:p w14:paraId="2CE9DEF3">
      <w:pPr>
        <w:topLinePunct/>
        <w:spacing w:line="360" w:lineRule="auto"/>
        <w:rPr>
          <w:rFonts w:hint="eastAsia" w:ascii="宋体" w:hAnsi="宋体" w:eastAsia="宋体" w:cs="宋体"/>
          <w:color w:val="auto"/>
          <w:spacing w:val="4"/>
          <w:kern w:val="0"/>
          <w:sz w:val="21"/>
          <w:szCs w:val="21"/>
          <w:highlight w:val="none"/>
        </w:rPr>
      </w:pPr>
    </w:p>
    <w:p w14:paraId="1AF8B586">
      <w:pPr>
        <w:topLinePunct/>
        <w:spacing w:line="360" w:lineRule="auto"/>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45DAD6E0">
      <w:pPr>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spacing w:val="4"/>
          <w:kern w:val="0"/>
          <w:sz w:val="21"/>
          <w:szCs w:val="21"/>
          <w:highlight w:val="none"/>
        </w:rPr>
        <w:t>日    期：    年    月    日</w:t>
      </w:r>
    </w:p>
    <w:p w14:paraId="42FD4C27">
      <w:pPr>
        <w:widowControl/>
        <w:snapToGrid w:val="0"/>
        <w:spacing w:line="360" w:lineRule="auto"/>
        <w:ind w:right="102"/>
        <w:jc w:val="left"/>
        <w:rPr>
          <w:rFonts w:hint="eastAsia" w:ascii="宋体" w:hAnsi="宋体" w:eastAsia="宋体" w:cs="宋体"/>
          <w:color w:val="auto"/>
          <w:sz w:val="24"/>
          <w:szCs w:val="24"/>
          <w:highlight w:val="none"/>
        </w:rPr>
      </w:pPr>
    </w:p>
    <w:p w14:paraId="51023EE0">
      <w:pPr>
        <w:widowControl/>
        <w:snapToGrid w:val="0"/>
        <w:spacing w:line="360" w:lineRule="auto"/>
        <w:ind w:right="102"/>
        <w:jc w:val="left"/>
        <w:rPr>
          <w:rFonts w:hint="eastAsia" w:ascii="宋体" w:hAnsi="宋体" w:eastAsia="宋体" w:cs="宋体"/>
          <w:color w:val="auto"/>
          <w:sz w:val="24"/>
          <w:szCs w:val="24"/>
          <w:highlight w:val="none"/>
        </w:rPr>
      </w:pPr>
    </w:p>
    <w:p w14:paraId="62FC3F59">
      <w:pPr>
        <w:widowControl/>
        <w:snapToGrid w:val="0"/>
        <w:spacing w:line="360" w:lineRule="auto"/>
        <w:ind w:right="102"/>
        <w:jc w:val="left"/>
        <w:rPr>
          <w:rFonts w:hint="eastAsia" w:ascii="宋体" w:hAnsi="宋体" w:eastAsia="宋体" w:cs="宋体"/>
          <w:color w:val="auto"/>
          <w:sz w:val="24"/>
          <w:szCs w:val="24"/>
          <w:highlight w:val="none"/>
        </w:rPr>
      </w:pPr>
    </w:p>
    <w:p w14:paraId="77CB1F50">
      <w:pPr>
        <w:pStyle w:val="4"/>
        <w:rPr>
          <w:rFonts w:hint="eastAsia"/>
          <w:color w:val="auto"/>
          <w:highlight w:val="none"/>
        </w:rPr>
      </w:pPr>
    </w:p>
    <w:p w14:paraId="437DB041">
      <w:pPr>
        <w:pStyle w:val="5"/>
        <w:spacing w:line="360" w:lineRule="auto"/>
        <w:rPr>
          <w:rFonts w:hint="eastAsia" w:cs="宋体"/>
          <w:b/>
          <w:bCs/>
          <w:color w:val="auto"/>
          <w:sz w:val="28"/>
          <w:szCs w:val="28"/>
          <w:highlight w:val="none"/>
        </w:rPr>
      </w:pPr>
      <w:r>
        <w:rPr>
          <w:rFonts w:hint="eastAsia" w:cs="宋体"/>
          <w:b/>
          <w:bCs/>
          <w:color w:val="auto"/>
          <w:sz w:val="28"/>
          <w:szCs w:val="28"/>
          <w:highlight w:val="none"/>
        </w:rPr>
        <w:t>格式十：</w:t>
      </w:r>
    </w:p>
    <w:p w14:paraId="5AE2358B">
      <w:pPr>
        <w:topLinePunct/>
        <w:spacing w:line="360" w:lineRule="auto"/>
        <w:jc w:val="center"/>
        <w:rPr>
          <w:rFonts w:hint="eastAsia" w:ascii="宋体" w:hAnsi="宋体" w:eastAsia="宋体" w:cs="宋体"/>
          <w:b/>
          <w:bCs/>
          <w:color w:val="auto"/>
          <w:spacing w:val="4"/>
          <w:kern w:val="0"/>
          <w:sz w:val="28"/>
          <w:szCs w:val="28"/>
          <w:highlight w:val="none"/>
        </w:rPr>
      </w:pPr>
      <w:r>
        <w:rPr>
          <w:rFonts w:hint="eastAsia" w:ascii="宋体" w:hAnsi="宋体" w:eastAsia="宋体" w:cs="宋体"/>
          <w:b/>
          <w:bCs/>
          <w:color w:val="auto"/>
          <w:spacing w:val="4"/>
          <w:kern w:val="0"/>
          <w:sz w:val="28"/>
          <w:szCs w:val="28"/>
          <w:highlight w:val="none"/>
        </w:rPr>
        <w:t>已竣工验收的类似工程业绩表</w:t>
      </w:r>
    </w:p>
    <w:tbl>
      <w:tblPr>
        <w:tblStyle w:val="37"/>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2835"/>
        <w:gridCol w:w="2096"/>
        <w:gridCol w:w="1991"/>
      </w:tblGrid>
      <w:tr w14:paraId="660F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436138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811DB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3D00E1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1" w:type="dxa"/>
            <w:tcBorders>
              <w:top w:val="single" w:color="auto" w:sz="4" w:space="0"/>
              <w:left w:val="single" w:color="auto" w:sz="4" w:space="0"/>
              <w:bottom w:val="single" w:color="auto" w:sz="4" w:space="0"/>
              <w:right w:val="single" w:color="auto" w:sz="4" w:space="0"/>
            </w:tcBorders>
            <w:noWrap w:val="0"/>
            <w:vAlign w:val="center"/>
          </w:tcPr>
          <w:p w14:paraId="2FF8AD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AE3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6004FF4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21A5225">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3FF5E49">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5F8A962D">
            <w:pPr>
              <w:spacing w:line="360" w:lineRule="auto"/>
              <w:rPr>
                <w:rFonts w:hint="eastAsia" w:ascii="宋体" w:hAnsi="宋体" w:eastAsia="宋体" w:cs="宋体"/>
                <w:color w:val="auto"/>
                <w:szCs w:val="21"/>
                <w:highlight w:val="none"/>
              </w:rPr>
            </w:pPr>
          </w:p>
        </w:tc>
      </w:tr>
      <w:tr w14:paraId="0290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251DC4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D1B7929">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40D5B87">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4547BE74">
            <w:pPr>
              <w:spacing w:line="360" w:lineRule="auto"/>
              <w:rPr>
                <w:rFonts w:hint="eastAsia" w:ascii="宋体" w:hAnsi="宋体" w:eastAsia="宋体" w:cs="宋体"/>
                <w:color w:val="auto"/>
                <w:szCs w:val="21"/>
                <w:highlight w:val="none"/>
              </w:rPr>
            </w:pPr>
          </w:p>
        </w:tc>
      </w:tr>
      <w:tr w14:paraId="132B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61F13E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工程对应的企业资质</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7CD04A2">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CC1BBCD">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0A9442F5">
            <w:pPr>
              <w:spacing w:line="360" w:lineRule="auto"/>
              <w:rPr>
                <w:rFonts w:hint="eastAsia" w:ascii="宋体" w:hAnsi="宋体" w:eastAsia="宋体" w:cs="宋体"/>
                <w:color w:val="auto"/>
                <w:szCs w:val="21"/>
                <w:highlight w:val="none"/>
              </w:rPr>
            </w:pPr>
          </w:p>
        </w:tc>
      </w:tr>
      <w:tr w14:paraId="76A7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513" w:type="dxa"/>
            <w:tcBorders>
              <w:top w:val="single" w:color="auto" w:sz="4" w:space="0"/>
              <w:left w:val="single" w:color="auto" w:sz="4" w:space="0"/>
              <w:right w:val="single" w:color="auto" w:sz="4" w:space="0"/>
            </w:tcBorders>
            <w:noWrap w:val="0"/>
            <w:vAlign w:val="center"/>
          </w:tcPr>
          <w:p w14:paraId="770CDE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中标金额或合同金额 (人民币：万元)</w:t>
            </w:r>
          </w:p>
        </w:tc>
        <w:tc>
          <w:tcPr>
            <w:tcW w:w="2835" w:type="dxa"/>
            <w:tcBorders>
              <w:top w:val="single" w:color="auto" w:sz="4" w:space="0"/>
              <w:left w:val="single" w:color="auto" w:sz="4" w:space="0"/>
              <w:right w:val="single" w:color="auto" w:sz="4" w:space="0"/>
            </w:tcBorders>
            <w:noWrap w:val="0"/>
            <w:vAlign w:val="center"/>
          </w:tcPr>
          <w:p w14:paraId="67B45DB0">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right w:val="single" w:color="auto" w:sz="4" w:space="0"/>
            </w:tcBorders>
            <w:noWrap w:val="0"/>
            <w:vAlign w:val="center"/>
          </w:tcPr>
          <w:p w14:paraId="0C343A91">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right w:val="single" w:color="auto" w:sz="4" w:space="0"/>
            </w:tcBorders>
            <w:noWrap w:val="0"/>
            <w:vAlign w:val="center"/>
          </w:tcPr>
          <w:p w14:paraId="2EE6C8DD">
            <w:pPr>
              <w:spacing w:line="360" w:lineRule="auto"/>
              <w:rPr>
                <w:rFonts w:hint="eastAsia" w:ascii="宋体" w:hAnsi="宋体" w:eastAsia="宋体" w:cs="宋体"/>
                <w:color w:val="auto"/>
                <w:szCs w:val="21"/>
                <w:highlight w:val="none"/>
              </w:rPr>
            </w:pPr>
          </w:p>
        </w:tc>
      </w:tr>
      <w:tr w14:paraId="2B79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2A3123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D3A545D">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4AAD44B">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24E16601">
            <w:pPr>
              <w:spacing w:line="360" w:lineRule="auto"/>
              <w:rPr>
                <w:rFonts w:hint="eastAsia" w:ascii="宋体" w:hAnsi="宋体" w:eastAsia="宋体" w:cs="宋体"/>
                <w:color w:val="auto"/>
                <w:szCs w:val="21"/>
                <w:highlight w:val="none"/>
              </w:rPr>
            </w:pPr>
          </w:p>
        </w:tc>
      </w:tr>
      <w:tr w14:paraId="6C23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0F98DF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项目经理姓名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CD5D9A3">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0F4EF15">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5C3BD664">
            <w:pPr>
              <w:spacing w:line="360" w:lineRule="auto"/>
              <w:rPr>
                <w:rFonts w:hint="eastAsia" w:ascii="宋体" w:hAnsi="宋体" w:eastAsia="宋体" w:cs="宋体"/>
                <w:color w:val="auto"/>
                <w:szCs w:val="21"/>
                <w:highlight w:val="none"/>
              </w:rPr>
            </w:pPr>
          </w:p>
        </w:tc>
      </w:tr>
      <w:tr w14:paraId="0335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55D126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项目业主名称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EBFB6E7">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53723FD">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345EF396">
            <w:pPr>
              <w:spacing w:line="360" w:lineRule="auto"/>
              <w:rPr>
                <w:rFonts w:hint="eastAsia" w:ascii="宋体" w:hAnsi="宋体" w:eastAsia="宋体" w:cs="宋体"/>
                <w:color w:val="auto"/>
                <w:szCs w:val="21"/>
                <w:highlight w:val="none"/>
              </w:rPr>
            </w:pPr>
          </w:p>
        </w:tc>
      </w:tr>
      <w:tr w14:paraId="3C4A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697578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竣工质量评定等级</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0E1DD60">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2D7EB6C">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12AE4FB5">
            <w:pPr>
              <w:spacing w:line="360" w:lineRule="auto"/>
              <w:rPr>
                <w:rFonts w:hint="eastAsia" w:ascii="宋体" w:hAnsi="宋体" w:eastAsia="宋体" w:cs="宋体"/>
                <w:color w:val="auto"/>
                <w:szCs w:val="21"/>
                <w:highlight w:val="none"/>
              </w:rPr>
            </w:pPr>
          </w:p>
        </w:tc>
      </w:tr>
      <w:tr w14:paraId="0397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7606A7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工程获奖情况</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A7B4E8E">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522B185">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054E46AA">
            <w:pPr>
              <w:spacing w:line="360" w:lineRule="auto"/>
              <w:rPr>
                <w:rFonts w:hint="eastAsia" w:ascii="宋体" w:hAnsi="宋体" w:eastAsia="宋体" w:cs="宋体"/>
                <w:color w:val="auto"/>
                <w:szCs w:val="21"/>
                <w:highlight w:val="none"/>
              </w:rPr>
            </w:pPr>
          </w:p>
        </w:tc>
      </w:tr>
      <w:tr w14:paraId="5CF0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14:paraId="1179AB33">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提交证明材料在投标文件的</w:t>
            </w:r>
            <w:r>
              <w:rPr>
                <w:rFonts w:hint="eastAsia" w:ascii="宋体" w:hAnsi="宋体" w:eastAsia="宋体" w:cs="宋体"/>
                <w:bCs/>
                <w:color w:val="auto"/>
                <w:szCs w:val="21"/>
                <w:highlight w:val="none"/>
              </w:rPr>
              <w:t>第几页</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8D1F326">
            <w:pPr>
              <w:spacing w:line="360" w:lineRule="auto"/>
              <w:rPr>
                <w:rFonts w:hint="eastAsia" w:ascii="宋体" w:hAnsi="宋体" w:eastAsia="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31432BB2">
            <w:pPr>
              <w:spacing w:line="360" w:lineRule="auto"/>
              <w:rPr>
                <w:rFonts w:hint="eastAsia" w:ascii="宋体" w:hAnsi="宋体" w:eastAsia="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630B4855">
            <w:pPr>
              <w:spacing w:line="360" w:lineRule="auto"/>
              <w:rPr>
                <w:rFonts w:hint="eastAsia" w:ascii="宋体" w:hAnsi="宋体" w:eastAsia="宋体" w:cs="宋体"/>
                <w:color w:val="auto"/>
                <w:szCs w:val="21"/>
                <w:highlight w:val="none"/>
              </w:rPr>
            </w:pPr>
          </w:p>
        </w:tc>
      </w:tr>
    </w:tbl>
    <w:p w14:paraId="38F7365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注：1、由投标人按评审要求填写本表，并按《技术标详细审查评分表》要求附相关证明材料。</w:t>
      </w:r>
    </w:p>
    <w:p w14:paraId="4B3A514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2、本表只用于技术标详细审评分的依据，不作为废标否决性条款。 </w:t>
      </w:r>
    </w:p>
    <w:p w14:paraId="09BAB380">
      <w:pPr>
        <w:spacing w:line="360" w:lineRule="auto"/>
        <w:jc w:val="left"/>
        <w:rPr>
          <w:rFonts w:hint="eastAsia" w:ascii="宋体" w:hAnsi="宋体" w:eastAsia="宋体" w:cs="宋体"/>
          <w:color w:val="auto"/>
          <w:szCs w:val="21"/>
          <w:highlight w:val="none"/>
        </w:rPr>
      </w:pPr>
    </w:p>
    <w:p w14:paraId="5095B7D0">
      <w:pPr>
        <w:topLinePunct/>
        <w:spacing w:line="360" w:lineRule="auto"/>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49998ED7">
      <w:pPr>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spacing w:val="4"/>
          <w:kern w:val="0"/>
          <w:sz w:val="21"/>
          <w:szCs w:val="21"/>
          <w:highlight w:val="none"/>
        </w:rPr>
        <w:t>日    期：    年    月    日</w:t>
      </w:r>
    </w:p>
    <w:p w14:paraId="05EB42F2">
      <w:pPr>
        <w:spacing w:line="360" w:lineRule="auto"/>
        <w:jc w:val="left"/>
        <w:rPr>
          <w:rFonts w:hint="eastAsia" w:ascii="宋体" w:hAnsi="宋体" w:eastAsia="宋体" w:cs="宋体"/>
          <w:color w:val="auto"/>
          <w:sz w:val="24"/>
          <w:szCs w:val="24"/>
          <w:highlight w:val="none"/>
        </w:rPr>
      </w:pPr>
    </w:p>
    <w:p w14:paraId="2DA3319D">
      <w:pPr>
        <w:spacing w:line="360" w:lineRule="auto"/>
        <w:jc w:val="left"/>
        <w:rPr>
          <w:rFonts w:hint="eastAsia" w:ascii="宋体" w:hAnsi="宋体" w:eastAsia="宋体" w:cs="宋体"/>
          <w:color w:val="auto"/>
          <w:sz w:val="24"/>
          <w:szCs w:val="24"/>
          <w:highlight w:val="none"/>
        </w:rPr>
      </w:pPr>
    </w:p>
    <w:p w14:paraId="0B4F9D34">
      <w:pPr>
        <w:topLinePunct/>
        <w:adjustRightInd w:val="0"/>
        <w:snapToGrid w:val="0"/>
        <w:spacing w:line="360" w:lineRule="auto"/>
        <w:ind w:firstLine="3596" w:firstLineChars="1450"/>
        <w:rPr>
          <w:rFonts w:hint="eastAsia" w:ascii="宋体" w:hAnsi="宋体" w:eastAsia="宋体" w:cs="宋体"/>
          <w:color w:val="auto"/>
          <w:spacing w:val="4"/>
          <w:kern w:val="0"/>
          <w:sz w:val="24"/>
          <w:szCs w:val="24"/>
          <w:highlight w:val="none"/>
        </w:rPr>
      </w:pPr>
    </w:p>
    <w:p w14:paraId="65B020B1">
      <w:pPr>
        <w:ind w:firstLine="400" w:firstLineChars="200"/>
        <w:rPr>
          <w:rFonts w:hint="eastAsia"/>
          <w:color w:val="auto"/>
          <w:sz w:val="20"/>
          <w:szCs w:val="24"/>
          <w:highlight w:val="none"/>
        </w:rPr>
      </w:pPr>
    </w:p>
    <w:p w14:paraId="5FF70FE4">
      <w:pPr>
        <w:pStyle w:val="5"/>
        <w:spacing w:line="360" w:lineRule="auto"/>
        <w:rPr>
          <w:rFonts w:hint="eastAsia" w:cs="宋体"/>
          <w:b/>
          <w:bCs/>
          <w:color w:val="auto"/>
          <w:sz w:val="28"/>
          <w:szCs w:val="28"/>
          <w:highlight w:val="none"/>
          <w:lang w:val="zh-CN"/>
        </w:rPr>
      </w:pPr>
      <w:r>
        <w:rPr>
          <w:rFonts w:hint="eastAsia" w:cs="宋体"/>
          <w:b/>
          <w:bCs/>
          <w:color w:val="auto"/>
          <w:sz w:val="28"/>
          <w:szCs w:val="28"/>
          <w:highlight w:val="none"/>
          <w:lang w:val="zh-CN"/>
        </w:rPr>
        <w:t>格式</w:t>
      </w:r>
      <w:r>
        <w:rPr>
          <w:rFonts w:hint="eastAsia" w:cs="宋体"/>
          <w:b/>
          <w:bCs/>
          <w:color w:val="auto"/>
          <w:sz w:val="28"/>
          <w:szCs w:val="28"/>
          <w:highlight w:val="none"/>
        </w:rPr>
        <w:t>十一：</w:t>
      </w:r>
    </w:p>
    <w:p w14:paraId="1049A47D">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拟派项目负责人业绩表（根据评分表的要求编制）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450"/>
        <w:gridCol w:w="1308"/>
        <w:gridCol w:w="2110"/>
        <w:gridCol w:w="1276"/>
        <w:gridCol w:w="1276"/>
      </w:tblGrid>
      <w:tr w14:paraId="400A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noWrap w:val="0"/>
            <w:vAlign w:val="center"/>
          </w:tcPr>
          <w:p w14:paraId="408DE938">
            <w:pPr>
              <w:topLinePunct/>
              <w:spacing w:line="360" w:lineRule="auto"/>
              <w:jc w:val="center"/>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序号</w:t>
            </w:r>
          </w:p>
        </w:tc>
        <w:tc>
          <w:tcPr>
            <w:tcW w:w="1624" w:type="dxa"/>
            <w:noWrap w:val="0"/>
            <w:vAlign w:val="center"/>
          </w:tcPr>
          <w:p w14:paraId="39EB0FCE">
            <w:pPr>
              <w:topLinePunct/>
              <w:spacing w:line="360" w:lineRule="auto"/>
              <w:jc w:val="center"/>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项目名称</w:t>
            </w:r>
          </w:p>
        </w:tc>
        <w:tc>
          <w:tcPr>
            <w:tcW w:w="1420" w:type="dxa"/>
            <w:noWrap w:val="0"/>
            <w:vAlign w:val="center"/>
          </w:tcPr>
          <w:p w14:paraId="391085EB">
            <w:pPr>
              <w:topLinePunct/>
              <w:spacing w:line="360" w:lineRule="auto"/>
              <w:jc w:val="center"/>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中标金额（万元）</w:t>
            </w:r>
          </w:p>
        </w:tc>
        <w:tc>
          <w:tcPr>
            <w:tcW w:w="2398" w:type="dxa"/>
            <w:noWrap w:val="0"/>
            <w:vAlign w:val="center"/>
          </w:tcPr>
          <w:p w14:paraId="704A3EED">
            <w:pPr>
              <w:topLinePunct/>
              <w:spacing w:line="360" w:lineRule="auto"/>
              <w:jc w:val="center"/>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规模</w:t>
            </w:r>
          </w:p>
        </w:tc>
        <w:tc>
          <w:tcPr>
            <w:tcW w:w="1421" w:type="dxa"/>
            <w:noWrap w:val="0"/>
            <w:vAlign w:val="center"/>
          </w:tcPr>
          <w:p w14:paraId="7EB3F763">
            <w:pPr>
              <w:topLinePunct/>
              <w:spacing w:line="360" w:lineRule="auto"/>
              <w:jc w:val="center"/>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竣工时间</w:t>
            </w:r>
          </w:p>
        </w:tc>
        <w:tc>
          <w:tcPr>
            <w:tcW w:w="1421" w:type="dxa"/>
            <w:noWrap w:val="0"/>
            <w:vAlign w:val="center"/>
          </w:tcPr>
          <w:p w14:paraId="24B3B24A">
            <w:pPr>
              <w:topLinePunct/>
              <w:spacing w:line="360" w:lineRule="auto"/>
              <w:jc w:val="center"/>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备注</w:t>
            </w:r>
          </w:p>
        </w:tc>
      </w:tr>
      <w:tr w14:paraId="3F96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noWrap w:val="0"/>
            <w:vAlign w:val="center"/>
          </w:tcPr>
          <w:p w14:paraId="4D2C336A">
            <w:pPr>
              <w:topLinePunct/>
              <w:spacing w:line="360" w:lineRule="auto"/>
              <w:ind w:firstLine="436" w:firstLineChars="200"/>
              <w:rPr>
                <w:rFonts w:hint="eastAsia" w:ascii="宋体" w:hAnsi="宋体" w:eastAsia="宋体" w:cs="宋体"/>
                <w:color w:val="auto"/>
                <w:spacing w:val="4"/>
                <w:szCs w:val="21"/>
                <w:highlight w:val="none"/>
              </w:rPr>
            </w:pPr>
          </w:p>
        </w:tc>
        <w:tc>
          <w:tcPr>
            <w:tcW w:w="1624" w:type="dxa"/>
            <w:noWrap w:val="0"/>
            <w:vAlign w:val="center"/>
          </w:tcPr>
          <w:p w14:paraId="7803E2A1">
            <w:pPr>
              <w:topLinePunct/>
              <w:spacing w:line="360" w:lineRule="auto"/>
              <w:ind w:firstLine="436" w:firstLineChars="200"/>
              <w:rPr>
                <w:rFonts w:hint="eastAsia" w:ascii="宋体" w:hAnsi="宋体" w:eastAsia="宋体" w:cs="宋体"/>
                <w:color w:val="auto"/>
                <w:spacing w:val="4"/>
                <w:szCs w:val="21"/>
                <w:highlight w:val="none"/>
              </w:rPr>
            </w:pPr>
          </w:p>
        </w:tc>
        <w:tc>
          <w:tcPr>
            <w:tcW w:w="1420" w:type="dxa"/>
            <w:noWrap w:val="0"/>
            <w:vAlign w:val="center"/>
          </w:tcPr>
          <w:p w14:paraId="6E7636B1">
            <w:pPr>
              <w:topLinePunct/>
              <w:spacing w:line="360" w:lineRule="auto"/>
              <w:ind w:firstLine="436" w:firstLineChars="200"/>
              <w:rPr>
                <w:rFonts w:hint="eastAsia" w:ascii="宋体" w:hAnsi="宋体" w:eastAsia="宋体" w:cs="宋体"/>
                <w:color w:val="auto"/>
                <w:spacing w:val="4"/>
                <w:szCs w:val="21"/>
                <w:highlight w:val="none"/>
              </w:rPr>
            </w:pPr>
          </w:p>
        </w:tc>
        <w:tc>
          <w:tcPr>
            <w:tcW w:w="2398" w:type="dxa"/>
            <w:noWrap w:val="0"/>
            <w:vAlign w:val="center"/>
          </w:tcPr>
          <w:p w14:paraId="21658045">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25948123">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3796B2D1">
            <w:pPr>
              <w:topLinePunct/>
              <w:spacing w:line="360" w:lineRule="auto"/>
              <w:ind w:firstLine="436" w:firstLineChars="200"/>
              <w:rPr>
                <w:rFonts w:hint="eastAsia" w:ascii="宋体" w:hAnsi="宋体" w:eastAsia="宋体" w:cs="宋体"/>
                <w:color w:val="auto"/>
                <w:spacing w:val="4"/>
                <w:szCs w:val="21"/>
                <w:highlight w:val="none"/>
              </w:rPr>
            </w:pPr>
          </w:p>
        </w:tc>
      </w:tr>
      <w:tr w14:paraId="5B91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noWrap w:val="0"/>
            <w:vAlign w:val="center"/>
          </w:tcPr>
          <w:p w14:paraId="01FF4575">
            <w:pPr>
              <w:topLinePunct/>
              <w:spacing w:line="360" w:lineRule="auto"/>
              <w:ind w:firstLine="436" w:firstLineChars="200"/>
              <w:rPr>
                <w:rFonts w:hint="eastAsia" w:ascii="宋体" w:hAnsi="宋体" w:eastAsia="宋体" w:cs="宋体"/>
                <w:color w:val="auto"/>
                <w:spacing w:val="4"/>
                <w:szCs w:val="21"/>
                <w:highlight w:val="none"/>
              </w:rPr>
            </w:pPr>
          </w:p>
        </w:tc>
        <w:tc>
          <w:tcPr>
            <w:tcW w:w="1624" w:type="dxa"/>
            <w:noWrap w:val="0"/>
            <w:vAlign w:val="center"/>
          </w:tcPr>
          <w:p w14:paraId="4B4A8C8C">
            <w:pPr>
              <w:topLinePunct/>
              <w:spacing w:line="360" w:lineRule="auto"/>
              <w:ind w:firstLine="436" w:firstLineChars="200"/>
              <w:rPr>
                <w:rFonts w:hint="eastAsia" w:ascii="宋体" w:hAnsi="宋体" w:eastAsia="宋体" w:cs="宋体"/>
                <w:color w:val="auto"/>
                <w:spacing w:val="4"/>
                <w:szCs w:val="21"/>
                <w:highlight w:val="none"/>
              </w:rPr>
            </w:pPr>
          </w:p>
        </w:tc>
        <w:tc>
          <w:tcPr>
            <w:tcW w:w="1420" w:type="dxa"/>
            <w:noWrap w:val="0"/>
            <w:vAlign w:val="center"/>
          </w:tcPr>
          <w:p w14:paraId="639A8A5A">
            <w:pPr>
              <w:topLinePunct/>
              <w:spacing w:line="360" w:lineRule="auto"/>
              <w:ind w:firstLine="436" w:firstLineChars="200"/>
              <w:rPr>
                <w:rFonts w:hint="eastAsia" w:ascii="宋体" w:hAnsi="宋体" w:eastAsia="宋体" w:cs="宋体"/>
                <w:color w:val="auto"/>
                <w:spacing w:val="4"/>
                <w:szCs w:val="21"/>
                <w:highlight w:val="none"/>
              </w:rPr>
            </w:pPr>
          </w:p>
        </w:tc>
        <w:tc>
          <w:tcPr>
            <w:tcW w:w="2398" w:type="dxa"/>
            <w:noWrap w:val="0"/>
            <w:vAlign w:val="center"/>
          </w:tcPr>
          <w:p w14:paraId="2D1A34C2">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35B936C8">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08697088">
            <w:pPr>
              <w:topLinePunct/>
              <w:spacing w:line="360" w:lineRule="auto"/>
              <w:ind w:firstLine="436" w:firstLineChars="200"/>
              <w:rPr>
                <w:rFonts w:hint="eastAsia" w:ascii="宋体" w:hAnsi="宋体" w:eastAsia="宋体" w:cs="宋体"/>
                <w:color w:val="auto"/>
                <w:spacing w:val="4"/>
                <w:szCs w:val="21"/>
                <w:highlight w:val="none"/>
              </w:rPr>
            </w:pPr>
          </w:p>
        </w:tc>
      </w:tr>
      <w:tr w14:paraId="5F91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noWrap w:val="0"/>
            <w:vAlign w:val="center"/>
          </w:tcPr>
          <w:p w14:paraId="12C7F6BD">
            <w:pPr>
              <w:topLinePunct/>
              <w:spacing w:line="360" w:lineRule="auto"/>
              <w:ind w:firstLine="436" w:firstLineChars="200"/>
              <w:rPr>
                <w:rFonts w:hint="eastAsia" w:ascii="宋体" w:hAnsi="宋体" w:eastAsia="宋体" w:cs="宋体"/>
                <w:color w:val="auto"/>
                <w:spacing w:val="4"/>
                <w:szCs w:val="21"/>
                <w:highlight w:val="none"/>
              </w:rPr>
            </w:pPr>
          </w:p>
        </w:tc>
        <w:tc>
          <w:tcPr>
            <w:tcW w:w="1624" w:type="dxa"/>
            <w:noWrap w:val="0"/>
            <w:vAlign w:val="center"/>
          </w:tcPr>
          <w:p w14:paraId="125A1FB4">
            <w:pPr>
              <w:topLinePunct/>
              <w:spacing w:line="360" w:lineRule="auto"/>
              <w:ind w:firstLine="436" w:firstLineChars="200"/>
              <w:rPr>
                <w:rFonts w:hint="eastAsia" w:ascii="宋体" w:hAnsi="宋体" w:eastAsia="宋体" w:cs="宋体"/>
                <w:color w:val="auto"/>
                <w:spacing w:val="4"/>
                <w:szCs w:val="21"/>
                <w:highlight w:val="none"/>
              </w:rPr>
            </w:pPr>
          </w:p>
        </w:tc>
        <w:tc>
          <w:tcPr>
            <w:tcW w:w="1420" w:type="dxa"/>
            <w:noWrap w:val="0"/>
            <w:vAlign w:val="center"/>
          </w:tcPr>
          <w:p w14:paraId="41883B87">
            <w:pPr>
              <w:topLinePunct/>
              <w:spacing w:line="360" w:lineRule="auto"/>
              <w:ind w:firstLine="436" w:firstLineChars="200"/>
              <w:rPr>
                <w:rFonts w:hint="eastAsia" w:ascii="宋体" w:hAnsi="宋体" w:eastAsia="宋体" w:cs="宋体"/>
                <w:color w:val="auto"/>
                <w:spacing w:val="4"/>
                <w:szCs w:val="21"/>
                <w:highlight w:val="none"/>
              </w:rPr>
            </w:pPr>
          </w:p>
        </w:tc>
        <w:tc>
          <w:tcPr>
            <w:tcW w:w="2398" w:type="dxa"/>
            <w:noWrap w:val="0"/>
            <w:vAlign w:val="center"/>
          </w:tcPr>
          <w:p w14:paraId="1F353EB5">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62FD9C9C">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4DCFC4FA">
            <w:pPr>
              <w:topLinePunct/>
              <w:spacing w:line="360" w:lineRule="auto"/>
              <w:ind w:firstLine="436" w:firstLineChars="200"/>
              <w:rPr>
                <w:rFonts w:hint="eastAsia" w:ascii="宋体" w:hAnsi="宋体" w:eastAsia="宋体" w:cs="宋体"/>
                <w:color w:val="auto"/>
                <w:spacing w:val="4"/>
                <w:szCs w:val="21"/>
                <w:highlight w:val="none"/>
              </w:rPr>
            </w:pPr>
          </w:p>
        </w:tc>
      </w:tr>
      <w:tr w14:paraId="39A2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noWrap w:val="0"/>
            <w:vAlign w:val="center"/>
          </w:tcPr>
          <w:p w14:paraId="31FE071B">
            <w:pPr>
              <w:topLinePunct/>
              <w:spacing w:line="360" w:lineRule="auto"/>
              <w:ind w:firstLine="436" w:firstLineChars="200"/>
              <w:rPr>
                <w:rFonts w:hint="eastAsia" w:ascii="宋体" w:hAnsi="宋体" w:eastAsia="宋体" w:cs="宋体"/>
                <w:color w:val="auto"/>
                <w:spacing w:val="4"/>
                <w:szCs w:val="21"/>
                <w:highlight w:val="none"/>
              </w:rPr>
            </w:pPr>
          </w:p>
        </w:tc>
        <w:tc>
          <w:tcPr>
            <w:tcW w:w="1624" w:type="dxa"/>
            <w:noWrap w:val="0"/>
            <w:vAlign w:val="center"/>
          </w:tcPr>
          <w:p w14:paraId="2653D37A">
            <w:pPr>
              <w:topLinePunct/>
              <w:spacing w:line="360" w:lineRule="auto"/>
              <w:ind w:firstLine="436" w:firstLineChars="200"/>
              <w:rPr>
                <w:rFonts w:hint="eastAsia" w:ascii="宋体" w:hAnsi="宋体" w:eastAsia="宋体" w:cs="宋体"/>
                <w:color w:val="auto"/>
                <w:spacing w:val="4"/>
                <w:szCs w:val="21"/>
                <w:highlight w:val="none"/>
              </w:rPr>
            </w:pPr>
          </w:p>
        </w:tc>
        <w:tc>
          <w:tcPr>
            <w:tcW w:w="1420" w:type="dxa"/>
            <w:noWrap w:val="0"/>
            <w:vAlign w:val="center"/>
          </w:tcPr>
          <w:p w14:paraId="2F902578">
            <w:pPr>
              <w:topLinePunct/>
              <w:spacing w:line="360" w:lineRule="auto"/>
              <w:ind w:firstLine="436" w:firstLineChars="200"/>
              <w:rPr>
                <w:rFonts w:hint="eastAsia" w:ascii="宋体" w:hAnsi="宋体" w:eastAsia="宋体" w:cs="宋体"/>
                <w:color w:val="auto"/>
                <w:spacing w:val="4"/>
                <w:szCs w:val="21"/>
                <w:highlight w:val="none"/>
              </w:rPr>
            </w:pPr>
          </w:p>
        </w:tc>
        <w:tc>
          <w:tcPr>
            <w:tcW w:w="2398" w:type="dxa"/>
            <w:noWrap w:val="0"/>
            <w:vAlign w:val="center"/>
          </w:tcPr>
          <w:p w14:paraId="2D127980">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39E51666">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71A50DFF">
            <w:pPr>
              <w:topLinePunct/>
              <w:spacing w:line="360" w:lineRule="auto"/>
              <w:ind w:firstLine="436" w:firstLineChars="200"/>
              <w:rPr>
                <w:rFonts w:hint="eastAsia" w:ascii="宋体" w:hAnsi="宋体" w:eastAsia="宋体" w:cs="宋体"/>
                <w:color w:val="auto"/>
                <w:spacing w:val="4"/>
                <w:szCs w:val="21"/>
                <w:highlight w:val="none"/>
              </w:rPr>
            </w:pPr>
          </w:p>
        </w:tc>
      </w:tr>
      <w:tr w14:paraId="557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noWrap w:val="0"/>
            <w:vAlign w:val="center"/>
          </w:tcPr>
          <w:p w14:paraId="01F4E8DB">
            <w:pPr>
              <w:topLinePunct/>
              <w:spacing w:line="360" w:lineRule="auto"/>
              <w:ind w:firstLine="436" w:firstLineChars="200"/>
              <w:rPr>
                <w:rFonts w:hint="eastAsia" w:ascii="宋体" w:hAnsi="宋体" w:eastAsia="宋体" w:cs="宋体"/>
                <w:color w:val="auto"/>
                <w:spacing w:val="4"/>
                <w:szCs w:val="21"/>
                <w:highlight w:val="none"/>
              </w:rPr>
            </w:pPr>
          </w:p>
        </w:tc>
        <w:tc>
          <w:tcPr>
            <w:tcW w:w="1624" w:type="dxa"/>
            <w:noWrap w:val="0"/>
            <w:vAlign w:val="center"/>
          </w:tcPr>
          <w:p w14:paraId="5272B18A">
            <w:pPr>
              <w:topLinePunct/>
              <w:spacing w:line="360" w:lineRule="auto"/>
              <w:ind w:firstLine="436" w:firstLineChars="200"/>
              <w:rPr>
                <w:rFonts w:hint="eastAsia" w:ascii="宋体" w:hAnsi="宋体" w:eastAsia="宋体" w:cs="宋体"/>
                <w:color w:val="auto"/>
                <w:spacing w:val="4"/>
                <w:szCs w:val="21"/>
                <w:highlight w:val="none"/>
              </w:rPr>
            </w:pPr>
          </w:p>
        </w:tc>
        <w:tc>
          <w:tcPr>
            <w:tcW w:w="1420" w:type="dxa"/>
            <w:noWrap w:val="0"/>
            <w:vAlign w:val="center"/>
          </w:tcPr>
          <w:p w14:paraId="6A442E98">
            <w:pPr>
              <w:topLinePunct/>
              <w:spacing w:line="360" w:lineRule="auto"/>
              <w:ind w:firstLine="436" w:firstLineChars="200"/>
              <w:rPr>
                <w:rFonts w:hint="eastAsia" w:ascii="宋体" w:hAnsi="宋体" w:eastAsia="宋体" w:cs="宋体"/>
                <w:color w:val="auto"/>
                <w:spacing w:val="4"/>
                <w:szCs w:val="21"/>
                <w:highlight w:val="none"/>
              </w:rPr>
            </w:pPr>
          </w:p>
        </w:tc>
        <w:tc>
          <w:tcPr>
            <w:tcW w:w="2398" w:type="dxa"/>
            <w:noWrap w:val="0"/>
            <w:vAlign w:val="center"/>
          </w:tcPr>
          <w:p w14:paraId="7A4E991B">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24E03248">
            <w:pPr>
              <w:topLinePunct/>
              <w:spacing w:line="360" w:lineRule="auto"/>
              <w:ind w:firstLine="436" w:firstLineChars="200"/>
              <w:rPr>
                <w:rFonts w:hint="eastAsia" w:ascii="宋体" w:hAnsi="宋体" w:eastAsia="宋体" w:cs="宋体"/>
                <w:color w:val="auto"/>
                <w:spacing w:val="4"/>
                <w:szCs w:val="21"/>
                <w:highlight w:val="none"/>
              </w:rPr>
            </w:pPr>
          </w:p>
        </w:tc>
        <w:tc>
          <w:tcPr>
            <w:tcW w:w="1421" w:type="dxa"/>
            <w:noWrap w:val="0"/>
            <w:vAlign w:val="center"/>
          </w:tcPr>
          <w:p w14:paraId="5E5AF788">
            <w:pPr>
              <w:topLinePunct/>
              <w:spacing w:line="360" w:lineRule="auto"/>
              <w:ind w:firstLine="436" w:firstLineChars="200"/>
              <w:rPr>
                <w:rFonts w:hint="eastAsia" w:ascii="宋体" w:hAnsi="宋体" w:eastAsia="宋体" w:cs="宋体"/>
                <w:color w:val="auto"/>
                <w:spacing w:val="4"/>
                <w:szCs w:val="21"/>
                <w:highlight w:val="none"/>
              </w:rPr>
            </w:pPr>
          </w:p>
        </w:tc>
      </w:tr>
    </w:tbl>
    <w:p w14:paraId="1D05717F">
      <w:pPr>
        <w:spacing w:line="360" w:lineRule="auto"/>
        <w:ind w:firstLine="48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上述业绩为(拟派项目负责人姓名)以项目负责人身份完成的业绩，如有虚假，(投标人名称)和(拟派项目负责人姓名)承担由此带来的相应法律责任和一切不良后果。</w:t>
      </w:r>
    </w:p>
    <w:p w14:paraId="7FC53FCD">
      <w:pPr>
        <w:spacing w:line="360" w:lineRule="auto"/>
        <w:ind w:firstLine="480"/>
        <w:rPr>
          <w:rFonts w:hint="eastAsia" w:ascii="宋体" w:hAnsi="宋体" w:eastAsia="宋体" w:cs="宋体"/>
          <w:b/>
          <w:color w:val="auto"/>
          <w:sz w:val="21"/>
          <w:szCs w:val="21"/>
          <w:highlight w:val="none"/>
          <w:u w:val="single"/>
        </w:rPr>
      </w:pPr>
      <w:r>
        <w:rPr>
          <w:rFonts w:hint="eastAsia" w:ascii="宋体" w:hAnsi="宋体" w:eastAsia="宋体" w:cs="宋体"/>
          <w:bCs/>
          <w:color w:val="auto"/>
          <w:szCs w:val="21"/>
          <w:highlight w:val="none"/>
          <w:u w:val="single"/>
        </w:rPr>
        <w:t>本表只用于技术标详细评审评分的依据，不作为废标否决性条款。</w:t>
      </w:r>
    </w:p>
    <w:p w14:paraId="3DC98A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5920CDE">
      <w:pPr>
        <w:topLinePunct/>
        <w:spacing w:line="360" w:lineRule="auto"/>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人： </w:t>
      </w:r>
    </w:p>
    <w:p w14:paraId="6DF27F3F">
      <w:pPr>
        <w:topLinePunct/>
        <w:spacing w:line="360" w:lineRule="auto"/>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日    期：    年    月    日</w:t>
      </w:r>
    </w:p>
    <w:p w14:paraId="7CFE5D2C">
      <w:pPr>
        <w:pStyle w:val="5"/>
        <w:spacing w:line="360" w:lineRule="auto"/>
        <w:rPr>
          <w:color w:val="auto"/>
          <w:szCs w:val="21"/>
          <w:highlight w:val="none"/>
        </w:rPr>
      </w:pPr>
      <w:r>
        <w:rPr>
          <w:color w:val="auto"/>
          <w:sz w:val="28"/>
          <w:szCs w:val="28"/>
          <w:highlight w:val="none"/>
        </w:rPr>
        <w:br w:type="page"/>
      </w:r>
      <w:r>
        <w:rPr>
          <w:rFonts w:hint="eastAsia" w:cs="宋体"/>
          <w:b/>
          <w:bCs/>
          <w:color w:val="auto"/>
          <w:sz w:val="28"/>
          <w:szCs w:val="28"/>
          <w:highlight w:val="none"/>
        </w:rPr>
        <w:t>格式十二：</w:t>
      </w:r>
    </w:p>
    <w:p w14:paraId="51CE7808">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348B3445">
      <w:pPr>
        <w:tabs>
          <w:tab w:val="left" w:pos="720"/>
        </w:tabs>
        <w:snapToGrid w:val="0"/>
        <w:spacing w:line="360" w:lineRule="auto"/>
        <w:rPr>
          <w:color w:val="auto"/>
          <w:sz w:val="24"/>
          <w:szCs w:val="24"/>
          <w:highlight w:val="none"/>
        </w:rPr>
      </w:pPr>
    </w:p>
    <w:p w14:paraId="24FB997F">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FD4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14:paraId="44F5C01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0C1D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4C0A9C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65308C3">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44F433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EA79EC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D4DEC3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2DA4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DC690D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A76D3E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828425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39BAE5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440A449">
            <w:pPr>
              <w:tabs>
                <w:tab w:val="left" w:pos="720"/>
              </w:tabs>
              <w:snapToGrid w:val="0"/>
              <w:spacing w:line="360" w:lineRule="auto"/>
              <w:jc w:val="center"/>
              <w:rPr>
                <w:rFonts w:ascii="宋体" w:hAnsi="宋体"/>
                <w:color w:val="auto"/>
                <w:szCs w:val="21"/>
                <w:highlight w:val="none"/>
              </w:rPr>
            </w:pPr>
          </w:p>
        </w:tc>
      </w:tr>
      <w:tr w14:paraId="7BDC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6A3B3D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9CE6357">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13230E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22B0F2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740617E">
            <w:pPr>
              <w:tabs>
                <w:tab w:val="left" w:pos="720"/>
              </w:tabs>
              <w:snapToGrid w:val="0"/>
              <w:spacing w:line="360" w:lineRule="auto"/>
              <w:jc w:val="center"/>
              <w:rPr>
                <w:rFonts w:ascii="宋体" w:hAnsi="宋体"/>
                <w:color w:val="auto"/>
                <w:szCs w:val="21"/>
                <w:highlight w:val="none"/>
              </w:rPr>
            </w:pPr>
          </w:p>
        </w:tc>
      </w:tr>
      <w:tr w14:paraId="1DAF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17C37A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9A3105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FCC79D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BCA7C0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821098F">
            <w:pPr>
              <w:tabs>
                <w:tab w:val="left" w:pos="720"/>
              </w:tabs>
              <w:snapToGrid w:val="0"/>
              <w:spacing w:line="360" w:lineRule="auto"/>
              <w:jc w:val="center"/>
              <w:rPr>
                <w:rFonts w:ascii="宋体" w:hAnsi="宋体"/>
                <w:color w:val="auto"/>
                <w:szCs w:val="21"/>
                <w:highlight w:val="none"/>
              </w:rPr>
            </w:pPr>
          </w:p>
        </w:tc>
      </w:tr>
      <w:tr w14:paraId="48E1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C73CF73">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BFB1C4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9EC592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C8819B9">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D2F1024">
            <w:pPr>
              <w:tabs>
                <w:tab w:val="left" w:pos="720"/>
              </w:tabs>
              <w:snapToGrid w:val="0"/>
              <w:spacing w:line="360" w:lineRule="auto"/>
              <w:jc w:val="center"/>
              <w:rPr>
                <w:rFonts w:ascii="宋体" w:hAnsi="宋体"/>
                <w:color w:val="auto"/>
                <w:szCs w:val="21"/>
                <w:highlight w:val="none"/>
              </w:rPr>
            </w:pPr>
          </w:p>
        </w:tc>
      </w:tr>
      <w:tr w14:paraId="177B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AAC2B3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A60D3B2">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AE45B4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4CECFE0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00A5A9B">
            <w:pPr>
              <w:tabs>
                <w:tab w:val="left" w:pos="720"/>
              </w:tabs>
              <w:snapToGrid w:val="0"/>
              <w:spacing w:line="360" w:lineRule="auto"/>
              <w:jc w:val="center"/>
              <w:rPr>
                <w:rFonts w:ascii="宋体" w:hAnsi="宋体"/>
                <w:color w:val="auto"/>
                <w:szCs w:val="21"/>
                <w:highlight w:val="none"/>
              </w:rPr>
            </w:pPr>
          </w:p>
        </w:tc>
      </w:tr>
    </w:tbl>
    <w:p w14:paraId="2CAEE734">
      <w:pPr>
        <w:tabs>
          <w:tab w:val="left" w:pos="720"/>
        </w:tabs>
        <w:snapToGrid w:val="0"/>
        <w:spacing w:line="360" w:lineRule="auto"/>
        <w:rPr>
          <w:color w:val="auto"/>
          <w:sz w:val="24"/>
          <w:szCs w:val="24"/>
          <w:highlight w:val="none"/>
        </w:rPr>
      </w:pPr>
    </w:p>
    <w:p w14:paraId="1491AF89">
      <w:pPr>
        <w:tabs>
          <w:tab w:val="left" w:pos="720"/>
        </w:tabs>
        <w:snapToGrid w:val="0"/>
        <w:spacing w:line="360" w:lineRule="auto"/>
        <w:rPr>
          <w:color w:val="auto"/>
          <w:sz w:val="24"/>
          <w:szCs w:val="24"/>
          <w:highlight w:val="none"/>
        </w:rPr>
      </w:pPr>
    </w:p>
    <w:p w14:paraId="2273C7C2">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5ED2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14:paraId="04DEAB2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72CB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A9CAD5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F81146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A60FBB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4D930EF">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A8CEE82">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76F4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4AD6A6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2615E67">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D415D6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E62079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386390B">
            <w:pPr>
              <w:tabs>
                <w:tab w:val="left" w:pos="720"/>
              </w:tabs>
              <w:snapToGrid w:val="0"/>
              <w:spacing w:line="360" w:lineRule="auto"/>
              <w:jc w:val="center"/>
              <w:rPr>
                <w:rFonts w:ascii="宋体" w:hAnsi="宋体"/>
                <w:color w:val="auto"/>
                <w:szCs w:val="21"/>
                <w:highlight w:val="none"/>
              </w:rPr>
            </w:pPr>
          </w:p>
        </w:tc>
      </w:tr>
      <w:tr w14:paraId="1407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33BE20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986666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A1FE90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F26F8E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CB01F0C">
            <w:pPr>
              <w:tabs>
                <w:tab w:val="left" w:pos="720"/>
              </w:tabs>
              <w:snapToGrid w:val="0"/>
              <w:spacing w:line="360" w:lineRule="auto"/>
              <w:jc w:val="center"/>
              <w:rPr>
                <w:rFonts w:ascii="宋体" w:hAnsi="宋体"/>
                <w:color w:val="auto"/>
                <w:szCs w:val="21"/>
                <w:highlight w:val="none"/>
              </w:rPr>
            </w:pPr>
          </w:p>
        </w:tc>
      </w:tr>
      <w:tr w14:paraId="15A1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BA0EE8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E0AD00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817310D">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914933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1333136">
            <w:pPr>
              <w:tabs>
                <w:tab w:val="left" w:pos="720"/>
              </w:tabs>
              <w:snapToGrid w:val="0"/>
              <w:spacing w:line="360" w:lineRule="auto"/>
              <w:jc w:val="center"/>
              <w:rPr>
                <w:rFonts w:ascii="宋体" w:hAnsi="宋体"/>
                <w:color w:val="auto"/>
                <w:szCs w:val="21"/>
                <w:highlight w:val="none"/>
              </w:rPr>
            </w:pPr>
          </w:p>
        </w:tc>
      </w:tr>
      <w:tr w14:paraId="6684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8FBFA79">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3B7CE6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3FE4F3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6E6F7DB">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3FE6717">
            <w:pPr>
              <w:tabs>
                <w:tab w:val="left" w:pos="720"/>
              </w:tabs>
              <w:snapToGrid w:val="0"/>
              <w:spacing w:line="360" w:lineRule="auto"/>
              <w:jc w:val="center"/>
              <w:rPr>
                <w:rFonts w:ascii="宋体" w:hAnsi="宋体"/>
                <w:color w:val="auto"/>
                <w:szCs w:val="21"/>
                <w:highlight w:val="none"/>
              </w:rPr>
            </w:pPr>
          </w:p>
        </w:tc>
      </w:tr>
      <w:tr w14:paraId="579D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ECEAD5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9F6472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0CE10D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5B8BBF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41A2338">
            <w:pPr>
              <w:tabs>
                <w:tab w:val="left" w:pos="720"/>
              </w:tabs>
              <w:snapToGrid w:val="0"/>
              <w:spacing w:line="360" w:lineRule="auto"/>
              <w:jc w:val="center"/>
              <w:rPr>
                <w:rFonts w:ascii="宋体" w:hAnsi="宋体"/>
                <w:color w:val="auto"/>
                <w:szCs w:val="21"/>
                <w:highlight w:val="none"/>
              </w:rPr>
            </w:pPr>
          </w:p>
        </w:tc>
      </w:tr>
    </w:tbl>
    <w:p w14:paraId="3AF1A5A3">
      <w:pPr>
        <w:pStyle w:val="36"/>
        <w:spacing w:after="0" w:line="360" w:lineRule="auto"/>
        <w:ind w:left="-2" w:leftChars="-1" w:firstLine="367" w:firstLineChars="175"/>
        <w:jc w:val="left"/>
        <w:rPr>
          <w:color w:val="auto"/>
          <w:szCs w:val="21"/>
          <w:highlight w:val="none"/>
        </w:rPr>
      </w:pPr>
      <w:r>
        <w:rPr>
          <w:rFonts w:hint="eastAsia"/>
          <w:color w:val="auto"/>
          <w:szCs w:val="21"/>
          <w:highlight w:val="none"/>
        </w:rPr>
        <w:t>注：</w:t>
      </w:r>
      <w:r>
        <w:rPr>
          <w:rFonts w:hint="eastAsia"/>
          <w:color w:val="auto"/>
          <w:szCs w:val="21"/>
          <w:highlight w:val="none"/>
          <w:lang w:val="en-US" w:eastAsia="zh-CN"/>
        </w:rPr>
        <w:t>1、</w:t>
      </w:r>
      <w:r>
        <w:rPr>
          <w:rFonts w:hint="eastAsia"/>
          <w:color w:val="auto"/>
          <w:szCs w:val="21"/>
          <w:highlight w:val="none"/>
        </w:rPr>
        <w:t>参与编制投标文件所有人员名单应包括如编制技术投标方案、编制各种专业工程量清单投标报价、负责清样校对、负责打印及复印等所有人员在内的人员名单。</w:t>
      </w:r>
    </w:p>
    <w:p w14:paraId="3CB723AC">
      <w:pPr>
        <w:autoSpaceDE w:val="0"/>
        <w:autoSpaceDN w:val="0"/>
        <w:adjustRightInd w:val="0"/>
        <w:spacing w:line="360" w:lineRule="auto"/>
        <w:ind w:firstLine="720" w:firstLineChars="3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color w:val="auto"/>
          <w:spacing w:val="4"/>
          <w:kern w:val="0"/>
          <w:szCs w:val="21"/>
          <w:highlight w:val="none"/>
        </w:rPr>
        <w:t>上述人员须提供投标截止前近一个月（</w:t>
      </w:r>
      <w:r>
        <w:rPr>
          <w:rFonts w:hint="eastAsia" w:ascii="宋体" w:hAnsi="宋体" w:eastAsia="宋体" w:cs="宋体"/>
          <w:color w:val="auto"/>
          <w:spacing w:val="4"/>
          <w:kern w:val="0"/>
          <w:szCs w:val="21"/>
          <w:highlight w:val="none"/>
          <w:u w:val="single"/>
        </w:rPr>
        <w:t>2025年</w:t>
      </w:r>
      <w:r>
        <w:rPr>
          <w:rFonts w:hint="eastAsia" w:ascii="宋体" w:hAnsi="宋体" w:cs="宋体"/>
          <w:color w:val="auto"/>
          <w:spacing w:val="4"/>
          <w:kern w:val="0"/>
          <w:szCs w:val="21"/>
          <w:highlight w:val="none"/>
          <w:u w:val="single"/>
          <w:lang w:val="en-US" w:eastAsia="zh-CN"/>
        </w:rPr>
        <w:t>0</w:t>
      </w:r>
      <w:r>
        <w:rPr>
          <w:rFonts w:hint="eastAsia" w:ascii="Times New Roman" w:hAnsi="Times New Roman" w:eastAsia="宋体" w:cs="Times New Roman"/>
          <w:color w:val="auto"/>
          <w:kern w:val="2"/>
          <w:sz w:val="21"/>
          <w:szCs w:val="21"/>
          <w:highlight w:val="none"/>
          <w:u w:val="single"/>
          <w:lang w:val="en-US" w:eastAsia="zh-CN" w:bidi="ar-SA"/>
        </w:rPr>
        <w:t>7</w:t>
      </w:r>
      <w:r>
        <w:rPr>
          <w:rFonts w:hint="eastAsia" w:ascii="宋体" w:hAnsi="宋体" w:eastAsia="宋体" w:cs="宋体"/>
          <w:color w:val="auto"/>
          <w:spacing w:val="4"/>
          <w:kern w:val="0"/>
          <w:szCs w:val="21"/>
          <w:highlight w:val="none"/>
          <w:u w:val="single"/>
        </w:rPr>
        <w:t>月或</w:t>
      </w:r>
      <w:r>
        <w:rPr>
          <w:rFonts w:hint="eastAsia" w:ascii="宋体" w:hAnsi="宋体" w:cs="宋体"/>
          <w:color w:val="auto"/>
          <w:spacing w:val="4"/>
          <w:kern w:val="0"/>
          <w:szCs w:val="21"/>
          <w:highlight w:val="none"/>
          <w:u w:val="single"/>
          <w:lang w:val="en-US" w:eastAsia="zh-CN"/>
        </w:rPr>
        <w:t>08</w:t>
      </w:r>
      <w:r>
        <w:rPr>
          <w:rFonts w:hint="eastAsia" w:ascii="宋体" w:hAnsi="宋体" w:eastAsia="宋体" w:cs="宋体"/>
          <w:color w:val="auto"/>
          <w:spacing w:val="4"/>
          <w:kern w:val="0"/>
          <w:szCs w:val="21"/>
          <w:highlight w:val="none"/>
          <w:u w:val="single"/>
        </w:rPr>
        <w:t>月</w:t>
      </w:r>
      <w:r>
        <w:rPr>
          <w:rFonts w:hint="eastAsia" w:ascii="宋体" w:hAnsi="宋体" w:eastAsia="宋体" w:cs="宋体"/>
          <w:color w:val="auto"/>
          <w:spacing w:val="4"/>
          <w:kern w:val="0"/>
          <w:szCs w:val="21"/>
          <w:highlight w:val="none"/>
        </w:rPr>
        <w:t>）有效社保证明资料扫描件。</w:t>
      </w:r>
    </w:p>
    <w:p w14:paraId="0106718F">
      <w:pPr>
        <w:topLinePunct w:val="0"/>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232F38F">
      <w:pPr>
        <w:pStyle w:val="5"/>
        <w:spacing w:line="360" w:lineRule="auto"/>
        <w:rPr>
          <w:rFonts w:hint="eastAsia" w:cs="宋体"/>
          <w:b/>
          <w:bCs/>
          <w:color w:val="auto"/>
          <w:sz w:val="28"/>
          <w:szCs w:val="28"/>
          <w:highlight w:val="none"/>
        </w:rPr>
      </w:pPr>
      <w:r>
        <w:rPr>
          <w:rFonts w:hint="eastAsia" w:cs="宋体"/>
          <w:b/>
          <w:bCs/>
          <w:color w:val="auto"/>
          <w:sz w:val="28"/>
          <w:szCs w:val="28"/>
          <w:highlight w:val="none"/>
        </w:rPr>
        <w:t>格式十</w:t>
      </w:r>
      <w:r>
        <w:rPr>
          <w:rFonts w:hint="eastAsia" w:cs="宋体"/>
          <w:b/>
          <w:bCs/>
          <w:color w:val="auto"/>
          <w:sz w:val="28"/>
          <w:szCs w:val="28"/>
          <w:highlight w:val="none"/>
          <w:lang w:val="en-US" w:eastAsia="zh-CN"/>
        </w:rPr>
        <w:t>三</w:t>
      </w:r>
      <w:r>
        <w:rPr>
          <w:rFonts w:hint="eastAsia" w:cs="宋体"/>
          <w:b/>
          <w:bCs/>
          <w:color w:val="auto"/>
          <w:sz w:val="28"/>
          <w:szCs w:val="28"/>
          <w:highlight w:val="none"/>
        </w:rPr>
        <w:t>：</w:t>
      </w:r>
    </w:p>
    <w:p w14:paraId="3C83E850">
      <w:pPr>
        <w:spacing w:line="360" w:lineRule="auto"/>
        <w:jc w:val="center"/>
        <w:rPr>
          <w:rFonts w:hint="eastAsia" w:ascii="宋体" w:hAnsi="宋体" w:eastAsia="宋体" w:cs="宋体"/>
          <w:b/>
          <w:strike w:val="0"/>
          <w:color w:val="auto"/>
          <w:sz w:val="24"/>
          <w:szCs w:val="24"/>
          <w:highlight w:val="none"/>
        </w:rPr>
      </w:pPr>
    </w:p>
    <w:p w14:paraId="7F78B54A">
      <w:pPr>
        <w:spacing w:line="360" w:lineRule="auto"/>
        <w:jc w:val="center"/>
        <w:rPr>
          <w:rFonts w:hint="eastAsia" w:ascii="宋体" w:hAnsi="宋体" w:eastAsia="宋体" w:cs="宋体"/>
          <w:b/>
          <w:strike w:val="0"/>
          <w:color w:val="auto"/>
          <w:sz w:val="24"/>
          <w:szCs w:val="24"/>
          <w:highlight w:val="none"/>
        </w:rPr>
      </w:pPr>
    </w:p>
    <w:p w14:paraId="66E46245">
      <w:pPr>
        <w:spacing w:line="360" w:lineRule="auto"/>
        <w:jc w:val="center"/>
        <w:rPr>
          <w:rFonts w:hint="eastAsia" w:ascii="宋体" w:hAnsi="宋体" w:eastAsia="宋体" w:cs="宋体"/>
          <w:b/>
          <w:bCs/>
          <w:strike w:val="0"/>
          <w:color w:val="auto"/>
          <w:sz w:val="24"/>
          <w:szCs w:val="24"/>
          <w:highlight w:val="none"/>
        </w:rPr>
      </w:pPr>
      <w:r>
        <w:rPr>
          <w:rFonts w:hint="eastAsia" w:ascii="宋体" w:hAnsi="宋体" w:eastAsia="宋体" w:cs="宋体"/>
          <w:b/>
          <w:strike w:val="0"/>
          <w:color w:val="auto"/>
          <w:sz w:val="24"/>
          <w:szCs w:val="24"/>
          <w:highlight w:val="none"/>
        </w:rPr>
        <w:t>第三方评价</w:t>
      </w:r>
      <w:r>
        <w:rPr>
          <w:rFonts w:hint="eastAsia" w:ascii="宋体" w:hAnsi="宋体" w:eastAsia="宋体" w:cs="宋体"/>
          <w:b/>
          <w:bCs/>
          <w:strike w:val="0"/>
          <w:color w:val="auto"/>
          <w:sz w:val="24"/>
          <w:szCs w:val="24"/>
          <w:highlight w:val="none"/>
        </w:rPr>
        <w:t>汇总表</w:t>
      </w:r>
    </w:p>
    <w:p w14:paraId="6DF69369">
      <w:pPr>
        <w:spacing w:line="360" w:lineRule="auto"/>
        <w:jc w:val="center"/>
        <w:rPr>
          <w:rFonts w:hint="eastAsia" w:ascii="宋体" w:hAnsi="宋体" w:eastAsia="宋体" w:cs="宋体"/>
          <w:b/>
          <w:bCs/>
          <w:strike w:val="0"/>
          <w:color w:val="auto"/>
          <w:sz w:val="24"/>
          <w:szCs w:val="24"/>
          <w:highlight w:val="none"/>
        </w:rPr>
      </w:pPr>
    </w:p>
    <w:tbl>
      <w:tblPr>
        <w:tblStyle w:val="3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90"/>
        <w:gridCol w:w="1134"/>
        <w:gridCol w:w="1213"/>
        <w:gridCol w:w="1269"/>
        <w:gridCol w:w="1774"/>
        <w:gridCol w:w="1380"/>
      </w:tblGrid>
      <w:tr w14:paraId="5938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7" w:type="dxa"/>
            <w:noWrap w:val="0"/>
            <w:vAlign w:val="center"/>
          </w:tcPr>
          <w:p w14:paraId="15869218">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序号</w:t>
            </w:r>
          </w:p>
        </w:tc>
        <w:tc>
          <w:tcPr>
            <w:tcW w:w="1190" w:type="dxa"/>
            <w:noWrap w:val="0"/>
            <w:vAlign w:val="center"/>
          </w:tcPr>
          <w:p w14:paraId="731FCB9D">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信用评价名称</w:t>
            </w:r>
          </w:p>
        </w:tc>
        <w:tc>
          <w:tcPr>
            <w:tcW w:w="1134" w:type="dxa"/>
            <w:noWrap w:val="0"/>
            <w:vAlign w:val="center"/>
          </w:tcPr>
          <w:p w14:paraId="59EAAA4D">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颁发机构</w:t>
            </w:r>
          </w:p>
        </w:tc>
        <w:tc>
          <w:tcPr>
            <w:tcW w:w="1213" w:type="dxa"/>
            <w:noWrap w:val="0"/>
            <w:vAlign w:val="center"/>
          </w:tcPr>
          <w:p w14:paraId="36191B71">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信用评价类别</w:t>
            </w:r>
          </w:p>
        </w:tc>
        <w:tc>
          <w:tcPr>
            <w:tcW w:w="1269" w:type="dxa"/>
            <w:noWrap w:val="0"/>
            <w:vAlign w:val="center"/>
          </w:tcPr>
          <w:p w14:paraId="4FD9F85F">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获得日期</w:t>
            </w:r>
          </w:p>
        </w:tc>
        <w:tc>
          <w:tcPr>
            <w:tcW w:w="1774" w:type="dxa"/>
            <w:noWrap w:val="0"/>
            <w:vAlign w:val="center"/>
          </w:tcPr>
          <w:p w14:paraId="106C5DBC">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提交证明材料内容</w:t>
            </w:r>
          </w:p>
        </w:tc>
        <w:tc>
          <w:tcPr>
            <w:tcW w:w="1380" w:type="dxa"/>
            <w:noWrap w:val="0"/>
            <w:vAlign w:val="center"/>
          </w:tcPr>
          <w:p w14:paraId="3FB720C6">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在投标文件的位置</w:t>
            </w:r>
          </w:p>
        </w:tc>
      </w:tr>
      <w:tr w14:paraId="55AA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697" w:type="dxa"/>
            <w:noWrap w:val="0"/>
            <w:vAlign w:val="center"/>
          </w:tcPr>
          <w:p w14:paraId="152DF500">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1190" w:type="dxa"/>
            <w:noWrap w:val="0"/>
            <w:vAlign w:val="center"/>
          </w:tcPr>
          <w:p w14:paraId="14D7E82E">
            <w:pPr>
              <w:spacing w:line="360" w:lineRule="auto"/>
              <w:jc w:val="center"/>
              <w:rPr>
                <w:rFonts w:hint="eastAsia" w:ascii="宋体" w:hAnsi="宋体" w:eastAsia="宋体" w:cs="宋体"/>
                <w:strike w:val="0"/>
                <w:color w:val="auto"/>
                <w:sz w:val="24"/>
                <w:szCs w:val="24"/>
                <w:highlight w:val="none"/>
              </w:rPr>
            </w:pPr>
          </w:p>
        </w:tc>
        <w:tc>
          <w:tcPr>
            <w:tcW w:w="1134" w:type="dxa"/>
            <w:noWrap w:val="0"/>
            <w:vAlign w:val="center"/>
          </w:tcPr>
          <w:p w14:paraId="60182900">
            <w:pPr>
              <w:spacing w:line="360" w:lineRule="auto"/>
              <w:jc w:val="center"/>
              <w:rPr>
                <w:rFonts w:hint="eastAsia" w:ascii="宋体" w:hAnsi="宋体" w:eastAsia="宋体" w:cs="宋体"/>
                <w:strike w:val="0"/>
                <w:color w:val="auto"/>
                <w:sz w:val="24"/>
                <w:szCs w:val="24"/>
                <w:highlight w:val="none"/>
              </w:rPr>
            </w:pPr>
          </w:p>
        </w:tc>
        <w:tc>
          <w:tcPr>
            <w:tcW w:w="1213" w:type="dxa"/>
            <w:noWrap w:val="0"/>
            <w:vAlign w:val="center"/>
          </w:tcPr>
          <w:p w14:paraId="0D62A3FE">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例如：“纳税信用A级纳税人”等</w:t>
            </w:r>
          </w:p>
        </w:tc>
        <w:tc>
          <w:tcPr>
            <w:tcW w:w="1269" w:type="dxa"/>
            <w:noWrap w:val="0"/>
            <w:vAlign w:val="center"/>
          </w:tcPr>
          <w:p w14:paraId="4860CAF2">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例如：X年X月X日</w:t>
            </w:r>
          </w:p>
        </w:tc>
        <w:tc>
          <w:tcPr>
            <w:tcW w:w="1774" w:type="dxa"/>
            <w:noWrap w:val="0"/>
            <w:vAlign w:val="center"/>
          </w:tcPr>
          <w:p w14:paraId="749298CE">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例如：如网页信息查询截图等</w:t>
            </w:r>
          </w:p>
        </w:tc>
        <w:tc>
          <w:tcPr>
            <w:tcW w:w="1380" w:type="dxa"/>
            <w:noWrap w:val="0"/>
            <w:vAlign w:val="center"/>
          </w:tcPr>
          <w:p w14:paraId="528DA0CD">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例如：投标文件第X页</w:t>
            </w:r>
          </w:p>
        </w:tc>
      </w:tr>
      <w:tr w14:paraId="336B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7" w:type="dxa"/>
            <w:noWrap w:val="0"/>
            <w:vAlign w:val="center"/>
          </w:tcPr>
          <w:p w14:paraId="6694E142">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2</w:t>
            </w:r>
          </w:p>
        </w:tc>
        <w:tc>
          <w:tcPr>
            <w:tcW w:w="1190" w:type="dxa"/>
            <w:noWrap w:val="0"/>
            <w:vAlign w:val="center"/>
          </w:tcPr>
          <w:p w14:paraId="1C8557EC">
            <w:pPr>
              <w:spacing w:line="360" w:lineRule="auto"/>
              <w:jc w:val="center"/>
              <w:rPr>
                <w:rFonts w:hint="eastAsia" w:ascii="宋体" w:hAnsi="宋体" w:eastAsia="宋体" w:cs="宋体"/>
                <w:strike w:val="0"/>
                <w:color w:val="auto"/>
                <w:sz w:val="24"/>
                <w:szCs w:val="24"/>
                <w:highlight w:val="none"/>
              </w:rPr>
            </w:pPr>
          </w:p>
        </w:tc>
        <w:tc>
          <w:tcPr>
            <w:tcW w:w="1134" w:type="dxa"/>
            <w:noWrap w:val="0"/>
            <w:vAlign w:val="center"/>
          </w:tcPr>
          <w:p w14:paraId="4DC0C153">
            <w:pPr>
              <w:spacing w:line="360" w:lineRule="auto"/>
              <w:jc w:val="center"/>
              <w:rPr>
                <w:rFonts w:hint="eastAsia" w:ascii="宋体" w:hAnsi="宋体" w:eastAsia="宋体" w:cs="宋体"/>
                <w:strike w:val="0"/>
                <w:color w:val="auto"/>
                <w:sz w:val="24"/>
                <w:szCs w:val="24"/>
                <w:highlight w:val="none"/>
              </w:rPr>
            </w:pPr>
          </w:p>
        </w:tc>
        <w:tc>
          <w:tcPr>
            <w:tcW w:w="1213" w:type="dxa"/>
            <w:noWrap w:val="0"/>
            <w:vAlign w:val="center"/>
          </w:tcPr>
          <w:p w14:paraId="0F675D90">
            <w:pPr>
              <w:spacing w:line="360" w:lineRule="auto"/>
              <w:jc w:val="center"/>
              <w:rPr>
                <w:rFonts w:hint="eastAsia" w:ascii="宋体" w:hAnsi="宋体" w:eastAsia="宋体" w:cs="宋体"/>
                <w:strike w:val="0"/>
                <w:color w:val="auto"/>
                <w:sz w:val="24"/>
                <w:szCs w:val="24"/>
                <w:highlight w:val="none"/>
              </w:rPr>
            </w:pPr>
          </w:p>
        </w:tc>
        <w:tc>
          <w:tcPr>
            <w:tcW w:w="1269" w:type="dxa"/>
            <w:noWrap w:val="0"/>
            <w:vAlign w:val="center"/>
          </w:tcPr>
          <w:p w14:paraId="53AB955B">
            <w:pPr>
              <w:spacing w:line="360" w:lineRule="auto"/>
              <w:jc w:val="center"/>
              <w:rPr>
                <w:rFonts w:hint="eastAsia" w:ascii="宋体" w:hAnsi="宋体" w:eastAsia="宋体" w:cs="宋体"/>
                <w:strike w:val="0"/>
                <w:color w:val="auto"/>
                <w:sz w:val="24"/>
                <w:szCs w:val="24"/>
                <w:highlight w:val="none"/>
              </w:rPr>
            </w:pPr>
          </w:p>
        </w:tc>
        <w:tc>
          <w:tcPr>
            <w:tcW w:w="1774" w:type="dxa"/>
            <w:noWrap w:val="0"/>
            <w:vAlign w:val="center"/>
          </w:tcPr>
          <w:p w14:paraId="0407394E">
            <w:pPr>
              <w:spacing w:line="360" w:lineRule="auto"/>
              <w:jc w:val="center"/>
              <w:rPr>
                <w:rFonts w:hint="eastAsia" w:ascii="宋体" w:hAnsi="宋体" w:eastAsia="宋体" w:cs="宋体"/>
                <w:strike w:val="0"/>
                <w:color w:val="auto"/>
                <w:sz w:val="24"/>
                <w:szCs w:val="24"/>
                <w:highlight w:val="none"/>
              </w:rPr>
            </w:pPr>
          </w:p>
        </w:tc>
        <w:tc>
          <w:tcPr>
            <w:tcW w:w="1380" w:type="dxa"/>
            <w:noWrap w:val="0"/>
            <w:vAlign w:val="center"/>
          </w:tcPr>
          <w:p w14:paraId="37DFCB00">
            <w:pPr>
              <w:spacing w:line="360" w:lineRule="auto"/>
              <w:jc w:val="center"/>
              <w:rPr>
                <w:rFonts w:hint="eastAsia" w:ascii="宋体" w:hAnsi="宋体" w:eastAsia="宋体" w:cs="宋体"/>
                <w:strike w:val="0"/>
                <w:color w:val="auto"/>
                <w:sz w:val="24"/>
                <w:szCs w:val="24"/>
                <w:highlight w:val="none"/>
              </w:rPr>
            </w:pPr>
          </w:p>
        </w:tc>
      </w:tr>
      <w:tr w14:paraId="4575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97" w:type="dxa"/>
            <w:noWrap w:val="0"/>
            <w:vAlign w:val="center"/>
          </w:tcPr>
          <w:p w14:paraId="0AA8A06D">
            <w:pPr>
              <w:spacing w:line="360" w:lineRule="auto"/>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w:t>
            </w:r>
          </w:p>
        </w:tc>
        <w:tc>
          <w:tcPr>
            <w:tcW w:w="1190" w:type="dxa"/>
            <w:noWrap w:val="0"/>
            <w:vAlign w:val="center"/>
          </w:tcPr>
          <w:p w14:paraId="1FE0FA11">
            <w:pPr>
              <w:spacing w:line="360" w:lineRule="auto"/>
              <w:jc w:val="center"/>
              <w:rPr>
                <w:rFonts w:hint="eastAsia" w:ascii="宋体" w:hAnsi="宋体" w:eastAsia="宋体" w:cs="宋体"/>
                <w:strike w:val="0"/>
                <w:color w:val="auto"/>
                <w:sz w:val="24"/>
                <w:szCs w:val="24"/>
                <w:highlight w:val="none"/>
              </w:rPr>
            </w:pPr>
          </w:p>
        </w:tc>
        <w:tc>
          <w:tcPr>
            <w:tcW w:w="1134" w:type="dxa"/>
            <w:noWrap w:val="0"/>
            <w:vAlign w:val="center"/>
          </w:tcPr>
          <w:p w14:paraId="40D42E0E">
            <w:pPr>
              <w:spacing w:line="360" w:lineRule="auto"/>
              <w:jc w:val="center"/>
              <w:rPr>
                <w:rFonts w:hint="eastAsia" w:ascii="宋体" w:hAnsi="宋体" w:eastAsia="宋体" w:cs="宋体"/>
                <w:strike w:val="0"/>
                <w:color w:val="auto"/>
                <w:sz w:val="24"/>
                <w:szCs w:val="24"/>
                <w:highlight w:val="none"/>
              </w:rPr>
            </w:pPr>
          </w:p>
        </w:tc>
        <w:tc>
          <w:tcPr>
            <w:tcW w:w="1213" w:type="dxa"/>
            <w:noWrap w:val="0"/>
            <w:vAlign w:val="center"/>
          </w:tcPr>
          <w:p w14:paraId="53D202EA">
            <w:pPr>
              <w:spacing w:line="360" w:lineRule="auto"/>
              <w:jc w:val="center"/>
              <w:rPr>
                <w:rFonts w:hint="eastAsia" w:ascii="宋体" w:hAnsi="宋体" w:eastAsia="宋体" w:cs="宋体"/>
                <w:strike w:val="0"/>
                <w:color w:val="auto"/>
                <w:sz w:val="24"/>
                <w:szCs w:val="24"/>
                <w:highlight w:val="none"/>
              </w:rPr>
            </w:pPr>
          </w:p>
        </w:tc>
        <w:tc>
          <w:tcPr>
            <w:tcW w:w="1269" w:type="dxa"/>
            <w:noWrap w:val="0"/>
            <w:vAlign w:val="center"/>
          </w:tcPr>
          <w:p w14:paraId="6C6EED4B">
            <w:pPr>
              <w:spacing w:line="360" w:lineRule="auto"/>
              <w:jc w:val="center"/>
              <w:rPr>
                <w:rFonts w:hint="eastAsia" w:ascii="宋体" w:hAnsi="宋体" w:eastAsia="宋体" w:cs="宋体"/>
                <w:strike w:val="0"/>
                <w:color w:val="auto"/>
                <w:sz w:val="24"/>
                <w:szCs w:val="24"/>
                <w:highlight w:val="none"/>
              </w:rPr>
            </w:pPr>
          </w:p>
        </w:tc>
        <w:tc>
          <w:tcPr>
            <w:tcW w:w="1774" w:type="dxa"/>
            <w:noWrap w:val="0"/>
            <w:vAlign w:val="center"/>
          </w:tcPr>
          <w:p w14:paraId="66DA2C34">
            <w:pPr>
              <w:spacing w:line="360" w:lineRule="auto"/>
              <w:jc w:val="center"/>
              <w:rPr>
                <w:rFonts w:hint="eastAsia" w:ascii="宋体" w:hAnsi="宋体" w:eastAsia="宋体" w:cs="宋体"/>
                <w:strike w:val="0"/>
                <w:color w:val="auto"/>
                <w:sz w:val="24"/>
                <w:szCs w:val="24"/>
                <w:highlight w:val="none"/>
              </w:rPr>
            </w:pPr>
          </w:p>
        </w:tc>
        <w:tc>
          <w:tcPr>
            <w:tcW w:w="1380" w:type="dxa"/>
            <w:noWrap w:val="0"/>
            <w:vAlign w:val="center"/>
          </w:tcPr>
          <w:p w14:paraId="382DB499">
            <w:pPr>
              <w:spacing w:line="360" w:lineRule="auto"/>
              <w:jc w:val="center"/>
              <w:rPr>
                <w:rFonts w:hint="eastAsia" w:ascii="宋体" w:hAnsi="宋体" w:eastAsia="宋体" w:cs="宋体"/>
                <w:strike w:val="0"/>
                <w:color w:val="auto"/>
                <w:sz w:val="24"/>
                <w:szCs w:val="24"/>
                <w:highlight w:val="none"/>
              </w:rPr>
            </w:pPr>
          </w:p>
        </w:tc>
      </w:tr>
    </w:tbl>
    <w:p w14:paraId="22195664">
      <w:pPr>
        <w:spacing w:line="360" w:lineRule="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备注：1.结合评标办法提供。</w:t>
      </w:r>
    </w:p>
    <w:p w14:paraId="5A00D0CF">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strike w:val="0"/>
          <w:color w:val="auto"/>
          <w:sz w:val="24"/>
          <w:szCs w:val="24"/>
          <w:highlight w:val="none"/>
        </w:rPr>
        <w:t>2.表中一个序号只能填报一个第三方评价，投标人需按照序号从小</w:t>
      </w:r>
      <w:r>
        <w:rPr>
          <w:rFonts w:hint="eastAsia" w:ascii="宋体" w:hAnsi="宋体" w:eastAsia="宋体" w:cs="宋体"/>
          <w:color w:val="auto"/>
          <w:sz w:val="24"/>
          <w:szCs w:val="24"/>
          <w:highlight w:val="none"/>
        </w:rPr>
        <w:t>到大开始逐一填写。</w:t>
      </w:r>
    </w:p>
    <w:p w14:paraId="04167F52">
      <w:pPr>
        <w:topLinePunct w:val="0"/>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1AD609A">
      <w:pPr>
        <w:pStyle w:val="5"/>
        <w:spacing w:line="360" w:lineRule="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rPr>
        <w:t>格式十</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w:t>
      </w:r>
    </w:p>
    <w:p w14:paraId="7DFF3027">
      <w:pPr>
        <w:autoSpaceDE w:val="0"/>
        <w:autoSpaceDN w:val="0"/>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拟投入本工程施工的主要机械设备配备表</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14:paraId="7D05E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3E1BF2B">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52E0F168">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035ACB33">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设备名称</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0C63227F">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投入总数量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F570628">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来源</w:t>
            </w:r>
          </w:p>
          <w:p w14:paraId="27017A37">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(自有/</w:t>
            </w:r>
          </w:p>
          <w:p w14:paraId="6B9FE8F2">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租赁)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AB2D476">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8485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0497B8E">
            <w:pPr>
              <w:spacing w:line="360" w:lineRule="auto"/>
              <w:jc w:val="center"/>
              <w:textAlignment w:val="center"/>
              <w:rPr>
                <w:rFonts w:hint="eastAsia" w:ascii="宋体" w:hAnsi="宋体" w:eastAsia="宋体" w:cs="宋体"/>
                <w:color w:val="auto"/>
                <w:sz w:val="24"/>
                <w:szCs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14:paraId="7946087D">
            <w:pPr>
              <w:spacing w:line="360" w:lineRule="auto"/>
              <w:jc w:val="center"/>
              <w:textAlignment w:val="center"/>
              <w:rPr>
                <w:rFonts w:hint="eastAsia" w:ascii="宋体" w:hAnsi="宋体" w:eastAsia="宋体" w:cs="宋体"/>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639E1CF">
            <w:pPr>
              <w:spacing w:line="360" w:lineRule="auto"/>
              <w:jc w:val="center"/>
              <w:textAlignment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46569F">
            <w:pPr>
              <w:spacing w:line="360" w:lineRule="auto"/>
              <w:jc w:val="center"/>
              <w:textAlignment w:val="center"/>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616E6A6">
            <w:pPr>
              <w:spacing w:line="360" w:lineRule="auto"/>
              <w:jc w:val="center"/>
              <w:textAlignment w:val="center"/>
              <w:rPr>
                <w:rFonts w:hint="eastAsia" w:ascii="宋体" w:hAnsi="宋体" w:eastAsia="宋体" w:cs="宋体"/>
                <w:color w:val="auto"/>
                <w:sz w:val="24"/>
                <w:szCs w:val="24"/>
                <w:highlight w:val="none"/>
              </w:rPr>
            </w:pPr>
          </w:p>
        </w:tc>
      </w:tr>
      <w:tr w14:paraId="761D2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F8B4705">
            <w:pPr>
              <w:spacing w:line="360" w:lineRule="auto"/>
              <w:jc w:val="center"/>
              <w:textAlignment w:val="center"/>
              <w:rPr>
                <w:rFonts w:hint="eastAsia" w:ascii="宋体" w:hAnsi="宋体" w:eastAsia="宋体" w:cs="宋体"/>
                <w:color w:val="auto"/>
                <w:sz w:val="24"/>
                <w:szCs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14:paraId="0D65E97A">
            <w:pPr>
              <w:spacing w:line="360" w:lineRule="auto"/>
              <w:jc w:val="center"/>
              <w:textAlignment w:val="center"/>
              <w:rPr>
                <w:rFonts w:hint="eastAsia" w:ascii="宋体" w:hAnsi="宋体" w:eastAsia="宋体" w:cs="宋体"/>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13CA6842">
            <w:pPr>
              <w:spacing w:line="360" w:lineRule="auto"/>
              <w:jc w:val="center"/>
              <w:textAlignment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22CA795">
            <w:pPr>
              <w:spacing w:line="360" w:lineRule="auto"/>
              <w:jc w:val="center"/>
              <w:textAlignment w:val="center"/>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96621AA">
            <w:pPr>
              <w:spacing w:line="360" w:lineRule="auto"/>
              <w:jc w:val="center"/>
              <w:textAlignment w:val="center"/>
              <w:rPr>
                <w:rFonts w:hint="eastAsia" w:ascii="宋体" w:hAnsi="宋体" w:eastAsia="宋体" w:cs="宋体"/>
                <w:color w:val="auto"/>
                <w:sz w:val="24"/>
                <w:szCs w:val="24"/>
                <w:highlight w:val="none"/>
              </w:rPr>
            </w:pPr>
          </w:p>
        </w:tc>
      </w:tr>
      <w:tr w14:paraId="3F3D0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57D806C">
            <w:pPr>
              <w:spacing w:line="360" w:lineRule="auto"/>
              <w:jc w:val="center"/>
              <w:textAlignment w:val="center"/>
              <w:rPr>
                <w:rFonts w:hint="eastAsia" w:ascii="宋体" w:hAnsi="宋体" w:eastAsia="宋体" w:cs="宋体"/>
                <w:color w:val="auto"/>
                <w:sz w:val="24"/>
                <w:szCs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14:paraId="37B9CDBF">
            <w:pPr>
              <w:spacing w:line="360" w:lineRule="auto"/>
              <w:jc w:val="center"/>
              <w:textAlignment w:val="center"/>
              <w:rPr>
                <w:rFonts w:hint="eastAsia" w:ascii="宋体" w:hAnsi="宋体" w:eastAsia="宋体" w:cs="宋体"/>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578803E">
            <w:pPr>
              <w:spacing w:line="360" w:lineRule="auto"/>
              <w:jc w:val="center"/>
              <w:textAlignment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67E810">
            <w:pPr>
              <w:spacing w:line="360" w:lineRule="auto"/>
              <w:jc w:val="center"/>
              <w:textAlignment w:val="center"/>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52ED48F">
            <w:pPr>
              <w:spacing w:line="360" w:lineRule="auto"/>
              <w:jc w:val="center"/>
              <w:textAlignment w:val="center"/>
              <w:rPr>
                <w:rFonts w:hint="eastAsia" w:ascii="宋体" w:hAnsi="宋体" w:eastAsia="宋体" w:cs="宋体"/>
                <w:color w:val="auto"/>
                <w:sz w:val="24"/>
                <w:szCs w:val="24"/>
                <w:highlight w:val="none"/>
              </w:rPr>
            </w:pPr>
          </w:p>
        </w:tc>
      </w:tr>
      <w:tr w14:paraId="7C1C2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5866657">
            <w:pPr>
              <w:spacing w:line="360" w:lineRule="auto"/>
              <w:jc w:val="center"/>
              <w:textAlignment w:val="center"/>
              <w:rPr>
                <w:rFonts w:hint="eastAsia" w:ascii="宋体" w:hAnsi="宋体" w:eastAsia="宋体" w:cs="宋体"/>
                <w:color w:val="auto"/>
                <w:sz w:val="24"/>
                <w:szCs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14:paraId="43D031AD">
            <w:pPr>
              <w:spacing w:line="360" w:lineRule="auto"/>
              <w:jc w:val="center"/>
              <w:textAlignment w:val="center"/>
              <w:rPr>
                <w:rFonts w:hint="eastAsia" w:ascii="宋体" w:hAnsi="宋体" w:eastAsia="宋体" w:cs="宋体"/>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18C94486">
            <w:pPr>
              <w:spacing w:line="360" w:lineRule="auto"/>
              <w:jc w:val="center"/>
              <w:textAlignment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DC34512">
            <w:pPr>
              <w:spacing w:line="360" w:lineRule="auto"/>
              <w:jc w:val="center"/>
              <w:textAlignment w:val="center"/>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6684FA2">
            <w:pPr>
              <w:spacing w:line="360" w:lineRule="auto"/>
              <w:jc w:val="center"/>
              <w:textAlignment w:val="center"/>
              <w:rPr>
                <w:rFonts w:hint="eastAsia" w:ascii="宋体" w:hAnsi="宋体" w:eastAsia="宋体" w:cs="宋体"/>
                <w:color w:val="auto"/>
                <w:sz w:val="24"/>
                <w:szCs w:val="24"/>
                <w:highlight w:val="none"/>
              </w:rPr>
            </w:pPr>
          </w:p>
        </w:tc>
      </w:tr>
      <w:tr w14:paraId="71EF6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002F0C2">
            <w:pPr>
              <w:spacing w:line="360" w:lineRule="auto"/>
              <w:jc w:val="center"/>
              <w:textAlignment w:val="center"/>
              <w:rPr>
                <w:rFonts w:hint="eastAsia" w:ascii="宋体" w:hAnsi="宋体" w:eastAsia="宋体" w:cs="宋体"/>
                <w:color w:val="auto"/>
                <w:sz w:val="24"/>
                <w:szCs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14:paraId="72A0F48F">
            <w:pPr>
              <w:spacing w:line="360" w:lineRule="auto"/>
              <w:jc w:val="center"/>
              <w:textAlignment w:val="center"/>
              <w:rPr>
                <w:rFonts w:hint="eastAsia" w:ascii="宋体" w:hAnsi="宋体" w:eastAsia="宋体" w:cs="宋体"/>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DC62AA6">
            <w:pPr>
              <w:spacing w:line="360" w:lineRule="auto"/>
              <w:jc w:val="center"/>
              <w:textAlignment w:val="center"/>
              <w:rPr>
                <w:rFonts w:hint="eastAsia" w:ascii="宋体" w:hAnsi="宋体" w:eastAsia="宋体" w:cs="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99442F">
            <w:pPr>
              <w:spacing w:line="360" w:lineRule="auto"/>
              <w:jc w:val="center"/>
              <w:textAlignment w:val="center"/>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right w:val="single" w:color="auto" w:sz="4" w:space="0"/>
            </w:tcBorders>
            <w:noWrap w:val="0"/>
            <w:vAlign w:val="center"/>
          </w:tcPr>
          <w:p w14:paraId="10F81136">
            <w:pPr>
              <w:spacing w:line="360" w:lineRule="auto"/>
              <w:jc w:val="center"/>
              <w:textAlignment w:val="center"/>
              <w:rPr>
                <w:rFonts w:hint="eastAsia" w:ascii="宋体" w:hAnsi="宋体" w:eastAsia="宋体" w:cs="宋体"/>
                <w:color w:val="auto"/>
                <w:sz w:val="24"/>
                <w:szCs w:val="24"/>
                <w:highlight w:val="none"/>
              </w:rPr>
            </w:pPr>
          </w:p>
        </w:tc>
      </w:tr>
    </w:tbl>
    <w:p w14:paraId="5CE0C405">
      <w:pPr>
        <w:tabs>
          <w:tab w:val="left" w:pos="720"/>
        </w:tabs>
        <w:snapToGrid w:val="0"/>
        <w:spacing w:line="360" w:lineRule="auto"/>
        <w:rPr>
          <w:rFonts w:hint="eastAsia" w:ascii="宋体" w:hAnsi="宋体" w:eastAsia="宋体" w:cs="宋体"/>
          <w:color w:val="auto"/>
          <w:sz w:val="24"/>
          <w:szCs w:val="24"/>
          <w:highlight w:val="none"/>
        </w:rPr>
      </w:pPr>
    </w:p>
    <w:p w14:paraId="5A04731B">
      <w:pPr>
        <w:tabs>
          <w:tab w:val="left" w:pos="72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61E0201">
      <w:pPr>
        <w:numPr>
          <w:ilvl w:val="0"/>
          <w:numId w:val="0"/>
        </w:numPr>
        <w:tabs>
          <w:tab w:val="left" w:pos="72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设备名称及要求数量由投标人视本工程具体情况结合招标人对本工程的具体要求自行配备，一旦中标，必须全部到位，否则按合同相关约定执行。</w:t>
      </w:r>
    </w:p>
    <w:p w14:paraId="6C566E12">
      <w:pPr>
        <w:numPr>
          <w:ilvl w:val="0"/>
          <w:numId w:val="0"/>
        </w:numPr>
        <w:tabs>
          <w:tab w:val="left" w:pos="72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highlight w:val="none"/>
        </w:rPr>
        <w:t>为贯彻绿色发展理念，本项目应积极使用燃料电池汽车等新能源工程车，要求投标人投入的新能源工程车占投入的建筑垃圾自卸车（渣土车）总数比例不低于40%。一旦中标，必须全部到位，否则按合同违约处理。</w:t>
      </w:r>
    </w:p>
    <w:p w14:paraId="49BA912F">
      <w:pPr>
        <w:topLinePunct/>
        <w:adjustRightInd w:val="0"/>
        <w:snapToGrid w:val="0"/>
        <w:spacing w:line="360" w:lineRule="auto"/>
        <w:ind w:firstLine="3596" w:firstLineChars="1450"/>
        <w:rPr>
          <w:rFonts w:hint="eastAsia" w:ascii="宋体" w:hAnsi="宋体" w:eastAsia="宋体" w:cs="宋体"/>
          <w:snapToGrid w:val="0"/>
          <w:color w:val="auto"/>
          <w:spacing w:val="4"/>
          <w:kern w:val="0"/>
          <w:sz w:val="24"/>
          <w:szCs w:val="24"/>
          <w:highlight w:val="none"/>
        </w:rPr>
      </w:pPr>
    </w:p>
    <w:p w14:paraId="51110F1D">
      <w:pPr>
        <w:topLinePunct/>
        <w:adjustRightInd w:val="0"/>
        <w:snapToGrid w:val="0"/>
        <w:spacing w:line="360" w:lineRule="auto"/>
        <w:ind w:firstLine="3596" w:firstLineChars="145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投标人：　　</w:t>
      </w:r>
    </w:p>
    <w:p w14:paraId="46DFEF61">
      <w:pPr>
        <w:keepNext w:val="0"/>
        <w:keepLines w:val="0"/>
        <w:numPr>
          <w:ilvl w:val="0"/>
          <w:numId w:val="0"/>
        </w:numPr>
        <w:topLinePunct/>
        <w:adjustRightInd w:val="0"/>
        <w:snapToGrid w:val="0"/>
        <w:spacing w:before="0" w:after="0" w:line="360" w:lineRule="auto"/>
        <w:ind w:firstLine="3472" w:firstLineChars="1400"/>
        <w:outlineLvl w:val="9"/>
        <w:rPr>
          <w:rFonts w:hint="eastAsia" w:ascii="宋体" w:hAnsi="宋体" w:cs="宋体"/>
          <w:b/>
          <w:color w:val="auto"/>
          <w:kern w:val="0"/>
          <w:sz w:val="24"/>
          <w:szCs w:val="24"/>
          <w:highlight w:val="none"/>
        </w:rPr>
      </w:pPr>
      <w:r>
        <w:rPr>
          <w:rFonts w:hint="eastAsia" w:ascii="宋体" w:hAnsi="宋体" w:eastAsia="宋体" w:cs="宋体"/>
          <w:snapToGrid w:val="0"/>
          <w:color w:val="auto"/>
          <w:spacing w:val="4"/>
          <w:kern w:val="0"/>
          <w:sz w:val="24"/>
          <w:szCs w:val="24"/>
          <w:highlight w:val="none"/>
        </w:rPr>
        <w:t xml:space="preserve">日期：  </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eastAsia="宋体" w:cs="宋体"/>
          <w:snapToGrid w:val="0"/>
          <w:color w:val="auto"/>
          <w:spacing w:val="4"/>
          <w:kern w:val="0"/>
          <w:sz w:val="24"/>
          <w:szCs w:val="24"/>
          <w:highlight w:val="none"/>
        </w:rPr>
        <w:t>年  月  日</w:t>
      </w: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rPr>
        <w:t>格式十</w:t>
      </w: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w:t>
      </w:r>
    </w:p>
    <w:p w14:paraId="5C29608A">
      <w:pPr>
        <w:keepNext w:val="0"/>
        <w:keepLines w:val="0"/>
        <w:numPr>
          <w:ilvl w:val="0"/>
          <w:numId w:val="0"/>
        </w:numPr>
        <w:topLinePunct/>
        <w:adjustRightInd w:val="0"/>
        <w:snapToGrid w:val="0"/>
        <w:spacing w:before="0" w:after="0" w:line="360" w:lineRule="auto"/>
        <w:ind w:firstLine="0" w:firstLineChars="0"/>
        <w:jc w:val="center"/>
        <w:outlineLvl w:val="9"/>
        <w:rPr>
          <w:rFonts w:hint="eastAsia"/>
          <w:color w:val="auto"/>
          <w:sz w:val="24"/>
          <w:szCs w:val="24"/>
          <w:highlight w:val="none"/>
        </w:rPr>
      </w:pPr>
      <w:r>
        <w:rPr>
          <w:rFonts w:hint="eastAsia" w:ascii="宋体" w:hAnsi="宋体" w:cs="宋体"/>
          <w:b/>
          <w:color w:val="auto"/>
          <w:kern w:val="0"/>
          <w:sz w:val="24"/>
          <w:szCs w:val="24"/>
          <w:highlight w:val="none"/>
        </w:rPr>
        <w:t>危险性较大的分部分项工程安全管理措施</w:t>
      </w:r>
    </w:p>
    <w:p w14:paraId="2EC60746">
      <w:pPr>
        <w:numPr>
          <w:ilvl w:val="0"/>
          <w:numId w:val="12"/>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4"/>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05CFD24">
      <w:pPr>
        <w:numPr>
          <w:ilvl w:val="0"/>
          <w:numId w:val="12"/>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招标人根据设计文件的要求及37号文的规定列出“危险性较大的分部分项工程清单及超过一定规模的危险性较大的分部分项工程清单”中与本招标项目相关的清单项，具体详第5点“打√”标识。</w:t>
      </w:r>
    </w:p>
    <w:p w14:paraId="03F3E837">
      <w:pPr>
        <w:numPr>
          <w:ilvl w:val="0"/>
          <w:numId w:val="0"/>
        </w:numPr>
        <w:autoSpaceDE w:val="0"/>
        <w:autoSpaceDN w:val="0"/>
        <w:adjustRightInd w:val="0"/>
        <w:spacing w:line="360" w:lineRule="auto"/>
        <w:ind w:left="1080" w:hanging="720"/>
        <w:jc w:val="left"/>
        <w:rPr>
          <w:rFonts w:ascii="宋体" w:hAnsi="宋体"/>
          <w:color w:val="auto"/>
          <w:sz w:val="24"/>
          <w:szCs w:val="24"/>
          <w:highlight w:val="none"/>
        </w:rPr>
      </w:pPr>
      <w:r>
        <w:rPr>
          <w:rFonts w:hint="default" w:ascii="宋体" w:hAnsi="宋体"/>
          <w:color w:val="auto"/>
          <w:kern w:val="2"/>
          <w:sz w:val="24"/>
          <w:szCs w:val="24"/>
          <w:highlight w:val="none"/>
          <w:lang w:val="en-US" w:eastAsia="zh-CN" w:bidi="ar-SA"/>
        </w:rPr>
        <w:t>（1）</w:t>
      </w:r>
      <w:r>
        <w:rPr>
          <w:rFonts w:hint="eastAsia" w:ascii="宋体" w:hAnsi="宋体"/>
          <w:color w:val="auto"/>
          <w:sz w:val="24"/>
          <w:szCs w:val="24"/>
          <w:highlight w:val="none"/>
        </w:rPr>
        <w:t>投标单位同意建设单位在清单中标识的该项请在对应项打“√”标识，并与投标文件中提供相应的安全管理措施。</w:t>
      </w:r>
    </w:p>
    <w:p w14:paraId="32338AF8">
      <w:pPr>
        <w:numPr>
          <w:ilvl w:val="0"/>
          <w:numId w:val="0"/>
        </w:numPr>
        <w:autoSpaceDE w:val="0"/>
        <w:autoSpaceDN w:val="0"/>
        <w:adjustRightInd w:val="0"/>
        <w:spacing w:line="360" w:lineRule="auto"/>
        <w:ind w:left="1080" w:hanging="720"/>
        <w:jc w:val="left"/>
        <w:rPr>
          <w:rFonts w:ascii="宋体" w:hAnsi="宋体"/>
          <w:color w:val="auto"/>
          <w:sz w:val="24"/>
          <w:szCs w:val="24"/>
          <w:highlight w:val="none"/>
        </w:rPr>
      </w:pPr>
      <w:r>
        <w:rPr>
          <w:rFonts w:hint="default" w:ascii="宋体" w:hAnsi="宋体"/>
          <w:color w:val="auto"/>
          <w:kern w:val="2"/>
          <w:sz w:val="24"/>
          <w:szCs w:val="24"/>
          <w:highlight w:val="none"/>
          <w:lang w:val="en-US" w:eastAsia="zh-CN" w:bidi="ar-SA"/>
        </w:rPr>
        <w:t>（2）</w:t>
      </w:r>
      <w:r>
        <w:rPr>
          <w:rFonts w:hint="eastAsia" w:ascii="宋体" w:hAnsi="宋体"/>
          <w:color w:val="auto"/>
          <w:sz w:val="24"/>
          <w:szCs w:val="24"/>
          <w:highlight w:val="none"/>
        </w:rPr>
        <w:t>投标单位对清单中认为需要补充的该项请在对应项打“√”标识，并与投标文件中提供相应的安全管理措施。</w:t>
      </w:r>
    </w:p>
    <w:p w14:paraId="55365ADF">
      <w:pPr>
        <w:numPr>
          <w:ilvl w:val="0"/>
          <w:numId w:val="0"/>
        </w:numPr>
        <w:autoSpaceDE w:val="0"/>
        <w:autoSpaceDN w:val="0"/>
        <w:adjustRightInd w:val="0"/>
        <w:spacing w:line="360" w:lineRule="auto"/>
        <w:ind w:left="1080" w:hanging="720"/>
        <w:jc w:val="left"/>
        <w:rPr>
          <w:rFonts w:ascii="宋体" w:hAnsi="宋体"/>
          <w:color w:val="auto"/>
          <w:sz w:val="24"/>
          <w:szCs w:val="24"/>
          <w:highlight w:val="none"/>
        </w:rPr>
      </w:pPr>
      <w:r>
        <w:rPr>
          <w:rFonts w:hint="default" w:ascii="宋体" w:hAnsi="宋体"/>
          <w:color w:val="auto"/>
          <w:kern w:val="2"/>
          <w:sz w:val="24"/>
          <w:szCs w:val="24"/>
          <w:highlight w:val="none"/>
          <w:lang w:val="en-US" w:eastAsia="zh-CN" w:bidi="ar-SA"/>
        </w:rPr>
        <w:t>（3）</w:t>
      </w:r>
      <w:r>
        <w:rPr>
          <w:rFonts w:hint="eastAsia" w:ascii="宋体" w:hAnsi="宋体"/>
          <w:color w:val="auto"/>
          <w:sz w:val="24"/>
          <w:szCs w:val="24"/>
          <w:highlight w:val="none"/>
        </w:rPr>
        <w:t>投标单位不同意建设单位在清单中标识的该项请在对应项打“×”标识，并在备注栏填上相关说明。</w:t>
      </w:r>
    </w:p>
    <w:p w14:paraId="2C108CA2">
      <w:pPr>
        <w:numPr>
          <w:ilvl w:val="0"/>
          <w:numId w:val="12"/>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投标单位应当在投标时根据招标人提供的下述第5点清单，在投标文件中编制专项施工方案。</w:t>
      </w:r>
    </w:p>
    <w:p w14:paraId="7CB294CF">
      <w:pPr>
        <w:numPr>
          <w:ilvl w:val="0"/>
          <w:numId w:val="12"/>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F3F28B6">
      <w:pPr>
        <w:numPr>
          <w:ilvl w:val="0"/>
          <w:numId w:val="12"/>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危险性较大的分部分项工程清单及超过一定规模的危险性较大的分部分项工程清单：</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8"/>
        <w:gridCol w:w="1351"/>
        <w:gridCol w:w="1353"/>
        <w:gridCol w:w="1058"/>
      </w:tblGrid>
      <w:tr w14:paraId="03ED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79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1860340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危险性较大的分部分项工程清单</w:t>
            </w:r>
          </w:p>
        </w:tc>
        <w:tc>
          <w:tcPr>
            <w:tcW w:w="793" w:type="pct"/>
            <w:tcBorders>
              <w:top w:val="single" w:color="auto" w:sz="4" w:space="0"/>
              <w:left w:val="nil"/>
              <w:bottom w:val="single" w:color="auto" w:sz="4" w:space="0"/>
              <w:right w:val="single" w:color="auto" w:sz="4" w:space="0"/>
            </w:tcBorders>
            <w:shd w:val="clear" w:color="auto" w:fill="D8D8D8"/>
            <w:noWrap w:val="0"/>
            <w:vAlign w:val="center"/>
          </w:tcPr>
          <w:p w14:paraId="3B61773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招标人</w:t>
            </w:r>
          </w:p>
        </w:tc>
        <w:tc>
          <w:tcPr>
            <w:tcW w:w="794" w:type="pct"/>
            <w:tcBorders>
              <w:top w:val="single" w:color="auto" w:sz="4" w:space="0"/>
              <w:left w:val="nil"/>
              <w:bottom w:val="single" w:color="auto" w:sz="4" w:space="0"/>
              <w:right w:val="single" w:color="auto" w:sz="4" w:space="0"/>
            </w:tcBorders>
            <w:shd w:val="clear" w:color="auto" w:fill="D8D8D8"/>
            <w:noWrap w:val="0"/>
            <w:vAlign w:val="center"/>
          </w:tcPr>
          <w:p w14:paraId="3588058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w:t>
            </w:r>
          </w:p>
        </w:tc>
        <w:tc>
          <w:tcPr>
            <w:tcW w:w="619" w:type="pct"/>
            <w:tcBorders>
              <w:top w:val="single" w:color="auto" w:sz="4" w:space="0"/>
              <w:left w:val="nil"/>
              <w:bottom w:val="single" w:color="auto" w:sz="4" w:space="0"/>
              <w:right w:val="single" w:color="auto" w:sz="4" w:space="0"/>
            </w:tcBorders>
            <w:shd w:val="clear" w:color="auto" w:fill="D8D8D8"/>
            <w:noWrap w:val="0"/>
            <w:vAlign w:val="center"/>
          </w:tcPr>
          <w:p w14:paraId="00144A9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0A08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9A2EFE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一、基坑支护</w:t>
            </w:r>
          </w:p>
        </w:tc>
      </w:tr>
      <w:tr w14:paraId="4DDB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222C4B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（一）开挖深度超过3m（含3m）的基坑（槽）的土方开挖、支护、降水工程。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14:paraId="1E27AA77">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6B92FBE0">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28604C22">
            <w:pPr>
              <w:spacing w:line="360" w:lineRule="auto"/>
              <w:jc w:val="center"/>
              <w:rPr>
                <w:rFonts w:hint="eastAsia" w:ascii="宋体" w:hAnsi="宋体" w:eastAsia="宋体" w:cs="宋体"/>
                <w:color w:val="auto"/>
                <w:sz w:val="24"/>
                <w:szCs w:val="24"/>
                <w:highlight w:val="none"/>
              </w:rPr>
            </w:pPr>
          </w:p>
        </w:tc>
      </w:tr>
      <w:tr w14:paraId="2F40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5CED7E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（二）开挖深度虽未超过3m，但地质条件、周围环境和地下管线复杂，或影响毗邻建、构筑物安全的基坑（槽）的土方开挖、支护、降水工程。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14:paraId="4F1FB006">
            <w:pPr>
              <w:spacing w:line="360" w:lineRule="auto"/>
              <w:jc w:val="center"/>
              <w:rPr>
                <w:rFonts w:hint="eastAsia" w:ascii="宋体" w:hAnsi="宋体" w:eastAsia="宋体" w:cs="宋体"/>
                <w:color w:val="auto"/>
                <w:sz w:val="24"/>
                <w:szCs w:val="24"/>
                <w:highlight w:val="none"/>
                <w:lang w:val="en-US" w:eastAsia="zh-CN"/>
              </w:rPr>
            </w:pPr>
          </w:p>
        </w:tc>
        <w:tc>
          <w:tcPr>
            <w:tcW w:w="794" w:type="pct"/>
            <w:tcBorders>
              <w:top w:val="single" w:color="auto" w:sz="4" w:space="0"/>
              <w:left w:val="nil"/>
              <w:bottom w:val="single" w:color="auto" w:sz="4" w:space="0"/>
              <w:right w:val="single" w:color="auto" w:sz="4" w:space="0"/>
            </w:tcBorders>
            <w:noWrap w:val="0"/>
            <w:vAlign w:val="center"/>
          </w:tcPr>
          <w:p w14:paraId="314691C3">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6B00A59">
            <w:pPr>
              <w:spacing w:line="360" w:lineRule="auto"/>
              <w:jc w:val="center"/>
              <w:rPr>
                <w:rFonts w:hint="eastAsia" w:ascii="宋体" w:hAnsi="宋体" w:eastAsia="宋体" w:cs="宋体"/>
                <w:color w:val="auto"/>
                <w:sz w:val="24"/>
                <w:szCs w:val="24"/>
                <w:highlight w:val="none"/>
              </w:rPr>
            </w:pPr>
          </w:p>
        </w:tc>
      </w:tr>
      <w:tr w14:paraId="5E9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F8F6409">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二、模板工程及支撑体系</w:t>
            </w:r>
          </w:p>
        </w:tc>
      </w:tr>
      <w:tr w14:paraId="128B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2CAAD1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14:paraId="42089EF6">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505FC7B">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2A9CC9E">
            <w:pPr>
              <w:spacing w:line="360" w:lineRule="auto"/>
              <w:jc w:val="center"/>
              <w:rPr>
                <w:rFonts w:hint="eastAsia" w:ascii="宋体" w:hAnsi="宋体" w:eastAsia="宋体" w:cs="宋体"/>
                <w:color w:val="auto"/>
                <w:sz w:val="24"/>
                <w:szCs w:val="24"/>
                <w:highlight w:val="none"/>
              </w:rPr>
            </w:pPr>
          </w:p>
        </w:tc>
      </w:tr>
      <w:tr w14:paraId="1729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2F73E9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color="auto" w:sz="4" w:space="0"/>
              <w:left w:val="nil"/>
              <w:bottom w:val="single" w:color="auto" w:sz="4" w:space="0"/>
              <w:right w:val="single" w:color="auto" w:sz="4" w:space="0"/>
            </w:tcBorders>
            <w:noWrap w:val="0"/>
            <w:vAlign w:val="center"/>
          </w:tcPr>
          <w:p w14:paraId="1D2D0A52">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348E5750">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4BFAF0D">
            <w:pPr>
              <w:spacing w:line="360" w:lineRule="auto"/>
              <w:jc w:val="center"/>
              <w:rPr>
                <w:rFonts w:hint="eastAsia" w:ascii="宋体" w:hAnsi="宋体" w:eastAsia="宋体" w:cs="宋体"/>
                <w:color w:val="auto"/>
                <w:sz w:val="24"/>
                <w:szCs w:val="24"/>
                <w:highlight w:val="none"/>
              </w:rPr>
            </w:pPr>
          </w:p>
        </w:tc>
      </w:tr>
      <w:tr w14:paraId="0AB1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48EAC0C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（三）承重支撑体系：用于钢结构安装等满堂支撑体系。</w:t>
            </w:r>
          </w:p>
        </w:tc>
        <w:tc>
          <w:tcPr>
            <w:tcW w:w="793" w:type="pct"/>
            <w:tcBorders>
              <w:top w:val="single" w:color="auto" w:sz="4" w:space="0"/>
              <w:left w:val="nil"/>
              <w:bottom w:val="single" w:color="auto" w:sz="4" w:space="0"/>
              <w:right w:val="single" w:color="auto" w:sz="4" w:space="0"/>
            </w:tcBorders>
            <w:noWrap w:val="0"/>
            <w:vAlign w:val="center"/>
          </w:tcPr>
          <w:p w14:paraId="547F5274">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59FAF466">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5429ABF5">
            <w:pPr>
              <w:spacing w:line="360" w:lineRule="auto"/>
              <w:jc w:val="center"/>
              <w:rPr>
                <w:rFonts w:hint="eastAsia" w:ascii="宋体" w:hAnsi="宋体" w:eastAsia="宋体" w:cs="宋体"/>
                <w:color w:val="auto"/>
                <w:sz w:val="24"/>
                <w:szCs w:val="24"/>
                <w:highlight w:val="none"/>
              </w:rPr>
            </w:pPr>
          </w:p>
        </w:tc>
      </w:tr>
      <w:tr w14:paraId="6DFA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DE0BEA9">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三、起重吊装及起重机械安装拆卸工程</w:t>
            </w:r>
          </w:p>
        </w:tc>
      </w:tr>
      <w:tr w14:paraId="12B5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78E4FAC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（一）采用非常规起重设备、方法，且单件起吊重量在10kN及以上的起重吊装工程。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14:paraId="501262F4">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04F1CED">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3D3C9D25">
            <w:pPr>
              <w:spacing w:line="360" w:lineRule="auto"/>
              <w:jc w:val="center"/>
              <w:rPr>
                <w:rFonts w:hint="eastAsia" w:ascii="宋体" w:hAnsi="宋体" w:eastAsia="宋体" w:cs="宋体"/>
                <w:color w:val="auto"/>
                <w:sz w:val="24"/>
                <w:szCs w:val="24"/>
                <w:highlight w:val="none"/>
              </w:rPr>
            </w:pPr>
          </w:p>
        </w:tc>
      </w:tr>
      <w:tr w14:paraId="1FA4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3A3239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（二）采用起重机械进行安装的工程。</w:t>
            </w:r>
          </w:p>
        </w:tc>
        <w:tc>
          <w:tcPr>
            <w:tcW w:w="793" w:type="pct"/>
            <w:tcBorders>
              <w:top w:val="single" w:color="auto" w:sz="4" w:space="0"/>
              <w:left w:val="nil"/>
              <w:bottom w:val="single" w:color="auto" w:sz="4" w:space="0"/>
              <w:right w:val="single" w:color="auto" w:sz="4" w:space="0"/>
            </w:tcBorders>
            <w:noWrap w:val="0"/>
            <w:vAlign w:val="center"/>
          </w:tcPr>
          <w:p w14:paraId="448B3975">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1CB867BE">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F1DE0B1">
            <w:pPr>
              <w:spacing w:line="360" w:lineRule="auto"/>
              <w:jc w:val="center"/>
              <w:rPr>
                <w:rFonts w:hint="eastAsia" w:ascii="宋体" w:hAnsi="宋体" w:eastAsia="宋体" w:cs="宋体"/>
                <w:color w:val="auto"/>
                <w:sz w:val="24"/>
                <w:szCs w:val="24"/>
                <w:highlight w:val="none"/>
              </w:rPr>
            </w:pPr>
          </w:p>
        </w:tc>
      </w:tr>
      <w:tr w14:paraId="2CA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5FF0D5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14:paraId="78FEA357">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1453B03C">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69AE4798">
            <w:pPr>
              <w:spacing w:line="360" w:lineRule="auto"/>
              <w:jc w:val="center"/>
              <w:rPr>
                <w:rFonts w:hint="eastAsia" w:ascii="宋体" w:hAnsi="宋体" w:eastAsia="宋体" w:cs="宋体"/>
                <w:color w:val="auto"/>
                <w:sz w:val="24"/>
                <w:szCs w:val="24"/>
                <w:highlight w:val="none"/>
              </w:rPr>
            </w:pPr>
          </w:p>
        </w:tc>
      </w:tr>
      <w:tr w14:paraId="4684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5E0BBE4">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四、脚手架工程</w:t>
            </w:r>
          </w:p>
        </w:tc>
      </w:tr>
      <w:tr w14:paraId="5B49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54349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（一）搭设高度24m及以上的落地式钢管脚手架工程（包括采光井、电梯井脚手架）。</w:t>
            </w:r>
          </w:p>
        </w:tc>
        <w:tc>
          <w:tcPr>
            <w:tcW w:w="793" w:type="pct"/>
            <w:tcBorders>
              <w:top w:val="single" w:color="auto" w:sz="4" w:space="0"/>
              <w:left w:val="nil"/>
              <w:bottom w:val="single" w:color="auto" w:sz="4" w:space="0"/>
              <w:right w:val="single" w:color="auto" w:sz="4" w:space="0"/>
            </w:tcBorders>
            <w:noWrap w:val="0"/>
            <w:vAlign w:val="center"/>
          </w:tcPr>
          <w:p w14:paraId="311BF0AC">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3048583D">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549F84A5">
            <w:pPr>
              <w:spacing w:line="360" w:lineRule="auto"/>
              <w:jc w:val="center"/>
              <w:rPr>
                <w:rFonts w:hint="eastAsia" w:ascii="宋体" w:hAnsi="宋体" w:eastAsia="宋体" w:cs="宋体"/>
                <w:color w:val="auto"/>
                <w:sz w:val="24"/>
                <w:szCs w:val="24"/>
                <w:highlight w:val="none"/>
              </w:rPr>
            </w:pPr>
          </w:p>
        </w:tc>
      </w:tr>
      <w:tr w14:paraId="54B6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753FFE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（二）附着式升降脚手架工程。</w:t>
            </w:r>
          </w:p>
        </w:tc>
        <w:tc>
          <w:tcPr>
            <w:tcW w:w="793" w:type="pct"/>
            <w:tcBorders>
              <w:top w:val="single" w:color="auto" w:sz="4" w:space="0"/>
              <w:left w:val="nil"/>
              <w:bottom w:val="single" w:color="auto" w:sz="4" w:space="0"/>
              <w:right w:val="single" w:color="auto" w:sz="4" w:space="0"/>
            </w:tcBorders>
            <w:noWrap w:val="0"/>
            <w:vAlign w:val="center"/>
          </w:tcPr>
          <w:p w14:paraId="2F304976">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5946E041">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5215D1C">
            <w:pPr>
              <w:spacing w:line="360" w:lineRule="auto"/>
              <w:jc w:val="center"/>
              <w:rPr>
                <w:rFonts w:hint="eastAsia" w:ascii="宋体" w:hAnsi="宋体" w:eastAsia="宋体" w:cs="宋体"/>
                <w:color w:val="auto"/>
                <w:sz w:val="24"/>
                <w:szCs w:val="24"/>
                <w:highlight w:val="none"/>
              </w:rPr>
            </w:pPr>
          </w:p>
        </w:tc>
      </w:tr>
      <w:tr w14:paraId="315B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7A57F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（三）悬挑式脚手架工程。</w:t>
            </w:r>
          </w:p>
        </w:tc>
        <w:tc>
          <w:tcPr>
            <w:tcW w:w="793" w:type="pct"/>
            <w:tcBorders>
              <w:top w:val="single" w:color="auto" w:sz="4" w:space="0"/>
              <w:left w:val="nil"/>
              <w:bottom w:val="single" w:color="auto" w:sz="4" w:space="0"/>
              <w:right w:val="single" w:color="auto" w:sz="4" w:space="0"/>
            </w:tcBorders>
            <w:noWrap w:val="0"/>
            <w:vAlign w:val="center"/>
          </w:tcPr>
          <w:p w14:paraId="4EC464ED">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7530D268">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93C2502">
            <w:pPr>
              <w:spacing w:line="360" w:lineRule="auto"/>
              <w:jc w:val="center"/>
              <w:rPr>
                <w:rFonts w:hint="eastAsia" w:ascii="宋体" w:hAnsi="宋体" w:eastAsia="宋体" w:cs="宋体"/>
                <w:color w:val="auto"/>
                <w:sz w:val="24"/>
                <w:szCs w:val="24"/>
                <w:highlight w:val="none"/>
              </w:rPr>
            </w:pPr>
          </w:p>
        </w:tc>
      </w:tr>
      <w:tr w14:paraId="3D25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4C31C6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（四）高处作业吊篮。</w:t>
            </w:r>
          </w:p>
        </w:tc>
        <w:tc>
          <w:tcPr>
            <w:tcW w:w="793" w:type="pct"/>
            <w:tcBorders>
              <w:top w:val="single" w:color="auto" w:sz="4" w:space="0"/>
              <w:left w:val="nil"/>
              <w:bottom w:val="single" w:color="auto" w:sz="4" w:space="0"/>
              <w:right w:val="single" w:color="auto" w:sz="4" w:space="0"/>
            </w:tcBorders>
            <w:noWrap w:val="0"/>
            <w:vAlign w:val="center"/>
          </w:tcPr>
          <w:p w14:paraId="36FFB252">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1C35C485">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0FA1EEB">
            <w:pPr>
              <w:spacing w:line="360" w:lineRule="auto"/>
              <w:jc w:val="center"/>
              <w:rPr>
                <w:rFonts w:hint="eastAsia" w:ascii="宋体" w:hAnsi="宋体" w:eastAsia="宋体" w:cs="宋体"/>
                <w:color w:val="auto"/>
                <w:sz w:val="24"/>
                <w:szCs w:val="24"/>
                <w:highlight w:val="none"/>
              </w:rPr>
            </w:pPr>
          </w:p>
        </w:tc>
      </w:tr>
      <w:tr w14:paraId="4498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3587B7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（五）卸料平台、操作平台工程。</w:t>
            </w:r>
          </w:p>
        </w:tc>
        <w:tc>
          <w:tcPr>
            <w:tcW w:w="793" w:type="pct"/>
            <w:tcBorders>
              <w:top w:val="single" w:color="auto" w:sz="4" w:space="0"/>
              <w:left w:val="nil"/>
              <w:bottom w:val="single" w:color="auto" w:sz="4" w:space="0"/>
              <w:right w:val="single" w:color="auto" w:sz="4" w:space="0"/>
            </w:tcBorders>
            <w:noWrap w:val="0"/>
            <w:vAlign w:val="center"/>
          </w:tcPr>
          <w:p w14:paraId="1E1A6EF6">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637AD739">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F9CF48A">
            <w:pPr>
              <w:spacing w:line="360" w:lineRule="auto"/>
              <w:jc w:val="center"/>
              <w:rPr>
                <w:rFonts w:hint="eastAsia" w:ascii="宋体" w:hAnsi="宋体" w:eastAsia="宋体" w:cs="宋体"/>
                <w:color w:val="auto"/>
                <w:sz w:val="24"/>
                <w:szCs w:val="24"/>
                <w:highlight w:val="none"/>
              </w:rPr>
            </w:pPr>
          </w:p>
        </w:tc>
      </w:tr>
      <w:tr w14:paraId="0654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1203BA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（六）异型脚手架工程。</w:t>
            </w:r>
          </w:p>
        </w:tc>
        <w:tc>
          <w:tcPr>
            <w:tcW w:w="793" w:type="pct"/>
            <w:tcBorders>
              <w:top w:val="single" w:color="auto" w:sz="4" w:space="0"/>
              <w:left w:val="nil"/>
              <w:bottom w:val="single" w:color="auto" w:sz="4" w:space="0"/>
              <w:right w:val="single" w:color="auto" w:sz="4" w:space="0"/>
            </w:tcBorders>
            <w:noWrap w:val="0"/>
            <w:vAlign w:val="center"/>
          </w:tcPr>
          <w:p w14:paraId="49CAAE32">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4D7B3F90">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46BC8E9">
            <w:pPr>
              <w:spacing w:line="360" w:lineRule="auto"/>
              <w:jc w:val="center"/>
              <w:rPr>
                <w:rFonts w:hint="eastAsia" w:ascii="宋体" w:hAnsi="宋体" w:eastAsia="宋体" w:cs="宋体"/>
                <w:color w:val="auto"/>
                <w:sz w:val="24"/>
                <w:szCs w:val="24"/>
                <w:highlight w:val="none"/>
              </w:rPr>
            </w:pPr>
          </w:p>
        </w:tc>
      </w:tr>
      <w:tr w14:paraId="2C3C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A5FADA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五、拆除工程</w:t>
            </w:r>
          </w:p>
        </w:tc>
      </w:tr>
      <w:tr w14:paraId="56C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CBCBB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可能影响行人、交通、电力设施、通讯设施或其它建、构筑物安全的拆除工程。</w:t>
            </w:r>
          </w:p>
        </w:tc>
        <w:tc>
          <w:tcPr>
            <w:tcW w:w="793" w:type="pct"/>
            <w:tcBorders>
              <w:top w:val="single" w:color="auto" w:sz="4" w:space="0"/>
              <w:left w:val="nil"/>
              <w:bottom w:val="single" w:color="auto" w:sz="4" w:space="0"/>
              <w:right w:val="single" w:color="auto" w:sz="4" w:space="0"/>
            </w:tcBorders>
            <w:noWrap w:val="0"/>
            <w:vAlign w:val="center"/>
          </w:tcPr>
          <w:p w14:paraId="44AC83C0">
            <w:pPr>
              <w:spacing w:line="360" w:lineRule="auto"/>
              <w:jc w:val="center"/>
              <w:rPr>
                <w:rFonts w:hint="eastAsia" w:ascii="宋体" w:hAnsi="宋体" w:eastAsia="宋体" w:cs="宋体"/>
                <w:color w:val="auto"/>
                <w:sz w:val="24"/>
                <w:szCs w:val="24"/>
                <w:highlight w:val="none"/>
              </w:rPr>
            </w:pPr>
            <w:r>
              <w:rPr>
                <w:rFonts w:hint="eastAsia" w:ascii="宋体" w:hAnsi="宋体"/>
                <w:b/>
                <w:color w:val="auto"/>
                <w:highlight w:val="none"/>
              </w:rPr>
              <w:t>√</w:t>
            </w:r>
          </w:p>
        </w:tc>
        <w:tc>
          <w:tcPr>
            <w:tcW w:w="794" w:type="pct"/>
            <w:tcBorders>
              <w:top w:val="single" w:color="auto" w:sz="4" w:space="0"/>
              <w:left w:val="nil"/>
              <w:bottom w:val="single" w:color="auto" w:sz="4" w:space="0"/>
              <w:right w:val="single" w:color="auto" w:sz="4" w:space="0"/>
            </w:tcBorders>
            <w:noWrap w:val="0"/>
            <w:vAlign w:val="center"/>
          </w:tcPr>
          <w:p w14:paraId="25C4F990">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52DBB867">
            <w:pPr>
              <w:spacing w:line="360" w:lineRule="auto"/>
              <w:jc w:val="center"/>
              <w:rPr>
                <w:rFonts w:hint="eastAsia" w:ascii="宋体" w:hAnsi="宋体" w:eastAsia="宋体" w:cs="宋体"/>
                <w:color w:val="auto"/>
                <w:sz w:val="24"/>
                <w:szCs w:val="24"/>
                <w:highlight w:val="none"/>
              </w:rPr>
            </w:pPr>
          </w:p>
        </w:tc>
      </w:tr>
      <w:tr w14:paraId="5E2E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15603B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六、暗挖工程</w:t>
            </w:r>
          </w:p>
        </w:tc>
      </w:tr>
      <w:tr w14:paraId="6F7D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67862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14:paraId="274DACF3">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7C97CBEC">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94BE93E">
            <w:pPr>
              <w:spacing w:line="360" w:lineRule="auto"/>
              <w:jc w:val="center"/>
              <w:rPr>
                <w:rFonts w:hint="eastAsia" w:ascii="宋体" w:hAnsi="宋体" w:eastAsia="宋体" w:cs="宋体"/>
                <w:color w:val="auto"/>
                <w:sz w:val="24"/>
                <w:szCs w:val="24"/>
                <w:highlight w:val="none"/>
              </w:rPr>
            </w:pPr>
          </w:p>
        </w:tc>
      </w:tr>
      <w:tr w14:paraId="41E9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39B465B">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七、其它</w:t>
            </w:r>
          </w:p>
        </w:tc>
      </w:tr>
      <w:tr w14:paraId="57FB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95FFE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（一）建筑幕墙安装工程。</w:t>
            </w:r>
          </w:p>
        </w:tc>
        <w:tc>
          <w:tcPr>
            <w:tcW w:w="793" w:type="pct"/>
            <w:tcBorders>
              <w:top w:val="single" w:color="auto" w:sz="4" w:space="0"/>
              <w:left w:val="nil"/>
              <w:bottom w:val="single" w:color="auto" w:sz="4" w:space="0"/>
              <w:right w:val="single" w:color="auto" w:sz="4" w:space="0"/>
            </w:tcBorders>
            <w:noWrap w:val="0"/>
            <w:vAlign w:val="center"/>
          </w:tcPr>
          <w:p w14:paraId="0CA8F372">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F617F41">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4D1816D2">
            <w:pPr>
              <w:spacing w:line="360" w:lineRule="auto"/>
              <w:jc w:val="center"/>
              <w:rPr>
                <w:rFonts w:hint="eastAsia" w:ascii="宋体" w:hAnsi="宋体" w:eastAsia="宋体" w:cs="宋体"/>
                <w:color w:val="auto"/>
                <w:sz w:val="24"/>
                <w:szCs w:val="24"/>
                <w:highlight w:val="none"/>
              </w:rPr>
            </w:pPr>
          </w:p>
        </w:tc>
      </w:tr>
      <w:tr w14:paraId="2EE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2F7D98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（二）钢结构、网架和索膜结构安装工程。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14:paraId="7BB8B33E">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6971881F">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3895847D">
            <w:pPr>
              <w:spacing w:line="360" w:lineRule="auto"/>
              <w:jc w:val="center"/>
              <w:rPr>
                <w:rFonts w:hint="eastAsia" w:ascii="宋体" w:hAnsi="宋体" w:eastAsia="宋体" w:cs="宋体"/>
                <w:color w:val="auto"/>
                <w:sz w:val="24"/>
                <w:szCs w:val="24"/>
                <w:highlight w:val="none"/>
              </w:rPr>
            </w:pPr>
          </w:p>
        </w:tc>
      </w:tr>
      <w:tr w14:paraId="7FF3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58BBD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（三）人工挖孔桩工程。</w:t>
            </w:r>
          </w:p>
        </w:tc>
        <w:tc>
          <w:tcPr>
            <w:tcW w:w="793" w:type="pct"/>
            <w:tcBorders>
              <w:top w:val="single" w:color="auto" w:sz="4" w:space="0"/>
              <w:left w:val="nil"/>
              <w:bottom w:val="single" w:color="auto" w:sz="4" w:space="0"/>
              <w:right w:val="single" w:color="auto" w:sz="4" w:space="0"/>
            </w:tcBorders>
            <w:noWrap w:val="0"/>
            <w:vAlign w:val="center"/>
          </w:tcPr>
          <w:p w14:paraId="2F000428">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2CDFD8E5">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1ED3ED3">
            <w:pPr>
              <w:spacing w:line="360" w:lineRule="auto"/>
              <w:jc w:val="center"/>
              <w:rPr>
                <w:rFonts w:hint="eastAsia" w:ascii="宋体" w:hAnsi="宋体" w:eastAsia="宋体" w:cs="宋体"/>
                <w:color w:val="auto"/>
                <w:sz w:val="24"/>
                <w:szCs w:val="24"/>
                <w:highlight w:val="none"/>
              </w:rPr>
            </w:pPr>
          </w:p>
        </w:tc>
      </w:tr>
      <w:tr w14:paraId="4D78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4854A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（四）水下作业工程。</w:t>
            </w:r>
          </w:p>
        </w:tc>
        <w:tc>
          <w:tcPr>
            <w:tcW w:w="793" w:type="pct"/>
            <w:tcBorders>
              <w:top w:val="single" w:color="auto" w:sz="4" w:space="0"/>
              <w:left w:val="nil"/>
              <w:bottom w:val="single" w:color="auto" w:sz="4" w:space="0"/>
              <w:right w:val="single" w:color="auto" w:sz="4" w:space="0"/>
            </w:tcBorders>
            <w:noWrap w:val="0"/>
            <w:vAlign w:val="center"/>
          </w:tcPr>
          <w:p w14:paraId="23B97249">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6A41B40A">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E3D8DD1">
            <w:pPr>
              <w:spacing w:line="360" w:lineRule="auto"/>
              <w:jc w:val="center"/>
              <w:rPr>
                <w:rFonts w:hint="eastAsia" w:ascii="宋体" w:hAnsi="宋体" w:eastAsia="宋体" w:cs="宋体"/>
                <w:color w:val="auto"/>
                <w:sz w:val="24"/>
                <w:szCs w:val="24"/>
                <w:highlight w:val="none"/>
              </w:rPr>
            </w:pPr>
          </w:p>
        </w:tc>
      </w:tr>
      <w:tr w14:paraId="519E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2B26D2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（五）装配式建筑混凝土预制构件安装工程。</w:t>
            </w:r>
          </w:p>
        </w:tc>
        <w:tc>
          <w:tcPr>
            <w:tcW w:w="793" w:type="pct"/>
            <w:tcBorders>
              <w:top w:val="single" w:color="auto" w:sz="4" w:space="0"/>
              <w:left w:val="nil"/>
              <w:bottom w:val="single" w:color="auto" w:sz="4" w:space="0"/>
              <w:right w:val="single" w:color="auto" w:sz="4" w:space="0"/>
            </w:tcBorders>
            <w:noWrap w:val="0"/>
            <w:vAlign w:val="center"/>
          </w:tcPr>
          <w:p w14:paraId="2DAF707C">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699AACBF">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B28CE47">
            <w:pPr>
              <w:spacing w:line="360" w:lineRule="auto"/>
              <w:jc w:val="center"/>
              <w:rPr>
                <w:rFonts w:hint="eastAsia" w:ascii="宋体" w:hAnsi="宋体" w:eastAsia="宋体" w:cs="宋体"/>
                <w:color w:val="auto"/>
                <w:sz w:val="24"/>
                <w:szCs w:val="24"/>
                <w:highlight w:val="none"/>
              </w:rPr>
            </w:pPr>
          </w:p>
        </w:tc>
      </w:tr>
      <w:tr w14:paraId="02C6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4E443F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14:paraId="270124A4">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676DA5D4">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20437C22">
            <w:pPr>
              <w:spacing w:line="360" w:lineRule="auto"/>
              <w:jc w:val="center"/>
              <w:rPr>
                <w:rFonts w:hint="eastAsia" w:ascii="宋体" w:hAnsi="宋体" w:eastAsia="宋体" w:cs="宋体"/>
                <w:color w:val="auto"/>
                <w:sz w:val="24"/>
                <w:szCs w:val="24"/>
                <w:highlight w:val="none"/>
              </w:rPr>
            </w:pPr>
          </w:p>
        </w:tc>
      </w:tr>
      <w:tr w14:paraId="072D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79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6D963BC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超过一定规模的危险性较大的分部分项工程清单</w:t>
            </w:r>
          </w:p>
        </w:tc>
        <w:tc>
          <w:tcPr>
            <w:tcW w:w="793" w:type="pct"/>
            <w:tcBorders>
              <w:top w:val="single" w:color="auto" w:sz="4" w:space="0"/>
              <w:left w:val="nil"/>
              <w:bottom w:val="single" w:color="auto" w:sz="4" w:space="0"/>
              <w:right w:val="single" w:color="auto" w:sz="4" w:space="0"/>
            </w:tcBorders>
            <w:shd w:val="clear" w:color="auto" w:fill="D8D8D8"/>
            <w:noWrap w:val="0"/>
            <w:vAlign w:val="center"/>
          </w:tcPr>
          <w:p w14:paraId="596CD41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招标人</w:t>
            </w:r>
          </w:p>
        </w:tc>
        <w:tc>
          <w:tcPr>
            <w:tcW w:w="794" w:type="pct"/>
            <w:tcBorders>
              <w:top w:val="single" w:color="auto" w:sz="4" w:space="0"/>
              <w:left w:val="nil"/>
              <w:bottom w:val="single" w:color="auto" w:sz="4" w:space="0"/>
              <w:right w:val="single" w:color="auto" w:sz="4" w:space="0"/>
            </w:tcBorders>
            <w:shd w:val="clear" w:color="auto" w:fill="D8D8D8"/>
            <w:noWrap w:val="0"/>
            <w:vAlign w:val="center"/>
          </w:tcPr>
          <w:p w14:paraId="7B19339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w:t>
            </w:r>
          </w:p>
        </w:tc>
        <w:tc>
          <w:tcPr>
            <w:tcW w:w="619" w:type="pct"/>
            <w:tcBorders>
              <w:top w:val="single" w:color="auto" w:sz="4" w:space="0"/>
              <w:left w:val="nil"/>
              <w:bottom w:val="single" w:color="auto" w:sz="4" w:space="0"/>
              <w:right w:val="single" w:color="auto" w:sz="4" w:space="0"/>
            </w:tcBorders>
            <w:shd w:val="clear" w:color="auto" w:fill="D8D8D8"/>
            <w:noWrap w:val="0"/>
            <w:vAlign w:val="center"/>
          </w:tcPr>
          <w:p w14:paraId="67951E5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7A8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20253C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一、深基坑工程</w:t>
            </w:r>
          </w:p>
        </w:tc>
      </w:tr>
      <w:tr w14:paraId="0BD6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392FB0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开挖深度超过5m（含5m）的基坑（槽）的土方开挖、支护、降水工程。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14:paraId="6E11FBD1">
            <w:pPr>
              <w:spacing w:line="360" w:lineRule="auto"/>
              <w:jc w:val="center"/>
              <w:rPr>
                <w:rFonts w:hint="eastAsia" w:ascii="宋体" w:hAnsi="宋体" w:eastAsia="宋体" w:cs="宋体"/>
                <w:b/>
                <w:color w:val="auto"/>
                <w:sz w:val="24"/>
                <w:szCs w:val="24"/>
                <w:highlight w:val="none"/>
              </w:rPr>
            </w:pPr>
            <w:r>
              <w:rPr>
                <w:rFonts w:hint="eastAsia" w:ascii="宋体" w:hAnsi="宋体"/>
                <w:b/>
                <w:color w:val="auto"/>
                <w:highlight w:val="none"/>
              </w:rPr>
              <w:t>√</w:t>
            </w:r>
          </w:p>
        </w:tc>
        <w:tc>
          <w:tcPr>
            <w:tcW w:w="794" w:type="pct"/>
            <w:tcBorders>
              <w:top w:val="single" w:color="auto" w:sz="4" w:space="0"/>
              <w:left w:val="nil"/>
              <w:bottom w:val="single" w:color="auto" w:sz="4" w:space="0"/>
              <w:right w:val="single" w:color="auto" w:sz="4" w:space="0"/>
            </w:tcBorders>
            <w:noWrap w:val="0"/>
            <w:vAlign w:val="center"/>
          </w:tcPr>
          <w:p w14:paraId="7ABA7025">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3B331D6B">
            <w:pPr>
              <w:spacing w:line="360" w:lineRule="auto"/>
              <w:jc w:val="center"/>
              <w:rPr>
                <w:rFonts w:hint="eastAsia" w:ascii="宋体" w:hAnsi="宋体" w:eastAsia="宋体" w:cs="宋体"/>
                <w:color w:val="auto"/>
                <w:sz w:val="24"/>
                <w:szCs w:val="24"/>
                <w:highlight w:val="none"/>
              </w:rPr>
            </w:pPr>
          </w:p>
        </w:tc>
      </w:tr>
      <w:tr w14:paraId="3287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053E88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二、模板工程及支撑体系</w:t>
            </w:r>
          </w:p>
        </w:tc>
      </w:tr>
      <w:tr w14:paraId="5778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58CDF8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14:paraId="61C9C5B0">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7EBFD920">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96817A2">
            <w:pPr>
              <w:spacing w:line="360" w:lineRule="auto"/>
              <w:jc w:val="center"/>
              <w:rPr>
                <w:rFonts w:hint="eastAsia" w:ascii="宋体" w:hAnsi="宋体" w:eastAsia="宋体" w:cs="宋体"/>
                <w:color w:val="auto"/>
                <w:sz w:val="24"/>
                <w:szCs w:val="24"/>
                <w:highlight w:val="none"/>
              </w:rPr>
            </w:pPr>
          </w:p>
        </w:tc>
      </w:tr>
      <w:tr w14:paraId="0796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1EB24F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（二）混凝土模板支撑工程：搭设高度8m及以上，或搭设跨度18m及以上，或施工总荷载（设计值）15kN/m2及以上，或集中线荷载（设计值）20kN/m及以上。</w:t>
            </w:r>
          </w:p>
        </w:tc>
        <w:tc>
          <w:tcPr>
            <w:tcW w:w="793" w:type="pct"/>
            <w:tcBorders>
              <w:top w:val="single" w:color="auto" w:sz="4" w:space="0"/>
              <w:left w:val="nil"/>
              <w:bottom w:val="single" w:color="auto" w:sz="4" w:space="0"/>
              <w:right w:val="single" w:color="auto" w:sz="4" w:space="0"/>
            </w:tcBorders>
            <w:noWrap w:val="0"/>
            <w:vAlign w:val="center"/>
          </w:tcPr>
          <w:p w14:paraId="48AA344F">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51162C48">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40CDDA29">
            <w:pPr>
              <w:spacing w:line="360" w:lineRule="auto"/>
              <w:jc w:val="center"/>
              <w:rPr>
                <w:rFonts w:hint="eastAsia" w:ascii="宋体" w:hAnsi="宋体" w:eastAsia="宋体" w:cs="宋体"/>
                <w:color w:val="auto"/>
                <w:sz w:val="24"/>
                <w:szCs w:val="24"/>
                <w:highlight w:val="none"/>
              </w:rPr>
            </w:pPr>
          </w:p>
        </w:tc>
      </w:tr>
      <w:tr w14:paraId="027C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428313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（三）承重支撑体系：用于钢结构安装等满堂支撑体系，承受单点集中荷载7kN及以上。</w:t>
            </w:r>
          </w:p>
        </w:tc>
        <w:tc>
          <w:tcPr>
            <w:tcW w:w="793" w:type="pct"/>
            <w:tcBorders>
              <w:top w:val="single" w:color="auto" w:sz="4" w:space="0"/>
              <w:left w:val="nil"/>
              <w:bottom w:val="single" w:color="auto" w:sz="4" w:space="0"/>
              <w:right w:val="single" w:color="auto" w:sz="4" w:space="0"/>
            </w:tcBorders>
            <w:noWrap w:val="0"/>
            <w:vAlign w:val="center"/>
          </w:tcPr>
          <w:p w14:paraId="20A37AA2">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B5EB4A0">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F91D3F1">
            <w:pPr>
              <w:spacing w:line="360" w:lineRule="auto"/>
              <w:jc w:val="center"/>
              <w:rPr>
                <w:rFonts w:hint="eastAsia" w:ascii="宋体" w:hAnsi="宋体" w:eastAsia="宋体" w:cs="宋体"/>
                <w:color w:val="auto"/>
                <w:sz w:val="24"/>
                <w:szCs w:val="24"/>
                <w:highlight w:val="none"/>
              </w:rPr>
            </w:pPr>
          </w:p>
        </w:tc>
      </w:tr>
      <w:tr w14:paraId="7E2D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CFDD24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三、起重吊装及起重机械安装拆卸工程</w:t>
            </w:r>
          </w:p>
        </w:tc>
      </w:tr>
      <w:tr w14:paraId="1BB5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166D86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（一）采用非常规起重设备、方法，且单件起吊重量在100kN及以上的起重吊装工程。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14:paraId="43534FDA">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445FF716">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A54D02C">
            <w:pPr>
              <w:spacing w:line="360" w:lineRule="auto"/>
              <w:jc w:val="center"/>
              <w:rPr>
                <w:rFonts w:hint="eastAsia" w:ascii="宋体" w:hAnsi="宋体" w:eastAsia="宋体" w:cs="宋体"/>
                <w:color w:val="auto"/>
                <w:sz w:val="24"/>
                <w:szCs w:val="24"/>
                <w:highlight w:val="none"/>
              </w:rPr>
            </w:pPr>
          </w:p>
        </w:tc>
      </w:tr>
      <w:tr w14:paraId="2CDC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39427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（二）起重量300kN及以上，或搭设总高度200m及以上，或搭设基础标高在200m及以上的起重机械安装和拆卸工程。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14:paraId="68957A73">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2747A0E8">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28CAAA21">
            <w:pPr>
              <w:spacing w:line="360" w:lineRule="auto"/>
              <w:jc w:val="center"/>
              <w:rPr>
                <w:rFonts w:hint="eastAsia" w:ascii="宋体" w:hAnsi="宋体" w:eastAsia="宋体" w:cs="宋体"/>
                <w:color w:val="auto"/>
                <w:sz w:val="24"/>
                <w:szCs w:val="24"/>
                <w:highlight w:val="none"/>
              </w:rPr>
            </w:pPr>
          </w:p>
        </w:tc>
      </w:tr>
      <w:tr w14:paraId="04E4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A033F5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四、脚手架工程</w:t>
            </w:r>
          </w:p>
        </w:tc>
      </w:tr>
      <w:tr w14:paraId="1417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3AF497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（一）搭设高度50m及以上的落地式钢管脚手架工程。</w:t>
            </w:r>
          </w:p>
        </w:tc>
        <w:tc>
          <w:tcPr>
            <w:tcW w:w="793" w:type="pct"/>
            <w:tcBorders>
              <w:top w:val="single" w:color="auto" w:sz="4" w:space="0"/>
              <w:left w:val="nil"/>
              <w:bottom w:val="single" w:color="auto" w:sz="4" w:space="0"/>
              <w:right w:val="single" w:color="auto" w:sz="4" w:space="0"/>
            </w:tcBorders>
            <w:noWrap w:val="0"/>
            <w:vAlign w:val="center"/>
          </w:tcPr>
          <w:p w14:paraId="6B03AB53">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30BA0B6A">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5A0E291A">
            <w:pPr>
              <w:spacing w:line="360" w:lineRule="auto"/>
              <w:jc w:val="center"/>
              <w:rPr>
                <w:rFonts w:hint="eastAsia" w:ascii="宋体" w:hAnsi="宋体" w:eastAsia="宋体" w:cs="宋体"/>
                <w:color w:val="auto"/>
                <w:sz w:val="24"/>
                <w:szCs w:val="24"/>
                <w:highlight w:val="none"/>
              </w:rPr>
            </w:pPr>
          </w:p>
        </w:tc>
      </w:tr>
      <w:tr w14:paraId="4B9A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2BEF4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（二）提升高度在150m及以上的附着式升降脚手架工程或附着式升降操作平台工程。</w:t>
            </w:r>
          </w:p>
        </w:tc>
        <w:tc>
          <w:tcPr>
            <w:tcW w:w="793" w:type="pct"/>
            <w:tcBorders>
              <w:top w:val="single" w:color="auto" w:sz="4" w:space="0"/>
              <w:left w:val="nil"/>
              <w:bottom w:val="single" w:color="auto" w:sz="4" w:space="0"/>
              <w:right w:val="single" w:color="auto" w:sz="4" w:space="0"/>
            </w:tcBorders>
            <w:noWrap w:val="0"/>
            <w:vAlign w:val="center"/>
          </w:tcPr>
          <w:p w14:paraId="4D7E08DB">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24ADF75">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5028900">
            <w:pPr>
              <w:spacing w:line="360" w:lineRule="auto"/>
              <w:jc w:val="center"/>
              <w:rPr>
                <w:rFonts w:hint="eastAsia" w:ascii="宋体" w:hAnsi="宋体" w:eastAsia="宋体" w:cs="宋体"/>
                <w:color w:val="auto"/>
                <w:sz w:val="24"/>
                <w:szCs w:val="24"/>
                <w:highlight w:val="none"/>
              </w:rPr>
            </w:pPr>
          </w:p>
        </w:tc>
      </w:tr>
      <w:tr w14:paraId="5A3D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6B57B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（三）分段架体搭设高度20m及以上的悬挑式脚手架工程。</w:t>
            </w:r>
          </w:p>
        </w:tc>
        <w:tc>
          <w:tcPr>
            <w:tcW w:w="793" w:type="pct"/>
            <w:tcBorders>
              <w:top w:val="single" w:color="auto" w:sz="4" w:space="0"/>
              <w:left w:val="nil"/>
              <w:bottom w:val="single" w:color="auto" w:sz="4" w:space="0"/>
              <w:right w:val="single" w:color="auto" w:sz="4" w:space="0"/>
            </w:tcBorders>
            <w:noWrap w:val="0"/>
            <w:vAlign w:val="center"/>
          </w:tcPr>
          <w:p w14:paraId="065529D1">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3D15B63B">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60E1524D">
            <w:pPr>
              <w:spacing w:line="360" w:lineRule="auto"/>
              <w:jc w:val="center"/>
              <w:rPr>
                <w:rFonts w:hint="eastAsia" w:ascii="宋体" w:hAnsi="宋体" w:eastAsia="宋体" w:cs="宋体"/>
                <w:color w:val="auto"/>
                <w:sz w:val="24"/>
                <w:szCs w:val="24"/>
                <w:highlight w:val="none"/>
              </w:rPr>
            </w:pPr>
          </w:p>
        </w:tc>
      </w:tr>
      <w:tr w14:paraId="052B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08CD02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五、拆除工程</w:t>
            </w:r>
          </w:p>
        </w:tc>
      </w:tr>
      <w:tr w14:paraId="1C46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45B4F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（一）码头、桥梁、高架、烟囱、水塔或拆除中容易引起有毒有害气（液）体或粉尘扩散、易燃易爆事故发生的特殊建、构筑物的拆除工程。</w:t>
            </w:r>
          </w:p>
        </w:tc>
        <w:tc>
          <w:tcPr>
            <w:tcW w:w="793" w:type="pct"/>
            <w:tcBorders>
              <w:top w:val="single" w:color="auto" w:sz="4" w:space="0"/>
              <w:left w:val="nil"/>
              <w:bottom w:val="single" w:color="auto" w:sz="4" w:space="0"/>
              <w:right w:val="single" w:color="auto" w:sz="4" w:space="0"/>
            </w:tcBorders>
            <w:noWrap w:val="0"/>
            <w:vAlign w:val="center"/>
          </w:tcPr>
          <w:p w14:paraId="2C82DE7E">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1978CA5A">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29E1D3E">
            <w:pPr>
              <w:spacing w:line="360" w:lineRule="auto"/>
              <w:jc w:val="center"/>
              <w:rPr>
                <w:rFonts w:hint="eastAsia" w:ascii="宋体" w:hAnsi="宋体" w:eastAsia="宋体" w:cs="宋体"/>
                <w:color w:val="auto"/>
                <w:sz w:val="24"/>
                <w:szCs w:val="24"/>
                <w:highlight w:val="none"/>
              </w:rPr>
            </w:pPr>
          </w:p>
        </w:tc>
      </w:tr>
      <w:tr w14:paraId="76DC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105B62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（二）文物保护建筑、优秀历史建筑或历史文化风貌区影响范围内的拆除工程。</w:t>
            </w:r>
          </w:p>
        </w:tc>
        <w:tc>
          <w:tcPr>
            <w:tcW w:w="793" w:type="pct"/>
            <w:tcBorders>
              <w:top w:val="single" w:color="auto" w:sz="4" w:space="0"/>
              <w:left w:val="nil"/>
              <w:bottom w:val="single" w:color="auto" w:sz="4" w:space="0"/>
              <w:right w:val="single" w:color="auto" w:sz="4" w:space="0"/>
            </w:tcBorders>
            <w:noWrap w:val="0"/>
            <w:vAlign w:val="center"/>
          </w:tcPr>
          <w:p w14:paraId="354D60C4">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48595DB7">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78B26173">
            <w:pPr>
              <w:spacing w:line="360" w:lineRule="auto"/>
              <w:jc w:val="center"/>
              <w:rPr>
                <w:rFonts w:hint="eastAsia" w:ascii="宋体" w:hAnsi="宋体" w:eastAsia="宋体" w:cs="宋体"/>
                <w:color w:val="auto"/>
                <w:sz w:val="24"/>
                <w:szCs w:val="24"/>
                <w:highlight w:val="none"/>
              </w:rPr>
            </w:pPr>
          </w:p>
        </w:tc>
      </w:tr>
      <w:tr w14:paraId="237E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109585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六、暗挖工程</w:t>
            </w:r>
          </w:p>
        </w:tc>
      </w:tr>
      <w:tr w14:paraId="21FB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209E18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14:paraId="71C97440">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30163672">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64D282AC">
            <w:pPr>
              <w:spacing w:line="360" w:lineRule="auto"/>
              <w:jc w:val="center"/>
              <w:rPr>
                <w:rFonts w:hint="eastAsia" w:ascii="宋体" w:hAnsi="宋体" w:eastAsia="宋体" w:cs="宋体"/>
                <w:color w:val="auto"/>
                <w:sz w:val="24"/>
                <w:szCs w:val="24"/>
                <w:highlight w:val="none"/>
              </w:rPr>
            </w:pPr>
          </w:p>
        </w:tc>
      </w:tr>
      <w:tr w14:paraId="4EF2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C1D4E8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七、其它</w:t>
            </w:r>
          </w:p>
        </w:tc>
      </w:tr>
      <w:tr w14:paraId="699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698CF5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（一）施工高度50m及以上的建筑幕墙安装工程。</w:t>
            </w:r>
          </w:p>
        </w:tc>
        <w:tc>
          <w:tcPr>
            <w:tcW w:w="793" w:type="pct"/>
            <w:tcBorders>
              <w:top w:val="single" w:color="auto" w:sz="4" w:space="0"/>
              <w:left w:val="nil"/>
              <w:bottom w:val="single" w:color="auto" w:sz="4" w:space="0"/>
              <w:right w:val="single" w:color="auto" w:sz="4" w:space="0"/>
            </w:tcBorders>
            <w:noWrap w:val="0"/>
            <w:vAlign w:val="center"/>
          </w:tcPr>
          <w:p w14:paraId="7C99DE76">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7C278F42">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43207B99">
            <w:pPr>
              <w:spacing w:line="360" w:lineRule="auto"/>
              <w:jc w:val="center"/>
              <w:rPr>
                <w:rFonts w:hint="eastAsia" w:ascii="宋体" w:hAnsi="宋体" w:eastAsia="宋体" w:cs="宋体"/>
                <w:color w:val="auto"/>
                <w:sz w:val="24"/>
                <w:szCs w:val="24"/>
                <w:highlight w:val="none"/>
              </w:rPr>
            </w:pPr>
          </w:p>
        </w:tc>
      </w:tr>
      <w:tr w14:paraId="584C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72F54C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（二）跨度36m及以上的钢结构安装工程，或跨度60m及以上的网架和索膜结构安装工程。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14:paraId="0C91F3D3">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2943F6B9">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2E6F1484">
            <w:pPr>
              <w:spacing w:line="360" w:lineRule="auto"/>
              <w:jc w:val="center"/>
              <w:rPr>
                <w:rFonts w:hint="eastAsia" w:ascii="宋体" w:hAnsi="宋体" w:eastAsia="宋体" w:cs="宋体"/>
                <w:color w:val="auto"/>
                <w:sz w:val="24"/>
                <w:szCs w:val="24"/>
                <w:highlight w:val="none"/>
              </w:rPr>
            </w:pPr>
          </w:p>
        </w:tc>
      </w:tr>
      <w:tr w14:paraId="00D2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8EB83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（三）开挖深度16m及以上的人工挖孔桩工程。</w:t>
            </w:r>
          </w:p>
        </w:tc>
        <w:tc>
          <w:tcPr>
            <w:tcW w:w="793" w:type="pct"/>
            <w:tcBorders>
              <w:top w:val="single" w:color="auto" w:sz="4" w:space="0"/>
              <w:left w:val="nil"/>
              <w:bottom w:val="single" w:color="auto" w:sz="4" w:space="0"/>
              <w:right w:val="single" w:color="auto" w:sz="4" w:space="0"/>
            </w:tcBorders>
            <w:noWrap w:val="0"/>
            <w:vAlign w:val="center"/>
          </w:tcPr>
          <w:p w14:paraId="21789D85">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4B6B1A4C">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A70D7B1">
            <w:pPr>
              <w:spacing w:line="360" w:lineRule="auto"/>
              <w:jc w:val="center"/>
              <w:rPr>
                <w:rFonts w:hint="eastAsia" w:ascii="宋体" w:hAnsi="宋体" w:eastAsia="宋体" w:cs="宋体"/>
                <w:color w:val="auto"/>
                <w:sz w:val="24"/>
                <w:szCs w:val="24"/>
                <w:highlight w:val="none"/>
              </w:rPr>
            </w:pPr>
          </w:p>
        </w:tc>
      </w:tr>
      <w:tr w14:paraId="5E28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754398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（四）水下作业工程。</w:t>
            </w:r>
          </w:p>
        </w:tc>
        <w:tc>
          <w:tcPr>
            <w:tcW w:w="793" w:type="pct"/>
            <w:tcBorders>
              <w:top w:val="single" w:color="auto" w:sz="4" w:space="0"/>
              <w:left w:val="nil"/>
              <w:bottom w:val="single" w:color="auto" w:sz="4" w:space="0"/>
              <w:right w:val="single" w:color="auto" w:sz="4" w:space="0"/>
            </w:tcBorders>
            <w:noWrap w:val="0"/>
            <w:vAlign w:val="center"/>
          </w:tcPr>
          <w:p w14:paraId="2EDE40A7">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2CD816E">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0D1A3B01">
            <w:pPr>
              <w:spacing w:line="360" w:lineRule="auto"/>
              <w:jc w:val="center"/>
              <w:rPr>
                <w:rFonts w:hint="eastAsia" w:ascii="宋体" w:hAnsi="宋体" w:eastAsia="宋体" w:cs="宋体"/>
                <w:color w:val="auto"/>
                <w:sz w:val="24"/>
                <w:szCs w:val="24"/>
                <w:highlight w:val="none"/>
              </w:rPr>
            </w:pPr>
          </w:p>
        </w:tc>
      </w:tr>
      <w:tr w14:paraId="0CC3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5E4CA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（五）重量1000kN及以上的大型结构整体顶升、平移、转体等施工工艺。</w:t>
            </w:r>
          </w:p>
        </w:tc>
        <w:tc>
          <w:tcPr>
            <w:tcW w:w="793" w:type="pct"/>
            <w:tcBorders>
              <w:top w:val="single" w:color="auto" w:sz="4" w:space="0"/>
              <w:left w:val="nil"/>
              <w:bottom w:val="single" w:color="auto" w:sz="4" w:space="0"/>
              <w:right w:val="single" w:color="auto" w:sz="4" w:space="0"/>
            </w:tcBorders>
            <w:noWrap w:val="0"/>
            <w:vAlign w:val="center"/>
          </w:tcPr>
          <w:p w14:paraId="2903442F">
            <w:pPr>
              <w:spacing w:line="360" w:lineRule="auto"/>
              <w:jc w:val="center"/>
              <w:rPr>
                <w:rFonts w:hint="eastAsia" w:ascii="宋体" w:hAnsi="宋体" w:eastAsia="宋体" w:cs="宋体"/>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4389DA32">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184DAC40">
            <w:pPr>
              <w:spacing w:line="360" w:lineRule="auto"/>
              <w:jc w:val="center"/>
              <w:rPr>
                <w:rFonts w:hint="eastAsia" w:ascii="宋体" w:hAnsi="宋体" w:eastAsia="宋体" w:cs="宋体"/>
                <w:color w:val="auto"/>
                <w:sz w:val="24"/>
                <w:szCs w:val="24"/>
                <w:highlight w:val="none"/>
              </w:rPr>
            </w:pPr>
          </w:p>
        </w:tc>
      </w:tr>
      <w:tr w14:paraId="217F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pct"/>
            <w:tcBorders>
              <w:top w:val="single" w:color="auto" w:sz="4" w:space="0"/>
              <w:left w:val="single" w:color="auto" w:sz="4" w:space="0"/>
              <w:bottom w:val="single" w:color="auto" w:sz="4" w:space="0"/>
              <w:right w:val="single" w:color="auto" w:sz="4" w:space="0"/>
            </w:tcBorders>
            <w:noWrap w:val="0"/>
            <w:vAlign w:val="center"/>
          </w:tcPr>
          <w:p w14:paraId="0CFE3B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14:paraId="666BDD2E">
            <w:pPr>
              <w:spacing w:line="360" w:lineRule="auto"/>
              <w:jc w:val="center"/>
              <w:rPr>
                <w:rFonts w:hint="eastAsia" w:ascii="宋体" w:hAnsi="宋体" w:eastAsia="宋体" w:cs="宋体"/>
                <w:b/>
                <w:color w:val="auto"/>
                <w:sz w:val="24"/>
                <w:szCs w:val="24"/>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75880063">
            <w:pPr>
              <w:spacing w:line="360" w:lineRule="auto"/>
              <w:jc w:val="center"/>
              <w:rPr>
                <w:rFonts w:hint="eastAsia" w:ascii="宋体" w:hAnsi="宋体" w:eastAsia="宋体" w:cs="宋体"/>
                <w:color w:val="auto"/>
                <w:sz w:val="24"/>
                <w:szCs w:val="24"/>
                <w:highlight w:val="none"/>
              </w:rPr>
            </w:pPr>
          </w:p>
        </w:tc>
        <w:tc>
          <w:tcPr>
            <w:tcW w:w="619" w:type="pct"/>
            <w:tcBorders>
              <w:top w:val="single" w:color="auto" w:sz="4" w:space="0"/>
              <w:left w:val="nil"/>
              <w:bottom w:val="single" w:color="auto" w:sz="4" w:space="0"/>
              <w:right w:val="single" w:color="auto" w:sz="4" w:space="0"/>
            </w:tcBorders>
            <w:noWrap w:val="0"/>
            <w:vAlign w:val="center"/>
          </w:tcPr>
          <w:p w14:paraId="6F3771AE">
            <w:pPr>
              <w:spacing w:line="360" w:lineRule="auto"/>
              <w:jc w:val="center"/>
              <w:rPr>
                <w:rFonts w:hint="eastAsia" w:ascii="宋体" w:hAnsi="宋体" w:eastAsia="宋体" w:cs="宋体"/>
                <w:color w:val="auto"/>
                <w:sz w:val="24"/>
                <w:szCs w:val="24"/>
                <w:highlight w:val="none"/>
              </w:rPr>
            </w:pPr>
          </w:p>
        </w:tc>
      </w:tr>
    </w:tbl>
    <w:p w14:paraId="62DA793D">
      <w:pPr>
        <w:topLinePunct/>
        <w:spacing w:line="276" w:lineRule="auto"/>
        <w:ind w:firstLine="436" w:firstLineChars="20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注：（</w:t>
      </w:r>
      <w:r>
        <w:rPr>
          <w:rFonts w:ascii="宋体" w:hAnsi="宋体" w:eastAsia="宋体" w:cs="宋体"/>
          <w:snapToGrid w:val="0"/>
          <w:color w:val="auto"/>
          <w:spacing w:val="4"/>
          <w:kern w:val="0"/>
          <w:szCs w:val="21"/>
          <w:highlight w:val="none"/>
        </w:rPr>
        <w:t>1）投标人同意招标人在“危险性较大的分部分项工程清单”中打“√”标识的，须在该项的“投标单位”列对应项打“√”标识并在</w:t>
      </w:r>
      <w:r>
        <w:rPr>
          <w:rFonts w:hint="eastAsia" w:ascii="宋体" w:hAnsi="宋体" w:eastAsia="宋体" w:cs="宋体"/>
          <w:b/>
          <w:snapToGrid w:val="0"/>
          <w:color w:val="auto"/>
          <w:spacing w:val="4"/>
          <w:kern w:val="0"/>
          <w:szCs w:val="21"/>
          <w:highlight w:val="none"/>
        </w:rPr>
        <w:t>技术标</w:t>
      </w:r>
      <w:r>
        <w:rPr>
          <w:rFonts w:ascii="宋体" w:hAnsi="宋体" w:eastAsia="宋体" w:cs="宋体"/>
          <w:snapToGrid w:val="0"/>
          <w:color w:val="auto"/>
          <w:spacing w:val="4"/>
          <w:kern w:val="0"/>
          <w:szCs w:val="21"/>
          <w:highlight w:val="none"/>
        </w:rPr>
        <w:t>投标文件中提供相应的安全管理措施，否则视作未按规定的格式填写，并作无效标处理。</w:t>
      </w:r>
    </w:p>
    <w:p w14:paraId="726A15EA">
      <w:pPr>
        <w:topLinePunct/>
        <w:spacing w:line="276" w:lineRule="auto"/>
        <w:ind w:firstLine="436" w:firstLineChars="20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w:t>
      </w:r>
      <w:r>
        <w:rPr>
          <w:rFonts w:ascii="宋体" w:hAnsi="宋体" w:eastAsia="宋体" w:cs="宋体"/>
          <w:snapToGrid w:val="0"/>
          <w:color w:val="auto"/>
          <w:spacing w:val="4"/>
          <w:kern w:val="0"/>
          <w:szCs w:val="21"/>
          <w:highlight w:val="none"/>
        </w:rPr>
        <w:t>2）“危险性较大的分部分项工程清单”中“招标人”列为空白而投标人认为需要补充打“√”标识的，须在该项的“投标单位”列对应项打“√”标识并在</w:t>
      </w:r>
      <w:r>
        <w:rPr>
          <w:rFonts w:hint="eastAsia" w:ascii="宋体" w:hAnsi="宋体" w:eastAsia="宋体" w:cs="宋体"/>
          <w:b/>
          <w:snapToGrid w:val="0"/>
          <w:color w:val="auto"/>
          <w:spacing w:val="4"/>
          <w:kern w:val="0"/>
          <w:szCs w:val="21"/>
          <w:highlight w:val="none"/>
        </w:rPr>
        <w:t>技术标</w:t>
      </w:r>
      <w:r>
        <w:rPr>
          <w:rFonts w:ascii="宋体" w:hAnsi="宋体" w:eastAsia="宋体" w:cs="宋体"/>
          <w:snapToGrid w:val="0"/>
          <w:color w:val="auto"/>
          <w:spacing w:val="4"/>
          <w:kern w:val="0"/>
          <w:szCs w:val="21"/>
          <w:highlight w:val="none"/>
        </w:rPr>
        <w:t>投标文件中提供相应的安全管理措施，否则视作未按规定的格式填写，并作无效标处理。</w:t>
      </w:r>
    </w:p>
    <w:p w14:paraId="6AD79C67">
      <w:pPr>
        <w:topLinePunct/>
        <w:spacing w:line="276" w:lineRule="auto"/>
        <w:ind w:firstLine="436" w:firstLineChars="20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w:t>
      </w:r>
      <w:r>
        <w:rPr>
          <w:rFonts w:ascii="宋体" w:hAnsi="宋体" w:eastAsia="宋体" w:cs="宋体"/>
          <w:snapToGrid w:val="0"/>
          <w:color w:val="auto"/>
          <w:spacing w:val="4"/>
          <w:kern w:val="0"/>
          <w:szCs w:val="21"/>
          <w:highlight w:val="none"/>
        </w:rPr>
        <w:t>3）投标人不同意招标人在“危险性较大的分部分项工程清单”中打“√”标识的，须在该项的“投标单位”对应项打“×”标识并在备注栏填上相关说明，否则视作未按规定的格式填写，并作无效标处理。</w:t>
      </w:r>
    </w:p>
    <w:p w14:paraId="6C9818EC">
      <w:pPr>
        <w:topLinePunct/>
        <w:spacing w:line="276" w:lineRule="auto"/>
        <w:ind w:firstLine="436" w:firstLineChars="20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w:t>
      </w:r>
      <w:r>
        <w:rPr>
          <w:rFonts w:ascii="宋体" w:hAnsi="宋体" w:eastAsia="宋体" w:cs="宋体"/>
          <w:snapToGrid w:val="0"/>
          <w:color w:val="auto"/>
          <w:spacing w:val="4"/>
          <w:kern w:val="0"/>
          <w:szCs w:val="21"/>
          <w:highlight w:val="none"/>
        </w:rPr>
        <w:t>4）“招标人”及“投标单位”均为空白的“危险性较大的分部分项工程清单”项，但投标单位提供了相应的安全管理措施，视作未按规定的格式填写，并作无效标处理。</w:t>
      </w:r>
    </w:p>
    <w:p w14:paraId="7A571F33">
      <w:pPr>
        <w:topLinePunct/>
        <w:spacing w:line="276" w:lineRule="auto"/>
        <w:ind w:firstLine="436" w:firstLineChars="200"/>
        <w:rPr>
          <w:rFonts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Cs w:val="21"/>
          <w:highlight w:val="none"/>
        </w:rPr>
        <w:t>（</w:t>
      </w:r>
      <w:r>
        <w:rPr>
          <w:rFonts w:ascii="宋体" w:hAnsi="宋体" w:eastAsia="宋体" w:cs="宋体"/>
          <w:snapToGrid w:val="0"/>
          <w:color w:val="auto"/>
          <w:spacing w:val="4"/>
          <w:kern w:val="0"/>
          <w:szCs w:val="21"/>
          <w:highlight w:val="none"/>
        </w:rPr>
        <w:t>5）“招标人”及“投标单位”均为空白的“危险性较大的分部分项工程清单”项且投标人未提供相应的安全管理措施，不作无效标处理。</w:t>
      </w:r>
    </w:p>
    <w:p w14:paraId="58702D2E">
      <w:pPr>
        <w:topLinePunct/>
        <w:adjustRightInd w:val="0"/>
        <w:snapToGrid w:val="0"/>
        <w:spacing w:line="360" w:lineRule="auto"/>
        <w:ind w:firstLine="436" w:firstLineChars="200"/>
        <w:rPr>
          <w:rFonts w:hint="eastAsia" w:ascii="宋体" w:hAnsi="宋体" w:cs="宋体"/>
          <w:color w:val="auto"/>
          <w:spacing w:val="4"/>
          <w:kern w:val="0"/>
          <w:szCs w:val="21"/>
          <w:highlight w:val="none"/>
        </w:rPr>
      </w:pPr>
    </w:p>
    <w:p w14:paraId="3225B682">
      <w:pPr>
        <w:spacing w:line="360" w:lineRule="auto"/>
        <w:ind w:firstLine="4320" w:firstLineChars="1800"/>
        <w:rPr>
          <w:rFonts w:hint="eastAsia" w:ascii="宋体" w:hAnsi="宋体" w:cs="宋体"/>
          <w:color w:val="auto"/>
          <w:sz w:val="24"/>
          <w:szCs w:val="20"/>
          <w:highlight w:val="none"/>
        </w:rPr>
      </w:pPr>
    </w:p>
    <w:p w14:paraId="21512495">
      <w:pPr>
        <w:spacing w:line="360" w:lineRule="auto"/>
        <w:ind w:firstLine="4320" w:firstLineChars="1800"/>
        <w:rPr>
          <w:rFonts w:hint="eastAsia" w:ascii="宋体" w:hAnsi="宋体" w:cs="宋体"/>
          <w:color w:val="auto"/>
          <w:sz w:val="24"/>
          <w:szCs w:val="20"/>
          <w:highlight w:val="none"/>
        </w:rPr>
      </w:pPr>
    </w:p>
    <w:p w14:paraId="09665E57">
      <w:pPr>
        <w:spacing w:line="360" w:lineRule="auto"/>
        <w:ind w:firstLine="4320" w:firstLineChars="1800"/>
        <w:rPr>
          <w:rFonts w:hint="eastAsia" w:ascii="宋体" w:hAnsi="宋体" w:cs="宋体"/>
          <w:color w:val="auto"/>
          <w:sz w:val="24"/>
          <w:szCs w:val="20"/>
          <w:highlight w:val="none"/>
        </w:rPr>
      </w:pPr>
    </w:p>
    <w:p w14:paraId="314C4843">
      <w:pPr>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投标人名称：</w:t>
      </w:r>
    </w:p>
    <w:p w14:paraId="2503F95D">
      <w:pPr>
        <w:autoSpaceDE w:val="0"/>
        <w:autoSpaceDN w:val="0"/>
        <w:adjustRightInd w:val="0"/>
        <w:spacing w:line="360" w:lineRule="auto"/>
        <w:ind w:firstLine="5040" w:firstLineChars="2400"/>
        <w:rPr>
          <w:rFonts w:hint="eastAsia" w:ascii="宋体" w:hAnsi="宋体" w:cs="宋体"/>
          <w:bCs/>
          <w:color w:val="auto"/>
          <w:sz w:val="24"/>
          <w:szCs w:val="24"/>
          <w:highlight w:val="none"/>
        </w:rPr>
      </w:pPr>
      <w:r>
        <w:rPr>
          <w:rFonts w:hint="eastAsia" w:ascii="宋体" w:hAnsi="宋体" w:cs="宋体"/>
          <w:color w:val="auto"/>
          <w:szCs w:val="20"/>
          <w:highlight w:val="none"/>
        </w:rPr>
        <w:t>日期：   年  月  日</w:t>
      </w:r>
    </w:p>
    <w:p w14:paraId="4F2A2EAA">
      <w:pPr>
        <w:topLinePunct w:val="0"/>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74BA9E1E">
      <w:pPr>
        <w:autoSpaceDE w:val="0"/>
        <w:autoSpaceDN w:val="0"/>
        <w:adjustRightInd w:val="0"/>
        <w:rPr>
          <w:rFonts w:hint="default"/>
          <w:color w:val="auto"/>
          <w:sz w:val="28"/>
          <w:szCs w:val="28"/>
          <w:highlight w:val="none"/>
        </w:rPr>
      </w:pPr>
      <w:r>
        <w:rPr>
          <w:rFonts w:hint="eastAsia" w:cs="宋体"/>
          <w:b/>
          <w:bCs/>
          <w:color w:val="auto"/>
          <w:sz w:val="28"/>
          <w:szCs w:val="28"/>
          <w:highlight w:val="none"/>
        </w:rPr>
        <w:t>格式十</w:t>
      </w:r>
      <w:r>
        <w:rPr>
          <w:rFonts w:hint="eastAsia" w:cs="宋体"/>
          <w:b/>
          <w:bCs/>
          <w:color w:val="auto"/>
          <w:sz w:val="28"/>
          <w:szCs w:val="28"/>
          <w:highlight w:val="none"/>
          <w:lang w:val="en-US" w:eastAsia="zh-CN"/>
        </w:rPr>
        <w:t>六</w:t>
      </w:r>
      <w:r>
        <w:rPr>
          <w:rFonts w:hint="eastAsia" w:cs="宋体"/>
          <w:b/>
          <w:bCs/>
          <w:color w:val="auto"/>
          <w:sz w:val="28"/>
          <w:szCs w:val="28"/>
          <w:highlight w:val="none"/>
        </w:rPr>
        <w:t>：</w:t>
      </w:r>
    </w:p>
    <w:p w14:paraId="27C9E634">
      <w:pPr>
        <w:pStyle w:val="36"/>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46603CFF">
      <w:pPr>
        <w:pStyle w:val="36"/>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409CAE5E">
      <w:pPr>
        <w:pStyle w:val="36"/>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1CAD1AF1">
      <w:pPr>
        <w:pStyle w:val="36"/>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7166B23D">
      <w:pPr>
        <w:pStyle w:val="36"/>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49F1B49B">
      <w:pPr>
        <w:pStyle w:val="36"/>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5DCCAFFE">
      <w:pPr>
        <w:pStyle w:val="36"/>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附件：《投标文件编制情况》</w:t>
      </w:r>
    </w:p>
    <w:p w14:paraId="08C3A33A">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14:paraId="6FAA9781">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4869F3A8">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01806C85">
      <w:pPr>
        <w:pStyle w:val="36"/>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22EE506A">
      <w:pPr>
        <w:pStyle w:val="36"/>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353B2C78">
      <w:pPr>
        <w:pStyle w:val="3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7"/>
        <w:tblW w:w="8306" w:type="dxa"/>
        <w:tblInd w:w="0" w:type="dxa"/>
        <w:tblLayout w:type="fixed"/>
        <w:tblCellMar>
          <w:top w:w="0" w:type="dxa"/>
          <w:left w:w="108" w:type="dxa"/>
          <w:bottom w:w="0" w:type="dxa"/>
          <w:right w:w="108" w:type="dxa"/>
        </w:tblCellMar>
      </w:tblPr>
      <w:tblGrid>
        <w:gridCol w:w="8306"/>
      </w:tblGrid>
      <w:tr w14:paraId="141E5014">
        <w:tblPrEx>
          <w:tblCellMar>
            <w:top w:w="0" w:type="dxa"/>
            <w:left w:w="108" w:type="dxa"/>
            <w:bottom w:w="0" w:type="dxa"/>
            <w:right w:w="108" w:type="dxa"/>
          </w:tblCellMar>
        </w:tblPrEx>
        <w:trPr>
          <w:trHeight w:val="2819" w:hRule="atLeast"/>
        </w:trPr>
        <w:tc>
          <w:tcPr>
            <w:tcW w:w="8306" w:type="dxa"/>
            <w:noWrap w:val="0"/>
            <w:vAlign w:val="top"/>
          </w:tcPr>
          <w:p w14:paraId="6A78C01B">
            <w:pPr>
              <w:pStyle w:val="36"/>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2EE211C6">
            <w:pPr>
              <w:pStyle w:val="36"/>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3750BA76">
            <w:pPr>
              <w:pStyle w:val="36"/>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258CD834">
            <w:pPr>
              <w:pStyle w:val="36"/>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1B993BC8">
      <w:pPr>
        <w:autoSpaceDE w:val="0"/>
        <w:autoSpaceDN w:val="0"/>
        <w:adjustRightInd w:val="0"/>
        <w:spacing w:before="157" w:beforeLines="50" w:beforeAutospacing="0" w:after="157" w:afterLines="50" w:afterAutospacing="0"/>
        <w:jc w:val="left"/>
        <w:rPr>
          <w:rFonts w:hint="eastAsia" w:eastAsia="宋体" w:cs="宋体"/>
          <w:b w:val="0"/>
          <w:bCs w:val="0"/>
          <w:color w:val="auto"/>
          <w:sz w:val="28"/>
          <w:szCs w:val="28"/>
          <w:highlight w:val="none"/>
          <w:lang w:val="en-US" w:eastAsia="zh-CN"/>
        </w:rPr>
      </w:pPr>
      <w:r>
        <w:rPr>
          <w:rFonts w:hint="eastAsia" w:eastAsia="宋体" w:cs="宋体"/>
          <w:b w:val="0"/>
          <w:bCs w:val="0"/>
          <w:color w:val="auto"/>
          <w:sz w:val="28"/>
          <w:szCs w:val="28"/>
          <w:highlight w:val="none"/>
          <w:lang w:val="en-US" w:eastAsia="zh-CN"/>
        </w:rPr>
        <w:br w:type="page"/>
      </w:r>
      <w:r>
        <w:rPr>
          <w:rFonts w:hint="eastAsia" w:eastAsia="宋体" w:cs="宋体"/>
          <w:b/>
          <w:bCs/>
          <w:color w:val="auto"/>
          <w:sz w:val="28"/>
          <w:szCs w:val="28"/>
          <w:highlight w:val="none"/>
          <w:lang w:val="en-US" w:eastAsia="zh-CN"/>
        </w:rPr>
        <w:t>格式十七</w:t>
      </w:r>
    </w:p>
    <w:p w14:paraId="19C9DC8D">
      <w:pPr>
        <w:pStyle w:val="33"/>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05970161">
      <w:pPr>
        <w:pStyle w:val="19"/>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20681E45">
      <w:pPr>
        <w:pStyle w:val="19"/>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780F179F">
      <w:pPr>
        <w:pStyle w:val="19"/>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0A9A5B20">
      <w:pPr>
        <w:pStyle w:val="19"/>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19B07815">
      <w:pPr>
        <w:pStyle w:val="19"/>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48D5C912">
      <w:pPr>
        <w:pStyle w:val="19"/>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7ED1BC2C">
      <w:pPr>
        <w:pStyle w:val="19"/>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0A0134B4">
      <w:pPr>
        <w:pStyle w:val="19"/>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6417F725">
      <w:pPr>
        <w:pStyle w:val="19"/>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5E700901">
      <w:pPr>
        <w:rPr>
          <w:rFonts w:hint="eastAsia" w:hAnsi="宋体" w:eastAsia="宋体" w:cs="宋体"/>
          <w:color w:val="auto"/>
          <w:sz w:val="21"/>
          <w:szCs w:val="21"/>
          <w:highlight w:val="none"/>
          <w:lang w:eastAsia="zh-CN"/>
        </w:rPr>
      </w:pPr>
    </w:p>
    <w:p w14:paraId="772656BA">
      <w:pPr>
        <w:pStyle w:val="8"/>
        <w:rPr>
          <w:rFonts w:hint="eastAsia" w:hAnsi="宋体" w:eastAsia="宋体" w:cs="宋体"/>
          <w:color w:val="auto"/>
          <w:sz w:val="21"/>
          <w:szCs w:val="21"/>
          <w:highlight w:val="none"/>
          <w:lang w:eastAsia="zh-CN"/>
        </w:rPr>
      </w:pPr>
    </w:p>
    <w:p w14:paraId="45E86C0D">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4F0DC42A">
      <w:pPr>
        <w:pStyle w:val="8"/>
        <w:rPr>
          <w:rFonts w:hint="eastAsia"/>
          <w:color w:val="auto"/>
          <w:highlight w:val="none"/>
          <w:lang w:eastAsia="zh-CN"/>
        </w:rPr>
      </w:pPr>
    </w:p>
    <w:p w14:paraId="7C3CA901">
      <w:pPr>
        <w:pStyle w:val="8"/>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22C46CE6">
      <w:pPr>
        <w:topLinePunct w:val="0"/>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bookmarkEnd w:id="93"/>
    <w:bookmarkEnd w:id="94"/>
    <w:p w14:paraId="01ED0F24">
      <w:pPr>
        <w:autoSpaceDE w:val="0"/>
        <w:autoSpaceDN w:val="0"/>
        <w:adjustRightInd w:val="0"/>
        <w:snapToGrid/>
        <w:spacing w:line="240" w:lineRule="auto"/>
        <w:rPr>
          <w:rFonts w:hint="eastAsia" w:ascii="Calibri" w:hAnsi="Calibri" w:cs="宋体"/>
          <w:b/>
          <w:bCs/>
          <w:color w:val="auto"/>
          <w:sz w:val="28"/>
          <w:szCs w:val="28"/>
          <w:highlight w:val="none"/>
        </w:rPr>
      </w:pPr>
      <w:r>
        <w:rPr>
          <w:rFonts w:hint="eastAsia" w:ascii="Calibri" w:hAnsi="Calibri" w:cs="宋体"/>
          <w:b/>
          <w:bCs/>
          <w:color w:val="auto"/>
          <w:sz w:val="28"/>
          <w:szCs w:val="28"/>
          <w:highlight w:val="none"/>
        </w:rPr>
        <w:t>格式十</w:t>
      </w:r>
      <w:r>
        <w:rPr>
          <w:rFonts w:hint="eastAsia" w:ascii="Calibri" w:hAnsi="Calibri" w:cs="宋体"/>
          <w:b/>
          <w:bCs/>
          <w:color w:val="auto"/>
          <w:sz w:val="28"/>
          <w:szCs w:val="28"/>
          <w:highlight w:val="none"/>
          <w:lang w:val="en-US" w:eastAsia="zh-CN"/>
        </w:rPr>
        <w:t>八</w:t>
      </w:r>
    </w:p>
    <w:p w14:paraId="217DE080">
      <w:pPr>
        <w:snapToGrid w:val="0"/>
        <w:spacing w:line="360" w:lineRule="auto"/>
        <w:jc w:val="center"/>
        <w:rPr>
          <w:rFonts w:ascii="宋体" w:hAnsi="宋体" w:cs="宋体"/>
          <w:b/>
          <w:color w:val="auto"/>
          <w:sz w:val="36"/>
          <w:szCs w:val="36"/>
          <w:highlight w:val="none"/>
        </w:rPr>
      </w:pPr>
    </w:p>
    <w:p w14:paraId="72242187">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响应招标文件所附施工组织设计要点承诺书</w:t>
      </w:r>
    </w:p>
    <w:p w14:paraId="2402FDC7">
      <w:pPr>
        <w:snapToGrid w:val="0"/>
        <w:spacing w:line="360" w:lineRule="auto"/>
        <w:rPr>
          <w:rFonts w:ascii="宋体" w:hAnsi="宋体" w:cs="宋体"/>
          <w:color w:val="auto"/>
          <w:highlight w:val="none"/>
        </w:rPr>
      </w:pPr>
    </w:p>
    <w:p w14:paraId="7EC178CA">
      <w:pPr>
        <w:snapToGrid w:val="0"/>
        <w:spacing w:line="360" w:lineRule="auto"/>
        <w:rPr>
          <w:rFonts w:ascii="宋体" w:hAnsi="宋体" w:cs="宋体"/>
          <w:color w:val="auto"/>
          <w:sz w:val="24"/>
          <w:highlight w:val="none"/>
        </w:rPr>
      </w:pPr>
    </w:p>
    <w:p w14:paraId="5B0C9909">
      <w:pPr>
        <w:snapToGrid w:val="0"/>
        <w:spacing w:line="360" w:lineRule="auto"/>
        <w:rPr>
          <w:rFonts w:ascii="宋体" w:hAnsi="宋体" w:cs="宋体"/>
          <w:color w:val="auto"/>
          <w:sz w:val="24"/>
          <w:highlight w:val="none"/>
          <w:u w:val="single"/>
        </w:rPr>
      </w:pPr>
      <w:r>
        <w:rPr>
          <w:rFonts w:hint="eastAsia" w:ascii="宋体" w:hAnsi="宋体" w:cs="宋体"/>
          <w:color w:val="auto"/>
          <w:sz w:val="24"/>
          <w:szCs w:val="24"/>
          <w:highlight w:val="none"/>
          <w:u w:val="single"/>
          <w:lang w:eastAsia="zh-CN"/>
        </w:rPr>
        <w:t>中新广州知识城财政投资建设项目管理中心</w:t>
      </w:r>
      <w:r>
        <w:rPr>
          <w:rFonts w:hint="eastAsia" w:ascii="宋体" w:hAnsi="宋体" w:cs="宋体"/>
          <w:color w:val="auto"/>
          <w:sz w:val="24"/>
          <w:highlight w:val="none"/>
        </w:rPr>
        <w:t>：</w:t>
      </w:r>
    </w:p>
    <w:p w14:paraId="5516B06B">
      <w:pPr>
        <w:snapToGrid w:val="0"/>
        <w:spacing w:line="360" w:lineRule="auto"/>
        <w:ind w:firstLine="435"/>
        <w:rPr>
          <w:rFonts w:ascii="宋体" w:hAnsi="宋体" w:cs="宋体"/>
          <w:color w:val="auto"/>
          <w:sz w:val="24"/>
          <w:highlight w:val="none"/>
        </w:rPr>
      </w:pPr>
      <w:r>
        <w:rPr>
          <w:rFonts w:hint="eastAsia" w:ascii="宋体" w:hAnsi="宋体" w:cs="宋体"/>
          <w:color w:val="auto"/>
          <w:sz w:val="24"/>
          <w:highlight w:val="none"/>
        </w:rPr>
        <w:t>我方承诺，如中标承建</w:t>
      </w:r>
      <w:r>
        <w:rPr>
          <w:rFonts w:hint="eastAsia" w:ascii="宋体" w:hAnsi="宋体" w:cs="宋体"/>
          <w:color w:val="auto"/>
          <w:sz w:val="24"/>
          <w:highlight w:val="none"/>
          <w:u w:val="single"/>
          <w:lang w:eastAsia="zh-CN"/>
        </w:rPr>
        <w:t>知识城凤凰五路东延线二期（东部快速-区界）市政道路及配套工程施工总承包</w:t>
      </w:r>
      <w:r>
        <w:rPr>
          <w:rFonts w:hint="eastAsia" w:ascii="宋体" w:hAnsi="宋体" w:cs="宋体"/>
          <w:color w:val="auto"/>
          <w:sz w:val="24"/>
          <w:highlight w:val="none"/>
        </w:rPr>
        <w:t>，将按招标文件所附的本工程</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进行响应的基础上自行组织施工。并承诺在中标后按招标文件所附的</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基础上编制详细的施工组织设计，并报经监理单位和建设单位审批后实施。</w:t>
      </w:r>
    </w:p>
    <w:p w14:paraId="615FBE6A">
      <w:pPr>
        <w:snapToGrid w:val="0"/>
        <w:spacing w:line="360" w:lineRule="auto"/>
        <w:ind w:firstLine="435"/>
        <w:rPr>
          <w:rFonts w:ascii="宋体" w:hAnsi="宋体" w:cs="宋体"/>
          <w:color w:val="auto"/>
          <w:sz w:val="24"/>
          <w:szCs w:val="20"/>
          <w:highlight w:val="none"/>
        </w:rPr>
      </w:pPr>
    </w:p>
    <w:p w14:paraId="27B815D8">
      <w:pPr>
        <w:snapToGrid w:val="0"/>
        <w:spacing w:line="360" w:lineRule="auto"/>
        <w:ind w:firstLine="435"/>
        <w:rPr>
          <w:rFonts w:ascii="宋体" w:hAnsi="宋体" w:cs="宋体"/>
          <w:color w:val="auto"/>
          <w:sz w:val="24"/>
          <w:szCs w:val="20"/>
          <w:highlight w:val="none"/>
        </w:rPr>
      </w:pPr>
    </w:p>
    <w:p w14:paraId="69DB7C0D">
      <w:pPr>
        <w:snapToGrid w:val="0"/>
        <w:spacing w:line="360" w:lineRule="auto"/>
        <w:ind w:firstLine="3000" w:firstLineChars="1250"/>
        <w:rPr>
          <w:rFonts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14:paraId="418E3A79">
      <w:pPr>
        <w:snapToGrid w:val="0"/>
        <w:spacing w:line="360" w:lineRule="auto"/>
        <w:ind w:firstLine="3000" w:firstLineChars="1250"/>
        <w:rPr>
          <w:rFonts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8EB6B99">
      <w:pPr>
        <w:snapToGrid w:val="0"/>
        <w:spacing w:line="360" w:lineRule="auto"/>
        <w:ind w:firstLine="3514" w:firstLineChars="1250"/>
        <w:rPr>
          <w:rFonts w:ascii="宋体" w:hAnsi="宋体" w:cs="宋体"/>
          <w:color w:val="auto"/>
          <w:sz w:val="24"/>
          <w:szCs w:val="24"/>
          <w:highlight w:val="none"/>
          <w:u w:val="single"/>
        </w:rPr>
      </w:pPr>
      <w:r>
        <w:rPr>
          <w:rFonts w:hint="eastAsia" w:ascii="宋体" w:hAnsi="宋体" w:cs="宋体"/>
          <w:b/>
          <w:color w:val="auto"/>
          <w:sz w:val="28"/>
          <w:szCs w:val="28"/>
          <w:highlight w:val="none"/>
        </w:rPr>
        <w:br w:type="page"/>
      </w:r>
    </w:p>
    <w:p w14:paraId="2E45490C">
      <w:pPr>
        <w:snapToGrid w:val="0"/>
        <w:spacing w:line="360" w:lineRule="auto"/>
        <w:rPr>
          <w:rFonts w:ascii="宋体" w:hAnsi="宋体" w:cs="宋体"/>
          <w:color w:val="auto"/>
          <w:szCs w:val="21"/>
          <w:highlight w:val="none"/>
        </w:rPr>
      </w:pPr>
    </w:p>
    <w:p w14:paraId="4EE20691">
      <w:pPr>
        <w:tabs>
          <w:tab w:val="left" w:pos="720"/>
        </w:tabs>
        <w:snapToGrid w:val="0"/>
        <w:spacing w:line="360" w:lineRule="auto"/>
        <w:ind w:firstLine="2530" w:firstLineChars="900"/>
        <w:rPr>
          <w:rStyle w:val="61"/>
          <w:rFonts w:hint="eastAsia"/>
          <w:color w:val="auto"/>
          <w:highlight w:val="none"/>
        </w:rPr>
      </w:pPr>
      <w:bookmarkStart w:id="95" w:name="_Toc2272568"/>
      <w:bookmarkStart w:id="96" w:name="_Toc21525513"/>
      <w:bookmarkStart w:id="97" w:name="_Toc26180"/>
      <w:bookmarkStart w:id="98" w:name="_Toc15835"/>
    </w:p>
    <w:p w14:paraId="013C4ED7">
      <w:pPr>
        <w:tabs>
          <w:tab w:val="left" w:pos="720"/>
        </w:tabs>
        <w:snapToGrid w:val="0"/>
        <w:spacing w:line="360" w:lineRule="auto"/>
        <w:ind w:firstLine="0" w:firstLineChars="0"/>
        <w:jc w:val="center"/>
        <w:rPr>
          <w:rStyle w:val="61"/>
          <w:color w:val="auto"/>
          <w:highlight w:val="none"/>
        </w:rPr>
      </w:pPr>
      <w:bookmarkStart w:id="99" w:name="_Toc20938"/>
      <w:r>
        <w:rPr>
          <w:rStyle w:val="61"/>
          <w:rFonts w:hint="eastAsia"/>
          <w:color w:val="auto"/>
          <w:highlight w:val="none"/>
        </w:rPr>
        <w:t>第五章</w:t>
      </w:r>
      <w:r>
        <w:rPr>
          <w:rStyle w:val="61"/>
          <w:color w:val="auto"/>
          <w:highlight w:val="none"/>
        </w:rPr>
        <w:t xml:space="preserve">  </w:t>
      </w:r>
      <w:r>
        <w:rPr>
          <w:rStyle w:val="61"/>
          <w:rFonts w:hint="eastAsia"/>
          <w:color w:val="auto"/>
          <w:highlight w:val="none"/>
        </w:rPr>
        <w:t>技术条件（工程建设标准）</w:t>
      </w:r>
      <w:bookmarkEnd w:id="95"/>
      <w:bookmarkEnd w:id="96"/>
    </w:p>
    <w:bookmarkEnd w:id="97"/>
    <w:bookmarkEnd w:id="98"/>
    <w:bookmarkEnd w:id="99"/>
    <w:p w14:paraId="450F668D">
      <w:pPr>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14:paraId="05FA5CC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5460FCF2">
      <w:pPr>
        <w:snapToGrid w:val="0"/>
        <w:spacing w:line="360" w:lineRule="auto"/>
        <w:rPr>
          <w:rFonts w:ascii="宋体" w:hAnsi="宋体" w:cs="宋体"/>
          <w:color w:val="auto"/>
          <w:sz w:val="24"/>
          <w:szCs w:val="24"/>
          <w:highlight w:val="none"/>
        </w:rPr>
      </w:pPr>
    </w:p>
    <w:p w14:paraId="57CF9AAA">
      <w:pPr>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3FB03F1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33B10639">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5A83AE89">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07498B2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42CDA00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3AFB5FE6">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537BA52B">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7C0C1AD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72116D5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26EE494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645D6356">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510F0650">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08866D1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32536AF8">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26BFBC5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72CCDDA0">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5181AE43">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208D340E">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78B747A3">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36224BCA">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04CEB74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026E2033">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46FB5DBB">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0281C64B">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75836434">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27ED1EBD">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1811F724">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2D0C0969">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202033A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19723C4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724D5C66">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14:paraId="6A5F8A1B">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0C738EBF">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0DC9BD9A">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5E89E29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54AB43DF">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0762AFF7">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6E921098">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521C0416">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762ACB81">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5D94A7EE">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0E42ACF8">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4F89B1C0">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3A2E3ED4">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06C4B037">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3E473AE0">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00AD1195">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6200722A">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78CDB474">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w:t>
      </w:r>
      <w:r>
        <w:rPr>
          <w:rFonts w:hint="eastAsia" w:ascii="宋体" w:hAnsi="宋体" w:cs="宋体"/>
          <w:color w:val="auto"/>
          <w:sz w:val="24"/>
          <w:szCs w:val="24"/>
          <w:highlight w:val="none"/>
          <w:lang w:val="en-US" w:eastAsia="zh-CN"/>
        </w:rPr>
        <w:t>2021</w:t>
      </w:r>
      <w:r>
        <w:rPr>
          <w:rFonts w:hint="eastAsia" w:ascii="宋体" w:hAnsi="宋体" w:cs="宋体"/>
          <w:color w:val="auto"/>
          <w:sz w:val="24"/>
          <w:szCs w:val="24"/>
          <w:highlight w:val="none"/>
        </w:rPr>
        <w:t>)和省、市建设主管部门有关文明施工的规定。并按照甲方要求安排工作时间，在施工中尽量减少噪音，必要时采取有效的隔音措施，混凝土浇灌需连续不间断作业时，按有关规定申报夜间施工许可证。</w:t>
      </w:r>
    </w:p>
    <w:p w14:paraId="788034C8">
      <w:pPr>
        <w:snapToGrid w:val="0"/>
        <w:spacing w:line="360" w:lineRule="auto"/>
        <w:ind w:firstLine="424" w:firstLineChars="177"/>
        <w:rPr>
          <w:rFonts w:ascii="宋体" w:hAnsi="宋体" w:cs="宋体"/>
          <w:color w:val="auto"/>
          <w:sz w:val="24"/>
          <w:szCs w:val="24"/>
          <w:highlight w:val="none"/>
        </w:rPr>
      </w:pPr>
      <w:bookmarkStart w:id="100" w:name="_Hlt531956504"/>
      <w:r>
        <w:rPr>
          <w:rFonts w:hint="eastAsia" w:ascii="宋体" w:hAnsi="宋体" w:cs="宋体"/>
          <w:color w:val="auto"/>
          <w:sz w:val="24"/>
          <w:szCs w:val="24"/>
          <w:highlight w:val="none"/>
        </w:rPr>
        <w:t>安全生产目标：杜绝本项目施工人员重大伤亡事故。</w:t>
      </w:r>
      <w:bookmarkEnd w:id="100"/>
    </w:p>
    <w:p w14:paraId="6CD2B9A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4BC55ABA">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6340E66C">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28A7D882">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4C4304C9">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3FCE5813">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0AFBD2D9">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392C75D8">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27D89973">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0478DFA1">
      <w:pPr>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671369F5">
      <w:pPr>
        <w:snapToGrid w:val="0"/>
        <w:spacing w:line="360" w:lineRule="auto"/>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7CE7F431">
      <w:pPr>
        <w:snapToGrid w:val="0"/>
        <w:spacing w:line="360" w:lineRule="auto"/>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05F14CFB">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（十）建筑垃圾减量及利用要求</w:t>
      </w:r>
    </w:p>
    <w:p w14:paraId="1522F342">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78DAD5AF">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建筑垃圾处理方案应当包括下列内容：</w:t>
      </w:r>
    </w:p>
    <w:p w14:paraId="7E4488F1">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(一)工程概况和施工单位基本信息；</w:t>
      </w:r>
    </w:p>
    <w:p w14:paraId="264674D2">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(二)建筑垃圾产生量与种类；</w:t>
      </w:r>
    </w:p>
    <w:p w14:paraId="77FC6C16">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(三)建筑垃圾源头减量、分类收集、综合利用、污染防治的措施和目标；</w:t>
      </w:r>
    </w:p>
    <w:p w14:paraId="29CB72FE">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(四)需要外运的建筑垃圾种类、数量与运输的时间、路线、方式和运输单位；</w:t>
      </w:r>
    </w:p>
    <w:p w14:paraId="7D073C6F">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(五)建筑垃圾回填、消纳、综合利用场所名称；</w:t>
      </w:r>
    </w:p>
    <w:p w14:paraId="175B10EB">
      <w:pPr>
        <w:rPr>
          <w:rFonts w:ascii="宋体"/>
          <w:b/>
          <w:color w:val="auto"/>
          <w:sz w:val="24"/>
          <w:szCs w:val="24"/>
          <w:highlight w:val="none"/>
        </w:rPr>
      </w:pPr>
      <w:r>
        <w:rPr>
          <w:rFonts w:hint="eastAsia" w:ascii="宋体" w:hAnsi="宋体" w:eastAsia="宋体" w:cs="宋体"/>
          <w:color w:val="auto"/>
          <w:sz w:val="24"/>
          <w:szCs w:val="24"/>
          <w:highlight w:val="none"/>
          <w:lang w:bidi="ar"/>
        </w:rPr>
        <w:t>(六)法律、法规规定的其他内容。</w:t>
      </w:r>
    </w:p>
    <w:p w14:paraId="0630BC6E">
      <w:pPr>
        <w:spacing w:line="360" w:lineRule="auto"/>
        <w:rPr>
          <w:rFonts w:hint="eastAsia" w:ascii="宋体" w:hAnsi="宋体" w:eastAsia="宋体" w:cs="宋体"/>
          <w:color w:val="auto"/>
          <w:sz w:val="24"/>
          <w:szCs w:val="24"/>
          <w:highlight w:val="none"/>
        </w:rPr>
      </w:pPr>
    </w:p>
    <w:p w14:paraId="00AFC7A9">
      <w:pPr>
        <w:topLinePunct/>
        <w:adjustRightInd w:val="0"/>
        <w:snapToGrid w:val="0"/>
        <w:spacing w:line="360" w:lineRule="auto"/>
        <w:ind w:firstLine="482" w:firstLineChars="200"/>
        <w:jc w:val="both"/>
        <w:rPr>
          <w:rFonts w:hint="eastAsia" w:ascii="宋体" w:hAnsi="宋体" w:eastAsia="宋体" w:cs="宋体"/>
          <w:b/>
          <w:snapToGrid w:val="0"/>
          <w:color w:val="auto"/>
          <w:spacing w:val="4"/>
          <w:kern w:val="0"/>
          <w:sz w:val="24"/>
          <w:szCs w:val="24"/>
          <w:highlight w:val="none"/>
          <w:lang w:val="en-US" w:eastAsia="zh-CN"/>
        </w:rPr>
      </w:pPr>
      <w:r>
        <w:rPr>
          <w:rFonts w:hint="eastAsia" w:ascii="宋体" w:hAnsi="宋体" w:eastAsia="宋体" w:cs="宋体"/>
          <w:b/>
          <w:bCs/>
          <w:color w:val="auto"/>
          <w:sz w:val="24"/>
          <w:szCs w:val="24"/>
          <w:highlight w:val="none"/>
          <w:lang w:eastAsia="zh-CN"/>
        </w:rPr>
        <w:t>（十一）</w:t>
      </w:r>
      <w:r>
        <w:rPr>
          <w:rFonts w:hint="eastAsia" w:ascii="宋体" w:hAnsi="宋体" w:eastAsia="宋体" w:cs="宋体"/>
          <w:b/>
          <w:bCs/>
          <w:snapToGrid w:val="0"/>
          <w:color w:val="auto"/>
          <w:spacing w:val="4"/>
          <w:kern w:val="0"/>
          <w:sz w:val="24"/>
          <w:szCs w:val="24"/>
          <w:highlight w:val="none"/>
        </w:rPr>
        <w:t>投</w:t>
      </w:r>
      <w:r>
        <w:rPr>
          <w:rFonts w:hint="eastAsia" w:ascii="宋体" w:hAnsi="宋体" w:eastAsia="宋体" w:cs="宋体"/>
          <w:b/>
          <w:snapToGrid w:val="0"/>
          <w:color w:val="auto"/>
          <w:spacing w:val="4"/>
          <w:kern w:val="0"/>
          <w:sz w:val="24"/>
          <w:szCs w:val="24"/>
          <w:highlight w:val="none"/>
        </w:rPr>
        <w:t>入主要人员汇总表</w:t>
      </w:r>
      <w:r>
        <w:rPr>
          <w:rFonts w:hint="eastAsia" w:ascii="宋体" w:hAnsi="宋体" w:eastAsia="宋体" w:cs="宋体"/>
          <w:b/>
          <w:snapToGrid w:val="0"/>
          <w:color w:val="auto"/>
          <w:spacing w:val="4"/>
          <w:kern w:val="0"/>
          <w:sz w:val="24"/>
          <w:szCs w:val="24"/>
          <w:highlight w:val="none"/>
          <w:lang w:eastAsia="zh-CN"/>
        </w:rPr>
        <w:t>（</w:t>
      </w:r>
      <w:r>
        <w:rPr>
          <w:rFonts w:hint="eastAsia" w:ascii="宋体" w:hAnsi="宋体" w:eastAsia="宋体" w:cs="宋体"/>
          <w:b/>
          <w:snapToGrid w:val="0"/>
          <w:color w:val="auto"/>
          <w:spacing w:val="4"/>
          <w:kern w:val="0"/>
          <w:sz w:val="24"/>
          <w:szCs w:val="24"/>
          <w:highlight w:val="none"/>
          <w:lang w:val="en-US" w:eastAsia="zh-CN"/>
        </w:rPr>
        <w:t>最低要求）</w:t>
      </w:r>
    </w:p>
    <w:tbl>
      <w:tblPr>
        <w:tblStyle w:val="37"/>
        <w:tblpPr w:leftFromText="180" w:rightFromText="180" w:vertAnchor="text" w:horzAnchor="page" w:tblpX="1991" w:tblpY="157"/>
        <w:tblOverlap w:val="neve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54"/>
        <w:gridCol w:w="3118"/>
        <w:gridCol w:w="1653"/>
        <w:gridCol w:w="2350"/>
      </w:tblGrid>
      <w:tr w14:paraId="208E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3D474BF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9838A0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054452CD">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075C09FE">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56D371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294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7E8974C2">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4" w:type="dxa"/>
            <w:tcBorders>
              <w:top w:val="single" w:color="auto" w:sz="4" w:space="0"/>
              <w:left w:val="single" w:color="auto" w:sz="4" w:space="0"/>
              <w:bottom w:val="single" w:color="auto" w:sz="4" w:space="0"/>
              <w:right w:val="single" w:color="auto" w:sz="4" w:space="0"/>
            </w:tcBorders>
            <w:noWrap w:val="0"/>
            <w:vAlign w:val="top"/>
          </w:tcPr>
          <w:p w14:paraId="46789F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14:paraId="163E7F21">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与招标公告要求一致</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52C2BAA2">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w:t>
            </w:r>
          </w:p>
        </w:tc>
        <w:tc>
          <w:tcPr>
            <w:tcW w:w="2350" w:type="dxa"/>
            <w:tcBorders>
              <w:top w:val="single" w:color="auto" w:sz="4" w:space="0"/>
              <w:left w:val="single" w:color="auto" w:sz="4" w:space="0"/>
              <w:bottom w:val="single" w:color="auto" w:sz="4" w:space="0"/>
              <w:right w:val="single" w:color="auto" w:sz="4" w:space="0"/>
            </w:tcBorders>
            <w:noWrap w:val="0"/>
            <w:vAlign w:val="top"/>
          </w:tcPr>
          <w:p w14:paraId="3FB258BE">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填报人员与资格审查提供的人员一致。</w:t>
            </w:r>
          </w:p>
        </w:tc>
      </w:tr>
      <w:tr w14:paraId="353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2C534089">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4" w:type="dxa"/>
            <w:tcBorders>
              <w:top w:val="single" w:color="auto" w:sz="4" w:space="0"/>
              <w:left w:val="single" w:color="auto" w:sz="4" w:space="0"/>
              <w:bottom w:val="single" w:color="auto" w:sz="4" w:space="0"/>
              <w:right w:val="single" w:color="auto" w:sz="4" w:space="0"/>
            </w:tcBorders>
            <w:noWrap w:val="0"/>
            <w:vAlign w:val="top"/>
          </w:tcPr>
          <w:p w14:paraId="1E5DCA84">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14:paraId="77D615EA">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eastAsia="zh-CN"/>
              </w:rPr>
              <w:t>具有</w:t>
            </w:r>
            <w:r>
              <w:rPr>
                <w:rFonts w:hint="eastAsia" w:ascii="宋体" w:hAnsi="宋体" w:cs="宋体"/>
                <w:color w:val="auto"/>
                <w:sz w:val="24"/>
                <w:szCs w:val="24"/>
                <w:highlight w:val="none"/>
                <w:u w:val="single"/>
                <w:lang w:val="en-US" w:eastAsia="zh-CN"/>
              </w:rPr>
              <w:t>市政公用</w:t>
            </w:r>
            <w:r>
              <w:rPr>
                <w:rFonts w:hint="eastAsia" w:ascii="宋体" w:hAnsi="宋体" w:eastAsia="宋体" w:cs="宋体"/>
                <w:color w:val="auto"/>
                <w:sz w:val="24"/>
                <w:szCs w:val="24"/>
                <w:highlight w:val="none"/>
                <w:u w:val="single"/>
                <w:lang w:eastAsia="zh-CN"/>
              </w:rPr>
              <w:t>工程类中</w:t>
            </w:r>
            <w:r>
              <w:rPr>
                <w:rFonts w:hint="eastAsia" w:ascii="宋体" w:hAnsi="宋体" w:eastAsia="宋体" w:cs="宋体"/>
                <w:color w:val="auto"/>
                <w:sz w:val="24"/>
                <w:szCs w:val="24"/>
                <w:highlight w:val="none"/>
                <w:u w:val="single"/>
              </w:rPr>
              <w:t>级或以上技术职称</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74235BF5">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人</w:t>
            </w:r>
          </w:p>
        </w:tc>
        <w:tc>
          <w:tcPr>
            <w:tcW w:w="2350" w:type="dxa"/>
            <w:tcBorders>
              <w:top w:val="single" w:color="auto" w:sz="4" w:space="0"/>
              <w:left w:val="single" w:color="auto" w:sz="4" w:space="0"/>
              <w:bottom w:val="single" w:color="auto" w:sz="4" w:space="0"/>
              <w:right w:val="single" w:color="auto" w:sz="4" w:space="0"/>
            </w:tcBorders>
            <w:noWrap w:val="0"/>
            <w:vAlign w:val="top"/>
          </w:tcPr>
          <w:p w14:paraId="73B861E2">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rPr>
            </w:pPr>
          </w:p>
        </w:tc>
      </w:tr>
      <w:tr w14:paraId="2006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1841E994">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323B8E">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636144">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与招标公告要求一致</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706253">
            <w:pPr>
              <w:pStyle w:val="3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color w:val="auto"/>
                <w:kern w:val="0"/>
                <w:sz w:val="24"/>
                <w:szCs w:val="24"/>
                <w:highlight w:val="none"/>
                <w:lang w:val="en-US" w:eastAsia="zh-CN"/>
              </w:rPr>
              <w:t xml:space="preserve">  </w:t>
            </w:r>
            <w:r>
              <w:rPr>
                <w:rFonts w:hint="eastAsia" w:eastAsia="宋体" w:cs="宋体"/>
                <w:strike w:val="0"/>
                <w:color w:val="auto"/>
                <w:kern w:val="0"/>
                <w:sz w:val="24"/>
                <w:szCs w:val="24"/>
                <w:highlight w:val="none"/>
                <w:lang w:val="en-US" w:eastAsia="zh-CN"/>
              </w:rPr>
              <w:t>不少于1</w:t>
            </w:r>
            <w:r>
              <w:rPr>
                <w:rFonts w:hint="eastAsia" w:ascii="宋体" w:hAnsi="宋体" w:eastAsia="宋体" w:cs="宋体"/>
                <w:color w:val="auto"/>
                <w:sz w:val="24"/>
                <w:szCs w:val="24"/>
                <w:highlight w:val="none"/>
                <w:lang w:val="en-US" w:eastAsia="zh-CN"/>
              </w:rPr>
              <w:t>人</w:t>
            </w:r>
            <w:r>
              <w:rPr>
                <w:rFonts w:hint="eastAsia" w:ascii="宋体" w:hAnsi="宋体" w:eastAsia="宋体" w:cs="宋体"/>
                <w:bCs/>
                <w:color w:val="auto"/>
                <w:spacing w:val="-10"/>
                <w:sz w:val="24"/>
                <w:szCs w:val="24"/>
                <w:highlight w:val="none"/>
                <w:lang w:eastAsia="zh-CN"/>
              </w:rPr>
              <w:t>（需符合住建部的相关文件）</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01209B">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填报人员</w:t>
            </w:r>
            <w:r>
              <w:rPr>
                <w:rFonts w:hint="eastAsia" w:ascii="宋体" w:hAnsi="宋体" w:eastAsia="宋体" w:cs="宋体"/>
                <w:color w:val="auto"/>
                <w:sz w:val="24"/>
                <w:szCs w:val="24"/>
                <w:highlight w:val="none"/>
                <w:lang w:eastAsia="zh-CN"/>
              </w:rPr>
              <w:t>应包括</w:t>
            </w:r>
            <w:r>
              <w:rPr>
                <w:rFonts w:hint="eastAsia" w:ascii="宋体" w:hAnsi="宋体" w:eastAsia="宋体" w:cs="宋体"/>
                <w:color w:val="auto"/>
                <w:sz w:val="24"/>
                <w:szCs w:val="24"/>
                <w:highlight w:val="none"/>
              </w:rPr>
              <w:t>资格审查提供的人员</w:t>
            </w:r>
            <w:r>
              <w:rPr>
                <w:rFonts w:hint="eastAsia" w:ascii="宋体" w:hAnsi="宋体" w:eastAsia="宋体" w:cs="宋体"/>
                <w:color w:val="auto"/>
                <w:sz w:val="24"/>
                <w:szCs w:val="24"/>
                <w:highlight w:val="none"/>
                <w:lang w:eastAsia="zh-CN"/>
              </w:rPr>
              <w:t>，不得由其他人员兼任，也不得在其他在建项目任职。</w:t>
            </w:r>
          </w:p>
        </w:tc>
      </w:tr>
      <w:tr w14:paraId="4FFC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4BDFB81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435A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E5AA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4D0545">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人</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9FEACF">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p>
        </w:tc>
      </w:tr>
      <w:tr w14:paraId="578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6C248F06">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4CDDBC">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资料员</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4838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取得岗位证书（或培训证书）</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BDA07D">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 人</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87A0E2">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0711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7601D1BC">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CF52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施工员</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19E1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取得岗位证书（或培训证书）</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343247">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 人</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981F96">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2BFB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top"/>
          </w:tcPr>
          <w:p w14:paraId="7AC55D41">
            <w:pPr>
              <w:keepNext w:val="0"/>
              <w:keepLines w:val="0"/>
              <w:pageBreakBefore w:val="0"/>
              <w:kinsoku/>
              <w:wordWrap/>
              <w:overflowPunct/>
              <w:topLinePunct w:val="0"/>
              <w:autoSpaceDE/>
              <w:autoSpaceDN/>
              <w:bidi w:val="0"/>
              <w:adjustRightInd/>
              <w:spacing w:beforeAutospacing="0" w:afterAutospacing="0" w:line="360" w:lineRule="auto"/>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1944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质检员</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980D87">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取得岗位证书（或培训证书）</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5A43DC">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 人</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365064">
            <w:pPr>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bl>
    <w:p w14:paraId="277E3364">
      <w:pPr>
        <w:tabs>
          <w:tab w:val="left" w:pos="720"/>
        </w:tabs>
        <w:snapToGrid w:val="0"/>
        <w:spacing w:line="360" w:lineRule="auto"/>
        <w:ind w:firstLine="0" w:firstLineChars="0"/>
        <w:jc w:val="center"/>
        <w:rPr>
          <w:color w:val="auto"/>
          <w:sz w:val="24"/>
          <w:szCs w:val="24"/>
          <w:highlight w:val="none"/>
        </w:rPr>
      </w:pPr>
    </w:p>
    <w:p w14:paraId="0A840C3C">
      <w:pPr>
        <w:rPr>
          <w:rFonts w:hint="eastAsia" w:eastAsia="宋体"/>
          <w:color w:val="auto"/>
          <w:highlight w:val="none"/>
          <w:lang w:eastAsia="zh-CN"/>
        </w:rPr>
      </w:pPr>
      <w:r>
        <w:rPr>
          <w:rFonts w:hint="eastAsia"/>
          <w:color w:val="auto"/>
          <w:highlight w:val="none"/>
        </w:rPr>
        <w:t>注：①上述人员须提供身份证、及投标截止前一个月（</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lang w:val="en-US" w:eastAsia="zh-CN"/>
        </w:rPr>
        <w:t>或</w:t>
      </w:r>
      <w:r>
        <w:rPr>
          <w:rFonts w:hint="eastAsia"/>
          <w:color w:val="auto"/>
          <w:highlight w:val="none"/>
          <w:u w:val="single"/>
          <w:lang w:val="en-US" w:eastAsia="zh-CN"/>
        </w:rPr>
        <w:t>8</w:t>
      </w:r>
      <w:r>
        <w:rPr>
          <w:rFonts w:hint="eastAsia"/>
          <w:color w:val="auto"/>
          <w:highlight w:val="none"/>
        </w:rPr>
        <w:t>月）有效社保证明，且须按相应要求提供职称证、有效期内的注册证及有效期内的安全生产考核合格证（B类）或安全生产考核合格证（C类）或或建筑施工企业项目负责人安全生产考核合格证书或建筑施工企业专职安全生产管理人员安全生产考核合格证书（C3）</w:t>
      </w:r>
      <w:r>
        <w:rPr>
          <w:rFonts w:hint="eastAsia"/>
          <w:color w:val="auto"/>
          <w:highlight w:val="none"/>
          <w:lang w:eastAsia="zh-CN"/>
        </w:rPr>
        <w:t>、岗位证书（或培训证书）</w:t>
      </w:r>
      <w:r>
        <w:rPr>
          <w:rFonts w:hint="eastAsia"/>
          <w:color w:val="auto"/>
          <w:highlight w:val="none"/>
        </w:rPr>
        <w:t>，所有资料为扫描件并加盖投标人电子公章</w:t>
      </w:r>
      <w:r>
        <w:rPr>
          <w:rFonts w:hint="eastAsia"/>
          <w:color w:val="auto"/>
          <w:highlight w:val="none"/>
          <w:lang w:eastAsia="zh-CN"/>
        </w:rPr>
        <w:t>。</w:t>
      </w:r>
    </w:p>
    <w:p w14:paraId="58C0CFB9">
      <w:pPr>
        <w:tabs>
          <w:tab w:val="left" w:pos="720"/>
        </w:tabs>
        <w:snapToGrid w:val="0"/>
        <w:spacing w:line="360" w:lineRule="auto"/>
        <w:ind w:firstLine="0" w:firstLineChars="0"/>
        <w:jc w:val="left"/>
        <w:rPr>
          <w:color w:val="auto"/>
          <w:highlight w:val="none"/>
        </w:rPr>
      </w:pPr>
      <w:r>
        <w:rPr>
          <w:color w:val="auto"/>
          <w:sz w:val="24"/>
          <w:szCs w:val="24"/>
          <w:highlight w:val="none"/>
        </w:rPr>
        <w:br w:type="page"/>
      </w:r>
      <w:bookmarkStart w:id="101" w:name="_Toc17091"/>
      <w:bookmarkStart w:id="102" w:name="_Toc21525514"/>
      <w:bookmarkStart w:id="103" w:name="_Toc30717"/>
      <w:bookmarkStart w:id="104" w:name="_Toc24011"/>
      <w:bookmarkStart w:id="105" w:name="_Toc2272569"/>
      <w:r>
        <w:rPr>
          <w:rStyle w:val="61"/>
          <w:rFonts w:hint="eastAsia" w:eastAsia="宋体" w:cs="Times New Roman"/>
          <w:color w:val="auto"/>
          <w:highlight w:val="none"/>
        </w:rPr>
        <w:t>第六章  图纸及勘察资料</w:t>
      </w:r>
      <w:bookmarkEnd w:id="101"/>
      <w:bookmarkEnd w:id="102"/>
      <w:bookmarkEnd w:id="103"/>
      <w:bookmarkEnd w:id="104"/>
      <w:bookmarkEnd w:id="105"/>
    </w:p>
    <w:p w14:paraId="56C8C1F7">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14:paraId="33E6BB66">
      <w:pPr>
        <w:tabs>
          <w:tab w:val="left" w:pos="720"/>
        </w:tabs>
        <w:snapToGrid w:val="0"/>
        <w:spacing w:line="360" w:lineRule="auto"/>
        <w:ind w:firstLine="0" w:firstLineChars="0"/>
        <w:jc w:val="center"/>
        <w:rPr>
          <w:color w:val="auto"/>
          <w:highlight w:val="none"/>
        </w:rPr>
      </w:pPr>
      <w:r>
        <w:rPr>
          <w:color w:val="auto"/>
          <w:sz w:val="24"/>
          <w:szCs w:val="24"/>
          <w:highlight w:val="none"/>
        </w:rPr>
        <w:br w:type="page"/>
      </w:r>
      <w:bookmarkStart w:id="106" w:name="_Toc25551"/>
      <w:bookmarkStart w:id="107" w:name="_Toc21525515"/>
      <w:bookmarkStart w:id="108" w:name="_Toc13042"/>
      <w:bookmarkStart w:id="109" w:name="_Toc1393"/>
      <w:bookmarkStart w:id="110" w:name="_Toc2272570"/>
      <w:r>
        <w:rPr>
          <w:rStyle w:val="61"/>
          <w:rFonts w:hint="eastAsia" w:eastAsia="宋体" w:cs="Times New Roman"/>
          <w:color w:val="auto"/>
          <w:highlight w:val="none"/>
        </w:rPr>
        <w:t>第七章  工程量清单</w:t>
      </w:r>
      <w:bookmarkEnd w:id="106"/>
      <w:bookmarkEnd w:id="107"/>
      <w:bookmarkEnd w:id="108"/>
      <w:bookmarkEnd w:id="109"/>
      <w:bookmarkEnd w:id="110"/>
    </w:p>
    <w:p w14:paraId="0CF39AC6">
      <w:pPr>
        <w:tabs>
          <w:tab w:val="left" w:pos="720"/>
        </w:tabs>
        <w:snapToGrid w:val="0"/>
        <w:spacing w:line="360" w:lineRule="auto"/>
        <w:ind w:firstLine="0" w:firstLineChars="0"/>
        <w:jc w:val="center"/>
        <w:rPr>
          <w:rFonts w:ascii="宋体"/>
          <w:color w:val="auto"/>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另册</w:t>
      </w:r>
      <w:r>
        <w:rPr>
          <w:rFonts w:hint="eastAsia" w:ascii="宋体" w:hAnsi="宋体"/>
          <w:color w:val="auto"/>
          <w:sz w:val="24"/>
          <w:szCs w:val="24"/>
          <w:highlight w:val="none"/>
          <w:lang w:eastAsia="zh-CN"/>
        </w:rPr>
        <w:t>）</w:t>
      </w:r>
      <w:r>
        <w:rPr>
          <w:color w:val="auto"/>
          <w:sz w:val="24"/>
          <w:szCs w:val="24"/>
          <w:highlight w:val="none"/>
        </w:rPr>
        <w:br w:type="page"/>
      </w:r>
      <w:bookmarkStart w:id="111" w:name="_Toc23565"/>
      <w:bookmarkStart w:id="112" w:name="_Toc19152"/>
      <w:bookmarkStart w:id="113" w:name="_Toc2272571"/>
      <w:bookmarkStart w:id="114" w:name="_Toc18445"/>
      <w:bookmarkStart w:id="115" w:name="_Toc21525516"/>
      <w:r>
        <w:rPr>
          <w:rStyle w:val="61"/>
          <w:rFonts w:hint="eastAsia" w:eastAsia="宋体" w:cs="Times New Roman"/>
          <w:color w:val="auto"/>
          <w:highlight w:val="none"/>
        </w:rPr>
        <w:t>第八章  最高投标限价</w:t>
      </w:r>
      <w:bookmarkEnd w:id="111"/>
      <w:bookmarkEnd w:id="112"/>
      <w:bookmarkEnd w:id="113"/>
      <w:bookmarkEnd w:id="114"/>
      <w:bookmarkEnd w:id="115"/>
    </w:p>
    <w:p w14:paraId="22FAA070">
      <w:pPr>
        <w:spacing w:line="360" w:lineRule="auto"/>
        <w:ind w:firstLine="480"/>
        <w:jc w:val="center"/>
        <w:rPr>
          <w:color w:val="auto"/>
          <w:sz w:val="36"/>
          <w:highlight w:val="none"/>
          <w:u w:val="single"/>
        </w:rPr>
      </w:pPr>
      <w:r>
        <w:rPr>
          <w:rFonts w:hint="eastAsia" w:ascii="宋体" w:hAnsi="宋体" w:cs="宋体"/>
          <w:color w:val="auto"/>
          <w:sz w:val="24"/>
          <w:szCs w:val="24"/>
          <w:highlight w:val="none"/>
          <w:u w:val="single"/>
        </w:rPr>
        <w:t>（另册）</w:t>
      </w:r>
    </w:p>
    <w:sectPr>
      <w:headerReference r:id="rId31" w:type="default"/>
      <w:footerReference r:id="rId3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altName w:val="宋体"/>
    <w:panose1 w:val="02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7122">
    <w:pPr>
      <w:pStyle w:val="24"/>
      <w:ind w:firstLine="392"/>
      <w:jc w:val="center"/>
      <w:rPr>
        <w:rStyle w:val="42"/>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C453F8">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LH/7TAQAAnwMAAA4AAABkcnMvZTJvRG9jLnhtbK1TzY7TMBC+I/EO&#10;lu80SReh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rsobzpyw9OaXH98vP39f&#10;fn1j1U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KLH/7TAQAAnwMAAA4AAAAAAAAAAQAgAAAAHwEA&#10;AGRycy9lMm9Eb2MueG1sUEsFBgAAAAAGAAYAWQEAAGQFAAAAAA==&#10;">
              <v:fill on="f" focussize="0,0"/>
              <v:stroke on="f"/>
              <v:imagedata o:title=""/>
              <o:lock v:ext="edit" aspectratio="f"/>
              <v:textbox inset="0mm,0mm,0mm,0mm" style="mso-fit-shape-to-text:t;">
                <w:txbxContent>
                  <w:p w14:paraId="20C453F8">
                    <w:pPr>
                      <w:pStyle w:val="2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8CFFC">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15620" cy="41846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3EC8E560">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4384;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EDJZbRAAAAAwEAAA8AAAAAAAAAAQAgAAAAIgAAAGRy&#10;cy9kb3ducmV2LnhtbFBLAQIUABQAAAAIAIdO4kC86eJl0wEAAKcDAAAOAAAAAAAAAAEAIAAAACAB&#10;AABkcnMvZTJvRG9jLnhtbFBLBQYAAAAABgAGAFkBAABlBQAAAAA=&#10;">
              <v:fill on="f" focussize="0,0"/>
              <v:stroke on="f"/>
              <v:imagedata o:title=""/>
              <o:lock v:ext="edit" aspectratio="f"/>
              <v:textbox inset="0mm,0mm,0mm,0mm" style="mso-fit-shape-to-text:t;">
                <w:txbxContent>
                  <w:p w14:paraId="3EC8E560">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ECF7">
    <w:pPr>
      <w:spacing w:line="360" w:lineRule="auto"/>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33400" cy="1631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14:paraId="193093CF">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8480;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9pVdIAAAADAQAADwAAAAAAAAABACAAAAAiAAAAZHJzL2Rvd25yZXYueG1sUEsB&#10;AhQAFAAAAAgAh07iQGFTPJ3CAQAAfwMAAA4AAAAAAAAAAQAgAAAAIQEAAGRycy9lMm9Eb2MueG1s&#10;UEsFBgAAAAAGAAYAWQEAAFUFAAAAAA==&#10;">
              <v:fill on="f" focussize="0,0"/>
              <v:stroke on="f"/>
              <v:imagedata o:title=""/>
              <o:lock v:ext="edit" aspectratio="f"/>
              <v:textbox inset="0mm,0mm,0mm,0mm">
                <w:txbxContent>
                  <w:p w14:paraId="193093CF">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D38B">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15620" cy="41846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405FEF06">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7456;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EDJZbRAAAAAwEAAA8AAAAAAAAAAQAgAAAAIgAAAGRy&#10;cy9kb3ducmV2LnhtbFBLAQIUABQAAAAIAIdO4kB9MHET0wEAAKcDAAAOAAAAAAAAAAEAIAAAACAB&#10;AABkcnMvZTJvRG9jLnhtbFBLBQYAAAAABgAGAFkBAABlBQAAAAA=&#10;">
              <v:fill on="f" focussize="0,0"/>
              <v:stroke on="f"/>
              <v:imagedata o:title=""/>
              <o:lock v:ext="edit" aspectratio="f"/>
              <v:textbox inset="0mm,0mm,0mm,0mm" style="mso-fit-shape-to-text:t;">
                <w:txbxContent>
                  <w:p w14:paraId="405FEF06">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BE3C">
    <w:pPr>
      <w:pStyle w:val="2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C99422">
                          <w:pPr>
                            <w:pStyle w:val="24"/>
                          </w:pPr>
                          <w:r>
                            <w:fldChar w:fldCharType="begin"/>
                          </w:r>
                          <w:r>
                            <w:instrText xml:space="preserve"> PAGE  \* MERGEFORMAT </w:instrText>
                          </w:r>
                          <w:r>
                            <w:fldChar w:fldCharType="separate"/>
                          </w:r>
                          <w:r>
                            <w:t>一百〇五</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NVT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I1VOyQEAAJsDAAAOAAAAAAAAAAEAIAAAAB4BAABkcnMvZTJvRG9j&#10;LnhtbFBLBQYAAAAABgAGAFkBAABZBQAAAAA=&#10;">
              <v:fill on="f" focussize="0,0"/>
              <v:stroke on="f"/>
              <v:imagedata o:title=""/>
              <o:lock v:ext="edit" aspectratio="f"/>
              <v:textbox inset="0mm,0mm,0mm,0mm" style="mso-fit-shape-to-text:t;">
                <w:txbxContent>
                  <w:p w14:paraId="63C99422">
                    <w:pPr>
                      <w:pStyle w:val="24"/>
                    </w:pPr>
                    <w:r>
                      <w:fldChar w:fldCharType="begin"/>
                    </w:r>
                    <w:r>
                      <w:instrText xml:space="preserve"> PAGE  \* MERGEFORMAT </w:instrText>
                    </w:r>
                    <w:r>
                      <w:fldChar w:fldCharType="separate"/>
                    </w:r>
                    <w:r>
                      <w:t>一百〇五</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0959">
    <w:pPr>
      <w:pStyle w:val="24"/>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FD207">
                          <w:pPr>
                            <w:pStyle w:val="24"/>
                          </w:pPr>
                          <w:r>
                            <w:fldChar w:fldCharType="begin"/>
                          </w:r>
                          <w:r>
                            <w:instrText xml:space="preserve"> PAGE  \* MERGEFORMAT </w:instrText>
                          </w:r>
                          <w:r>
                            <w:fldChar w:fldCharType="separate"/>
                          </w:r>
                          <w:r>
                            <w:t>一百〇七</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Giv8oBAACb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qGiv8oBAACbAwAADgAAAAAAAAABACAAAAAeAQAAZHJzL2Uyb0Rv&#10;Yy54bWxQSwUGAAAAAAYABgBZAQAAWgUAAAAA&#10;">
              <v:fill on="f" focussize="0,0"/>
              <v:stroke on="f"/>
              <v:imagedata o:title=""/>
              <o:lock v:ext="edit" aspectratio="f"/>
              <v:textbox inset="0mm,0mm,0mm,0mm" style="mso-fit-shape-to-text:t;">
                <w:txbxContent>
                  <w:p w14:paraId="560FD207">
                    <w:pPr>
                      <w:pStyle w:val="24"/>
                    </w:pPr>
                    <w:r>
                      <w:fldChar w:fldCharType="begin"/>
                    </w:r>
                    <w:r>
                      <w:instrText xml:space="preserve"> PAGE  \* MERGEFORMAT </w:instrText>
                    </w:r>
                    <w:r>
                      <w:fldChar w:fldCharType="separate"/>
                    </w:r>
                    <w:r>
                      <w:t>一百〇七</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DDD">
    <w:pPr>
      <w:pStyle w:val="24"/>
      <w:ind w:right="360" w:firstLine="360"/>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9AFBEA">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Ub+KUNIBAACeAwAADgAAAAAAAAABACAAAAAfAQAA&#10;ZHJzL2Uyb0RvYy54bWxQSwUGAAAAAAYABgBZAQAAYwUAAAAA&#10;">
              <v:fill on="f" focussize="0,0"/>
              <v:stroke on="f"/>
              <v:imagedata o:title=""/>
              <o:lock v:ext="edit" aspectratio="f"/>
              <v:textbox inset="0mm,0mm,0mm,0mm" style="mso-fit-shape-to-text:t;">
                <w:txbxContent>
                  <w:p w14:paraId="4F9AFBEA">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7DB4">
    <w:pPr>
      <w:pStyle w:val="24"/>
      <w:ind w:firstLine="392"/>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AFA891">
                          <w:pPr>
                            <w:pStyle w:val="24"/>
                            <w:ind w:firstLine="392"/>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NoRrSAQAAng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pvOHPC0ptffv64/Ppz&#10;+f2dVcmhPuCaDj6Ee5gypDDJHVqw6UtC2JBdPV9dVUNkkjar1XK1KslwSbU5IZzi8XoAjO+VtywF&#10;NQd6tuymOH3EOB6dj6RuxqXV+TttzFhNO0WiORJLURz2w8R275szqaShJ/DOwzfOenrymjuacM7M&#10;B0eOpumYA5iD/RwIJ+lizSNnxwD60OVJSjQwvDtGopJ5psZjt4kPPVtWOo1YmouneT71+Ft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l82hGtIBAACeAwAADgAAAAAAAAABACAAAAAfAQAA&#10;ZHJzL2Uyb0RvYy54bWxQSwUGAAAAAAYABgBZAQAAYwUAAAAA&#10;">
              <v:fill on="f" focussize="0,0"/>
              <v:stroke on="f"/>
              <v:imagedata o:title=""/>
              <o:lock v:ext="edit" aspectratio="f"/>
              <v:textbox inset="0mm,0mm,0mm,0mm" style="mso-fit-shape-to-text:t;">
                <w:txbxContent>
                  <w:p w14:paraId="73AFA891">
                    <w:pPr>
                      <w:pStyle w:val="24"/>
                      <w:ind w:firstLine="392"/>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1936">
    <w:pPr>
      <w:pStyle w:val="24"/>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D86857F">
                          <w:r>
                            <w:t xml:space="preserve">第 </w:t>
                          </w:r>
                          <w:r>
                            <w:fldChar w:fldCharType="begin"/>
                          </w:r>
                          <w:r>
                            <w:instrText xml:space="preserve"> PAGE  \* MERGEFORMAT </w:instrText>
                          </w:r>
                          <w:r>
                            <w:fldChar w:fldCharType="separate"/>
                          </w:r>
                          <w:r>
                            <w:t>一</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7vrundIBAACkAwAADgAAAAAAAAABACAAAAAfAQAA&#10;ZHJzL2Uyb0RvYy54bWxQSwUGAAAAAAYABgBZAQAAYwUAAAAA&#10;">
              <v:fill on="f" focussize="0,0"/>
              <v:stroke on="f" weight="0.5pt"/>
              <v:imagedata o:title=""/>
              <o:lock v:ext="edit" aspectratio="f"/>
              <v:textbox inset="0mm,0mm,0mm,0mm" style="mso-fit-shape-to-text:t;">
                <w:txbxContent>
                  <w:p w14:paraId="0D86857F">
                    <w:r>
                      <w:t xml:space="preserve">第 </w:t>
                    </w:r>
                    <w:r>
                      <w:fldChar w:fldCharType="begin"/>
                    </w:r>
                    <w:r>
                      <w:instrText xml:space="preserve"> PAGE  \* MERGEFORMAT </w:instrText>
                    </w:r>
                    <w:r>
                      <w:fldChar w:fldCharType="separate"/>
                    </w:r>
                    <w:r>
                      <w:t>一</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EC85">
    <w:pPr>
      <w:pStyle w:val="24"/>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14:paraId="79170EF6">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CABB">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444A73">
                          <w:pPr>
                            <w:pStyle w:val="24"/>
                            <w:jc w:val="center"/>
                          </w:pPr>
                          <w:r>
                            <w:t xml:space="preserve">第 </w:t>
                          </w:r>
                          <w:r>
                            <w:fldChar w:fldCharType="begin"/>
                          </w:r>
                          <w:r>
                            <w:instrText xml:space="preserve"> PAGE  \* MERGEFORMAT </w:instrText>
                          </w:r>
                          <w:r>
                            <w:fldChar w:fldCharType="separate"/>
                          </w:r>
                          <w:r>
                            <w:t>一</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8snFb9IBAACkAwAADgAAAAAAAAABACAAAAAfAQAA&#10;ZHJzL2Uyb0RvYy54bWxQSwUGAAAAAAYABgBZAQAAYwUAAAAA&#10;">
              <v:fill on="f" focussize="0,0"/>
              <v:stroke on="f" weight="0.5pt"/>
              <v:imagedata o:title=""/>
              <o:lock v:ext="edit" aspectratio="f"/>
              <v:textbox inset="0mm,0mm,0mm,0mm" style="mso-fit-shape-to-text:t;">
                <w:txbxContent>
                  <w:p w14:paraId="5B444A73">
                    <w:pPr>
                      <w:pStyle w:val="24"/>
                      <w:jc w:val="center"/>
                    </w:pPr>
                    <w:r>
                      <w:t xml:space="preserve">第 </w:t>
                    </w:r>
                    <w:r>
                      <w:fldChar w:fldCharType="begin"/>
                    </w:r>
                    <w:r>
                      <w:instrText xml:space="preserve"> PAGE  \* MERGEFORMAT </w:instrText>
                    </w:r>
                    <w:r>
                      <w:fldChar w:fldCharType="separate"/>
                    </w:r>
                    <w:r>
                      <w:t>一</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8F18">
    <w:pPr>
      <w:spacing w:line="360" w:lineRule="auto"/>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3400" cy="2298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wps:spPr>
                    <wps:txbx>
                      <w:txbxContent>
                        <w:p w14:paraId="4DEAA21B">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3360;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ltIsTRAAAAAwEAAA8AAAAAAAAAAQAgAAAAIgAAAGRycy9k&#10;b3ducmV2LnhtbFBLAQIUABQAAAAIAIdO4kDZy08E0AEAAJkDAAAOAAAAAAAAAAEAIAAAACABAABk&#10;cnMvZTJvRG9jLnhtbFBLBQYAAAAABgAGAFkBAABiBQAAAAA=&#10;">
              <v:fill on="f" focussize="0,0"/>
              <v:stroke on="f"/>
              <v:imagedata o:title=""/>
              <o:lock v:ext="edit" aspectratio="f"/>
              <v:textbox inset="0mm,0mm,0mm,0mm" style="mso-fit-shape-to-text:t;">
                <w:txbxContent>
                  <w:p w14:paraId="4DEAA21B">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D77F1">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15620" cy="41846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718B1A2D">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2336;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AyWW0QAAAAMBAAAPAAAAAAAAAAEAIAAAACIAAABk&#10;cnMvZG93bnJldi54bWxQSwECFAAUAAAACACHTuJAKi8JKNQBAACnAwAADgAAAAAAAAABACAAAAAg&#10;AQAAZHJzL2Uyb0RvYy54bWxQSwUGAAAAAAYABgBZAQAAZgUAAAAA&#10;">
              <v:fill on="f" focussize="0,0"/>
              <v:stroke on="f"/>
              <v:imagedata o:title=""/>
              <o:lock v:ext="edit" aspectratio="f"/>
              <v:textbox inset="0mm,0mm,0mm,0mm" style="mso-fit-shape-to-text:t;">
                <w:txbxContent>
                  <w:p w14:paraId="718B1A2D">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079A">
    <w:pPr>
      <w:spacing w:line="360" w:lineRule="auto"/>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33400" cy="1631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14:paraId="3DB71C2D">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6432;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9pVdIAAAADAQAADwAAAAAAAAABACAAAAAiAAAAZHJzL2Rvd25yZXYueG1sUEsB&#10;AhQAFAAAAAgAh07iQObec6zCAQAAfwMAAA4AAAAAAAAAAQAgAAAAIQEAAGRycy9lMm9Eb2MueG1s&#10;UEsFBgAAAAAGAAYAWQEAAFUFAAAAAA==&#10;">
              <v:fill on="f" focussize="0,0"/>
              <v:stroke on="f"/>
              <v:imagedata o:title=""/>
              <o:lock v:ext="edit" aspectratio="f"/>
              <v:textbox inset="0mm,0mm,0mm,0mm">
                <w:txbxContent>
                  <w:p w14:paraId="3DB71C2D">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5833">
    <w:pPr>
      <w:spacing w:line="360" w:lineRule="auto"/>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33400" cy="2298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wps:spPr>
                    <wps:txbx>
                      <w:txbxContent>
                        <w:p w14:paraId="556A93E4">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5408;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W0ixNEAAAADAQAADwAAAAAAAAABACAAAAAiAAAAZHJzL2Rv&#10;d25yZXYueG1sUEsBAhQAFAAAAAgAh07iQHWRcwzPAQAAmQMAAA4AAAAAAAAAAQAgAAAAIAEAAGRy&#10;cy9lMm9Eb2MueG1sUEsFBgAAAAAGAAYAWQEAAGEFAAAAAA==&#10;">
              <v:fill on="f" focussize="0,0"/>
              <v:stroke on="f"/>
              <v:imagedata o:title=""/>
              <o:lock v:ext="edit" aspectratio="f"/>
              <v:textbox inset="0mm,0mm,0mm,0mm" style="mso-fit-shape-to-text:t;">
                <w:txbxContent>
                  <w:p w14:paraId="556A93E4">
                    <w:pPr>
                      <w:spacing w:line="360" w:lineRule="auto"/>
                      <w:ind w:firstLine="629"/>
                      <w:jc w:val="center"/>
                      <w:rPr>
                        <w:rFonts w:eastAsia="仿宋_GB2312"/>
                        <w:color w:val="000000"/>
                        <w:szCs w:val="21"/>
                      </w:rPr>
                    </w:pPr>
                    <w:r>
                      <w:rPr>
                        <w:rFonts w:eastAsia="仿宋_GB2312"/>
                        <w:color w:val="000000"/>
                        <w:szCs w:val="21"/>
                      </w:rPr>
                      <w:t xml:space="preserve">第 </w:t>
                    </w: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一</w:t>
                    </w:r>
                    <w:r>
                      <w:rPr>
                        <w:rFonts w:eastAsia="仿宋_GB2312"/>
                        <w:color w:val="000000"/>
                        <w:szCs w:val="21"/>
                      </w:rPr>
                      <w:fldChar w:fldCharType="end"/>
                    </w:r>
                    <w:r>
                      <w:rPr>
                        <w:rFonts w:eastAsia="仿宋_GB2312"/>
                        <w:color w:val="000000"/>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3D95">
    <w:pPr>
      <w:pStyle w:val="25"/>
      <w:pBdr>
        <w:top w:val="none" w:color="auto" w:sz="0" w:space="0"/>
        <w:left w:val="none" w:color="auto" w:sz="0" w:space="0"/>
        <w:bottom w:val="none" w:color="auto" w:sz="0" w:space="1"/>
        <w:right w:val="none" w:color="auto" w:sz="0" w:space="0"/>
        <w:between w:val="none" w:color="auto" w:sz="0" w:space="0"/>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187B">
    <w:pPr>
      <w:ind w:firstLine="420" w:firstLineChars="200"/>
      <w:jc w:val="right"/>
      <w:rPr>
        <w:i/>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CA6D">
    <w:pPr>
      <w:ind w:firstLine="420" w:firstLineChars="200"/>
      <w:jc w:val="right"/>
      <w:rPr>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84BB">
    <w:pPr>
      <w:ind w:firstLine="420" w:firstLineChars="200"/>
      <w:jc w:val="right"/>
      <w:rPr>
        <w:i/>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F097">
    <w:pPr>
      <w:pStyle w:val="25"/>
      <w:pBdr>
        <w:bottom w:val="none" w:color="auto" w:sz="0" w:space="0"/>
      </w:pBdr>
      <w:ind w:firstLine="39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95EB">
    <w:pPr>
      <w:pStyle w:val="25"/>
      <w:pBdr>
        <w:bottom w:val="none" w:color="auto" w:sz="0" w:space="0"/>
      </w:pBdr>
      <w:ind w:firstLine="39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380F">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8F99">
    <w:pPr>
      <w:pStyle w:val="25"/>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60BA">
    <w:pPr>
      <w:pStyle w:val="2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C9E2">
    <w:pPr>
      <w:pStyle w:val="25"/>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EDD2">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A45F">
    <w:pPr>
      <w:ind w:firstLine="420" w:firstLineChars="200"/>
      <w:jc w:val="right"/>
      <w:rPr>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8CB4">
    <w:pPr>
      <w:ind w:firstLine="420" w:firstLineChars="200"/>
      <w:jc w:val="right"/>
      <w:rPr>
        <w:i/>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674B">
    <w:pPr>
      <w:ind w:firstLine="420" w:firstLineChars="200"/>
      <w:jc w:val="right"/>
      <w:rPr>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7042A">
    <w:pPr>
      <w:ind w:firstLine="420" w:firstLineChars="200"/>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C2326"/>
    <w:multiLevelType w:val="singleLevel"/>
    <w:tmpl w:val="E51C2326"/>
    <w:lvl w:ilvl="0" w:tentative="0">
      <w:start w:val="1"/>
      <w:numFmt w:val="decimal"/>
      <w:suff w:val="nothing"/>
      <w:lvlText w:val="（%1）"/>
      <w:lvlJc w:val="left"/>
    </w:lvl>
  </w:abstractNum>
  <w:abstractNum w:abstractNumId="1">
    <w:nsid w:val="F2A3CD6C"/>
    <w:multiLevelType w:val="singleLevel"/>
    <w:tmpl w:val="F2A3CD6C"/>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singleLevel"/>
    <w:tmpl w:val="00000001"/>
    <w:lvl w:ilvl="0" w:tentative="0">
      <w:start w:val="27"/>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singleLevel"/>
    <w:tmpl w:val="00000003"/>
    <w:lvl w:ilvl="0" w:tentative="0">
      <w:start w:val="32"/>
      <w:numFmt w:val="decimal"/>
      <w:suff w:val="space"/>
      <w:lvlText w:val="%1."/>
      <w:lvlJc w:val="left"/>
    </w:lvl>
  </w:abstractNum>
  <w:abstractNum w:abstractNumId="6">
    <w:nsid w:val="00000004"/>
    <w:multiLevelType w:val="multilevel"/>
    <w:tmpl w:val="00000004"/>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7"/>
    <w:multiLevelType w:val="multilevel"/>
    <w:tmpl w:val="00000007"/>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9">
    <w:nsid w:val="544649A8"/>
    <w:multiLevelType w:val="singleLevel"/>
    <w:tmpl w:val="544649A8"/>
    <w:lvl w:ilvl="0" w:tentative="0">
      <w:start w:val="2"/>
      <w:numFmt w:val="decimal"/>
      <w:suff w:val="space"/>
      <w:lvlText w:val="%1."/>
      <w:lvlJc w:val="left"/>
    </w:lvl>
  </w:abstractNum>
  <w:abstractNum w:abstractNumId="10">
    <w:nsid w:val="5CADBC91"/>
    <w:multiLevelType w:val="singleLevel"/>
    <w:tmpl w:val="5CADBC91"/>
    <w:lvl w:ilvl="0" w:tentative="0">
      <w:start w:val="1"/>
      <w:numFmt w:val="decimal"/>
      <w:suff w:val="nothing"/>
      <w:lvlText w:val="（%1）"/>
      <w:lvlJc w:val="left"/>
    </w:lvl>
  </w:abstractNum>
  <w:abstractNum w:abstractNumId="11">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2"/>
  </w:num>
  <w:num w:numId="4">
    <w:abstractNumId w:val="4"/>
  </w:num>
  <w:num w:numId="5">
    <w:abstractNumId w:val="0"/>
  </w:num>
  <w:num w:numId="6">
    <w:abstractNumId w:val="10"/>
  </w:num>
  <w:num w:numId="7">
    <w:abstractNumId w:val="7"/>
  </w:num>
  <w:num w:numId="8">
    <w:abstractNumId w:val="3"/>
  </w:num>
  <w:num w:numId="9">
    <w:abstractNumId w:val="5"/>
  </w:num>
  <w:num w:numId="10">
    <w:abstractNumId w:val="1"/>
  </w:num>
  <w:num w:numId="11">
    <w:abstractNumId w:val="9"/>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工">
    <w15:presenceInfo w15:providerId="None" w15:userId="胡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hOGQxZDAyMzAzZjBhNGI5MmYxNWQxZjMxZDlhMGEifQ=="/>
  </w:docVars>
  <w:rsids>
    <w:rsidRoot w:val="00000000"/>
    <w:rsid w:val="000C7CDE"/>
    <w:rsid w:val="002920CE"/>
    <w:rsid w:val="031968BD"/>
    <w:rsid w:val="03E54152"/>
    <w:rsid w:val="03F6706E"/>
    <w:rsid w:val="06447B86"/>
    <w:rsid w:val="06A741FE"/>
    <w:rsid w:val="084D49AC"/>
    <w:rsid w:val="08744889"/>
    <w:rsid w:val="08A451DE"/>
    <w:rsid w:val="091C1240"/>
    <w:rsid w:val="097C4A9B"/>
    <w:rsid w:val="0A435F4A"/>
    <w:rsid w:val="0C717551"/>
    <w:rsid w:val="0D401156"/>
    <w:rsid w:val="0DFF47D2"/>
    <w:rsid w:val="0F224A6F"/>
    <w:rsid w:val="0F4110A8"/>
    <w:rsid w:val="113A10BD"/>
    <w:rsid w:val="131531C0"/>
    <w:rsid w:val="148937C0"/>
    <w:rsid w:val="14D964F6"/>
    <w:rsid w:val="15F07F9B"/>
    <w:rsid w:val="16155F5D"/>
    <w:rsid w:val="169F44CE"/>
    <w:rsid w:val="171750B3"/>
    <w:rsid w:val="183411B6"/>
    <w:rsid w:val="184B5B6A"/>
    <w:rsid w:val="1963788C"/>
    <w:rsid w:val="1A4B3D2D"/>
    <w:rsid w:val="1BBC0605"/>
    <w:rsid w:val="1D91080D"/>
    <w:rsid w:val="1DEC4FB1"/>
    <w:rsid w:val="1E422538"/>
    <w:rsid w:val="1E83662E"/>
    <w:rsid w:val="1ECB56CA"/>
    <w:rsid w:val="1F1F3AED"/>
    <w:rsid w:val="20237569"/>
    <w:rsid w:val="214C5E13"/>
    <w:rsid w:val="22033B9A"/>
    <w:rsid w:val="235060F3"/>
    <w:rsid w:val="2382241C"/>
    <w:rsid w:val="24CD323E"/>
    <w:rsid w:val="26945107"/>
    <w:rsid w:val="269F28E6"/>
    <w:rsid w:val="27B83A73"/>
    <w:rsid w:val="28405F4A"/>
    <w:rsid w:val="29020200"/>
    <w:rsid w:val="294A3A9F"/>
    <w:rsid w:val="299E7403"/>
    <w:rsid w:val="2A8E54AE"/>
    <w:rsid w:val="2AD46E63"/>
    <w:rsid w:val="2B136412"/>
    <w:rsid w:val="2B4F2320"/>
    <w:rsid w:val="2CEA0B04"/>
    <w:rsid w:val="2E0730E9"/>
    <w:rsid w:val="2E5335A6"/>
    <w:rsid w:val="307E369B"/>
    <w:rsid w:val="30A6252C"/>
    <w:rsid w:val="31183DE5"/>
    <w:rsid w:val="31301D36"/>
    <w:rsid w:val="319C60F2"/>
    <w:rsid w:val="31E23BF9"/>
    <w:rsid w:val="31EF5153"/>
    <w:rsid w:val="32A86B2D"/>
    <w:rsid w:val="32F6606D"/>
    <w:rsid w:val="33E908A2"/>
    <w:rsid w:val="37821907"/>
    <w:rsid w:val="37893954"/>
    <w:rsid w:val="37CC40C9"/>
    <w:rsid w:val="37F05D99"/>
    <w:rsid w:val="38310875"/>
    <w:rsid w:val="3A306308"/>
    <w:rsid w:val="3A341E92"/>
    <w:rsid w:val="3A3C1438"/>
    <w:rsid w:val="3A7A2D88"/>
    <w:rsid w:val="3B4143F3"/>
    <w:rsid w:val="3DC1167E"/>
    <w:rsid w:val="3ECA3665"/>
    <w:rsid w:val="3EE45A03"/>
    <w:rsid w:val="40692574"/>
    <w:rsid w:val="42F0545D"/>
    <w:rsid w:val="441454E1"/>
    <w:rsid w:val="46BA7BEE"/>
    <w:rsid w:val="488147E9"/>
    <w:rsid w:val="48CF3784"/>
    <w:rsid w:val="494D0152"/>
    <w:rsid w:val="4A7814DA"/>
    <w:rsid w:val="4F5E05BB"/>
    <w:rsid w:val="4FE02B99"/>
    <w:rsid w:val="514953B2"/>
    <w:rsid w:val="52C83BD1"/>
    <w:rsid w:val="53101EBB"/>
    <w:rsid w:val="535A2065"/>
    <w:rsid w:val="541050C8"/>
    <w:rsid w:val="541B3E2D"/>
    <w:rsid w:val="55E53FF3"/>
    <w:rsid w:val="59894817"/>
    <w:rsid w:val="5AFA409D"/>
    <w:rsid w:val="5B1F58B2"/>
    <w:rsid w:val="5B800163"/>
    <w:rsid w:val="5C943B72"/>
    <w:rsid w:val="5D486866"/>
    <w:rsid w:val="5D4B312B"/>
    <w:rsid w:val="5EC85F66"/>
    <w:rsid w:val="5F881C77"/>
    <w:rsid w:val="608C69EB"/>
    <w:rsid w:val="60F02D49"/>
    <w:rsid w:val="61A97A57"/>
    <w:rsid w:val="631B69F2"/>
    <w:rsid w:val="638B451E"/>
    <w:rsid w:val="64D73013"/>
    <w:rsid w:val="64FD4FD4"/>
    <w:rsid w:val="66C30E36"/>
    <w:rsid w:val="680237AC"/>
    <w:rsid w:val="686139AD"/>
    <w:rsid w:val="69CB5EA5"/>
    <w:rsid w:val="69E55F18"/>
    <w:rsid w:val="6A0C1B0B"/>
    <w:rsid w:val="6B1F558A"/>
    <w:rsid w:val="6C2554B0"/>
    <w:rsid w:val="6C782DA8"/>
    <w:rsid w:val="6DD518E8"/>
    <w:rsid w:val="6E54740C"/>
    <w:rsid w:val="730B6415"/>
    <w:rsid w:val="7315096E"/>
    <w:rsid w:val="73B844A7"/>
    <w:rsid w:val="744E2B97"/>
    <w:rsid w:val="745F2F93"/>
    <w:rsid w:val="75E27A20"/>
    <w:rsid w:val="76DA51B3"/>
    <w:rsid w:val="76ED12EB"/>
    <w:rsid w:val="78A2177A"/>
    <w:rsid w:val="7B361733"/>
    <w:rsid w:val="7CE16A13"/>
    <w:rsid w:val="7CFA399F"/>
    <w:rsid w:val="7E71070E"/>
    <w:rsid w:val="7F4D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1"/>
    <w:autoRedefine/>
    <w:qFormat/>
    <w:uiPriority w:val="0"/>
    <w:pPr>
      <w:keepNext/>
      <w:keepLines/>
      <w:spacing w:after="120" w:line="360" w:lineRule="auto"/>
      <w:outlineLvl w:val="0"/>
    </w:pPr>
    <w:rPr>
      <w:kern w:val="44"/>
      <w:sz w:val="28"/>
      <w:szCs w:val="28"/>
    </w:rPr>
  </w:style>
  <w:style w:type="paragraph" w:styleId="4">
    <w:name w:val="heading 2"/>
    <w:basedOn w:val="1"/>
    <w:next w:val="1"/>
    <w:link w:val="62"/>
    <w:autoRedefine/>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47"/>
    <w:autoRedefine/>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6">
    <w:name w:val="heading 4"/>
    <w:basedOn w:val="1"/>
    <w:next w:val="1"/>
    <w:link w:val="63"/>
    <w:autoRedefine/>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7">
    <w:name w:val="heading 5"/>
    <w:basedOn w:val="6"/>
    <w:next w:val="8"/>
    <w:link w:val="64"/>
    <w:autoRedefine/>
    <w:qFormat/>
    <w:uiPriority w:val="0"/>
    <w:pPr>
      <w:numPr>
        <w:ilvl w:val="4"/>
        <w:numId w:val="0"/>
      </w:numPr>
      <w:spacing w:line="240" w:lineRule="exact"/>
      <w:outlineLvl w:val="4"/>
    </w:pPr>
  </w:style>
  <w:style w:type="paragraph" w:styleId="9">
    <w:name w:val="heading 6"/>
    <w:basedOn w:val="1"/>
    <w:next w:val="1"/>
    <w:link w:val="65"/>
    <w:autoRedefine/>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8"/>
    <w:link w:val="66"/>
    <w:autoRedefine/>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8"/>
    <w:link w:val="67"/>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68"/>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autoRedefine/>
    <w:qFormat/>
    <w:uiPriority w:val="1"/>
  </w:style>
  <w:style w:type="table" w:default="1" w:styleId="37">
    <w:name w:val="Normal Table"/>
    <w:autoRedefine/>
    <w:qFormat/>
    <w:uiPriority w:val="99"/>
    <w:tblPr>
      <w:tblCellMar>
        <w:top w:w="0" w:type="dxa"/>
        <w:left w:w="108" w:type="dxa"/>
        <w:bottom w:w="0" w:type="dxa"/>
        <w:right w:w="108" w:type="dxa"/>
      </w:tblCellMar>
    </w:tblPr>
  </w:style>
  <w:style w:type="paragraph" w:styleId="3">
    <w:name w:val="Title"/>
    <w:basedOn w:val="1"/>
    <w:link w:val="70"/>
    <w:autoRedefine/>
    <w:qFormat/>
    <w:uiPriority w:val="0"/>
    <w:pPr>
      <w:spacing w:before="120" w:after="60"/>
      <w:jc w:val="center"/>
    </w:pPr>
    <w:rPr>
      <w:rFonts w:ascii="Arial" w:hAnsi="Arial"/>
      <w:b/>
      <w:sz w:val="44"/>
      <w:szCs w:val="20"/>
    </w:rPr>
  </w:style>
  <w:style w:type="paragraph" w:styleId="8">
    <w:name w:val="Normal Indent"/>
    <w:basedOn w:val="1"/>
    <w:next w:val="1"/>
    <w:autoRedefine/>
    <w:qFormat/>
    <w:uiPriority w:val="0"/>
    <w:pPr>
      <w:ind w:firstLine="420"/>
    </w:pPr>
    <w:rPr>
      <w:rFonts w:ascii="Times New Roman" w:hAnsi="Times New Roman"/>
      <w:szCs w:val="20"/>
    </w:rPr>
  </w:style>
  <w:style w:type="paragraph" w:styleId="13">
    <w:name w:val="Document Map"/>
    <w:basedOn w:val="1"/>
    <w:link w:val="80"/>
    <w:autoRedefine/>
    <w:qFormat/>
    <w:uiPriority w:val="0"/>
    <w:pPr>
      <w:shd w:val="clear" w:color="auto" w:fill="000080"/>
    </w:pPr>
    <w:rPr>
      <w:rFonts w:ascii="Times New Roman" w:hAnsi="Times New Roman"/>
      <w:szCs w:val="20"/>
    </w:rPr>
  </w:style>
  <w:style w:type="paragraph" w:styleId="14">
    <w:name w:val="annotation text"/>
    <w:basedOn w:val="1"/>
    <w:link w:val="106"/>
    <w:autoRedefine/>
    <w:qFormat/>
    <w:uiPriority w:val="0"/>
    <w:pPr>
      <w:spacing w:line="360" w:lineRule="auto"/>
      <w:ind w:firstLine="523" w:firstLineChars="218"/>
      <w:jc w:val="left"/>
    </w:pPr>
    <w:rPr>
      <w:rFonts w:ascii="宋体" w:hAnsi="宋体"/>
      <w:sz w:val="24"/>
      <w:szCs w:val="24"/>
    </w:rPr>
  </w:style>
  <w:style w:type="paragraph" w:styleId="15">
    <w:name w:val="Body Text"/>
    <w:basedOn w:val="1"/>
    <w:link w:val="72"/>
    <w:autoRedefine/>
    <w:qFormat/>
    <w:uiPriority w:val="0"/>
    <w:pPr>
      <w:spacing w:after="120"/>
    </w:pPr>
    <w:rPr>
      <w:rFonts w:ascii="Times New Roman" w:hAnsi="Times New Roman"/>
      <w:szCs w:val="20"/>
    </w:rPr>
  </w:style>
  <w:style w:type="paragraph" w:styleId="16">
    <w:name w:val="Body Text Indent"/>
    <w:basedOn w:val="1"/>
    <w:link w:val="78"/>
    <w:autoRedefine/>
    <w:qFormat/>
    <w:uiPriority w:val="0"/>
    <w:pPr>
      <w:ind w:firstLine="570"/>
    </w:pPr>
    <w:rPr>
      <w:rFonts w:ascii="Times New Roman" w:hAnsi="Times New Roman"/>
      <w:sz w:val="28"/>
      <w:szCs w:val="20"/>
    </w:rPr>
  </w:style>
  <w:style w:type="paragraph" w:styleId="17">
    <w:name w:val="index 4"/>
    <w:basedOn w:val="1"/>
    <w:next w:val="1"/>
    <w:autoRedefine/>
    <w:qFormat/>
    <w:uiPriority w:val="99"/>
    <w:pPr>
      <w:ind w:left="600" w:leftChars="600"/>
    </w:pPr>
  </w:style>
  <w:style w:type="paragraph" w:styleId="18">
    <w:name w:val="toc 3"/>
    <w:basedOn w:val="1"/>
    <w:next w:val="1"/>
    <w:autoRedefine/>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2"/>
    <w:autoRedefine/>
    <w:qFormat/>
    <w:uiPriority w:val="0"/>
    <w:rPr>
      <w:rFonts w:ascii="宋体" w:hAnsi="Courier New"/>
      <w:szCs w:val="20"/>
    </w:rPr>
  </w:style>
  <w:style w:type="paragraph" w:styleId="20">
    <w:name w:val="Date"/>
    <w:basedOn w:val="1"/>
    <w:next w:val="1"/>
    <w:link w:val="76"/>
    <w:autoRedefine/>
    <w:qFormat/>
    <w:uiPriority w:val="0"/>
    <w:rPr>
      <w:rFonts w:ascii="Times New Roman" w:hAnsi="Times New Roman"/>
      <w:szCs w:val="20"/>
    </w:rPr>
  </w:style>
  <w:style w:type="paragraph" w:styleId="21">
    <w:name w:val="Body Text Indent 2"/>
    <w:basedOn w:val="1"/>
    <w:link w:val="84"/>
    <w:autoRedefine/>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autoRedefine/>
    <w:qFormat/>
    <w:uiPriority w:val="0"/>
    <w:pPr>
      <w:snapToGrid w:val="0"/>
      <w:jc w:val="left"/>
    </w:pPr>
    <w:rPr>
      <w:rFonts w:ascii="Times New Roman" w:hAnsi="Times New Roman"/>
      <w:szCs w:val="20"/>
    </w:rPr>
  </w:style>
  <w:style w:type="paragraph" w:styleId="23">
    <w:name w:val="Balloon Text"/>
    <w:basedOn w:val="1"/>
    <w:link w:val="103"/>
    <w:autoRedefine/>
    <w:qFormat/>
    <w:uiPriority w:val="0"/>
    <w:rPr>
      <w:rFonts w:ascii="Times New Roman" w:hAnsi="Times New Roman"/>
      <w:sz w:val="18"/>
      <w:szCs w:val="18"/>
    </w:rPr>
  </w:style>
  <w:style w:type="paragraph" w:styleId="24">
    <w:name w:val="footer"/>
    <w:basedOn w:val="1"/>
    <w:link w:val="60"/>
    <w:autoRedefine/>
    <w:qFormat/>
    <w:uiPriority w:val="0"/>
    <w:pPr>
      <w:tabs>
        <w:tab w:val="center" w:pos="4153"/>
        <w:tab w:val="right" w:pos="8306"/>
      </w:tabs>
      <w:snapToGrid w:val="0"/>
      <w:jc w:val="left"/>
    </w:pPr>
    <w:rPr>
      <w:sz w:val="18"/>
      <w:szCs w:val="18"/>
    </w:rPr>
  </w:style>
  <w:style w:type="paragraph" w:styleId="25">
    <w:name w:val="header"/>
    <w:basedOn w:val="1"/>
    <w:link w:val="58"/>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8">
    <w:name w:val="footnote text"/>
    <w:basedOn w:val="1"/>
    <w:link w:val="108"/>
    <w:autoRedefine/>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6"/>
    <w:autoRedefine/>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autoRedefine/>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0"/>
    <w:autoRedefine/>
    <w:qFormat/>
    <w:uiPriority w:val="0"/>
    <w:rPr>
      <w:rFonts w:ascii="宋体" w:hAnsi="宋体"/>
      <w:szCs w:val="24"/>
      <w:u w:val="single"/>
    </w:rPr>
  </w:style>
  <w:style w:type="paragraph" w:styleId="32">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33">
    <w:name w:val="Normal (Web)"/>
    <w:basedOn w:val="1"/>
    <w:autoRedefine/>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4">
    <w:name w:val="index 1"/>
    <w:basedOn w:val="1"/>
    <w:next w:val="1"/>
    <w:autoRedefine/>
    <w:qFormat/>
    <w:uiPriority w:val="0"/>
    <w:rPr>
      <w:rFonts w:ascii="Times New Roman" w:hAnsi="Times New Roman" w:eastAsia="仿宋_GB2312"/>
      <w:sz w:val="28"/>
      <w:szCs w:val="20"/>
    </w:rPr>
  </w:style>
  <w:style w:type="paragraph" w:styleId="35">
    <w:name w:val="annotation subject"/>
    <w:basedOn w:val="14"/>
    <w:next w:val="14"/>
    <w:link w:val="110"/>
    <w:autoRedefine/>
    <w:qFormat/>
    <w:uiPriority w:val="0"/>
    <w:rPr>
      <w:b/>
      <w:bCs/>
    </w:rPr>
  </w:style>
  <w:style w:type="paragraph" w:styleId="36">
    <w:name w:val="Body Text First Indent"/>
    <w:basedOn w:val="15"/>
    <w:link w:val="74"/>
    <w:autoRedefine/>
    <w:qFormat/>
    <w:uiPriority w:val="0"/>
    <w:pPr>
      <w:ind w:firstLine="420"/>
    </w:pPr>
  </w:style>
  <w:style w:type="table" w:styleId="38">
    <w:name w:val="Table Grid"/>
    <w:basedOn w:val="37"/>
    <w:autoRedefine/>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rPr>
  </w:style>
  <w:style w:type="character" w:styleId="41">
    <w:name w:val="endnote reference"/>
    <w:autoRedefine/>
    <w:qFormat/>
    <w:uiPriority w:val="0"/>
    <w:rPr>
      <w:vertAlign w:val="superscript"/>
    </w:rPr>
  </w:style>
  <w:style w:type="character" w:styleId="42">
    <w:name w:val="page number"/>
    <w:basedOn w:val="39"/>
    <w:autoRedefine/>
    <w:qFormat/>
    <w:uiPriority w:val="0"/>
    <w:rPr>
      <w:rFonts w:cs="Times New Roman"/>
    </w:rPr>
  </w:style>
  <w:style w:type="character" w:styleId="43">
    <w:name w:val="FollowedHyperlink"/>
    <w:autoRedefine/>
    <w:qFormat/>
    <w:uiPriority w:val="99"/>
    <w:rPr>
      <w:color w:val="954F72"/>
      <w:u w:val="single"/>
    </w:rPr>
  </w:style>
  <w:style w:type="character" w:styleId="44">
    <w:name w:val="Hyperlink"/>
    <w:autoRedefine/>
    <w:qFormat/>
    <w:uiPriority w:val="99"/>
    <w:rPr>
      <w:color w:val="0000FF"/>
      <w:u w:val="single"/>
    </w:rPr>
  </w:style>
  <w:style w:type="character" w:styleId="45">
    <w:name w:val="annotation reference"/>
    <w:autoRedefine/>
    <w:qFormat/>
    <w:uiPriority w:val="0"/>
    <w:rPr>
      <w:sz w:val="21"/>
      <w:szCs w:val="21"/>
    </w:rPr>
  </w:style>
  <w:style w:type="character" w:styleId="46">
    <w:name w:val="footnote reference"/>
    <w:autoRedefine/>
    <w:qFormat/>
    <w:uiPriority w:val="0"/>
    <w:rPr>
      <w:vertAlign w:val="superscript"/>
    </w:rPr>
  </w:style>
  <w:style w:type="character" w:customStyle="1" w:styleId="47">
    <w:name w:val="标题 3 Char"/>
    <w:link w:val="5"/>
    <w:autoRedefine/>
    <w:qFormat/>
    <w:uiPriority w:val="0"/>
    <w:rPr>
      <w:rFonts w:ascii="宋体" w:hAnsi="宋体" w:eastAsia="宋体" w:cs="宋体"/>
      <w:kern w:val="0"/>
      <w:sz w:val="24"/>
      <w:szCs w:val="27"/>
    </w:rPr>
  </w:style>
  <w:style w:type="character" w:customStyle="1" w:styleId="48">
    <w:name w:val="标题 1 字符"/>
    <w:autoRedefine/>
    <w:qFormat/>
    <w:uiPriority w:val="9"/>
    <w:rPr>
      <w:rFonts w:ascii="Calibri" w:hAnsi="Calibri" w:eastAsia="宋体" w:cs="Times New Roman"/>
      <w:b/>
      <w:bCs/>
      <w:kern w:val="44"/>
      <w:sz w:val="44"/>
      <w:szCs w:val="44"/>
    </w:rPr>
  </w:style>
  <w:style w:type="character" w:customStyle="1" w:styleId="49">
    <w:name w:val="标题 2 字符"/>
    <w:autoRedefine/>
    <w:qFormat/>
    <w:uiPriority w:val="9"/>
    <w:rPr>
      <w:rFonts w:ascii="等线 Light" w:hAnsi="等线 Light" w:eastAsia="等线 Light" w:cs="Times New Roman"/>
      <w:b/>
      <w:bCs/>
      <w:sz w:val="32"/>
      <w:szCs w:val="32"/>
    </w:rPr>
  </w:style>
  <w:style w:type="character" w:customStyle="1" w:styleId="50">
    <w:name w:val="标题 3 字符"/>
    <w:autoRedefine/>
    <w:qFormat/>
    <w:uiPriority w:val="9"/>
    <w:rPr>
      <w:rFonts w:ascii="Calibri" w:hAnsi="Calibri" w:eastAsia="宋体" w:cs="Times New Roman"/>
      <w:b/>
      <w:bCs/>
      <w:sz w:val="32"/>
      <w:szCs w:val="32"/>
    </w:rPr>
  </w:style>
  <w:style w:type="character" w:customStyle="1" w:styleId="51">
    <w:name w:val="标题 4 字符"/>
    <w:autoRedefine/>
    <w:qFormat/>
    <w:uiPriority w:val="9"/>
    <w:rPr>
      <w:rFonts w:ascii="等线 Light" w:hAnsi="等线 Light" w:eastAsia="等线 Light" w:cs="Times New Roman"/>
      <w:b/>
      <w:bCs/>
      <w:sz w:val="28"/>
      <w:szCs w:val="28"/>
    </w:rPr>
  </w:style>
  <w:style w:type="character" w:customStyle="1" w:styleId="52">
    <w:name w:val="标题 5 字符"/>
    <w:autoRedefine/>
    <w:qFormat/>
    <w:uiPriority w:val="9"/>
    <w:rPr>
      <w:rFonts w:ascii="Calibri" w:hAnsi="Calibri" w:eastAsia="宋体" w:cs="Times New Roman"/>
      <w:b/>
      <w:bCs/>
      <w:sz w:val="28"/>
      <w:szCs w:val="28"/>
    </w:rPr>
  </w:style>
  <w:style w:type="character" w:customStyle="1" w:styleId="53">
    <w:name w:val="标题 6 字符"/>
    <w:autoRedefine/>
    <w:qFormat/>
    <w:uiPriority w:val="9"/>
    <w:rPr>
      <w:rFonts w:ascii="等线 Light" w:hAnsi="等线 Light" w:eastAsia="等线 Light" w:cs="Times New Roman"/>
      <w:b/>
      <w:bCs/>
      <w:sz w:val="24"/>
      <w:szCs w:val="24"/>
    </w:rPr>
  </w:style>
  <w:style w:type="character" w:customStyle="1" w:styleId="54">
    <w:name w:val="标题 7 字符"/>
    <w:autoRedefine/>
    <w:qFormat/>
    <w:uiPriority w:val="9"/>
    <w:rPr>
      <w:rFonts w:ascii="Calibri" w:hAnsi="Calibri" w:eastAsia="宋体" w:cs="Times New Roman"/>
      <w:b/>
      <w:bCs/>
      <w:sz w:val="24"/>
      <w:szCs w:val="24"/>
    </w:rPr>
  </w:style>
  <w:style w:type="character" w:customStyle="1" w:styleId="55">
    <w:name w:val="标题 8 字符"/>
    <w:autoRedefine/>
    <w:qFormat/>
    <w:uiPriority w:val="9"/>
    <w:rPr>
      <w:rFonts w:ascii="等线 Light" w:hAnsi="等线 Light" w:eastAsia="等线 Light" w:cs="Times New Roman"/>
      <w:sz w:val="24"/>
      <w:szCs w:val="24"/>
    </w:rPr>
  </w:style>
  <w:style w:type="character" w:customStyle="1" w:styleId="56">
    <w:name w:val="标题 9 字符"/>
    <w:autoRedefine/>
    <w:qFormat/>
    <w:uiPriority w:val="9"/>
    <w:rPr>
      <w:rFonts w:ascii="等线 Light" w:hAnsi="等线 Light" w:eastAsia="等线 Light" w:cs="Times New Roman"/>
      <w:szCs w:val="21"/>
    </w:rPr>
  </w:style>
  <w:style w:type="character" w:customStyle="1" w:styleId="57">
    <w:name w:val="页眉 字符"/>
    <w:autoRedefine/>
    <w:qFormat/>
    <w:uiPriority w:val="99"/>
    <w:rPr>
      <w:rFonts w:ascii="Calibri" w:hAnsi="Calibri" w:eastAsia="宋体" w:cs="Times New Roman"/>
      <w:sz w:val="18"/>
      <w:szCs w:val="18"/>
    </w:rPr>
  </w:style>
  <w:style w:type="character" w:customStyle="1" w:styleId="58">
    <w:name w:val="页眉 Char3"/>
    <w:link w:val="25"/>
    <w:autoRedefine/>
    <w:qFormat/>
    <w:uiPriority w:val="0"/>
    <w:rPr>
      <w:rFonts w:ascii="Calibri" w:hAnsi="Calibri" w:eastAsia="宋体" w:cs="Times New Roman"/>
      <w:sz w:val="18"/>
      <w:szCs w:val="18"/>
    </w:rPr>
  </w:style>
  <w:style w:type="character" w:customStyle="1" w:styleId="59">
    <w:name w:val="页脚 字符"/>
    <w:autoRedefine/>
    <w:qFormat/>
    <w:uiPriority w:val="99"/>
    <w:rPr>
      <w:rFonts w:ascii="Calibri" w:hAnsi="Calibri" w:eastAsia="宋体" w:cs="Times New Roman"/>
      <w:sz w:val="18"/>
      <w:szCs w:val="18"/>
    </w:rPr>
  </w:style>
  <w:style w:type="character" w:customStyle="1" w:styleId="60">
    <w:name w:val="页脚 Char"/>
    <w:link w:val="24"/>
    <w:autoRedefine/>
    <w:qFormat/>
    <w:uiPriority w:val="0"/>
    <w:rPr>
      <w:rFonts w:ascii="Calibri" w:hAnsi="Calibri" w:eastAsia="宋体" w:cs="Times New Roman"/>
      <w:sz w:val="18"/>
      <w:szCs w:val="18"/>
    </w:rPr>
  </w:style>
  <w:style w:type="character" w:customStyle="1" w:styleId="61">
    <w:name w:val="标题 1 Char"/>
    <w:link w:val="2"/>
    <w:autoRedefine/>
    <w:qFormat/>
    <w:uiPriority w:val="0"/>
    <w:rPr>
      <w:rFonts w:ascii="Arial" w:hAnsi="Arial" w:eastAsia="宋体"/>
      <w:b/>
      <w:kern w:val="44"/>
      <w:sz w:val="28"/>
      <w:szCs w:val="28"/>
    </w:rPr>
  </w:style>
  <w:style w:type="character" w:customStyle="1" w:styleId="62">
    <w:name w:val="标题 2 Char"/>
    <w:link w:val="4"/>
    <w:autoRedefine/>
    <w:qFormat/>
    <w:uiPriority w:val="0"/>
    <w:rPr>
      <w:rFonts w:ascii="Arial" w:hAnsi="Arial" w:eastAsia="宋体" w:cs="Times New Roman"/>
      <w:b/>
      <w:color w:val="000000"/>
      <w:sz w:val="24"/>
      <w:szCs w:val="24"/>
    </w:rPr>
  </w:style>
  <w:style w:type="character" w:customStyle="1" w:styleId="63">
    <w:name w:val="标题 4 Char"/>
    <w:link w:val="6"/>
    <w:autoRedefine/>
    <w:qFormat/>
    <w:uiPriority w:val="0"/>
    <w:rPr>
      <w:rFonts w:ascii="Arial" w:hAnsi="Arial" w:eastAsia="宋体" w:cs="Times New Roman"/>
      <w:color w:val="000000"/>
      <w:szCs w:val="21"/>
    </w:rPr>
  </w:style>
  <w:style w:type="character" w:customStyle="1" w:styleId="64">
    <w:name w:val="标题 5 Char"/>
    <w:link w:val="7"/>
    <w:autoRedefine/>
    <w:qFormat/>
    <w:uiPriority w:val="0"/>
    <w:rPr>
      <w:rFonts w:ascii="Arial" w:hAnsi="Arial" w:eastAsia="宋体" w:cs="Times New Roman"/>
      <w:color w:val="000000"/>
      <w:szCs w:val="21"/>
    </w:rPr>
  </w:style>
  <w:style w:type="character" w:customStyle="1" w:styleId="65">
    <w:name w:val="标题 6 Char"/>
    <w:link w:val="9"/>
    <w:autoRedefine/>
    <w:qFormat/>
    <w:uiPriority w:val="0"/>
    <w:rPr>
      <w:rFonts w:ascii="Arial" w:hAnsi="Arial" w:eastAsia="黑体" w:cs="Times New Roman"/>
      <w:b/>
      <w:bCs/>
      <w:sz w:val="24"/>
      <w:szCs w:val="24"/>
    </w:rPr>
  </w:style>
  <w:style w:type="character" w:customStyle="1" w:styleId="66">
    <w:name w:val="标题 7 Char"/>
    <w:link w:val="10"/>
    <w:autoRedefine/>
    <w:qFormat/>
    <w:uiPriority w:val="0"/>
    <w:rPr>
      <w:rFonts w:ascii="Times New Roman" w:hAnsi="Times New Roman" w:eastAsia="宋体" w:cs="Times New Roman"/>
      <w:b/>
      <w:sz w:val="24"/>
      <w:szCs w:val="20"/>
    </w:rPr>
  </w:style>
  <w:style w:type="character" w:customStyle="1" w:styleId="67">
    <w:name w:val="标题 8 Char"/>
    <w:link w:val="11"/>
    <w:autoRedefine/>
    <w:qFormat/>
    <w:uiPriority w:val="0"/>
    <w:rPr>
      <w:rFonts w:ascii="Arial" w:hAnsi="Arial" w:eastAsia="黑体" w:cs="Times New Roman"/>
      <w:sz w:val="24"/>
      <w:szCs w:val="20"/>
    </w:rPr>
  </w:style>
  <w:style w:type="character" w:customStyle="1" w:styleId="68">
    <w:name w:val="标题 9 Char"/>
    <w:link w:val="12"/>
    <w:autoRedefine/>
    <w:qFormat/>
    <w:uiPriority w:val="0"/>
    <w:rPr>
      <w:rFonts w:ascii="Arial" w:hAnsi="Arial" w:eastAsia="黑体" w:cs="Times New Roman"/>
      <w:szCs w:val="20"/>
    </w:rPr>
  </w:style>
  <w:style w:type="character" w:customStyle="1" w:styleId="69">
    <w:name w:val="标题 字符"/>
    <w:autoRedefine/>
    <w:qFormat/>
    <w:uiPriority w:val="10"/>
    <w:rPr>
      <w:rFonts w:ascii="等线 Light" w:hAnsi="等线 Light" w:eastAsia="等线 Light" w:cs="Times New Roman"/>
      <w:b/>
      <w:bCs/>
      <w:sz w:val="32"/>
      <w:szCs w:val="32"/>
    </w:rPr>
  </w:style>
  <w:style w:type="character" w:customStyle="1" w:styleId="70">
    <w:name w:val="标题 Char"/>
    <w:link w:val="3"/>
    <w:autoRedefine/>
    <w:qFormat/>
    <w:uiPriority w:val="0"/>
    <w:rPr>
      <w:rFonts w:ascii="Arial" w:hAnsi="Arial" w:eastAsia="宋体" w:cs="Times New Roman"/>
      <w:b/>
      <w:sz w:val="44"/>
      <w:szCs w:val="20"/>
    </w:rPr>
  </w:style>
  <w:style w:type="character" w:customStyle="1" w:styleId="71">
    <w:name w:val="正文文本 字符"/>
    <w:autoRedefine/>
    <w:qFormat/>
    <w:uiPriority w:val="99"/>
    <w:rPr>
      <w:rFonts w:ascii="Calibri" w:hAnsi="Calibri" w:eastAsia="宋体" w:cs="Times New Roman"/>
    </w:rPr>
  </w:style>
  <w:style w:type="character" w:customStyle="1" w:styleId="72">
    <w:name w:val="正文文本 Char"/>
    <w:link w:val="15"/>
    <w:autoRedefine/>
    <w:qFormat/>
    <w:uiPriority w:val="0"/>
    <w:rPr>
      <w:rFonts w:ascii="Times New Roman" w:hAnsi="Times New Roman" w:eastAsia="宋体" w:cs="Times New Roman"/>
      <w:szCs w:val="20"/>
    </w:rPr>
  </w:style>
  <w:style w:type="character" w:customStyle="1" w:styleId="73">
    <w:name w:val="正文首行缩进 字符"/>
    <w:basedOn w:val="71"/>
    <w:autoRedefine/>
    <w:qFormat/>
    <w:uiPriority w:val="99"/>
    <w:rPr>
      <w:rFonts w:ascii="Calibri" w:hAnsi="Calibri" w:eastAsia="宋体" w:cs="Times New Roman"/>
    </w:rPr>
  </w:style>
  <w:style w:type="character" w:customStyle="1" w:styleId="74">
    <w:name w:val="正文首行缩进 Char"/>
    <w:link w:val="36"/>
    <w:autoRedefine/>
    <w:qFormat/>
    <w:uiPriority w:val="0"/>
  </w:style>
  <w:style w:type="character" w:customStyle="1" w:styleId="75">
    <w:name w:val="日期 字符"/>
    <w:autoRedefine/>
    <w:qFormat/>
    <w:uiPriority w:val="99"/>
    <w:rPr>
      <w:rFonts w:ascii="Calibri" w:hAnsi="Calibri" w:eastAsia="宋体" w:cs="Times New Roman"/>
    </w:rPr>
  </w:style>
  <w:style w:type="character" w:customStyle="1" w:styleId="76">
    <w:name w:val="日期 Char"/>
    <w:link w:val="20"/>
    <w:autoRedefine/>
    <w:qFormat/>
    <w:uiPriority w:val="0"/>
    <w:rPr>
      <w:rFonts w:ascii="Times New Roman" w:hAnsi="Times New Roman" w:eastAsia="宋体" w:cs="Times New Roman"/>
      <w:szCs w:val="20"/>
    </w:rPr>
  </w:style>
  <w:style w:type="character" w:customStyle="1" w:styleId="77">
    <w:name w:val="正文文本缩进 字符"/>
    <w:autoRedefine/>
    <w:qFormat/>
    <w:uiPriority w:val="99"/>
    <w:rPr>
      <w:rFonts w:ascii="Calibri" w:hAnsi="Calibri" w:eastAsia="宋体" w:cs="Times New Roman"/>
    </w:rPr>
  </w:style>
  <w:style w:type="character" w:customStyle="1" w:styleId="78">
    <w:name w:val="正文文本缩进 Char"/>
    <w:link w:val="16"/>
    <w:autoRedefine/>
    <w:qFormat/>
    <w:uiPriority w:val="0"/>
    <w:rPr>
      <w:rFonts w:ascii="Times New Roman" w:hAnsi="Times New Roman" w:eastAsia="宋体" w:cs="Times New Roman"/>
      <w:sz w:val="28"/>
      <w:szCs w:val="20"/>
    </w:rPr>
  </w:style>
  <w:style w:type="character" w:customStyle="1" w:styleId="79">
    <w:name w:val="文档结构图 字符"/>
    <w:autoRedefine/>
    <w:qFormat/>
    <w:uiPriority w:val="99"/>
    <w:rPr>
      <w:rFonts w:ascii="Microsoft YaHei UI" w:hAnsi="Calibri" w:eastAsia="Microsoft YaHei UI" w:cs="Times New Roman"/>
      <w:sz w:val="18"/>
      <w:szCs w:val="18"/>
    </w:rPr>
  </w:style>
  <w:style w:type="character" w:customStyle="1" w:styleId="80">
    <w:name w:val="文档结构图 Char"/>
    <w:link w:val="13"/>
    <w:autoRedefine/>
    <w:qFormat/>
    <w:uiPriority w:val="0"/>
    <w:rPr>
      <w:rFonts w:ascii="Times New Roman" w:hAnsi="Times New Roman" w:eastAsia="宋体" w:cs="Times New Roman"/>
      <w:szCs w:val="20"/>
      <w:shd w:val="clear" w:color="auto" w:fill="000080"/>
    </w:rPr>
  </w:style>
  <w:style w:type="character" w:customStyle="1" w:styleId="81">
    <w:name w:val="纯文本 字符"/>
    <w:autoRedefine/>
    <w:qFormat/>
    <w:uiPriority w:val="99"/>
    <w:rPr>
      <w:rFonts w:ascii="等线" w:hAnsi="Courier New" w:cs="Courier New"/>
    </w:rPr>
  </w:style>
  <w:style w:type="character" w:customStyle="1" w:styleId="82">
    <w:name w:val="纯文本 Char"/>
    <w:link w:val="19"/>
    <w:autoRedefine/>
    <w:qFormat/>
    <w:uiPriority w:val="0"/>
    <w:rPr>
      <w:rFonts w:ascii="宋体" w:hAnsi="Courier New" w:eastAsia="宋体" w:cs="Times New Roman"/>
      <w:szCs w:val="20"/>
    </w:rPr>
  </w:style>
  <w:style w:type="character" w:customStyle="1" w:styleId="83">
    <w:name w:val="正文文本缩进 2 字符"/>
    <w:autoRedefine/>
    <w:qFormat/>
    <w:uiPriority w:val="99"/>
    <w:rPr>
      <w:rFonts w:ascii="Calibri" w:hAnsi="Calibri" w:eastAsia="宋体" w:cs="Times New Roman"/>
    </w:rPr>
  </w:style>
  <w:style w:type="character" w:customStyle="1" w:styleId="84">
    <w:name w:val="正文文本缩进 2 Char"/>
    <w:link w:val="21"/>
    <w:autoRedefine/>
    <w:qFormat/>
    <w:uiPriority w:val="0"/>
    <w:rPr>
      <w:rFonts w:ascii="Times New Roman" w:hAnsi="Times New Roman" w:eastAsia="宋体" w:cs="Times New Roman"/>
      <w:color w:val="000000"/>
      <w:sz w:val="24"/>
      <w:szCs w:val="20"/>
    </w:rPr>
  </w:style>
  <w:style w:type="character" w:customStyle="1" w:styleId="85">
    <w:name w:val="正文文本缩进 3 字符"/>
    <w:autoRedefine/>
    <w:qFormat/>
    <w:uiPriority w:val="99"/>
    <w:rPr>
      <w:rFonts w:ascii="Calibri" w:hAnsi="Calibri" w:eastAsia="宋体" w:cs="Times New Roman"/>
      <w:sz w:val="16"/>
      <w:szCs w:val="16"/>
    </w:rPr>
  </w:style>
  <w:style w:type="character" w:customStyle="1" w:styleId="86">
    <w:name w:val="正文文本缩进 3 Char"/>
    <w:link w:val="29"/>
    <w:autoRedefine/>
    <w:qFormat/>
    <w:uiPriority w:val="0"/>
    <w:rPr>
      <w:rFonts w:ascii="Times New Roman" w:hAnsi="Times New Roman" w:eastAsia="宋体" w:cs="Times New Roman"/>
      <w:color w:val="000000"/>
      <w:sz w:val="24"/>
      <w:szCs w:val="20"/>
    </w:rPr>
  </w:style>
  <w:style w:type="paragraph" w:customStyle="1" w:styleId="87">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autoRedefine/>
    <w:qFormat/>
    <w:uiPriority w:val="0"/>
    <w:rPr>
      <w:rFonts w:ascii="等线" w:hAnsi="等线" w:eastAsia="等线" w:cs="Times New Roman"/>
      <w:lang w:val="en-US" w:eastAsia="zh-CN" w:bidi="ar-SA"/>
    </w:rPr>
  </w:style>
  <w:style w:type="character" w:customStyle="1" w:styleId="89">
    <w:name w:val="正文文本 2 字符"/>
    <w:autoRedefine/>
    <w:qFormat/>
    <w:uiPriority w:val="99"/>
    <w:rPr>
      <w:rFonts w:ascii="Calibri" w:hAnsi="Calibri" w:eastAsia="宋体" w:cs="Times New Roman"/>
    </w:rPr>
  </w:style>
  <w:style w:type="character" w:customStyle="1" w:styleId="90">
    <w:name w:val="正文文本 2 Char"/>
    <w:link w:val="31"/>
    <w:autoRedefine/>
    <w:qFormat/>
    <w:uiPriority w:val="0"/>
    <w:rPr>
      <w:rFonts w:ascii="宋体" w:hAnsi="宋体" w:eastAsia="宋体" w:cs="Times New Roman"/>
      <w:szCs w:val="24"/>
      <w:u w:val="single"/>
    </w:rPr>
  </w:style>
  <w:style w:type="paragraph" w:customStyle="1" w:styleId="91">
    <w:name w:val="表头"/>
    <w:basedOn w:val="1"/>
    <w:autoRedefine/>
    <w:qFormat/>
    <w:uiPriority w:val="0"/>
    <w:pPr>
      <w:spacing w:line="360" w:lineRule="auto"/>
      <w:jc w:val="center"/>
    </w:pPr>
    <w:rPr>
      <w:rFonts w:ascii="黑体" w:hAnsi="Times New Roman" w:eastAsia="黑体"/>
      <w:kern w:val="0"/>
      <w:sz w:val="24"/>
      <w:szCs w:val="20"/>
    </w:rPr>
  </w:style>
  <w:style w:type="character" w:customStyle="1" w:styleId="92">
    <w:name w:val="尾注文本 字符"/>
    <w:autoRedefine/>
    <w:qFormat/>
    <w:uiPriority w:val="99"/>
    <w:rPr>
      <w:rFonts w:ascii="Calibri" w:hAnsi="Calibri" w:eastAsia="宋体" w:cs="Times New Roman"/>
    </w:rPr>
  </w:style>
  <w:style w:type="character" w:customStyle="1" w:styleId="93">
    <w:name w:val="尾注文本 Char"/>
    <w:link w:val="22"/>
    <w:autoRedefine/>
    <w:qFormat/>
    <w:uiPriority w:val="0"/>
    <w:rPr>
      <w:rFonts w:ascii="Times New Roman" w:hAnsi="Times New Roman" w:eastAsia="宋体" w:cs="Times New Roman"/>
      <w:szCs w:val="20"/>
    </w:rPr>
  </w:style>
  <w:style w:type="paragraph" w:customStyle="1" w:styleId="94">
    <w:name w:val="Char"/>
    <w:basedOn w:val="1"/>
    <w:autoRedefine/>
    <w:qFormat/>
    <w:uiPriority w:val="0"/>
    <w:rPr>
      <w:rFonts w:ascii="Tahoma" w:hAnsi="Tahoma"/>
      <w:sz w:val="24"/>
      <w:szCs w:val="20"/>
    </w:rPr>
  </w:style>
  <w:style w:type="paragraph" w:customStyle="1" w:styleId="95">
    <w:name w:val="Char1"/>
    <w:basedOn w:val="1"/>
    <w:autoRedefine/>
    <w:qFormat/>
    <w:uiPriority w:val="0"/>
    <w:pPr>
      <w:numPr>
        <w:ilvl w:val="0"/>
        <w:numId w:val="1"/>
      </w:numPr>
    </w:pPr>
    <w:rPr>
      <w:rFonts w:ascii="Times New Roman" w:hAnsi="Times New Roman"/>
      <w:sz w:val="24"/>
      <w:szCs w:val="24"/>
    </w:rPr>
  </w:style>
  <w:style w:type="paragraph" w:customStyle="1" w:styleId="96">
    <w:name w:val="公文抬头"/>
    <w:basedOn w:val="8"/>
    <w:autoRedefine/>
    <w:qFormat/>
    <w:uiPriority w:val="0"/>
    <w:pPr>
      <w:ind w:firstLine="0"/>
    </w:pPr>
    <w:rPr>
      <w:rFonts w:ascii="仿宋_GB2312" w:eastAsia="仿宋_GB2312"/>
      <w:sz w:val="30"/>
      <w:szCs w:val="24"/>
    </w:rPr>
  </w:style>
  <w:style w:type="paragraph" w:customStyle="1" w:styleId="97">
    <w:name w:val="Char Char Char1 Char"/>
    <w:basedOn w:val="13"/>
    <w:autoRedefine/>
    <w:qFormat/>
    <w:uiPriority w:val="0"/>
    <w:rPr>
      <w:rFonts w:ascii="Tahoma" w:hAnsi="Tahoma"/>
      <w:sz w:val="24"/>
      <w:szCs w:val="24"/>
    </w:rPr>
  </w:style>
  <w:style w:type="paragraph" w:customStyle="1" w:styleId="98">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5"/>
    <w:autoRedefine/>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autoRedefine/>
    <w:qFormat/>
    <w:uiPriority w:val="0"/>
    <w:pPr>
      <w:ind w:left="4094" w:right="607" w:firstLine="0"/>
      <w:jc w:val="center"/>
    </w:pPr>
  </w:style>
  <w:style w:type="paragraph" w:customStyle="1" w:styleId="101">
    <w:name w:val="Char Char Char Char"/>
    <w:basedOn w:val="1"/>
    <w:autoRedefine/>
    <w:qFormat/>
    <w:uiPriority w:val="0"/>
    <w:rPr>
      <w:rFonts w:ascii="Times New Roman" w:hAnsi="Times New Roman"/>
      <w:sz w:val="30"/>
      <w:szCs w:val="24"/>
    </w:rPr>
  </w:style>
  <w:style w:type="character" w:customStyle="1" w:styleId="102">
    <w:name w:val="批注框文本 字符"/>
    <w:autoRedefine/>
    <w:qFormat/>
    <w:uiPriority w:val="99"/>
    <w:rPr>
      <w:rFonts w:ascii="Calibri" w:hAnsi="Calibri" w:eastAsia="宋体" w:cs="Times New Roman"/>
      <w:sz w:val="18"/>
      <w:szCs w:val="18"/>
    </w:rPr>
  </w:style>
  <w:style w:type="character" w:customStyle="1" w:styleId="103">
    <w:name w:val="批注框文本 Char"/>
    <w:link w:val="23"/>
    <w:autoRedefine/>
    <w:qFormat/>
    <w:uiPriority w:val="0"/>
    <w:rPr>
      <w:rFonts w:ascii="Times New Roman" w:hAnsi="Times New Roman" w:eastAsia="宋体" w:cs="Times New Roman"/>
      <w:sz w:val="18"/>
      <w:szCs w:val="18"/>
    </w:rPr>
  </w:style>
  <w:style w:type="paragraph" w:customStyle="1" w:styleId="104">
    <w:name w:val="TOC 标题1"/>
    <w:basedOn w:val="2"/>
    <w:next w:val="1"/>
    <w:autoRedefine/>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autoRedefine/>
    <w:qFormat/>
    <w:uiPriority w:val="99"/>
    <w:rPr>
      <w:rFonts w:ascii="Calibri" w:hAnsi="Calibri" w:eastAsia="宋体" w:cs="Times New Roman"/>
    </w:rPr>
  </w:style>
  <w:style w:type="character" w:customStyle="1" w:styleId="106">
    <w:name w:val="批注文字 Char"/>
    <w:link w:val="14"/>
    <w:autoRedefine/>
    <w:qFormat/>
    <w:uiPriority w:val="0"/>
    <w:rPr>
      <w:rFonts w:ascii="宋体" w:hAnsi="宋体" w:eastAsia="宋体" w:cs="Times New Roman"/>
      <w:sz w:val="24"/>
      <w:szCs w:val="24"/>
    </w:rPr>
  </w:style>
  <w:style w:type="character" w:customStyle="1" w:styleId="107">
    <w:name w:val="脚注文本 字符"/>
    <w:autoRedefine/>
    <w:qFormat/>
    <w:uiPriority w:val="99"/>
    <w:rPr>
      <w:rFonts w:ascii="Calibri" w:hAnsi="Calibri" w:eastAsia="宋体" w:cs="Times New Roman"/>
      <w:sz w:val="18"/>
      <w:szCs w:val="18"/>
    </w:rPr>
  </w:style>
  <w:style w:type="character" w:customStyle="1" w:styleId="108">
    <w:name w:val="脚注文本 Char"/>
    <w:link w:val="28"/>
    <w:autoRedefine/>
    <w:qFormat/>
    <w:uiPriority w:val="0"/>
    <w:rPr>
      <w:rFonts w:ascii="宋体" w:hAnsi="宋体" w:eastAsia="宋体" w:cs="Times New Roman"/>
      <w:sz w:val="18"/>
      <w:szCs w:val="18"/>
    </w:rPr>
  </w:style>
  <w:style w:type="character" w:customStyle="1" w:styleId="109">
    <w:name w:val="批注主题 字符"/>
    <w:autoRedefine/>
    <w:qFormat/>
    <w:uiPriority w:val="99"/>
    <w:rPr>
      <w:rFonts w:ascii="Calibri" w:hAnsi="Calibri" w:eastAsia="宋体" w:cs="Times New Roman"/>
      <w:b/>
      <w:bCs/>
    </w:rPr>
  </w:style>
  <w:style w:type="character" w:customStyle="1" w:styleId="110">
    <w:name w:val="批注主题 Char"/>
    <w:link w:val="35"/>
    <w:autoRedefine/>
    <w:qFormat/>
    <w:uiPriority w:val="0"/>
    <w:rPr>
      <w:rFonts w:ascii="宋体" w:hAnsi="宋体" w:eastAsia="宋体" w:cs="Times New Roman"/>
      <w:b/>
      <w:bCs/>
      <w:sz w:val="24"/>
      <w:szCs w:val="24"/>
    </w:rPr>
  </w:style>
  <w:style w:type="paragraph" w:styleId="111">
    <w:name w:val="List Paragraph"/>
    <w:basedOn w:val="1"/>
    <w:autoRedefine/>
    <w:qFormat/>
    <w:uiPriority w:val="34"/>
    <w:pPr>
      <w:ind w:firstLine="420" w:firstLineChars="200"/>
    </w:pPr>
    <w:rPr>
      <w:rFonts w:ascii="Times New Roman" w:hAnsi="Times New Roman"/>
      <w:szCs w:val="20"/>
    </w:rPr>
  </w:style>
  <w:style w:type="paragraph" w:customStyle="1" w:styleId="112">
    <w:name w:val="修订1"/>
    <w:autoRedefine/>
    <w:qFormat/>
    <w:uiPriority w:val="99"/>
    <w:rPr>
      <w:rFonts w:ascii="Times New Roman" w:hAnsi="Times New Roman" w:eastAsia="宋体" w:cs="Times New Roman"/>
      <w:kern w:val="2"/>
      <w:sz w:val="21"/>
      <w:lang w:val="en-US" w:eastAsia="zh-CN" w:bidi="ar-SA"/>
    </w:rPr>
  </w:style>
  <w:style w:type="paragraph" w:customStyle="1" w:styleId="113">
    <w:name w:val="修订2"/>
    <w:autoRedefine/>
    <w:qFormat/>
    <w:uiPriority w:val="99"/>
    <w:rPr>
      <w:rFonts w:ascii="Calibri" w:hAnsi="Calibri" w:eastAsia="宋体" w:cs="Times New Roman"/>
      <w:kern w:val="2"/>
      <w:sz w:val="21"/>
      <w:szCs w:val="22"/>
      <w:lang w:val="en-US" w:eastAsia="zh-CN" w:bidi="ar-SA"/>
    </w:rPr>
  </w:style>
  <w:style w:type="paragraph" w:customStyle="1" w:styleId="114">
    <w:name w:val="Revision_1bdbef07-addb-48e3-b032-c3831b3a58d2"/>
    <w:autoRedefine/>
    <w:qFormat/>
    <w:uiPriority w:val="99"/>
    <w:rPr>
      <w:rFonts w:ascii="Calibri" w:hAnsi="Calibri" w:eastAsia="宋体" w:cs="Times New Roman"/>
      <w:kern w:val="2"/>
      <w:sz w:val="21"/>
      <w:szCs w:val="22"/>
      <w:lang w:val="en-US" w:eastAsia="zh-CN" w:bidi="ar-SA"/>
    </w:rPr>
  </w:style>
  <w:style w:type="character" w:customStyle="1" w:styleId="115">
    <w:name w:val="页眉 Char"/>
    <w:autoRedefine/>
    <w:qFormat/>
    <w:uiPriority w:val="99"/>
    <w:rPr>
      <w:kern w:val="2"/>
      <w:sz w:val="18"/>
      <w:szCs w:val="18"/>
      <w:lang w:val="zh-CN" w:eastAsia="zh-CN"/>
    </w:rPr>
  </w:style>
  <w:style w:type="character" w:customStyle="1" w:styleId="116">
    <w:name w:val="标准正文 Char"/>
    <w:link w:val="117"/>
    <w:autoRedefine/>
    <w:qFormat/>
    <w:uiPriority w:val="0"/>
    <w:rPr>
      <w:szCs w:val="24"/>
    </w:rPr>
  </w:style>
  <w:style w:type="paragraph" w:customStyle="1" w:styleId="117">
    <w:name w:val="标准正文"/>
    <w:basedOn w:val="1"/>
    <w:link w:val="116"/>
    <w:autoRedefine/>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8">
    <w:name w:val="PlainText"/>
    <w:basedOn w:val="1"/>
    <w:autoRedefine/>
    <w:qFormat/>
    <w:uiPriority w:val="0"/>
    <w:pPr>
      <w:textAlignment w:val="baseline"/>
    </w:pPr>
    <w:rPr>
      <w:rFonts w:ascii="宋体" w:hAnsi="Courier New" w:cs="Calibri"/>
      <w:color w:val="000000"/>
      <w:kern w:val="0"/>
      <w:sz w:val="20"/>
      <w:szCs w:val="20"/>
    </w:rPr>
  </w:style>
  <w:style w:type="paragraph" w:customStyle="1" w:styleId="119">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20">
    <w:name w:val="正文文本缩进 New New"/>
    <w:basedOn w:val="1"/>
    <w:qFormat/>
    <w:uiPriority w:val="0"/>
    <w:pPr>
      <w:spacing w:after="120"/>
      <w:ind w:left="420" w:leftChars="200"/>
    </w:pPr>
    <w:rPr>
      <w:rFonts w:eastAsia="楷体_GB2312"/>
      <w:szCs w:val="20"/>
    </w:rPr>
  </w:style>
  <w:style w:type="paragraph" w:customStyle="1" w:styleId="121">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文一"/>
    <w:basedOn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123">
    <w:name w:val="正文文本缩进1"/>
    <w:basedOn w:val="1"/>
    <w:autoRedefine/>
    <w:qFormat/>
    <w:uiPriority w:val="0"/>
    <w:pPr>
      <w:ind w:firstLine="480"/>
    </w:pPr>
    <w:rPr>
      <w:sz w:val="24"/>
      <w:szCs w:val="20"/>
    </w:rPr>
  </w:style>
  <w:style w:type="paragraph" w:customStyle="1" w:styleId="124">
    <w:name w:val="正文文本缩进 31"/>
    <w:basedOn w:val="1"/>
    <w:autoRedefine/>
    <w:qFormat/>
    <w:uiPriority w:val="0"/>
    <w:pPr>
      <w:snapToGrid w:val="0"/>
      <w:spacing w:line="360" w:lineRule="auto"/>
      <w:ind w:left="20" w:firstLine="529" w:firstLineChars="189"/>
    </w:pPr>
    <w:rPr>
      <w:rFonts w:ascii="仿宋_GB2312" w:eastAsia="仿宋_GB2312"/>
      <w:sz w:val="28"/>
    </w:rPr>
  </w:style>
  <w:style w:type="paragraph" w:customStyle="1" w:styleId="125">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26">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8">
    <w:name w:val="font11"/>
    <w:basedOn w:val="39"/>
    <w:autoRedefine/>
    <w:qFormat/>
    <w:uiPriority w:val="0"/>
    <w:rPr>
      <w:rFonts w:hint="eastAsia" w:ascii="宋体" w:hAnsi="宋体" w:eastAsia="宋体" w:cs="宋体"/>
      <w:color w:val="000000"/>
      <w:sz w:val="16"/>
      <w:szCs w:val="16"/>
      <w:u w:val="none"/>
    </w:rPr>
  </w:style>
  <w:style w:type="paragraph" w:customStyle="1" w:styleId="129">
    <w:name w:val="正文 New New New New New New New New New New New New New New New New New New New"/>
    <w:autoRedefine/>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30">
    <w:name w:val="正文缩进 New"/>
    <w:basedOn w:val="129"/>
    <w:autoRedefine/>
    <w:qFormat/>
    <w:uiPriority w:val="0"/>
    <w:pPr>
      <w:ind w:firstLine="420"/>
    </w:pPr>
    <w:rPr>
      <w:rFonts w:ascii="Times New Roman" w:hAnsi="Times New Roman" w:cs="Times New Roman"/>
      <w:snapToGrid/>
      <w:kern w:val="2"/>
      <w:szCs w:val="20"/>
    </w:rPr>
  </w:style>
  <w:style w:type="character" w:customStyle="1" w:styleId="131">
    <w:name w:val="NormalCharacter"/>
    <w:qFormat/>
    <w:uiPriority w:val="0"/>
  </w:style>
  <w:style w:type="character" w:customStyle="1" w:styleId="132">
    <w:name w:val="font51"/>
    <w:qFormat/>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microsoft.com/office/2011/relationships/people" Target="people.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emf"/><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42265</Words>
  <Characters>44290</Characters>
  <Paragraphs>2634</Paragraphs>
  <TotalTime>1</TotalTime>
  <ScaleCrop>false</ScaleCrop>
  <LinksUpToDate>false</LinksUpToDate>
  <CharactersWithSpaces>45992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2025-04-16T01:49:00Z</dcterms:created>
  <dc:creator>管理员</dc:creator>
  <cp:lastModifiedBy>Y</cp:lastModifiedBy>
  <dcterms:modified xsi:type="dcterms:W3CDTF">2025-08-29T08:52:26Z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3D3BADEEF5604BF09A7CA13C731FB737_13</vt:lpwstr>
  </property>
  <property fmtid="{D5CDD505-2E9C-101B-9397-08002B2CF9AE}" pid="4" name="KSOTemplateDocerSaveRecord">
    <vt:lpwstr>eyJoZGlkIjoiYjE3N2VhZTA2OWIwNjliNTc2OGM5MzY4NWRlZDQ4NjAiLCJ1c2VySWQiOiIzNDA4NjUyMjAifQ==</vt:lpwstr>
  </property>
</Properties>
</file>